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8F2DBE">
      <w:pPr>
        <w:spacing w:line="560" w:lineRule="exact"/>
        <w:jc w:val="center"/>
        <w:rPr>
          <w:rFonts w:hint="eastAsia" w:ascii="方正小标宋简体" w:hAnsi="方正小标宋简体" w:eastAsia="方正小标宋简体" w:cs="方正小标宋简体"/>
          <w:b w:val="0"/>
          <w:bCs w:val="0"/>
          <w:sz w:val="44"/>
          <w:szCs w:val="44"/>
          <w:lang w:eastAsia="zh-CN"/>
        </w:rPr>
      </w:pPr>
      <w:bookmarkStart w:id="0" w:name="_GoBack"/>
      <w:bookmarkEnd w:id="0"/>
      <w:r>
        <w:rPr>
          <w:rFonts w:hint="eastAsia" w:ascii="方正小标宋简体" w:hAnsi="方正小标宋简体" w:eastAsia="方正小标宋简体" w:cs="方正小标宋简体"/>
          <w:b w:val="0"/>
          <w:bCs w:val="0"/>
          <w:sz w:val="44"/>
          <w:szCs w:val="44"/>
          <w:lang w:eastAsia="zh-CN"/>
        </w:rPr>
        <w:t>中共石家庄市鹿泉区委社会工作部</w:t>
      </w:r>
    </w:p>
    <w:p w14:paraId="71235AD2">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14:paraId="1EBE32F9">
      <w:pPr>
        <w:spacing w:line="560" w:lineRule="exact"/>
        <w:jc w:val="center"/>
        <w:rPr>
          <w:rFonts w:ascii="华文楷体" w:eastAsia="华文楷体"/>
          <w:sz w:val="32"/>
          <w:szCs w:val="32"/>
        </w:rPr>
      </w:pPr>
    </w:p>
    <w:p w14:paraId="410AD55B">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lang w:eastAsia="zh-CN"/>
        </w:rPr>
        <w:t>区委社会工作部</w:t>
      </w:r>
      <w:r>
        <w:rPr>
          <w:rFonts w:hint="eastAsia" w:ascii="仿宋_GB2312" w:hAnsi="仿宋_GB2312" w:eastAsia="仿宋_GB2312" w:cs="仿宋_GB2312"/>
          <w:sz w:val="32"/>
          <w:szCs w:val="32"/>
        </w:rPr>
        <w:t>2024年整体支出情况实施了财政支出绩效自评价，形成本评价报告。</w:t>
      </w:r>
    </w:p>
    <w:p w14:paraId="123E4F2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23007E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6A80E5F">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rPr>
        <w:t>部门职责：</w:t>
      </w:r>
    </w:p>
    <w:p w14:paraId="41AE69D4">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研究相关理论、政策和规划，贯彻落实社会工作方面相关地方性法规，拟定规范性文件并组织实施。深入调查研究，及时向区委报告工作情况并提出建议。指导乡（镇、区）开展社会工作方面工作。</w:t>
      </w:r>
    </w:p>
    <w:p w14:paraId="1815A6A3">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指导人民建议征集工作，向区委、区政府及时反映公民、法人和其他组织对党和国家事业发展提出的重要意见建议。</w:t>
      </w:r>
    </w:p>
    <w:p w14:paraId="091579BE">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0423016C">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统筹指导社会组织、行业协会商会党建工作，协调推动行业协会商会深化改革和转型发展。</w:t>
      </w:r>
    </w:p>
    <w:p w14:paraId="3912608E">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指导混合所有制企业、非公有制企业和新经济组织、新社会组织、新就业群体党建工作，指导协调相关企业单位、社会组织、就业群体中党员的教育、管理、监督和服务工作，研究完善相关领域群众利益协调机制。</w:t>
      </w:r>
    </w:p>
    <w:p w14:paraId="543CFC51">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拟定全区社会工作发展规划、志愿服务规范和标准并组织实施，负责全区志愿服务工作的统筹规划、协调指导、督促检查。会同有关部门推进社会工作人才队伍建设和志愿队伍建设。</w:t>
      </w:r>
    </w:p>
    <w:p w14:paraId="722A0A64">
      <w:pPr>
        <w:adjustRightInd w:val="0"/>
        <w:snapToGrid w:val="0"/>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完成区委交办的其他任务。</w:t>
      </w:r>
    </w:p>
    <w:p w14:paraId="0FFF2C6B">
      <w:pPr>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outlineLvl w:val="9"/>
        <w:rPr>
          <w:rFonts w:hint="eastAsia" w:ascii="楷体_GB2312" w:hAnsi="楷体_GB2312" w:eastAsia="楷体_GB2312" w:cs="楷体_GB2312"/>
          <w:b/>
          <w:color w:val="000000"/>
          <w:sz w:val="32"/>
        </w:rPr>
      </w:pPr>
      <w:r>
        <w:rPr>
          <w:rFonts w:hint="eastAsia" w:ascii="楷体_GB2312" w:hAnsi="楷体_GB2312" w:eastAsia="楷体_GB2312" w:cs="楷体_GB2312"/>
          <w:b/>
          <w:color w:val="000000"/>
          <w:sz w:val="32"/>
          <w:lang w:eastAsia="zh-CN"/>
        </w:rPr>
        <w:t>组织机构</w:t>
      </w:r>
      <w:r>
        <w:rPr>
          <w:rFonts w:hint="eastAsia" w:ascii="楷体_GB2312" w:hAnsi="楷体_GB2312" w:eastAsia="楷体_GB2312" w:cs="楷体_GB2312"/>
          <w:b/>
          <w:color w:val="000000"/>
          <w:sz w:val="32"/>
        </w:rPr>
        <w:t>：</w:t>
      </w:r>
    </w:p>
    <w:p w14:paraId="69BB8091">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截至202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年底，部门独立编制机构1个为中共石家庄市鹿泉区委社会工作部；独立核算机构1个为中共石家庄市鹿泉区委社会工作部，年末在职在编实有人数</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人，其中行政在编人员</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人，非参公事业人员</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人。</w:t>
      </w:r>
    </w:p>
    <w:p w14:paraId="5BE0DFE0">
      <w:pPr>
        <w:adjustRightInd w:val="0"/>
        <w:snapToGrid w:val="0"/>
        <w:spacing w:line="560" w:lineRule="exact"/>
        <w:ind w:firstLine="643" w:firstLineChars="200"/>
        <w:rPr>
          <w:rFonts w:hint="eastAsia" w:ascii="仿宋" w:hAnsi="仿宋" w:eastAsia="仿宋" w:cs="Arial"/>
          <w:color w:val="000000"/>
          <w:kern w:val="0"/>
          <w:sz w:val="32"/>
          <w:szCs w:val="32"/>
          <w:shd w:val="clear" w:color="auto" w:fill="FFFFFF"/>
          <w:lang w:eastAsia="zh-CN"/>
        </w:rPr>
      </w:pPr>
      <w:r>
        <w:rPr>
          <w:rFonts w:hint="eastAsia" w:ascii="楷体_GB2312" w:hAnsi="楷体_GB2312" w:eastAsia="楷体_GB2312" w:cs="楷体_GB2312"/>
          <w:b/>
          <w:color w:val="000000"/>
          <w:sz w:val="32"/>
          <w:lang w:eastAsia="zh-CN"/>
        </w:rPr>
        <w:t>资产情况：</w:t>
      </w:r>
    </w:p>
    <w:p w14:paraId="15EFEF8B">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截至202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辆。其中，副部（省）级及以上领导用车0辆，主要领导干部用车0辆，机要通信用车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辆，应急保障用车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辆，执法执勤用车0辆，特种专业技术用车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辆，离退休干部用车0辆，其他用车0辆；单位价值100万元以上设备（不含车辆）0台（套）。</w:t>
      </w:r>
    </w:p>
    <w:p w14:paraId="7DB47E19">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493A9C2">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1、收入支出预算总体情况说明</w:t>
      </w:r>
    </w:p>
    <w:p w14:paraId="06C4179A">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年度预算收入</w:t>
      </w:r>
      <w:r>
        <w:rPr>
          <w:rFonts w:hint="eastAsia" w:ascii="仿宋_GB2312" w:hAnsi="仿宋_GB2312" w:eastAsia="仿宋_GB2312" w:cs="仿宋_GB2312"/>
          <w:sz w:val="32"/>
          <w:szCs w:val="32"/>
          <w:lang w:val="en-US" w:eastAsia="zh-CN"/>
        </w:rPr>
        <w:t>138.95</w:t>
      </w:r>
      <w:r>
        <w:rPr>
          <w:rFonts w:hint="eastAsia" w:ascii="仿宋_GB2312" w:hAnsi="仿宋_GB2312" w:eastAsia="仿宋_GB2312" w:cs="仿宋_GB2312"/>
          <w:sz w:val="32"/>
          <w:szCs w:val="32"/>
          <w:lang w:eastAsia="zh-CN"/>
        </w:rPr>
        <w:t>万元，预算支出</w:t>
      </w:r>
      <w:r>
        <w:rPr>
          <w:rFonts w:hint="eastAsia" w:ascii="仿宋_GB2312" w:hAnsi="仿宋_GB2312" w:eastAsia="仿宋_GB2312" w:cs="仿宋_GB2312"/>
          <w:sz w:val="32"/>
          <w:szCs w:val="32"/>
          <w:lang w:val="en-US" w:eastAsia="zh-CN"/>
        </w:rPr>
        <w:t>138.95</w:t>
      </w:r>
      <w:r>
        <w:rPr>
          <w:rFonts w:hint="eastAsia" w:ascii="仿宋_GB2312" w:hAnsi="仿宋_GB2312" w:eastAsia="仿宋_GB2312" w:cs="仿宋_GB2312"/>
          <w:sz w:val="32"/>
          <w:szCs w:val="32"/>
          <w:lang w:eastAsia="zh-CN"/>
        </w:rPr>
        <w:t>万元。</w:t>
      </w:r>
    </w:p>
    <w:p w14:paraId="1E39D080">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2、收入支出决算总体情况说明</w:t>
      </w:r>
    </w:p>
    <w:p w14:paraId="1153CA46">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年度收、支总计（含结转和结余）</w:t>
      </w:r>
      <w:r>
        <w:rPr>
          <w:rFonts w:hint="eastAsia" w:ascii="仿宋_GB2312" w:hAnsi="仿宋_GB2312" w:eastAsia="仿宋_GB2312" w:cs="仿宋_GB2312"/>
          <w:sz w:val="32"/>
          <w:szCs w:val="32"/>
          <w:lang w:val="en-US" w:eastAsia="zh-CN"/>
        </w:rPr>
        <w:t>138.95</w:t>
      </w:r>
      <w:r>
        <w:rPr>
          <w:rFonts w:hint="eastAsia" w:ascii="仿宋_GB2312" w:hAnsi="仿宋_GB2312" w:eastAsia="仿宋_GB2312" w:cs="仿宋_GB2312"/>
          <w:sz w:val="32"/>
          <w:szCs w:val="32"/>
          <w:lang w:eastAsia="zh-CN"/>
        </w:rPr>
        <w:t>万元。与202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年度决算相比，收支各增加</w:t>
      </w:r>
      <w:r>
        <w:rPr>
          <w:rFonts w:hint="eastAsia" w:ascii="仿宋_GB2312" w:hAnsi="仿宋_GB2312" w:eastAsia="仿宋_GB2312" w:cs="仿宋_GB2312"/>
          <w:sz w:val="32"/>
          <w:szCs w:val="32"/>
          <w:lang w:val="en-US" w:eastAsia="zh-CN"/>
        </w:rPr>
        <w:t>138.95</w:t>
      </w:r>
      <w:r>
        <w:rPr>
          <w:rFonts w:hint="eastAsia" w:ascii="仿宋_GB2312" w:hAnsi="仿宋_GB2312" w:eastAsia="仿宋_GB2312" w:cs="仿宋_GB2312"/>
          <w:sz w:val="32"/>
          <w:szCs w:val="32"/>
          <w:lang w:eastAsia="zh-CN"/>
        </w:rPr>
        <w:t>万元，主要原因</w:t>
      </w:r>
      <w:r>
        <w:rPr>
          <w:rFonts w:hint="eastAsia" w:ascii="仿宋_GB2312" w:hAnsi="仿宋_GB2312" w:eastAsia="仿宋_GB2312" w:cs="仿宋_GB2312"/>
          <w:sz w:val="32"/>
          <w:szCs w:val="32"/>
          <w:lang w:val="en-US" w:eastAsia="zh-CN"/>
        </w:rPr>
        <w:t>我单位2024年新成立，无上年度数据</w:t>
      </w:r>
      <w:r>
        <w:rPr>
          <w:rFonts w:hint="eastAsia" w:ascii="仿宋_GB2312" w:hAnsi="仿宋_GB2312" w:eastAsia="仿宋_GB2312" w:cs="仿宋_GB2312"/>
          <w:sz w:val="32"/>
          <w:szCs w:val="32"/>
          <w:lang w:eastAsia="zh-CN"/>
        </w:rPr>
        <w:t>。</w:t>
      </w:r>
    </w:p>
    <w:p w14:paraId="4AFC98D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0EE276F">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uk-UA"/>
        </w:rPr>
        <w:t>按照区委社会工作部202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uk-UA"/>
        </w:rPr>
        <w:t>年度工作计划，完成年内项目组织管理任务，做好各类项目执行的全过程监督管理工作，确保各类项目按计划有效实施。</w:t>
      </w:r>
    </w:p>
    <w:p w14:paraId="272F1C2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CF034C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6E1D7FD">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我部严格落实主体责任，成立由部长任组长，分管项目副职任副组长的监管运行领导小组，办公室和业务股室具体负责定期对绩效监控信息进行收集、汇总、分析。</w:t>
      </w:r>
    </w:p>
    <w:p w14:paraId="3AE87D7D">
      <w:pPr>
        <w:numPr>
          <w:ilvl w:val="0"/>
          <w:numId w:val="2"/>
        </w:numPr>
        <w:spacing w:line="560" w:lineRule="exact"/>
        <w:ind w:left="630" w:leftChars="0" w:firstLineChars="0"/>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74579C5">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绩效自评方法</w:t>
      </w:r>
    </w:p>
    <w:p w14:paraId="20178B44">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根据项目实际情况，选用恰当的标准进行评价，通过定量评价标准、定性评价标准、隶属度标准、客观标准等方法相结合，从多角度进行综合评价。</w:t>
      </w:r>
    </w:p>
    <w:p w14:paraId="21668CAC">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2、绩效自评过程</w:t>
      </w:r>
    </w:p>
    <w:p w14:paraId="55D871FA">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前期准备：根据有关规定及要求，认真组织人员对项目自评资料进行收集、整理，针对指标完成情况进行绩效分析。为有效及时的完成项目绩效自评工作打下坚实的基础。</w:t>
      </w:r>
    </w:p>
    <w:p w14:paraId="62B8226F">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组织实施：加强过程控制，认真总结项目实现绩效目标过程中存在的问题和采取的改进措施，对项目的预算编制、项目实施、相关物品采购等进行认真的分析研究，整个过程严格按照绩效评价管理办法进行。</w:t>
      </w:r>
    </w:p>
    <w:p w14:paraId="4B107B5F">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分析评价：根据项目的自身特点和确定的各项绩效指标，对照项目完成情况，逐一进行评价，确保评价结论真实、客观、公平、公正。</w:t>
      </w:r>
    </w:p>
    <w:p w14:paraId="4879452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FBF9FE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65A44A3">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按照鹿泉区机构改革方案，鹿泉区委社会工作部自</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sz w:val="32"/>
          <w:szCs w:val="32"/>
          <w:lang w:eastAsia="zh-CN"/>
        </w:rPr>
        <w:t>4月份成立，在区委坚强领导下，坚持以“起步就是冲刺，开局就要争先”的奋斗者姿态，克服人员少、任务重、业务不熟悉等困难，一手抓机构组建、一手抓工作推进，推动各项工作全面展开，为推动我区社会工作稳定发展做出贡献。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年度</w:t>
      </w:r>
      <w:r>
        <w:rPr>
          <w:rFonts w:hint="eastAsia" w:ascii="仿宋_GB2312" w:hAnsi="仿宋_GB2312" w:eastAsia="仿宋_GB2312" w:cs="仿宋_GB2312"/>
          <w:sz w:val="32"/>
          <w:szCs w:val="32"/>
          <w:lang w:val="en-US" w:eastAsia="zh-CN"/>
        </w:rPr>
        <w:t>我部共有6</w:t>
      </w:r>
      <w:r>
        <w:rPr>
          <w:rFonts w:hint="eastAsia" w:ascii="仿宋_GB2312" w:hAnsi="仿宋_GB2312" w:eastAsia="仿宋_GB2312" w:cs="仿宋_GB2312"/>
          <w:sz w:val="32"/>
          <w:szCs w:val="32"/>
          <w:lang w:eastAsia="zh-CN"/>
        </w:rPr>
        <w:t>个</w:t>
      </w:r>
      <w:r>
        <w:rPr>
          <w:rFonts w:hint="eastAsia" w:ascii="仿宋_GB2312" w:hAnsi="仿宋_GB2312" w:eastAsia="仿宋_GB2312" w:cs="仿宋_GB2312"/>
          <w:sz w:val="32"/>
          <w:szCs w:val="32"/>
          <w:lang w:val="en-US" w:eastAsia="zh-CN"/>
        </w:rPr>
        <w:t>预算</w:t>
      </w:r>
      <w:r>
        <w:rPr>
          <w:rFonts w:hint="eastAsia" w:ascii="仿宋_GB2312" w:hAnsi="仿宋_GB2312" w:eastAsia="仿宋_GB2312" w:cs="仿宋_GB2312"/>
          <w:sz w:val="32"/>
          <w:szCs w:val="32"/>
          <w:lang w:eastAsia="zh-CN"/>
        </w:rPr>
        <w:t>项目，涉及资金</w:t>
      </w:r>
      <w:r>
        <w:rPr>
          <w:rFonts w:hint="eastAsia" w:ascii="仿宋_GB2312" w:hAnsi="仿宋_GB2312" w:eastAsia="仿宋_GB2312" w:cs="仿宋_GB2312"/>
          <w:sz w:val="32"/>
          <w:szCs w:val="32"/>
          <w:lang w:val="en-US" w:eastAsia="zh-CN"/>
        </w:rPr>
        <w:t>29.92</w:t>
      </w:r>
      <w:r>
        <w:rPr>
          <w:rFonts w:hint="eastAsia" w:ascii="仿宋_GB2312" w:hAnsi="仿宋_GB2312" w:eastAsia="仿宋_GB2312" w:cs="仿宋_GB2312"/>
          <w:sz w:val="32"/>
          <w:szCs w:val="32"/>
          <w:lang w:eastAsia="zh-CN"/>
        </w:rPr>
        <w:t>万元。总体</w:t>
      </w:r>
      <w:r>
        <w:rPr>
          <w:rFonts w:hint="eastAsia" w:ascii="仿宋_GB2312" w:hAnsi="仿宋_GB2312" w:eastAsia="仿宋_GB2312" w:cs="仿宋_GB2312"/>
          <w:sz w:val="32"/>
          <w:szCs w:val="32"/>
          <w:lang w:val="en-US" w:eastAsia="zh-CN"/>
        </w:rPr>
        <w:t>来看，各</w:t>
      </w:r>
      <w:r>
        <w:rPr>
          <w:rFonts w:hint="eastAsia" w:ascii="仿宋_GB2312" w:hAnsi="仿宋_GB2312" w:eastAsia="仿宋_GB2312" w:cs="仿宋_GB2312"/>
          <w:sz w:val="32"/>
          <w:szCs w:val="32"/>
          <w:lang w:eastAsia="zh-CN"/>
        </w:rPr>
        <w:t>项目的实施形成了较好的成果，对</w:t>
      </w:r>
      <w:r>
        <w:rPr>
          <w:rFonts w:hint="eastAsia" w:ascii="仿宋_GB2312" w:hAnsi="仿宋_GB2312" w:eastAsia="仿宋_GB2312" w:cs="仿宋_GB2312"/>
          <w:sz w:val="32"/>
          <w:szCs w:val="32"/>
          <w:lang w:val="en-US" w:eastAsia="zh-CN"/>
        </w:rPr>
        <w:t>“两企三新”党建、党建引领基层治理和基层政权建设、凝聚服务群众等各个方面均起到了积极意义。</w:t>
      </w:r>
    </w:p>
    <w:p w14:paraId="58F2BA00">
      <w:pPr>
        <w:numPr>
          <w:ilvl w:val="0"/>
          <w:numId w:val="0"/>
        </w:num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AD72B82">
      <w:pPr>
        <w:numPr>
          <w:ilvl w:val="0"/>
          <w:numId w:val="0"/>
        </w:num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年本部门绩效自评项目共</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个，其中评价等级为“优”项目</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个，评优率为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p>
    <w:p w14:paraId="695D58C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96E03A4">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4B7E2A27">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eastAsia="仿宋_GB2312" w:cs="仿宋_GB2312"/>
          <w:kern w:val="0"/>
          <w:sz w:val="32"/>
          <w:szCs w:val="32"/>
        </w:rPr>
        <w:t>总体来说</w:t>
      </w:r>
      <w:r>
        <w:rPr>
          <w:rFonts w:hint="eastAsia" w:ascii="仿宋_GB2312" w:hAnsi="仿宋_GB2312" w:eastAsia="仿宋_GB2312" w:cs="仿宋_GB2312"/>
          <w:sz w:val="32"/>
          <w:szCs w:val="32"/>
          <w:lang w:eastAsia="zh-CN"/>
        </w:rPr>
        <w:t>我部本年度</w:t>
      </w:r>
      <w:r>
        <w:rPr>
          <w:rFonts w:hint="eastAsia" w:ascii="仿宋_GB2312" w:eastAsia="仿宋_GB2312" w:cs="仿宋_GB2312"/>
          <w:kern w:val="0"/>
          <w:sz w:val="32"/>
          <w:szCs w:val="32"/>
        </w:rPr>
        <w:t>资金到位，使用合规。从资金申请、</w:t>
      </w:r>
      <w:r>
        <w:rPr>
          <w:rFonts w:hint="eastAsia" w:ascii="仿宋_GB2312" w:eastAsia="仿宋_GB2312" w:cs="仿宋_GB2312"/>
          <w:kern w:val="0"/>
          <w:sz w:val="32"/>
          <w:szCs w:val="32"/>
          <w:lang w:eastAsia="zh-CN"/>
        </w:rPr>
        <w:t>支出</w:t>
      </w:r>
      <w:r>
        <w:rPr>
          <w:rFonts w:hint="eastAsia" w:ascii="仿宋_GB2312" w:eastAsia="仿宋_GB2312" w:cs="仿宋_GB2312"/>
          <w:kern w:val="0"/>
          <w:sz w:val="32"/>
          <w:szCs w:val="32"/>
        </w:rPr>
        <w:t>审批到最后</w:t>
      </w:r>
      <w:r>
        <w:rPr>
          <w:rFonts w:hint="eastAsia" w:ascii="仿宋_GB2312" w:eastAsia="仿宋_GB2312" w:cs="仿宋_GB2312"/>
          <w:kern w:val="0"/>
          <w:sz w:val="32"/>
          <w:szCs w:val="32"/>
          <w:lang w:eastAsia="zh-CN"/>
        </w:rPr>
        <w:t>支付，</w:t>
      </w:r>
      <w:r>
        <w:rPr>
          <w:rFonts w:hint="eastAsia" w:ascii="仿宋_GB2312" w:eastAsia="仿宋_GB2312" w:cs="仿宋_GB2312"/>
          <w:kern w:val="0"/>
          <w:sz w:val="32"/>
          <w:szCs w:val="32"/>
        </w:rPr>
        <w:t>都按照中央、省、市相关财政政策实施，符合财务管理规定。</w:t>
      </w:r>
      <w:r>
        <w:rPr>
          <w:rFonts w:hint="eastAsia" w:ascii="仿宋" w:hAnsi="仿宋" w:eastAsia="仿宋" w:cs="仿宋"/>
          <w:sz w:val="32"/>
          <w:szCs w:val="32"/>
        </w:rPr>
        <w:t>我</w:t>
      </w:r>
      <w:r>
        <w:rPr>
          <w:rFonts w:hint="eastAsia" w:ascii="仿宋" w:hAnsi="仿宋" w:eastAsia="仿宋" w:cs="仿宋"/>
          <w:sz w:val="32"/>
          <w:szCs w:val="32"/>
          <w:lang w:eastAsia="zh-CN"/>
        </w:rPr>
        <w:t>部</w:t>
      </w:r>
      <w:r>
        <w:rPr>
          <w:rFonts w:hint="eastAsia" w:ascii="仿宋" w:hAnsi="仿宋" w:eastAsia="仿宋" w:cs="仿宋"/>
          <w:sz w:val="32"/>
          <w:szCs w:val="32"/>
        </w:rPr>
        <w:t>资金绩效</w:t>
      </w:r>
      <w:r>
        <w:rPr>
          <w:rFonts w:hint="eastAsia" w:ascii="仿宋_GB2312" w:eastAsia="仿宋_GB2312" w:cs="仿宋_GB2312"/>
          <w:kern w:val="0"/>
          <w:sz w:val="32"/>
          <w:szCs w:val="32"/>
        </w:rPr>
        <w:t>评优率达</w:t>
      </w:r>
      <w:r>
        <w:rPr>
          <w:rFonts w:hint="eastAsia" w:ascii="仿宋_GB2312" w:eastAsia="仿宋_GB2312" w:cs="仿宋_GB2312"/>
          <w:kern w:val="0"/>
          <w:sz w:val="32"/>
          <w:szCs w:val="32"/>
          <w:lang w:val="en-US" w:eastAsia="zh-CN"/>
        </w:rPr>
        <w:t>100</w:t>
      </w:r>
      <w:r>
        <w:rPr>
          <w:rFonts w:hint="eastAsia" w:ascii="仿宋_GB2312" w:eastAsia="仿宋_GB2312" w:cs="仿宋_GB2312"/>
          <w:kern w:val="0"/>
          <w:sz w:val="32"/>
          <w:szCs w:val="32"/>
        </w:rPr>
        <w:t>%，</w:t>
      </w:r>
      <w:r>
        <w:rPr>
          <w:rFonts w:hint="eastAsia" w:ascii="仿宋_GB2312" w:hAnsi="仿宋_GB2312" w:eastAsia="仿宋_GB2312" w:cs="仿宋_GB2312"/>
          <w:sz w:val="32"/>
          <w:szCs w:val="32"/>
          <w:lang w:eastAsia="zh-CN"/>
        </w:rPr>
        <w:t>综合绩效评价等级为优秀。</w:t>
      </w:r>
    </w:p>
    <w:p w14:paraId="079E594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0EEF531">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83BD537">
      <w:pPr>
        <w:numPr>
          <w:ilvl w:val="0"/>
          <w:numId w:val="0"/>
        </w:numPr>
        <w:spacing w:line="560" w:lineRule="exact"/>
        <w:ind w:firstLine="640" w:firstLineChars="200"/>
        <w:rPr>
          <w:rFonts w:hint="eastAsia" w:ascii="仿宋" w:hAnsi="仿宋" w:eastAsia="仿宋" w:cs="仿宋"/>
          <w:sz w:val="32"/>
          <w:szCs w:val="32"/>
        </w:rPr>
      </w:pPr>
      <w:r>
        <w:rPr>
          <w:rFonts w:hint="eastAsia" w:ascii="仿宋_GB2312" w:eastAsia="仿宋_GB2312" w:cs="仿宋_GB2312"/>
          <w:kern w:val="0"/>
          <w:sz w:val="32"/>
          <w:szCs w:val="32"/>
          <w:lang w:val="en-US" w:eastAsia="zh-CN"/>
        </w:rPr>
        <w:t>个别</w:t>
      </w:r>
      <w:r>
        <w:rPr>
          <w:rFonts w:hint="eastAsia" w:ascii="仿宋_GB2312" w:eastAsia="仿宋_GB2312" w:cs="仿宋_GB2312"/>
          <w:kern w:val="0"/>
          <w:sz w:val="32"/>
          <w:szCs w:val="32"/>
          <w:lang w:eastAsia="zh-CN"/>
        </w:rPr>
        <w:t>项目库绩效目标</w:t>
      </w:r>
      <w:r>
        <w:rPr>
          <w:rFonts w:hint="eastAsia" w:ascii="仿宋_GB2312" w:eastAsia="仿宋_GB2312" w:cs="仿宋_GB2312"/>
          <w:kern w:val="0"/>
          <w:sz w:val="32"/>
          <w:szCs w:val="32"/>
        </w:rPr>
        <w:t>编制不够</w:t>
      </w:r>
      <w:r>
        <w:rPr>
          <w:rFonts w:hint="eastAsia" w:ascii="仿宋_GB2312" w:eastAsia="仿宋_GB2312" w:cs="仿宋_GB2312"/>
          <w:kern w:val="0"/>
          <w:sz w:val="32"/>
          <w:szCs w:val="32"/>
          <w:lang w:eastAsia="zh-CN"/>
        </w:rPr>
        <w:t>准确、</w:t>
      </w:r>
      <w:r>
        <w:rPr>
          <w:rFonts w:hint="eastAsia" w:ascii="仿宋_GB2312" w:eastAsia="仿宋_GB2312" w:cs="仿宋_GB2312"/>
          <w:kern w:val="0"/>
          <w:sz w:val="32"/>
          <w:szCs w:val="32"/>
        </w:rPr>
        <w:t>规范，</w:t>
      </w:r>
      <w:r>
        <w:rPr>
          <w:rFonts w:hint="eastAsia" w:ascii="仿宋_GB2312" w:eastAsia="仿宋_GB2312" w:cs="仿宋_GB2312"/>
          <w:kern w:val="0"/>
          <w:sz w:val="32"/>
          <w:szCs w:val="32"/>
          <w:lang w:eastAsia="zh-CN"/>
        </w:rPr>
        <w:t>资金</w:t>
      </w:r>
      <w:r>
        <w:rPr>
          <w:rFonts w:hint="eastAsia" w:ascii="仿宋_GB2312" w:eastAsia="仿宋_GB2312" w:cs="仿宋_GB2312"/>
          <w:kern w:val="0"/>
          <w:sz w:val="32"/>
          <w:szCs w:val="32"/>
        </w:rPr>
        <w:t>实际使用过程中产生偏差，无法准确预计全年经济活动。</w:t>
      </w:r>
    </w:p>
    <w:p w14:paraId="31D959A7">
      <w:pPr>
        <w:numPr>
          <w:ilvl w:val="0"/>
          <w:numId w:val="0"/>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eastAsia="zh-CN"/>
        </w:rPr>
        <w:t>（二）</w:t>
      </w:r>
      <w:r>
        <w:rPr>
          <w:rFonts w:hint="eastAsia" w:ascii="楷体" w:hAnsi="楷体" w:eastAsia="楷体"/>
          <w:bCs/>
          <w:sz w:val="32"/>
          <w:szCs w:val="32"/>
        </w:rPr>
        <w:t>针对问题提出具体的改进措施或建议</w:t>
      </w:r>
    </w:p>
    <w:p w14:paraId="243A7D46">
      <w:pPr>
        <w:adjustRightInd w:val="0"/>
        <w:snapToGrid w:val="0"/>
        <w:spacing w:line="560" w:lineRule="exact"/>
        <w:ind w:firstLine="640" w:firstLineChars="200"/>
        <w:rPr>
          <w:rFonts w:hint="eastAsia" w:ascii="仿宋" w:hAnsi="仿宋" w:eastAsia="仿宋" w:cs="仿宋"/>
          <w:sz w:val="32"/>
          <w:szCs w:val="32"/>
        </w:rPr>
      </w:pPr>
      <w:r>
        <w:rPr>
          <w:rFonts w:hint="eastAsia" w:ascii="仿宋_GB2312" w:eastAsia="仿宋_GB2312" w:cs="仿宋_GB2312"/>
          <w:kern w:val="0"/>
          <w:sz w:val="32"/>
          <w:szCs w:val="32"/>
          <w:lang w:eastAsia="zh-CN"/>
        </w:rPr>
        <w:t>加强预算编制相关业务知识学习，提高业务能力。</w:t>
      </w:r>
      <w:r>
        <w:rPr>
          <w:rFonts w:hint="eastAsia" w:ascii="仿宋_GB2312" w:eastAsia="仿宋_GB2312" w:cs="仿宋_GB2312"/>
          <w:kern w:val="0"/>
          <w:sz w:val="32"/>
          <w:szCs w:val="32"/>
        </w:rPr>
        <w:t>细化部门预算内容，强化绩效目标、绩效指标的合理性、合规性，科学严谨编制年度预算，保证预算的准确性。</w:t>
      </w:r>
      <w:r>
        <w:rPr>
          <w:rFonts w:hint="eastAsia" w:ascii="仿宋" w:hAnsi="仿宋" w:eastAsia="仿宋" w:cs="仿宋"/>
          <w:sz w:val="32"/>
          <w:szCs w:val="32"/>
        </w:rPr>
        <w:t xml:space="preserve"> </w:t>
      </w:r>
    </w:p>
    <w:p w14:paraId="5D35116F">
      <w:pPr>
        <w:adjustRightInd w:val="0"/>
        <w:snapToGrid w:val="0"/>
        <w:spacing w:line="560" w:lineRule="exact"/>
        <w:ind w:firstLine="640" w:firstLineChars="200"/>
        <w:rPr>
          <w:rFonts w:hint="eastAsia" w:ascii="仿宋_GB2312" w:hAnsi="仿宋_GB2312" w:eastAsia="仿宋_GB2312" w:cs="仿宋_GB2312"/>
          <w:sz w:val="32"/>
          <w:szCs w:val="32"/>
          <w:lang w:eastAsia="zh-CN"/>
        </w:rPr>
      </w:pPr>
    </w:p>
    <w:p w14:paraId="53F096FC">
      <w:pPr>
        <w:pStyle w:val="2"/>
      </w:pPr>
    </w:p>
    <w:p w14:paraId="5F64EA4E">
      <w:pPr>
        <w:spacing w:line="560" w:lineRule="exact"/>
        <w:rPr>
          <w:rFonts w:ascii="仿宋" w:hAnsi="仿宋" w:eastAsia="仿宋"/>
        </w:rPr>
      </w:pPr>
    </w:p>
    <w:sectPr>
      <w:footerReference r:id="rId3" w:type="default"/>
      <w:pgSz w:w="11906" w:h="16838"/>
      <w:pgMar w:top="2098" w:right="1474" w:bottom="1984"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59151">
    <w:pPr>
      <w:pStyle w:val="4"/>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8BF9ACE">
                <w:pPr>
                  <w:snapToGrid w:val="0"/>
                  <w:rPr>
                    <w:sz w:val="1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3C1885"/>
    <w:multiLevelType w:val="singleLevel"/>
    <w:tmpl w:val="C73C1885"/>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30"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GExOThmMGIyNzkxMWY5NWY3YThhZWU5YjNkZDI3YWQifQ=="/>
  </w:docVars>
  <w:rsids>
    <w:rsidRoot w:val="0EBD2122"/>
    <w:rsid w:val="000B0260"/>
    <w:rsid w:val="001B713F"/>
    <w:rsid w:val="00376610"/>
    <w:rsid w:val="007E6C1F"/>
    <w:rsid w:val="008E3731"/>
    <w:rsid w:val="00956A93"/>
    <w:rsid w:val="009C512B"/>
    <w:rsid w:val="009E575C"/>
    <w:rsid w:val="009F674E"/>
    <w:rsid w:val="00AF167E"/>
    <w:rsid w:val="00AF566A"/>
    <w:rsid w:val="00B478EA"/>
    <w:rsid w:val="00B6553A"/>
    <w:rsid w:val="00BC6576"/>
    <w:rsid w:val="00C66976"/>
    <w:rsid w:val="00CE06BA"/>
    <w:rsid w:val="00F441CC"/>
    <w:rsid w:val="011D58C0"/>
    <w:rsid w:val="01B104CA"/>
    <w:rsid w:val="02106AB0"/>
    <w:rsid w:val="02AD361F"/>
    <w:rsid w:val="02B43A28"/>
    <w:rsid w:val="03F62DA4"/>
    <w:rsid w:val="046F331E"/>
    <w:rsid w:val="05CA26AE"/>
    <w:rsid w:val="0696086E"/>
    <w:rsid w:val="06F7130D"/>
    <w:rsid w:val="077C7C9B"/>
    <w:rsid w:val="07956271"/>
    <w:rsid w:val="07F67816"/>
    <w:rsid w:val="08F33D56"/>
    <w:rsid w:val="09721397"/>
    <w:rsid w:val="09976DD7"/>
    <w:rsid w:val="09D9119E"/>
    <w:rsid w:val="0BB63BED"/>
    <w:rsid w:val="0C601702"/>
    <w:rsid w:val="0DA23B35"/>
    <w:rsid w:val="0EA16002"/>
    <w:rsid w:val="0EB97A43"/>
    <w:rsid w:val="0EBD2122"/>
    <w:rsid w:val="0F214EAE"/>
    <w:rsid w:val="0FD348E1"/>
    <w:rsid w:val="0FD77F2D"/>
    <w:rsid w:val="0FDA7A1E"/>
    <w:rsid w:val="103F3D25"/>
    <w:rsid w:val="11B71E6A"/>
    <w:rsid w:val="126B2BAF"/>
    <w:rsid w:val="12D469A6"/>
    <w:rsid w:val="13942121"/>
    <w:rsid w:val="14DA401C"/>
    <w:rsid w:val="158A5A42"/>
    <w:rsid w:val="15FC29A5"/>
    <w:rsid w:val="17800EAB"/>
    <w:rsid w:val="183C74C7"/>
    <w:rsid w:val="187F73B4"/>
    <w:rsid w:val="195E346D"/>
    <w:rsid w:val="19CC6629"/>
    <w:rsid w:val="19CE23A1"/>
    <w:rsid w:val="1A246465"/>
    <w:rsid w:val="1A620D3B"/>
    <w:rsid w:val="1AAF0063"/>
    <w:rsid w:val="1AB1581F"/>
    <w:rsid w:val="1B776A68"/>
    <w:rsid w:val="1BE140DE"/>
    <w:rsid w:val="1C2F22BE"/>
    <w:rsid w:val="1CE912A0"/>
    <w:rsid w:val="1E1265D5"/>
    <w:rsid w:val="21BC51D5"/>
    <w:rsid w:val="226C12D2"/>
    <w:rsid w:val="22E744D4"/>
    <w:rsid w:val="232C638A"/>
    <w:rsid w:val="23315212"/>
    <w:rsid w:val="248C197D"/>
    <w:rsid w:val="24A73F1B"/>
    <w:rsid w:val="252959AF"/>
    <w:rsid w:val="27135897"/>
    <w:rsid w:val="277A6671"/>
    <w:rsid w:val="27A97FAA"/>
    <w:rsid w:val="283D461F"/>
    <w:rsid w:val="288F2AB0"/>
    <w:rsid w:val="28D56B7C"/>
    <w:rsid w:val="292D35B7"/>
    <w:rsid w:val="29742A64"/>
    <w:rsid w:val="2A2E0F80"/>
    <w:rsid w:val="2A9E191C"/>
    <w:rsid w:val="2BE9496F"/>
    <w:rsid w:val="2D5C5ABE"/>
    <w:rsid w:val="2F370591"/>
    <w:rsid w:val="2F522CD5"/>
    <w:rsid w:val="2F68074A"/>
    <w:rsid w:val="2FEA1B35"/>
    <w:rsid w:val="30C776F3"/>
    <w:rsid w:val="321240DE"/>
    <w:rsid w:val="32817910"/>
    <w:rsid w:val="3361798A"/>
    <w:rsid w:val="33633703"/>
    <w:rsid w:val="33EB6CFF"/>
    <w:rsid w:val="35260E8C"/>
    <w:rsid w:val="35A12947"/>
    <w:rsid w:val="364610BA"/>
    <w:rsid w:val="36DA0980"/>
    <w:rsid w:val="36FC6D2A"/>
    <w:rsid w:val="37387040"/>
    <w:rsid w:val="39885D54"/>
    <w:rsid w:val="3A1F40FB"/>
    <w:rsid w:val="3ACC6031"/>
    <w:rsid w:val="3B625C0A"/>
    <w:rsid w:val="3B854432"/>
    <w:rsid w:val="3B8E38EE"/>
    <w:rsid w:val="3BA82E4C"/>
    <w:rsid w:val="3CD57476"/>
    <w:rsid w:val="3CEE1963"/>
    <w:rsid w:val="3E5325C6"/>
    <w:rsid w:val="3EEA2F2A"/>
    <w:rsid w:val="3EF43DA9"/>
    <w:rsid w:val="3FDB2873"/>
    <w:rsid w:val="3FFF0C57"/>
    <w:rsid w:val="428611BC"/>
    <w:rsid w:val="42A41642"/>
    <w:rsid w:val="436B78D3"/>
    <w:rsid w:val="46334724"/>
    <w:rsid w:val="464C0026"/>
    <w:rsid w:val="46CD0C62"/>
    <w:rsid w:val="47046B53"/>
    <w:rsid w:val="47431803"/>
    <w:rsid w:val="482D3E87"/>
    <w:rsid w:val="48384D06"/>
    <w:rsid w:val="48F36E7F"/>
    <w:rsid w:val="499E503D"/>
    <w:rsid w:val="4A9F106C"/>
    <w:rsid w:val="4B054C48"/>
    <w:rsid w:val="4B9234D7"/>
    <w:rsid w:val="4C561BFF"/>
    <w:rsid w:val="4C7223A4"/>
    <w:rsid w:val="4C8F3363"/>
    <w:rsid w:val="4C9C27FE"/>
    <w:rsid w:val="4D11040C"/>
    <w:rsid w:val="4D7A7B6F"/>
    <w:rsid w:val="4DE1199C"/>
    <w:rsid w:val="4E1843DA"/>
    <w:rsid w:val="512260B4"/>
    <w:rsid w:val="51BF544E"/>
    <w:rsid w:val="5237602E"/>
    <w:rsid w:val="52BD6ACB"/>
    <w:rsid w:val="53620E89"/>
    <w:rsid w:val="55537534"/>
    <w:rsid w:val="561A74F1"/>
    <w:rsid w:val="5673115F"/>
    <w:rsid w:val="57776D7C"/>
    <w:rsid w:val="58ED46D8"/>
    <w:rsid w:val="597244E8"/>
    <w:rsid w:val="59AF7926"/>
    <w:rsid w:val="59D14FBA"/>
    <w:rsid w:val="59D525E5"/>
    <w:rsid w:val="5B1C04B7"/>
    <w:rsid w:val="5C4900A4"/>
    <w:rsid w:val="5D215911"/>
    <w:rsid w:val="5D261179"/>
    <w:rsid w:val="5E437B09"/>
    <w:rsid w:val="5EB71C30"/>
    <w:rsid w:val="5EE405E6"/>
    <w:rsid w:val="5FEA14E8"/>
    <w:rsid w:val="61646DB2"/>
    <w:rsid w:val="62053A53"/>
    <w:rsid w:val="635F3637"/>
    <w:rsid w:val="63D80CF3"/>
    <w:rsid w:val="64B56BCC"/>
    <w:rsid w:val="64C7078E"/>
    <w:rsid w:val="65084D3C"/>
    <w:rsid w:val="651E6BDA"/>
    <w:rsid w:val="66AF0CE5"/>
    <w:rsid w:val="68E819D9"/>
    <w:rsid w:val="69865983"/>
    <w:rsid w:val="6990454A"/>
    <w:rsid w:val="69C105E5"/>
    <w:rsid w:val="6AC537CF"/>
    <w:rsid w:val="6B1E5B86"/>
    <w:rsid w:val="6C726189"/>
    <w:rsid w:val="6E5B14A6"/>
    <w:rsid w:val="6E7F5FAD"/>
    <w:rsid w:val="6EC40E6F"/>
    <w:rsid w:val="6EE964AB"/>
    <w:rsid w:val="70027824"/>
    <w:rsid w:val="70891CF3"/>
    <w:rsid w:val="711B255E"/>
    <w:rsid w:val="722872EA"/>
    <w:rsid w:val="72655E48"/>
    <w:rsid w:val="72C214EC"/>
    <w:rsid w:val="732D2E0A"/>
    <w:rsid w:val="74177616"/>
    <w:rsid w:val="746A1E3C"/>
    <w:rsid w:val="776E579F"/>
    <w:rsid w:val="78232A2D"/>
    <w:rsid w:val="790C67C0"/>
    <w:rsid w:val="79A731EA"/>
    <w:rsid w:val="7A504104"/>
    <w:rsid w:val="7A6115EB"/>
    <w:rsid w:val="7BB51E06"/>
    <w:rsid w:val="7C387F7C"/>
    <w:rsid w:val="7C653614"/>
    <w:rsid w:val="7C8021FC"/>
    <w:rsid w:val="7E0B1F99"/>
    <w:rsid w:val="7EDE145C"/>
    <w:rsid w:val="7F590AE3"/>
    <w:rsid w:val="7FE74340"/>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unhideWhenUsed/>
    <w:qFormat/>
    <w:uiPriority w:val="99"/>
    <w:pPr>
      <w:ind w:firstLine="420"/>
    </w:pPr>
    <w:rPr>
      <w:rFonts w:ascii="Times New Roman" w:hAnsi="Times New Roman" w:eastAsia="宋体" w:cs="Times New Roman"/>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正文-公1"/>
    <w:basedOn w:val="13"/>
    <w:next w:val="1"/>
    <w:qFormat/>
    <w:uiPriority w:val="0"/>
    <w:pPr>
      <w:ind w:firstLine="200" w:firstLineChars="200"/>
    </w:pPr>
  </w:style>
  <w:style w:type="paragraph" w:customStyle="1" w:styleId="1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12"/>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2126</Words>
  <Characters>2207</Characters>
  <Lines>4</Lines>
  <Paragraphs>1</Paragraphs>
  <TotalTime>1</TotalTime>
  <ScaleCrop>false</ScaleCrop>
  <LinksUpToDate>false</LinksUpToDate>
  <CharactersWithSpaces>2221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WPS_1729560299</cp:lastModifiedBy>
  <cp:lastPrinted>2024-03-06T07:40:00Z</cp:lastPrinted>
  <dcterms:modified xsi:type="dcterms:W3CDTF">2025-04-24T02:21:53Z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eyJoZGlkIjoiNjRjY2M3N2NmNmRjMmFlODQxZTIxNzY2ODc5ZDQ3YTQiLCJ1c2VySWQiOiIxNjQ1MzM3MjQ1In0=</vt:lpwstr>
  </property>
</Properties>
</file>