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A1F7AA">
      <w:pPr>
        <w:adjustRightInd w:val="0"/>
        <w:snapToGrid w:val="0"/>
        <w:spacing w:line="560" w:lineRule="exact"/>
        <w:rPr>
          <w:rFonts w:hint="eastAsia" w:ascii="黑体" w:hAnsi="黑体" w:eastAsia="黑体" w:cs="黑体"/>
          <w:sz w:val="32"/>
          <w:szCs w:val="32"/>
          <w:lang w:val="en-US" w:eastAsia="zh-CN"/>
        </w:rPr>
      </w:pPr>
      <w:bookmarkStart w:id="0" w:name="_GoBack"/>
      <w:bookmarkEnd w:id="0"/>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01EF1F27">
      <w:pPr>
        <w:spacing w:line="560" w:lineRule="exact"/>
        <w:jc w:val="center"/>
        <w:rPr>
          <w:rFonts w:ascii="宋体" w:hAnsi="宋体" w:cs="宋体"/>
          <w:b/>
          <w:bCs/>
          <w:sz w:val="44"/>
          <w:szCs w:val="44"/>
        </w:rPr>
      </w:pPr>
    </w:p>
    <w:p w14:paraId="3E14D397">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石家庄市鹿泉区上寨乡人民政府</w:t>
      </w:r>
    </w:p>
    <w:p w14:paraId="255114AB">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369BF619">
      <w:pPr>
        <w:spacing w:line="560" w:lineRule="exact"/>
        <w:jc w:val="center"/>
        <w:rPr>
          <w:rFonts w:ascii="华文楷体" w:eastAsia="华文楷体"/>
          <w:sz w:val="32"/>
          <w:szCs w:val="32"/>
        </w:rPr>
      </w:pPr>
    </w:p>
    <w:p w14:paraId="2F26597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石家庄市鹿泉区上寨乡人民政府</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738044F3">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21F132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7F545CA">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上寨</w:t>
      </w:r>
      <w:r>
        <w:rPr>
          <w:rFonts w:hint="eastAsia" w:ascii="仿宋" w:hAnsi="仿宋" w:eastAsia="仿宋" w:cs="仿宋"/>
          <w:sz w:val="32"/>
          <w:szCs w:val="32"/>
        </w:rPr>
        <w:t>乡党委、人大、政府主要职责是：</w:t>
      </w:r>
    </w:p>
    <w:p w14:paraId="3F2ECB4F">
      <w:pPr>
        <w:ind w:firstLine="640" w:firstLineChars="200"/>
        <w:rPr>
          <w:rFonts w:hint="eastAsia" w:ascii="仿宋" w:hAnsi="仿宋" w:eastAsia="仿宋" w:cs="仿宋"/>
          <w:sz w:val="32"/>
          <w:szCs w:val="32"/>
        </w:rPr>
      </w:pPr>
      <w:r>
        <w:rPr>
          <w:rFonts w:hint="eastAsia" w:ascii="仿宋" w:hAnsi="仿宋" w:eastAsia="仿宋" w:cs="仿宋"/>
          <w:sz w:val="32"/>
          <w:szCs w:val="32"/>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7104ED58">
      <w:pPr>
        <w:ind w:firstLine="640" w:firstLineChars="200"/>
        <w:rPr>
          <w:rFonts w:hint="eastAsia" w:ascii="仿宋" w:hAnsi="仿宋" w:eastAsia="仿宋" w:cs="仿宋"/>
          <w:sz w:val="32"/>
          <w:szCs w:val="32"/>
        </w:rPr>
      </w:pPr>
      <w:r>
        <w:rPr>
          <w:rFonts w:hint="eastAsia" w:ascii="仿宋" w:hAnsi="仿宋" w:eastAsia="仿宋" w:cs="仿宋"/>
          <w:sz w:val="32"/>
          <w:szCs w:val="32"/>
        </w:rPr>
        <w:t>2、讨论和决定本乡经济建设、政治建设、文化建设、社会建设、生态文明建设和党的建设以及乡村振兴中的重大问题。</w:t>
      </w:r>
    </w:p>
    <w:p w14:paraId="38C4B36A">
      <w:pPr>
        <w:ind w:firstLine="640" w:firstLineChars="200"/>
        <w:rPr>
          <w:rFonts w:hint="eastAsia" w:ascii="仿宋" w:hAnsi="仿宋" w:eastAsia="仿宋" w:cs="仿宋"/>
          <w:sz w:val="32"/>
          <w:szCs w:val="32"/>
        </w:rPr>
      </w:pPr>
      <w:r>
        <w:rPr>
          <w:rFonts w:hint="eastAsia" w:ascii="仿宋" w:hAnsi="仿宋" w:eastAsia="仿宋" w:cs="仿宋"/>
          <w:sz w:val="32"/>
          <w:szCs w:val="32"/>
        </w:rPr>
        <w:t>3、组织召开本级人民代表大会，充分行使重大事项决定权、监督权和任免权，做好人大代表工作，联系选民、反映群众意见和要求。</w:t>
      </w:r>
    </w:p>
    <w:p w14:paraId="330A64C2">
      <w:pPr>
        <w:ind w:firstLine="640" w:firstLineChars="200"/>
        <w:rPr>
          <w:rFonts w:hint="eastAsia" w:ascii="仿宋" w:hAnsi="仿宋" w:eastAsia="仿宋" w:cs="仿宋"/>
          <w:sz w:val="32"/>
          <w:szCs w:val="32"/>
        </w:rPr>
      </w:pPr>
      <w:r>
        <w:rPr>
          <w:rFonts w:hint="eastAsia" w:ascii="仿宋" w:hAnsi="仿宋" w:eastAsia="仿宋" w:cs="仿宋"/>
          <w:sz w:val="32"/>
          <w:szCs w:val="32"/>
        </w:rP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291BB5D8">
      <w:pPr>
        <w:ind w:firstLine="640" w:firstLineChars="200"/>
        <w:rPr>
          <w:rFonts w:hint="eastAsia" w:ascii="仿宋" w:hAnsi="仿宋" w:eastAsia="仿宋" w:cs="仿宋"/>
          <w:sz w:val="32"/>
          <w:szCs w:val="32"/>
        </w:rPr>
      </w:pPr>
      <w:r>
        <w:rPr>
          <w:rFonts w:hint="eastAsia" w:ascii="仿宋" w:hAnsi="仿宋" w:eastAsia="仿宋" w:cs="仿宋"/>
          <w:sz w:val="32"/>
          <w:szCs w:val="32"/>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7995F207">
      <w:pPr>
        <w:ind w:firstLine="640" w:firstLineChars="200"/>
        <w:rPr>
          <w:rFonts w:hint="eastAsia" w:ascii="仿宋" w:hAnsi="仿宋" w:eastAsia="仿宋" w:cs="仿宋"/>
          <w:sz w:val="32"/>
          <w:szCs w:val="32"/>
        </w:rPr>
      </w:pPr>
      <w:r>
        <w:rPr>
          <w:rFonts w:hint="eastAsia" w:ascii="仿宋" w:hAnsi="仿宋" w:eastAsia="仿宋" w:cs="仿宋"/>
          <w:sz w:val="32"/>
          <w:szCs w:val="32"/>
        </w:rPr>
        <w:t>6、加强乡党委自身建设和村党组织建设，以及其他隶属乡党委的党组织建设，抓好发展党员工作，加强党员队伍建设。维护和执行党的纪律，监督党员干部和其他任何工作人员严格遵守国家法律法规。</w:t>
      </w:r>
    </w:p>
    <w:p w14:paraId="11BA347A">
      <w:pPr>
        <w:ind w:firstLine="640" w:firstLineChars="200"/>
        <w:rPr>
          <w:rFonts w:hint="eastAsia" w:ascii="仿宋" w:hAnsi="仿宋" w:eastAsia="仿宋" w:cs="仿宋"/>
          <w:sz w:val="32"/>
          <w:szCs w:val="32"/>
        </w:rPr>
      </w:pPr>
      <w:r>
        <w:rPr>
          <w:rFonts w:hint="eastAsia" w:ascii="仿宋" w:hAnsi="仿宋" w:eastAsia="仿宋" w:cs="仿宋"/>
          <w:sz w:val="32"/>
          <w:szCs w:val="32"/>
        </w:rPr>
        <w:t>7、按照干部管理权限，负责对干部的教育、培训、选拔、考核和监督工作。协助管理上级有关部门驻乡单位的干部。做好人才服务工作。</w:t>
      </w:r>
    </w:p>
    <w:p w14:paraId="05948A26">
      <w:pPr>
        <w:ind w:firstLine="640" w:firstLineChars="200"/>
        <w:rPr>
          <w:rFonts w:hint="eastAsia" w:ascii="仿宋" w:hAnsi="仿宋" w:eastAsia="仿宋" w:cs="仿宋"/>
          <w:sz w:val="32"/>
          <w:szCs w:val="32"/>
        </w:rPr>
      </w:pPr>
      <w:r>
        <w:rPr>
          <w:rFonts w:hint="eastAsia" w:ascii="仿宋" w:hAnsi="仿宋" w:eastAsia="仿宋" w:cs="仿宋"/>
          <w:sz w:val="32"/>
          <w:szCs w:val="32"/>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7CC5495">
      <w:pPr>
        <w:ind w:firstLine="640" w:firstLineChars="200"/>
        <w:rPr>
          <w:rFonts w:hint="eastAsia" w:ascii="仿宋" w:hAnsi="仿宋" w:eastAsia="仿宋" w:cs="仿宋"/>
          <w:sz w:val="32"/>
          <w:szCs w:val="32"/>
        </w:rPr>
      </w:pPr>
      <w:r>
        <w:rPr>
          <w:rFonts w:hint="eastAsia" w:ascii="仿宋" w:hAnsi="仿宋" w:eastAsia="仿宋" w:cs="仿宋"/>
          <w:sz w:val="32"/>
          <w:szCs w:val="32"/>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3E883B1">
      <w:pPr>
        <w:ind w:firstLine="640" w:firstLineChars="200"/>
        <w:rPr>
          <w:rFonts w:hint="eastAsia" w:ascii="仿宋" w:hAnsi="仿宋" w:eastAsia="仿宋" w:cs="仿宋"/>
          <w:sz w:val="32"/>
          <w:szCs w:val="32"/>
        </w:rPr>
      </w:pPr>
      <w:r>
        <w:rPr>
          <w:rFonts w:hint="eastAsia" w:ascii="仿宋" w:hAnsi="仿宋" w:eastAsia="仿宋" w:cs="仿宋"/>
          <w:sz w:val="32"/>
          <w:szCs w:val="32"/>
        </w:rPr>
        <w:t>10、承办上级党委、人大、政府交办的其他事项。</w:t>
      </w:r>
    </w:p>
    <w:p w14:paraId="5C7990E0">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上寨</w:t>
      </w:r>
      <w:r>
        <w:rPr>
          <w:rFonts w:hint="eastAsia" w:ascii="仿宋" w:hAnsi="仿宋" w:eastAsia="仿宋" w:cs="仿宋"/>
          <w:sz w:val="32"/>
          <w:szCs w:val="32"/>
        </w:rPr>
        <w:t>乡内设机构4个，分别为：党政综合办公室、党建工作办公室（挂人大主席团办公室牌子）、社会治理和应急管理办公室（挂综合指挥和信息化网络中心牌子）、自然资源和生态环境办公室；下辖事业单位</w:t>
      </w:r>
      <w:r>
        <w:rPr>
          <w:rFonts w:hint="eastAsia" w:ascii="仿宋" w:hAnsi="仿宋" w:eastAsia="仿宋" w:cs="仿宋"/>
          <w:sz w:val="32"/>
          <w:szCs w:val="32"/>
          <w:lang w:val="en-US" w:eastAsia="zh-CN"/>
        </w:rPr>
        <w:t>4</w:t>
      </w:r>
      <w:r>
        <w:rPr>
          <w:rFonts w:hint="eastAsia" w:ascii="仿宋" w:hAnsi="仿宋" w:eastAsia="仿宋" w:cs="仿宋"/>
          <w:sz w:val="32"/>
          <w:szCs w:val="32"/>
        </w:rPr>
        <w:t>个：综合行政执法队、行政综合服务中心（挂综合文化服务站、财政所牌子）、农业综合服务中心（挂经济发展办公室牌子）</w:t>
      </w:r>
      <w:r>
        <w:rPr>
          <w:rFonts w:hint="eastAsia" w:ascii="仿宋" w:hAnsi="仿宋" w:eastAsia="仿宋" w:cs="仿宋"/>
          <w:sz w:val="32"/>
          <w:szCs w:val="32"/>
          <w:lang w:eastAsia="zh-CN"/>
        </w:rPr>
        <w:t>、</w:t>
      </w:r>
      <w:r>
        <w:rPr>
          <w:rFonts w:hint="eastAsia" w:ascii="仿宋" w:hAnsi="仿宋" w:eastAsia="仿宋" w:cs="仿宋"/>
          <w:sz w:val="32"/>
          <w:szCs w:val="32"/>
        </w:rPr>
        <w:t>退役军人服务站。乡纪委（监察办公室），负责全乡党的纪律检查工作。</w:t>
      </w:r>
    </w:p>
    <w:p w14:paraId="31238A22">
      <w:pPr>
        <w:ind w:firstLine="640" w:firstLineChars="200"/>
        <w:rPr>
          <w:rFonts w:hint="eastAsia" w:ascii="仿宋" w:hAnsi="仿宋" w:eastAsia="仿宋" w:cs="仿宋"/>
          <w:sz w:val="32"/>
          <w:szCs w:val="32"/>
        </w:rPr>
      </w:pPr>
      <w:r>
        <w:rPr>
          <w:rFonts w:hint="eastAsia" w:ascii="仿宋" w:hAnsi="仿宋" w:eastAsia="仿宋" w:cs="仿宋"/>
          <w:sz w:val="32"/>
          <w:szCs w:val="32"/>
        </w:rPr>
        <w:t>截至202</w:t>
      </w:r>
      <w:r>
        <w:rPr>
          <w:rFonts w:hint="eastAsia" w:ascii="仿宋" w:hAnsi="仿宋" w:eastAsia="仿宋" w:cs="仿宋"/>
          <w:sz w:val="32"/>
          <w:szCs w:val="32"/>
          <w:lang w:val="en-US" w:eastAsia="zh-CN"/>
        </w:rPr>
        <w:t>3</w:t>
      </w:r>
      <w:r>
        <w:rPr>
          <w:rFonts w:hint="eastAsia" w:ascii="仿宋" w:hAnsi="仿宋" w:eastAsia="仿宋" w:cs="仿宋"/>
          <w:sz w:val="32"/>
          <w:szCs w:val="32"/>
        </w:rPr>
        <w:t>年底，部门独立编制机构1个为</w:t>
      </w:r>
      <w:r>
        <w:rPr>
          <w:rFonts w:hint="eastAsia" w:ascii="仿宋" w:hAnsi="仿宋" w:eastAsia="仿宋" w:cs="仿宋"/>
          <w:sz w:val="32"/>
          <w:szCs w:val="32"/>
          <w:lang w:val="en-US" w:eastAsia="zh-CN"/>
        </w:rPr>
        <w:t>上寨</w:t>
      </w:r>
      <w:r>
        <w:rPr>
          <w:rFonts w:hint="eastAsia" w:ascii="仿宋" w:hAnsi="仿宋" w:eastAsia="仿宋" w:cs="仿宋"/>
          <w:sz w:val="32"/>
          <w:szCs w:val="32"/>
        </w:rPr>
        <w:t>乡人民政府；独立核算机构1个为</w:t>
      </w:r>
      <w:r>
        <w:rPr>
          <w:rFonts w:hint="eastAsia" w:ascii="仿宋" w:hAnsi="仿宋" w:eastAsia="仿宋" w:cs="仿宋"/>
          <w:sz w:val="32"/>
          <w:szCs w:val="32"/>
          <w:lang w:val="en-US" w:eastAsia="zh-CN"/>
        </w:rPr>
        <w:t>上寨</w:t>
      </w:r>
      <w:r>
        <w:rPr>
          <w:rFonts w:hint="eastAsia" w:ascii="仿宋" w:hAnsi="仿宋" w:eastAsia="仿宋" w:cs="仿宋"/>
          <w:sz w:val="32"/>
          <w:szCs w:val="32"/>
        </w:rPr>
        <w:t>乡人民政府，年末在职在编实有人数</w:t>
      </w:r>
      <w:r>
        <w:rPr>
          <w:rFonts w:hint="eastAsia" w:ascii="仿宋" w:hAnsi="仿宋" w:eastAsia="仿宋" w:cs="仿宋"/>
          <w:sz w:val="32"/>
          <w:szCs w:val="32"/>
          <w:lang w:val="en-US" w:eastAsia="zh-CN"/>
        </w:rPr>
        <w:t>46</w:t>
      </w:r>
      <w:r>
        <w:rPr>
          <w:rFonts w:hint="eastAsia" w:ascii="仿宋" w:hAnsi="仿宋" w:eastAsia="仿宋" w:cs="仿宋"/>
          <w:sz w:val="32"/>
          <w:szCs w:val="32"/>
        </w:rPr>
        <w:t>人，其中行政在编人员</w:t>
      </w:r>
      <w:r>
        <w:rPr>
          <w:rFonts w:hint="eastAsia" w:ascii="仿宋" w:hAnsi="仿宋" w:eastAsia="仿宋" w:cs="仿宋"/>
          <w:sz w:val="32"/>
          <w:szCs w:val="32"/>
          <w:lang w:val="en-US" w:eastAsia="zh-CN"/>
        </w:rPr>
        <w:t>23</w:t>
      </w:r>
      <w:r>
        <w:rPr>
          <w:rFonts w:hint="eastAsia" w:ascii="仿宋" w:hAnsi="仿宋" w:eastAsia="仿宋" w:cs="仿宋"/>
          <w:sz w:val="32"/>
          <w:szCs w:val="32"/>
        </w:rPr>
        <w:t xml:space="preserve">人，非参公事业人员 </w:t>
      </w:r>
      <w:r>
        <w:rPr>
          <w:rFonts w:hint="eastAsia" w:ascii="仿宋" w:hAnsi="仿宋" w:eastAsia="仿宋" w:cs="仿宋"/>
          <w:sz w:val="32"/>
          <w:szCs w:val="32"/>
          <w:lang w:val="en-US" w:eastAsia="zh-CN"/>
        </w:rPr>
        <w:t>23</w:t>
      </w:r>
      <w:r>
        <w:rPr>
          <w:rFonts w:hint="eastAsia" w:ascii="仿宋" w:hAnsi="仿宋" w:eastAsia="仿宋" w:cs="仿宋"/>
          <w:sz w:val="32"/>
          <w:szCs w:val="32"/>
        </w:rPr>
        <w:t>人。</w:t>
      </w:r>
    </w:p>
    <w:p w14:paraId="5B12D71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截至2022年12月31日，本部门共有车辆</w:t>
      </w:r>
      <w:r>
        <w:rPr>
          <w:rFonts w:hint="eastAsia" w:ascii="仿宋_GB2312" w:hAnsi="Times New Roman" w:eastAsia="仿宋_GB2312" w:cs="仿宋_GB2312"/>
          <w:sz w:val="32"/>
          <w:szCs w:val="32"/>
          <w:lang w:val="en-US" w:eastAsia="zh-CN"/>
        </w:rPr>
        <w:t>4</w:t>
      </w:r>
      <w:r>
        <w:rPr>
          <w:rFonts w:hint="eastAsia" w:ascii="仿宋" w:hAnsi="仿宋" w:eastAsia="仿宋" w:cs="仿宋"/>
          <w:sz w:val="32"/>
          <w:szCs w:val="32"/>
        </w:rPr>
        <w:t>辆。其中，副部（省）级及以上领导用车0辆，主要领导干部用车0辆，机要通信用车</w:t>
      </w:r>
      <w:r>
        <w:rPr>
          <w:rFonts w:hint="eastAsia" w:ascii="仿宋" w:hAnsi="仿宋" w:eastAsia="仿宋" w:cs="仿宋"/>
          <w:sz w:val="32"/>
          <w:szCs w:val="32"/>
          <w:lang w:val="en-US" w:eastAsia="zh-CN"/>
        </w:rPr>
        <w:t>0</w:t>
      </w:r>
      <w:r>
        <w:rPr>
          <w:rFonts w:hint="eastAsia" w:ascii="仿宋" w:hAnsi="仿宋" w:eastAsia="仿宋" w:cs="仿宋"/>
          <w:sz w:val="32"/>
          <w:szCs w:val="32"/>
        </w:rPr>
        <w:t>辆，应急保障用车</w:t>
      </w:r>
      <w:r>
        <w:rPr>
          <w:rFonts w:hint="eastAsia" w:ascii="仿宋" w:hAnsi="仿宋" w:eastAsia="仿宋" w:cs="仿宋"/>
          <w:sz w:val="32"/>
          <w:szCs w:val="32"/>
          <w:lang w:val="en-US" w:eastAsia="zh-CN"/>
        </w:rPr>
        <w:t>2</w:t>
      </w:r>
      <w:r>
        <w:rPr>
          <w:rFonts w:hint="eastAsia" w:ascii="仿宋" w:hAnsi="仿宋" w:eastAsia="仿宋" w:cs="仿宋"/>
          <w:sz w:val="32"/>
          <w:szCs w:val="32"/>
        </w:rPr>
        <w:t>辆，执法执勤用车0辆，</w:t>
      </w:r>
      <w:r>
        <w:rPr>
          <w:rFonts w:ascii="仿宋_GB2312" w:hAnsi="Times New Roman" w:eastAsia="仿宋_GB2312" w:cs="仿宋_GB2312"/>
          <w:sz w:val="32"/>
          <w:szCs w:val="32"/>
        </w:rPr>
        <w:t>清洁用车2</w:t>
      </w:r>
      <w:r>
        <w:rPr>
          <w:rFonts w:hint="eastAsia" w:ascii="仿宋_GB2312" w:hAnsi="Times New Roman" w:eastAsia="仿宋_GB2312" w:cs="仿宋_GB2312"/>
          <w:sz w:val="32"/>
          <w:szCs w:val="32"/>
          <w:lang w:val="en-US" w:eastAsia="zh-CN"/>
        </w:rPr>
        <w:t>辆</w:t>
      </w:r>
      <w:r>
        <w:rPr>
          <w:rFonts w:hint="eastAsia" w:ascii="仿宋" w:hAnsi="仿宋" w:eastAsia="仿宋" w:cs="仿宋"/>
          <w:sz w:val="32"/>
          <w:szCs w:val="32"/>
        </w:rPr>
        <w:t>，离退休干部用车0辆，其他用车0辆；单位价值100万元以上设备（不含车辆）0 台（套）</w:t>
      </w:r>
      <w:r>
        <w:rPr>
          <w:rFonts w:hint="eastAsia" w:ascii="仿宋" w:hAnsi="仿宋" w:eastAsia="仿宋"/>
          <w:sz w:val="32"/>
          <w:szCs w:val="32"/>
        </w:rPr>
        <w:t>。</w:t>
      </w:r>
    </w:p>
    <w:p w14:paraId="4BAFF280">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02983234">
      <w:pPr>
        <w:ind w:firstLine="640" w:firstLineChars="200"/>
        <w:rPr>
          <w:rFonts w:hint="eastAsia" w:ascii="仿宋" w:hAnsi="仿宋" w:eastAsia="仿宋" w:cs="仿宋"/>
          <w:sz w:val="32"/>
          <w:szCs w:val="32"/>
        </w:rPr>
      </w:pPr>
      <w:r>
        <w:rPr>
          <w:rFonts w:hint="eastAsia" w:ascii="仿宋" w:hAnsi="仿宋" w:eastAsia="仿宋" w:cs="仿宋"/>
          <w:sz w:val="32"/>
          <w:szCs w:val="32"/>
        </w:rPr>
        <w:t>1、收入支出预算总体情况说明</w:t>
      </w:r>
    </w:p>
    <w:p w14:paraId="082D13E4">
      <w:pPr>
        <w:ind w:firstLine="640" w:firstLineChars="200"/>
        <w:rPr>
          <w:rFonts w:hint="eastAsia" w:ascii="仿宋" w:hAnsi="仿宋" w:eastAsia="仿宋" w:cs="仿宋"/>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年度预算收入总计</w:t>
      </w:r>
      <w:r>
        <w:rPr>
          <w:rFonts w:hint="eastAsia" w:ascii="仿宋" w:hAnsi="仿宋" w:eastAsia="仿宋" w:cs="仿宋"/>
          <w:sz w:val="32"/>
          <w:szCs w:val="32"/>
          <w:lang w:val="en-US" w:eastAsia="zh-CN"/>
        </w:rPr>
        <w:t>1670.99</w:t>
      </w:r>
      <w:r>
        <w:rPr>
          <w:rFonts w:hint="eastAsia" w:ascii="仿宋" w:hAnsi="仿宋" w:eastAsia="仿宋" w:cs="仿宋"/>
          <w:sz w:val="32"/>
          <w:szCs w:val="32"/>
        </w:rPr>
        <w:t>万元，预算支出</w:t>
      </w:r>
      <w:r>
        <w:rPr>
          <w:rFonts w:hint="eastAsia" w:ascii="仿宋" w:hAnsi="仿宋" w:eastAsia="仿宋" w:cs="仿宋"/>
          <w:sz w:val="32"/>
          <w:szCs w:val="32"/>
          <w:lang w:val="en-US" w:eastAsia="zh-CN"/>
        </w:rPr>
        <w:t>1670.99</w:t>
      </w:r>
      <w:r>
        <w:rPr>
          <w:rFonts w:hint="eastAsia" w:ascii="仿宋" w:hAnsi="仿宋" w:eastAsia="仿宋" w:cs="仿宋"/>
          <w:sz w:val="32"/>
          <w:szCs w:val="32"/>
        </w:rPr>
        <w:t>万元。</w:t>
      </w:r>
    </w:p>
    <w:p w14:paraId="3EB4265D">
      <w:pPr>
        <w:ind w:firstLine="640" w:firstLineChars="200"/>
        <w:rPr>
          <w:rFonts w:hint="eastAsia" w:ascii="仿宋" w:hAnsi="仿宋" w:eastAsia="仿宋" w:cs="仿宋"/>
          <w:sz w:val="32"/>
          <w:szCs w:val="32"/>
        </w:rPr>
      </w:pPr>
      <w:r>
        <w:rPr>
          <w:rFonts w:hint="eastAsia" w:ascii="仿宋" w:hAnsi="仿宋" w:eastAsia="仿宋" w:cs="仿宋"/>
          <w:sz w:val="32"/>
          <w:szCs w:val="32"/>
        </w:rPr>
        <w:t>2、收入支出决算总体情况说明</w:t>
      </w:r>
    </w:p>
    <w:p w14:paraId="092C2D84">
      <w:pPr>
        <w:ind w:firstLine="640" w:firstLineChars="200"/>
        <w:rPr>
          <w:rFonts w:hint="eastAsia" w:ascii="楷体" w:hAnsi="楷体" w:eastAsia="楷体" w:cs="楷体_GB2312"/>
          <w:bCs/>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年度收、支总计（含结转和结余）</w:t>
      </w:r>
      <w:r>
        <w:rPr>
          <w:rFonts w:hint="eastAsia" w:ascii="仿宋" w:hAnsi="仿宋" w:eastAsia="仿宋" w:cs="仿宋"/>
          <w:sz w:val="32"/>
          <w:szCs w:val="32"/>
          <w:lang w:val="en-US" w:eastAsia="zh-CN"/>
        </w:rPr>
        <w:t>1670.99</w:t>
      </w:r>
      <w:r>
        <w:rPr>
          <w:rFonts w:hint="eastAsia" w:ascii="仿宋" w:hAnsi="仿宋" w:eastAsia="仿宋" w:cs="仿宋"/>
          <w:sz w:val="32"/>
          <w:szCs w:val="32"/>
        </w:rPr>
        <w:t>万元。与202</w:t>
      </w:r>
      <w:r>
        <w:rPr>
          <w:rFonts w:hint="eastAsia" w:ascii="仿宋" w:hAnsi="仿宋" w:eastAsia="仿宋" w:cs="仿宋"/>
          <w:sz w:val="32"/>
          <w:szCs w:val="32"/>
          <w:lang w:val="en-US" w:eastAsia="zh-CN"/>
        </w:rPr>
        <w:t>2</w:t>
      </w:r>
      <w:r>
        <w:rPr>
          <w:rFonts w:hint="eastAsia" w:ascii="仿宋" w:hAnsi="仿宋" w:eastAsia="仿宋" w:cs="仿宋"/>
          <w:sz w:val="32"/>
          <w:szCs w:val="32"/>
        </w:rPr>
        <w:t>年度决算相比，收支各</w:t>
      </w:r>
      <w:r>
        <w:rPr>
          <w:rFonts w:hint="eastAsia" w:ascii="仿宋" w:hAnsi="仿宋" w:eastAsia="仿宋" w:cs="仿宋"/>
          <w:sz w:val="32"/>
          <w:szCs w:val="32"/>
          <w:lang w:val="en-US" w:eastAsia="zh-CN"/>
        </w:rPr>
        <w:t>减少949.39</w:t>
      </w:r>
      <w:r>
        <w:rPr>
          <w:rFonts w:hint="eastAsia" w:ascii="仿宋" w:hAnsi="仿宋" w:eastAsia="仿宋" w:cs="仿宋"/>
          <w:sz w:val="32"/>
          <w:szCs w:val="32"/>
        </w:rPr>
        <w:t>万元，</w:t>
      </w:r>
      <w:r>
        <w:rPr>
          <w:rFonts w:hint="eastAsia" w:ascii="仿宋" w:hAnsi="仿宋" w:eastAsia="仿宋" w:cs="仿宋"/>
          <w:sz w:val="32"/>
          <w:szCs w:val="32"/>
          <w:lang w:val="en-US" w:eastAsia="zh-CN"/>
        </w:rPr>
        <w:t>减少36.23</w:t>
      </w:r>
      <w:r>
        <w:rPr>
          <w:rFonts w:hint="eastAsia" w:ascii="仿宋" w:hAnsi="仿宋" w:eastAsia="仿宋" w:cs="仿宋"/>
          <w:sz w:val="32"/>
          <w:szCs w:val="32"/>
        </w:rPr>
        <w:t>%，主要原因是项目支出</w:t>
      </w:r>
      <w:r>
        <w:rPr>
          <w:rFonts w:hint="eastAsia" w:ascii="仿宋" w:hAnsi="仿宋" w:eastAsia="仿宋" w:cs="仿宋"/>
          <w:sz w:val="32"/>
          <w:szCs w:val="32"/>
          <w:lang w:val="en-US" w:eastAsia="zh-CN"/>
        </w:rPr>
        <w:t>减少</w:t>
      </w:r>
      <w:r>
        <w:rPr>
          <w:rFonts w:hint="eastAsia" w:ascii="仿宋" w:hAnsi="仿宋" w:eastAsia="仿宋" w:cs="仿宋"/>
          <w:sz w:val="32"/>
          <w:szCs w:val="32"/>
        </w:rPr>
        <w:t>。</w:t>
      </w:r>
    </w:p>
    <w:p w14:paraId="236D8FF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7B394F4">
      <w:pPr>
        <w:keepNext w:val="0"/>
        <w:keepLines w:val="0"/>
        <w:pageBreakBefore w:val="0"/>
        <w:widowControl/>
        <w:kinsoku/>
        <w:wordWrap/>
        <w:overflowPunct/>
        <w:topLinePunct w:val="0"/>
        <w:autoSpaceDE/>
        <w:autoSpaceDN/>
        <w:bidi w:val="0"/>
        <w:adjustRightInd w:val="0"/>
        <w:snapToGrid w:val="0"/>
        <w:spacing w:after="0" w:line="578" w:lineRule="exact"/>
        <w:ind w:firstLine="643" w:firstLineChars="200"/>
        <w:textAlignment w:val="auto"/>
        <w:rPr>
          <w:rFonts w:hint="eastAsia" w:ascii="仿宋" w:hAnsi="仿宋" w:eastAsia="仿宋" w:cs="仿宋"/>
          <w:kern w:val="2"/>
          <w:sz w:val="32"/>
          <w:szCs w:val="32"/>
          <w:lang w:val="en-US" w:eastAsia="zh-CN" w:bidi="ar-SA"/>
        </w:rPr>
      </w:pPr>
      <w:r>
        <w:rPr>
          <w:rFonts w:hint="eastAsia" w:ascii="仿宋_GB2312" w:hAnsi="仿宋_GB2312" w:eastAsia="仿宋_GB2312" w:cs="仿宋_GB2312"/>
          <w:b/>
          <w:bCs/>
          <w:sz w:val="32"/>
          <w:szCs w:val="32"/>
          <w:lang w:val="en-US" w:eastAsia="zh-CN"/>
        </w:rPr>
        <w:t>1.加大招商引资和项目建设力度。</w:t>
      </w:r>
      <w:r>
        <w:rPr>
          <w:rFonts w:hint="eastAsia" w:ascii="仿宋" w:hAnsi="仿宋" w:eastAsia="仿宋" w:cs="仿宋"/>
          <w:kern w:val="2"/>
          <w:sz w:val="32"/>
          <w:szCs w:val="32"/>
          <w:lang w:val="en-US" w:eastAsia="zh-CN" w:bidi="ar-SA"/>
        </w:rPr>
        <w:t>积极谋划新项目，充分挖掘潜在固投资源，确保各类项目应入进入，应统尽统，克服各类困难，迎难而上，力争保质保量完成各项指标任务。</w:t>
      </w:r>
    </w:p>
    <w:p w14:paraId="382A1A45">
      <w:pPr>
        <w:pStyle w:val="2"/>
        <w:keepNext w:val="0"/>
        <w:keepLines w:val="0"/>
        <w:pageBreakBefore w:val="0"/>
        <w:kinsoku/>
        <w:wordWrap/>
        <w:overflowPunct/>
        <w:topLinePunct w:val="0"/>
        <w:autoSpaceDE/>
        <w:autoSpaceDN/>
        <w:bidi w:val="0"/>
        <w:spacing w:line="578" w:lineRule="exact"/>
        <w:ind w:firstLine="643" w:firstLineChars="200"/>
        <w:textAlignment w:val="auto"/>
        <w:rPr>
          <w:rFonts w:hint="eastAsia"/>
          <w:lang w:val="en-US" w:eastAsia="zh-CN"/>
        </w:rPr>
      </w:pPr>
      <w:r>
        <w:rPr>
          <w:rFonts w:hint="eastAsia" w:ascii="仿宋_GB2312" w:hAnsi="仿宋_GB2312" w:eastAsia="仿宋_GB2312" w:cs="仿宋_GB2312"/>
          <w:b/>
          <w:bCs/>
          <w:kern w:val="2"/>
          <w:sz w:val="32"/>
          <w:szCs w:val="32"/>
          <w:lang w:val="en-US" w:eastAsia="zh-CN" w:bidi="ar-SA"/>
        </w:rPr>
        <w:t>2.立足于生态产业优势。</w:t>
      </w:r>
      <w:r>
        <w:rPr>
          <w:rFonts w:hint="eastAsia" w:eastAsia="仿宋_GB2312"/>
          <w:sz w:val="32"/>
          <w:szCs w:val="32"/>
          <w:lang w:val="en-US" w:eastAsia="zh-CN"/>
        </w:rPr>
        <w:t>拟将在新成立的项目服务中心的帮助下，努力克服自身存在的不足，加大招商引智力度，力促各类项目早日签约落地。</w:t>
      </w:r>
    </w:p>
    <w:p w14:paraId="0166D1E5">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3.改造升级现有农业庄园</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依托紫藤西山庄园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常馨谷谋划包装申报上寨现代农业园区</w:t>
      </w:r>
      <w:r>
        <w:rPr>
          <w:rFonts w:hint="eastAsia" w:ascii="仿宋_GB2312" w:hAnsi="仿宋_GB2312" w:eastAsia="仿宋_GB2312" w:cs="仿宋_GB2312"/>
          <w:sz w:val="32"/>
          <w:szCs w:val="32"/>
          <w:lang w:eastAsia="zh-CN"/>
        </w:rPr>
        <w:t>，按照</w:t>
      </w:r>
      <w:r>
        <w:rPr>
          <w:rFonts w:hint="eastAsia" w:ascii="仿宋_GB2312" w:hAnsi="仿宋_GB2312" w:eastAsia="仿宋_GB2312" w:cs="仿宋_GB2312"/>
          <w:sz w:val="32"/>
          <w:szCs w:val="32"/>
        </w:rPr>
        <w:t>“因地制宜、施法自然、注重生态”的原则，致力于乡村休闲旅游、农耕体验度假、有机蔬菜种植与采摘，为</w:t>
      </w:r>
      <w:r>
        <w:rPr>
          <w:rFonts w:hint="eastAsia" w:ascii="仿宋_GB2312" w:hAnsi="仿宋_GB2312" w:eastAsia="仿宋_GB2312" w:cs="仿宋_GB2312"/>
          <w:sz w:val="32"/>
          <w:szCs w:val="32"/>
          <w:lang w:eastAsia="zh-CN"/>
        </w:rPr>
        <w:t>全乡经济发展</w:t>
      </w:r>
      <w:r>
        <w:rPr>
          <w:rFonts w:hint="eastAsia" w:ascii="仿宋_GB2312" w:hAnsi="仿宋_GB2312" w:eastAsia="仿宋_GB2312" w:cs="仿宋_GB2312"/>
          <w:sz w:val="32"/>
          <w:szCs w:val="32"/>
        </w:rPr>
        <w:t>打造新</w:t>
      </w:r>
      <w:r>
        <w:rPr>
          <w:rFonts w:hint="eastAsia" w:ascii="仿宋_GB2312" w:hAnsi="仿宋_GB2312" w:eastAsia="仿宋_GB2312" w:cs="仿宋_GB2312"/>
          <w:sz w:val="32"/>
          <w:szCs w:val="32"/>
          <w:lang w:eastAsia="zh-CN"/>
        </w:rPr>
        <w:t>的增长点</w:t>
      </w:r>
      <w:r>
        <w:rPr>
          <w:rFonts w:hint="eastAsia" w:ascii="仿宋_GB2312" w:hAnsi="仿宋_GB2312" w:eastAsia="仿宋_GB2312" w:cs="仿宋_GB2312"/>
          <w:sz w:val="32"/>
          <w:szCs w:val="32"/>
        </w:rPr>
        <w:t>。</w:t>
      </w:r>
    </w:p>
    <w:p w14:paraId="026CBC19">
      <w:pPr>
        <w:adjustRightInd w:val="0"/>
        <w:snapToGrid w:val="0"/>
        <w:spacing w:line="56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加大</w:t>
      </w:r>
      <w:r>
        <w:rPr>
          <w:rFonts w:hint="eastAsia" w:ascii="仿宋_GB2312" w:hAnsi="仿宋_GB2312" w:eastAsia="仿宋_GB2312" w:cs="仿宋_GB2312"/>
          <w:b/>
          <w:bCs/>
          <w:sz w:val="32"/>
          <w:szCs w:val="32"/>
          <w:lang w:eastAsia="zh-CN"/>
        </w:rPr>
        <w:t>协调</w:t>
      </w:r>
      <w:r>
        <w:rPr>
          <w:rFonts w:hint="eastAsia" w:ascii="仿宋_GB2312" w:hAnsi="仿宋_GB2312" w:eastAsia="仿宋_GB2312" w:cs="仿宋_GB2312"/>
          <w:b/>
          <w:bCs/>
          <w:sz w:val="32"/>
          <w:szCs w:val="32"/>
        </w:rPr>
        <w:t>力度，</w:t>
      </w:r>
      <w:r>
        <w:rPr>
          <w:rFonts w:hint="eastAsia" w:ascii="仿宋_GB2312" w:hAnsi="仿宋_GB2312" w:eastAsia="仿宋_GB2312" w:cs="仿宋_GB2312"/>
          <w:b/>
          <w:bCs/>
          <w:sz w:val="32"/>
          <w:szCs w:val="32"/>
          <w:lang w:eastAsia="zh-CN"/>
        </w:rPr>
        <w:t>促使谋划项目早日建成。</w:t>
      </w:r>
      <w:r>
        <w:rPr>
          <w:rFonts w:hint="eastAsia" w:ascii="仿宋_GB2312" w:hAnsi="仿宋_GB2312" w:eastAsia="仿宋_GB2312" w:cs="仿宋_GB2312"/>
          <w:sz w:val="32"/>
          <w:szCs w:val="32"/>
        </w:rPr>
        <w:t>主动作为走出去，引智、引资、引政策。对接上级农林水、</w:t>
      </w:r>
      <w:r>
        <w:rPr>
          <w:rFonts w:hint="eastAsia" w:ascii="仿宋_GB2312" w:hAnsi="仿宋_GB2312" w:eastAsia="仿宋_GB2312" w:cs="仿宋_GB2312"/>
          <w:sz w:val="32"/>
          <w:szCs w:val="32"/>
          <w:lang w:eastAsia="zh-CN"/>
        </w:rPr>
        <w:t>交通、</w:t>
      </w:r>
      <w:r>
        <w:rPr>
          <w:rFonts w:hint="eastAsia" w:ascii="仿宋_GB2312" w:hAnsi="仿宋_GB2312" w:eastAsia="仿宋_GB2312" w:cs="仿宋_GB2312"/>
          <w:sz w:val="32"/>
          <w:szCs w:val="32"/>
        </w:rPr>
        <w:t>城建、土地等部门，包装、跑办项目，争取资金、政策等方面扶持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结合本地自然、人文、区位、旅游等特色优势资源，</w:t>
      </w:r>
      <w:r>
        <w:rPr>
          <w:rFonts w:hint="eastAsia" w:ascii="仿宋_GB2312" w:hAnsi="仿宋_GB2312" w:eastAsia="仿宋_GB2312" w:cs="仿宋_GB2312"/>
          <w:sz w:val="32"/>
          <w:szCs w:val="32"/>
          <w:lang w:eastAsia="zh-CN"/>
        </w:rPr>
        <w:t>力争实现谋划项目早日建成。</w:t>
      </w:r>
    </w:p>
    <w:p w14:paraId="0BB2F31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E27F25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496C128">
      <w:pPr>
        <w:ind w:firstLine="640" w:firstLineChars="200"/>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我乡党委、政府严格落实主体责任，成立由乡长任组长，分管项目副职任副组长，财政所长任主任的监管运行领导小组，定期对绩效监控信息进行收集、汇总、分析。同时，我们还实行建设项目工作监察员制度，监察人员为乡纪委，以独立身份对本单位的建设项目工作实行全过程监督，享有知情权、参与权和建议权。</w:t>
      </w:r>
    </w:p>
    <w:p w14:paraId="527D323D">
      <w:pPr>
        <w:ind w:firstLine="640" w:firstLineChars="200"/>
        <w:rPr>
          <w:rFonts w:ascii="仿宋" w:hAnsi="仿宋" w:eastAsia="仿宋"/>
          <w:sz w:val="32"/>
          <w:szCs w:val="32"/>
        </w:rPr>
      </w:pPr>
      <w:r>
        <w:rPr>
          <w:rFonts w:hint="eastAsia" w:ascii="仿宋" w:hAnsi="仿宋" w:eastAsia="仿宋" w:cs="仿宋"/>
          <w:sz w:val="32"/>
          <w:szCs w:val="32"/>
        </w:rPr>
        <w:t>通过清晰的界定工作的内容与其需要达到的标准，使管理活动更加适宜，组织目标更加明确，达到项目设定的效果。前期进行大量的调查研究，在此基础上进行了项目战略规划的编制、绩效目标的设立、指标设定及论证，科学立项；精确编制建设项目预算；着重于计划管理、绩效监控、风险控制、资金筹措及绩效制度建设，认真组织实施；设立绩效自评工作组织，进行评价</w:t>
      </w:r>
      <w:r>
        <w:rPr>
          <w:rFonts w:hint="eastAsia" w:ascii="仿宋" w:hAnsi="仿宋" w:eastAsia="仿宋"/>
          <w:sz w:val="32"/>
          <w:szCs w:val="32"/>
        </w:rPr>
        <w:t>。</w:t>
      </w:r>
    </w:p>
    <w:p w14:paraId="01FDE9A5">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3E75EFE">
      <w:pPr>
        <w:ind w:firstLine="640" w:firstLineChars="200"/>
        <w:rPr>
          <w:rFonts w:hint="eastAsia" w:ascii="仿宋" w:hAnsi="仿宋" w:eastAsia="仿宋" w:cs="仿宋"/>
          <w:sz w:val="32"/>
          <w:szCs w:val="32"/>
        </w:rPr>
      </w:pPr>
      <w:r>
        <w:rPr>
          <w:rFonts w:hint="eastAsia" w:ascii="仿宋" w:hAnsi="仿宋" w:eastAsia="仿宋" w:cs="仿宋"/>
          <w:sz w:val="32"/>
          <w:szCs w:val="32"/>
        </w:rPr>
        <w:t>前期准备：根据有关规定及要求，认真组织人员对项目自评资料进行收集、整理，针对指标完成情况进行绩效分析。为有效及时的完成项目绩效自评工作打下坚实的基础。</w:t>
      </w:r>
    </w:p>
    <w:p w14:paraId="4F4DC79C">
      <w:pPr>
        <w:ind w:firstLine="640" w:firstLineChars="200"/>
        <w:rPr>
          <w:rFonts w:hint="eastAsia" w:ascii="仿宋" w:hAnsi="仿宋" w:eastAsia="仿宋" w:cs="仿宋"/>
          <w:sz w:val="32"/>
          <w:szCs w:val="32"/>
        </w:rPr>
      </w:pPr>
      <w:r>
        <w:rPr>
          <w:rFonts w:hint="eastAsia" w:ascii="仿宋" w:hAnsi="仿宋" w:eastAsia="仿宋" w:cs="仿宋"/>
          <w:sz w:val="32"/>
          <w:szCs w:val="32"/>
        </w:rPr>
        <w:t>组织实施：加强过程控制，认真总结项目实现绩效目标过程中存在的问题和采取的改进措施，对项目的预算编制、工程施工、材料的采购进行认真的分析研究，整个过程严格按照绩效评价管理办法进行。</w:t>
      </w:r>
    </w:p>
    <w:p w14:paraId="3A4A0FFE">
      <w:pPr>
        <w:ind w:firstLine="640" w:firstLineChars="200"/>
      </w:pPr>
      <w:r>
        <w:rPr>
          <w:rFonts w:hint="eastAsia" w:ascii="仿宋" w:hAnsi="仿宋" w:eastAsia="仿宋" w:cs="仿宋"/>
          <w:sz w:val="32"/>
          <w:szCs w:val="32"/>
        </w:rPr>
        <w:t>分析评价：根据项目的自身特点和确定的各项绩效指标，对照项目完成情况，逐一进行评价，确保评价结论真实、客观、公平、公正。</w:t>
      </w:r>
    </w:p>
    <w:p w14:paraId="40677CA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B468A1E">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A9B1E79">
      <w:pPr>
        <w:spacing w:line="560" w:lineRule="exact"/>
        <w:ind w:firstLine="800" w:firstLineChars="250"/>
        <w:rPr>
          <w:rFonts w:ascii="仿宋" w:hAnsi="仿宋" w:eastAsia="仿宋"/>
          <w:sz w:val="32"/>
          <w:szCs w:val="32"/>
        </w:rPr>
      </w:pPr>
      <w:r>
        <w:rPr>
          <w:rFonts w:hint="eastAsia" w:ascii="仿宋_GB2312" w:hAnsi="仿宋_GB2312" w:eastAsia="仿宋_GB2312" w:cs="仿宋_GB2312"/>
          <w:b w:val="0"/>
          <w:bCs w:val="0"/>
          <w:sz w:val="32"/>
          <w:szCs w:val="32"/>
          <w:lang w:val="en-US" w:eastAsia="zh-CN"/>
        </w:rPr>
        <w:t>一年来，乡党委、政府采取上党课、开讲座、组织谈话等方式丰富教育内容。把学习贯彻习近平新时代中国特色社会主义思想和党的二十大精神作为根本政治任务。从扎实动作抓起，严格党委中心组理论学习制度，立专题、搞调研、碰思想。从学深悟透突破，按照“学懂弄通做实”要求，着力在体系学习、知行合一、落实转化上下功夫，提升大家的政治涵养、党性修养、思维层次；提升党员干部意识形态创新力，保持思想上的敏锐性和开放性，避免陷入思想的僵化和某种思维定势。在大是大非面前，要有坚定的政治立场，敢于亮出自己的观点，维护好意识形态健康和谐的发展。</w:t>
      </w:r>
    </w:p>
    <w:p w14:paraId="236761B4">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7A91AA6">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sz w:val="32"/>
          <w:szCs w:val="32"/>
          <w:lang w:val="en-US" w:eastAsia="zh-CN"/>
        </w:rPr>
        <w:t>（一）经济指标。</w:t>
      </w:r>
      <w:r>
        <w:rPr>
          <w:rFonts w:hint="eastAsia" w:ascii="仿宋_GB2312" w:hAnsi="仿宋_GB2312" w:eastAsia="仿宋_GB2312" w:cs="仿宋_GB2312"/>
          <w:b w:val="0"/>
          <w:bCs w:val="0"/>
          <w:sz w:val="32"/>
          <w:szCs w:val="32"/>
          <w:lang w:val="en-US" w:eastAsia="zh-CN"/>
        </w:rPr>
        <w:t>一年来，一般公共预算收入累计完成1243万元，完成任务的100%；全社会固定资产投资累计完成4184万元，同期增长44.62%。</w:t>
      </w:r>
    </w:p>
    <w:p w14:paraId="4A7B6DBA">
      <w:pPr>
        <w:keepNext w:val="0"/>
        <w:keepLines w:val="0"/>
        <w:pageBreakBefore w:val="0"/>
        <w:widowControl/>
        <w:kinsoku/>
        <w:wordWrap/>
        <w:overflowPunct/>
        <w:topLinePunct w:val="0"/>
        <w:autoSpaceDE/>
        <w:autoSpaceDN/>
        <w:bidi w:val="0"/>
        <w:adjustRightInd w:val="0"/>
        <w:snapToGrid w:val="0"/>
        <w:spacing w:after="0" w:line="578"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sz w:val="32"/>
          <w:szCs w:val="32"/>
          <w:lang w:val="en-US" w:eastAsia="zh-CN"/>
        </w:rPr>
        <w:t>(二）项目建设。</w:t>
      </w:r>
      <w:r>
        <w:rPr>
          <w:rFonts w:hint="eastAsia" w:ascii="仿宋_GB2312" w:hAnsi="仿宋_GB2312" w:eastAsia="仿宋_GB2312" w:cs="仿宋_GB2312"/>
          <w:b w:val="0"/>
          <w:bCs w:val="0"/>
          <w:sz w:val="32"/>
          <w:szCs w:val="32"/>
          <w:lang w:val="en-US" w:eastAsia="zh-CN"/>
        </w:rPr>
        <w:t>树立“项目为王”理念，积极开展项目建设。2023年，我乡开工项目4个，分别为：</w:t>
      </w:r>
      <w:r>
        <w:rPr>
          <w:rFonts w:hint="eastAsia" w:ascii="仿宋_GB2312" w:hAnsi="仿宋_GB2312" w:eastAsia="仿宋_GB2312" w:cs="仿宋_GB2312"/>
          <w:b/>
          <w:bCs/>
          <w:sz w:val="32"/>
          <w:szCs w:val="32"/>
          <w:lang w:val="en-US" w:eastAsia="zh-CN"/>
        </w:rPr>
        <w:t>紫藤新建连栋温室大棚二期项目。</w:t>
      </w:r>
      <w:r>
        <w:rPr>
          <w:rFonts w:hint="eastAsia" w:ascii="仿宋_GB2312" w:hAnsi="仿宋_GB2312" w:eastAsia="仿宋_GB2312" w:cs="仿宋_GB2312"/>
          <w:b w:val="0"/>
          <w:bCs w:val="0"/>
          <w:sz w:val="32"/>
          <w:szCs w:val="32"/>
          <w:lang w:val="en-US" w:eastAsia="zh-CN"/>
        </w:rPr>
        <w:t>该项目总投资560万元，主要建设内容为新建25亩连栋温室大棚，用于精品类葡萄的科技型种植。该项目4月初开工建设，截至目前，钢结构大棚主体已完工，路网配套建设已完成，项目已完工。当前正进行棚内的土壤培育，已栽植新品种葡萄幼苗；</w:t>
      </w:r>
      <w:r>
        <w:rPr>
          <w:rFonts w:hint="eastAsia" w:ascii="仿宋_GB2312" w:hAnsi="仿宋_GB2312" w:eastAsia="仿宋_GB2312" w:cs="仿宋_GB2312"/>
          <w:b/>
          <w:bCs/>
          <w:sz w:val="32"/>
          <w:szCs w:val="32"/>
          <w:lang w:val="en-US" w:eastAsia="zh-CN"/>
        </w:rPr>
        <w:t>水产养殖温室大棚建设项目。</w:t>
      </w:r>
      <w:r>
        <w:rPr>
          <w:rFonts w:hint="eastAsia" w:ascii="仿宋_GB2312" w:hAnsi="仿宋_GB2312" w:eastAsia="仿宋_GB2312" w:cs="仿宋_GB2312"/>
          <w:b w:val="0"/>
          <w:bCs w:val="0"/>
          <w:sz w:val="32"/>
          <w:szCs w:val="32"/>
          <w:lang w:val="en-US" w:eastAsia="zh-CN"/>
        </w:rPr>
        <w:t>建设重钢单层鱼菜共生连栋温室大棚 3840 平方米，其中包含鱼池 3000 平方米，蔬菜种植 840 平方米；饲料库房 154 平方米，看护房、储藏间等50 平方米，共计4044平方米。项目投资1500万，占地20.859亩。该项目钢结构大棚已建设完毕，等待设备采购进场；</w:t>
      </w:r>
      <w:r>
        <w:rPr>
          <w:rFonts w:hint="eastAsia" w:ascii="仿宋_GB2312" w:hAnsi="仿宋_GB2312" w:eastAsia="仿宋_GB2312" w:cs="仿宋_GB2312"/>
          <w:b/>
          <w:bCs/>
          <w:sz w:val="32"/>
          <w:szCs w:val="32"/>
          <w:lang w:val="en-US" w:eastAsia="zh-CN"/>
        </w:rPr>
        <w:t>石家庄夼上商贸有限公司 1200KW 屋顶分布式光伏发电项目。</w:t>
      </w:r>
      <w:r>
        <w:rPr>
          <w:rFonts w:hint="eastAsia" w:ascii="仿宋_GB2312" w:hAnsi="仿宋_GB2312" w:eastAsia="仿宋_GB2312" w:cs="仿宋_GB2312"/>
          <w:b w:val="0"/>
          <w:bCs w:val="0"/>
          <w:sz w:val="32"/>
          <w:szCs w:val="32"/>
          <w:lang w:val="en-US" w:eastAsia="zh-CN"/>
        </w:rPr>
        <w:t>该项目总投资730万元，占地20.859亩，利用上寨村锦昌水产养殖基地里仓库的屋顶建设分布式光伏发电，拟装机容量1200KW。该项目备案手续已办理，光伏设备安装等待并网；</w:t>
      </w:r>
      <w:r>
        <w:rPr>
          <w:rFonts w:hint="eastAsia" w:ascii="仿宋_GB2312" w:hAnsi="仿宋_GB2312" w:eastAsia="仿宋_GB2312" w:cs="仿宋_GB2312"/>
          <w:b/>
          <w:bCs/>
          <w:sz w:val="32"/>
          <w:szCs w:val="32"/>
          <w:lang w:val="en-US" w:eastAsia="zh-CN"/>
        </w:rPr>
        <w:t>森林秘境项目。</w:t>
      </w:r>
      <w:r>
        <w:rPr>
          <w:rFonts w:hint="eastAsia" w:ascii="仿宋_GB2312" w:hAnsi="仿宋_GB2312" w:eastAsia="仿宋_GB2312" w:cs="仿宋_GB2312"/>
          <w:b w:val="0"/>
          <w:bCs w:val="0"/>
          <w:sz w:val="32"/>
          <w:szCs w:val="32"/>
          <w:lang w:val="en-US" w:eastAsia="zh-CN"/>
        </w:rPr>
        <w:t>项目依托巷子群、森林公园，打造自然露营乐园、3D彩绘观光游览、休闲度假、研学教育等版块。该项目计划投资800万，后备箱集市两个玻璃钢化粪池已预埋地下，正在处理地基，水电已开槽等材料进场布线；游客服务中心轻体组装房已安装，山上停车场游客休息点组建6间轻钢房正在施工，民宿签约12套，5套老房子正在铺院子地砖，7套新房子等项目部出图纸后装修；墙体彩绘面积42副，约1200平方米。</w:t>
      </w:r>
    </w:p>
    <w:p w14:paraId="618D3DF6">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sz w:val="32"/>
          <w:szCs w:val="32"/>
          <w:lang w:val="en-US" w:eastAsia="zh-CN"/>
        </w:rPr>
        <w:t>（三）和美乡村。</w:t>
      </w:r>
      <w:r>
        <w:rPr>
          <w:rFonts w:hint="eastAsia" w:ascii="仿宋_GB2312" w:hAnsi="仿宋_GB2312" w:eastAsia="仿宋_GB2312" w:cs="仿宋_GB2312"/>
          <w:b w:val="0"/>
          <w:bCs w:val="0"/>
          <w:sz w:val="32"/>
          <w:szCs w:val="32"/>
          <w:lang w:val="en-US" w:eastAsia="zh-CN"/>
        </w:rPr>
        <w:t>结合爱国卫生运动、农村地区垃圾污水和黑臭水体整治百日攻坚集中行动，通过开展现场观摩拉练，采取展成绩、亮进度、看差距、找不足、促提升等措施，形成比学赶超的浓厚氛围;通过开展“刷村”行动，对辖区内村庄清理整治情况进行逐一检查，对问题较多的村庄建立问题台账，集中开展多轮督导检查，确保督导全覆盖、清洁无死角;通过工作简报、信息动态等形式，对各村探索推行的经验做法和模式路径，进行持续宣传推广，确保工作有抓手、任务能落地。截止目前，全乡道路硬化14000余平方米，便道砖铺设6000余平方米，墙体美化4940平方米，云砖铺设900米，绿化1680株；各村全面进行生活垃圾、河道垃圾和乱堆乱放清理工作，共清理各类垃圾3000余方。第三方保洁公司每日清运生活垃圾并对主要街道进行喷洒作业2次，保证人居环境质量显著提升。</w:t>
      </w:r>
    </w:p>
    <w:p w14:paraId="36579C62">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sz w:val="32"/>
          <w:szCs w:val="32"/>
          <w:lang w:val="en-US" w:eastAsia="zh-CN"/>
        </w:rPr>
        <w:t>（四）违建拆除。</w:t>
      </w:r>
      <w:r>
        <w:rPr>
          <w:rFonts w:hint="eastAsia" w:ascii="仿宋_GB2312" w:hAnsi="仿宋_GB2312" w:eastAsia="仿宋_GB2312" w:cs="仿宋_GB2312"/>
          <w:b w:val="0"/>
          <w:bCs w:val="0"/>
          <w:sz w:val="32"/>
          <w:szCs w:val="32"/>
          <w:lang w:val="en-US" w:eastAsia="zh-CN"/>
        </w:rPr>
        <w:t>由表及里重塑乡村风貌。严格按照区“拆违”专班工作要求，方法得当、措施有效、保障到位，全面开展私搭乱建、违章建筑专项整治攻坚战。一年来，共排查出私搭乱建、违章建筑93处，涉及建筑面积5023平方米、占地面积4833平方米。其中一季度涉及违建85处，违建面积4618平方米、占地面积4293平方米；二季度涉及违建4处，违建面积265平方米、占地面积265平方米；三季度涉及违建4处，违建面积140平方米、占地面积275平方米。截至目前，全面完成违建拆除及垃圾清运工作，并全部通过市、区专班验收，验收率达100%，拆违工作位居全区第二，通过拆违，腾出了发展空间、拆出了公平正义。</w:t>
      </w:r>
    </w:p>
    <w:p w14:paraId="363CFAF6">
      <w:pPr>
        <w:keepNext w:val="0"/>
        <w:keepLines w:val="0"/>
        <w:pageBreakBefore w:val="0"/>
        <w:numPr>
          <w:ilvl w:val="0"/>
          <w:numId w:val="0"/>
        </w:numPr>
        <w:kinsoku/>
        <w:wordWrap/>
        <w:overflowPunct/>
        <w:topLinePunct w:val="0"/>
        <w:autoSpaceDE/>
        <w:autoSpaceDN/>
        <w:bidi w:val="0"/>
        <w:spacing w:line="578" w:lineRule="exact"/>
        <w:ind w:firstLine="640" w:firstLineChars="200"/>
        <w:textAlignment w:val="auto"/>
        <w:rPr>
          <w:rFonts w:hint="default" w:ascii="仿宋_GB2312" w:hAnsi="仿宋_GB2312" w:eastAsia="仿宋_GB2312" w:cs="仿宋_GB2312"/>
          <w:b w:val="0"/>
          <w:bCs w:val="0"/>
          <w:sz w:val="32"/>
          <w:szCs w:val="32"/>
          <w:lang w:val="en-US" w:eastAsia="zh-CN"/>
        </w:rPr>
      </w:pPr>
      <w:r>
        <w:rPr>
          <w:rFonts w:hint="eastAsia" w:ascii="楷体_GB2312" w:hAnsi="楷体_GB2312" w:eastAsia="楷体_GB2312" w:cs="楷体_GB2312"/>
          <w:sz w:val="32"/>
          <w:szCs w:val="32"/>
          <w:lang w:val="en-US" w:eastAsia="zh-CN"/>
        </w:rPr>
        <w:t>（五）民生工作。</w:t>
      </w:r>
      <w:r>
        <w:rPr>
          <w:rFonts w:hint="eastAsia" w:ascii="仿宋_GB2312" w:hAnsi="仿宋_GB2312" w:eastAsia="仿宋_GB2312" w:cs="仿宋_GB2312"/>
          <w:b w:val="0"/>
          <w:bCs w:val="0"/>
          <w:sz w:val="32"/>
          <w:szCs w:val="32"/>
          <w:lang w:val="en-US" w:eastAsia="zh-CN"/>
        </w:rPr>
        <w:t>深入开展生产安全、消防安全、森林防火、食品药品安全等重点领域排查、整治。同时，充分发挥各村双委干部长期居住本村、熟悉本村、在本村有威望等多种优势，对各类矛盾隐患进行全面掌控，并及时化解，真正实现“小事不出村，大事不出乡”。截止目前，全乡实现安全生产“0”事故、森林消防“0”火情、食品药品“0”隐患，全面保障了人民群众的生命财产安全。</w:t>
      </w:r>
    </w:p>
    <w:p w14:paraId="53A88BCC">
      <w:pPr>
        <w:spacing w:line="560"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sz w:val="32"/>
          <w:szCs w:val="32"/>
          <w:lang w:val="en-US" w:eastAsia="zh-CN"/>
        </w:rPr>
        <w:t>（六）生态治理。</w:t>
      </w:r>
      <w:r>
        <w:rPr>
          <w:rFonts w:hint="eastAsia" w:ascii="仿宋_GB2312" w:hAnsi="仿宋_GB2312" w:eastAsia="仿宋_GB2312" w:cs="仿宋_GB2312"/>
          <w:b w:val="0"/>
          <w:bCs w:val="0"/>
          <w:sz w:val="32"/>
          <w:szCs w:val="32"/>
          <w:lang w:val="en-US" w:eastAsia="zh-CN"/>
        </w:rPr>
        <w:t>坚持对道路、工地、企业等各类污染源进行日常巡查，定期开展“洗城净天”活动，引进“路灯喷雾”系统，持续开展“散乱污”企业排查取缔工作，严厉打击散煤焚烧，并持续保持动态清零。采取有效措施抑制扬尘，每日共计出动洒水车、湿扫车8-10车次，洒水范围覆盖乡前大街、华麦大道、衡井线、山前大道、梁常路5条重点道路，达到地面持续保湿效果，日均用水量32吨，清扫面积10万平方米，洗扫里程15公里，PM综合指数稳居全区前列，2023年，全乡实现散乱污“0”反弹、散煤“0”焚烧、环境污染“0”事故。</w:t>
      </w:r>
    </w:p>
    <w:p w14:paraId="17E2202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AA36AF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5"/>
        <w:tblpPr w:leftFromText="180" w:rightFromText="180" w:vertAnchor="text" w:horzAnchor="page" w:tblpX="1234" w:tblpY="536"/>
        <w:tblOverlap w:val="never"/>
        <w:tblW w:w="942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0"/>
        <w:gridCol w:w="2200"/>
        <w:gridCol w:w="1043"/>
        <w:gridCol w:w="1257"/>
        <w:gridCol w:w="1285"/>
        <w:gridCol w:w="772"/>
        <w:gridCol w:w="971"/>
        <w:gridCol w:w="1201"/>
      </w:tblGrid>
      <w:tr w14:paraId="76FBA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3943" w:type="dxa"/>
            <w:gridSpan w:val="3"/>
            <w:tcBorders>
              <w:top w:val="nil"/>
              <w:left w:val="nil"/>
              <w:bottom w:val="single" w:color="000000" w:sz="4" w:space="0"/>
              <w:right w:val="nil"/>
            </w:tcBorders>
            <w:noWrap/>
            <w:vAlign w:val="center"/>
          </w:tcPr>
          <w:p w14:paraId="30C8880E">
            <w:pPr>
              <w:keepNext w:val="0"/>
              <w:keepLines w:val="0"/>
              <w:widowControl/>
              <w:suppressLineNumbers w:val="0"/>
              <w:jc w:val="left"/>
              <w:textAlignment w:val="center"/>
              <w:rPr>
                <w:rFonts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主管部门：上寨乡人民政府</w:t>
            </w:r>
          </w:p>
        </w:tc>
        <w:tc>
          <w:tcPr>
            <w:tcW w:w="1257" w:type="dxa"/>
            <w:tcBorders>
              <w:top w:val="nil"/>
              <w:left w:val="nil"/>
              <w:bottom w:val="single" w:color="000000" w:sz="4" w:space="0"/>
              <w:right w:val="nil"/>
            </w:tcBorders>
            <w:noWrap/>
            <w:vAlign w:val="center"/>
          </w:tcPr>
          <w:p w14:paraId="4D454162">
            <w:pPr>
              <w:jc w:val="center"/>
              <w:rPr>
                <w:rFonts w:hint="eastAsia" w:ascii="仿宋" w:hAnsi="仿宋" w:eastAsia="仿宋" w:cs="仿宋"/>
                <w:i w:val="0"/>
                <w:iCs w:val="0"/>
                <w:color w:val="000000"/>
                <w:sz w:val="20"/>
                <w:szCs w:val="20"/>
                <w:u w:val="none"/>
              </w:rPr>
            </w:pPr>
          </w:p>
        </w:tc>
        <w:tc>
          <w:tcPr>
            <w:tcW w:w="1285" w:type="dxa"/>
            <w:tcBorders>
              <w:top w:val="nil"/>
              <w:left w:val="nil"/>
              <w:bottom w:val="single" w:color="000000" w:sz="4" w:space="0"/>
              <w:right w:val="nil"/>
            </w:tcBorders>
            <w:noWrap/>
            <w:vAlign w:val="center"/>
          </w:tcPr>
          <w:p w14:paraId="79544D41">
            <w:pPr>
              <w:jc w:val="center"/>
              <w:rPr>
                <w:rFonts w:hint="eastAsia" w:ascii="仿宋" w:hAnsi="仿宋" w:eastAsia="仿宋" w:cs="仿宋"/>
                <w:i w:val="0"/>
                <w:iCs w:val="0"/>
                <w:color w:val="000000"/>
                <w:sz w:val="20"/>
                <w:szCs w:val="20"/>
                <w:u w:val="none"/>
              </w:rPr>
            </w:pPr>
          </w:p>
        </w:tc>
        <w:tc>
          <w:tcPr>
            <w:tcW w:w="2944" w:type="dxa"/>
            <w:gridSpan w:val="3"/>
            <w:tcBorders>
              <w:top w:val="nil"/>
              <w:left w:val="nil"/>
              <w:bottom w:val="single" w:color="000000" w:sz="4" w:space="0"/>
              <w:right w:val="nil"/>
            </w:tcBorders>
            <w:noWrap/>
            <w:vAlign w:val="center"/>
          </w:tcPr>
          <w:p w14:paraId="3D2ED61A">
            <w:pPr>
              <w:keepNext w:val="0"/>
              <w:keepLines w:val="0"/>
              <w:widowControl/>
              <w:suppressLineNumbers w:val="0"/>
              <w:jc w:val="right"/>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单位：万元</w:t>
            </w:r>
          </w:p>
        </w:tc>
      </w:tr>
      <w:tr w14:paraId="59894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700" w:type="dxa"/>
            <w:tcBorders>
              <w:top w:val="single" w:color="000000" w:sz="4" w:space="0"/>
              <w:left w:val="single" w:color="000000" w:sz="4" w:space="0"/>
              <w:bottom w:val="single" w:color="000000" w:sz="4" w:space="0"/>
              <w:right w:val="single" w:color="000000" w:sz="4" w:space="0"/>
            </w:tcBorders>
            <w:noWrap w:val="0"/>
            <w:vAlign w:val="center"/>
          </w:tcPr>
          <w:p w14:paraId="72F15BF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序号</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54B08EC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项目名称</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336B9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项目实施单位</w:t>
            </w:r>
          </w:p>
        </w:tc>
        <w:tc>
          <w:tcPr>
            <w:tcW w:w="1257" w:type="dxa"/>
            <w:tcBorders>
              <w:top w:val="single" w:color="000000" w:sz="4" w:space="0"/>
              <w:left w:val="single" w:color="000000" w:sz="4" w:space="0"/>
              <w:bottom w:val="single" w:color="000000" w:sz="4" w:space="0"/>
              <w:right w:val="single" w:color="000000" w:sz="4" w:space="0"/>
            </w:tcBorders>
            <w:noWrap w:val="0"/>
            <w:vAlign w:val="center"/>
          </w:tcPr>
          <w:p w14:paraId="2861AB1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预算数</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（调整后）</w:t>
            </w:r>
          </w:p>
        </w:tc>
        <w:tc>
          <w:tcPr>
            <w:tcW w:w="1285" w:type="dxa"/>
            <w:tcBorders>
              <w:top w:val="single" w:color="000000" w:sz="4" w:space="0"/>
              <w:left w:val="single" w:color="000000" w:sz="4" w:space="0"/>
              <w:bottom w:val="single" w:color="000000" w:sz="4" w:space="0"/>
              <w:right w:val="single" w:color="000000" w:sz="4" w:space="0"/>
            </w:tcBorders>
            <w:noWrap w:val="0"/>
            <w:vAlign w:val="center"/>
          </w:tcPr>
          <w:p w14:paraId="203DB4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执行数</w:t>
            </w:r>
            <w:r>
              <w:rPr>
                <w:rFonts w:hint="eastAsia" w:ascii="仿宋" w:hAnsi="仿宋" w:eastAsia="仿宋" w:cs="仿宋"/>
                <w:i w:val="0"/>
                <w:iCs w:val="0"/>
                <w:color w:val="000000"/>
                <w:kern w:val="0"/>
                <w:sz w:val="20"/>
                <w:szCs w:val="20"/>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（至2023年底）</w:t>
            </w:r>
          </w:p>
        </w:tc>
        <w:tc>
          <w:tcPr>
            <w:tcW w:w="772" w:type="dxa"/>
            <w:tcBorders>
              <w:top w:val="single" w:color="000000" w:sz="4" w:space="0"/>
              <w:left w:val="single" w:color="000000" w:sz="4" w:space="0"/>
              <w:bottom w:val="single" w:color="000000" w:sz="4" w:space="0"/>
              <w:right w:val="single" w:color="000000" w:sz="4" w:space="0"/>
            </w:tcBorders>
            <w:noWrap w:val="0"/>
            <w:vAlign w:val="center"/>
          </w:tcPr>
          <w:p w14:paraId="55A6DC8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结余交回财政数</w:t>
            </w:r>
          </w:p>
        </w:tc>
        <w:tc>
          <w:tcPr>
            <w:tcW w:w="971" w:type="dxa"/>
            <w:tcBorders>
              <w:top w:val="single" w:color="000000" w:sz="4" w:space="0"/>
              <w:left w:val="single" w:color="000000" w:sz="4" w:space="0"/>
              <w:bottom w:val="single" w:color="000000" w:sz="4" w:space="0"/>
              <w:right w:val="single" w:color="000000" w:sz="4" w:space="0"/>
            </w:tcBorders>
            <w:noWrap w:val="0"/>
            <w:vAlign w:val="center"/>
          </w:tcPr>
          <w:p w14:paraId="7C2DD5D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自评得分</w:t>
            </w:r>
          </w:p>
        </w:tc>
        <w:tc>
          <w:tcPr>
            <w:tcW w:w="1201" w:type="dxa"/>
            <w:tcBorders>
              <w:top w:val="single" w:color="000000" w:sz="4" w:space="0"/>
              <w:left w:val="single" w:color="000000" w:sz="4" w:space="0"/>
              <w:bottom w:val="single" w:color="000000" w:sz="4" w:space="0"/>
              <w:right w:val="single" w:color="000000" w:sz="4" w:space="0"/>
            </w:tcBorders>
            <w:noWrap w:val="0"/>
            <w:vAlign w:val="center"/>
          </w:tcPr>
          <w:p w14:paraId="77D17DC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自评结果</w:t>
            </w:r>
          </w:p>
        </w:tc>
      </w:tr>
      <w:tr w14:paraId="7DE51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3"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09E72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0D9C6A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2023年镇级专项公用经费</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61A12A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6CB297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148.085229</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2AC337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147.237678</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48B45B46">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0.847551</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6A1FE6D2">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99.4</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638754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44DD7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5B6D90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0EDE5A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2023年区级上寨村村通环乡路梁庄段（一标段）质保金</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4F5547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74D7A994">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21</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6F50D3F8">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0</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36B3E1E0">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21</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2F1A6528">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59198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2B2B2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4F221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3A7887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2023年区级上寨村村通环乡路南寨段（二标段）质保金</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15B524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33035DD6">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13</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673A8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2E17BB3F">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13</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79809CEE">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1B877A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4190B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5C5F0B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0DFC49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2023年镇级代课教师工资</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7DBEBA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0F999DE0">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73.44</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25D440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73.44</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29A1F5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5B8C6F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67694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10E53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1FF907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16BCE2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2023年区级退役军人</w:t>
            </w:r>
            <w:r>
              <w:rPr>
                <w:rFonts w:hint="eastAsia" w:ascii="宋体" w:hAnsi="宋体" w:cs="宋体"/>
                <w:i w:val="0"/>
                <w:iCs w:val="0"/>
                <w:color w:val="000000"/>
                <w:kern w:val="0"/>
                <w:sz w:val="20"/>
                <w:szCs w:val="20"/>
                <w:u w:val="none"/>
                <w:lang w:val="en-US" w:eastAsia="zh-CN" w:bidi="ar"/>
              </w:rPr>
              <w:t>公益性岗位</w:t>
            </w:r>
            <w:r>
              <w:rPr>
                <w:rFonts w:hint="eastAsia" w:ascii="宋体" w:hAnsi="宋体" w:eastAsia="宋体" w:cs="宋体"/>
                <w:i w:val="0"/>
                <w:iCs w:val="0"/>
                <w:color w:val="000000"/>
                <w:kern w:val="0"/>
                <w:sz w:val="20"/>
                <w:szCs w:val="20"/>
                <w:u w:val="none"/>
                <w:lang w:val="en-US" w:eastAsia="zh-CN" w:bidi="ar"/>
              </w:rPr>
              <w:t>劳务派遣工资及保险</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6859A2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455D9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1B898E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12.063296</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314AB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02FB75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4E0F97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7EE64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58ED5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5EAAF9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2023年镇级上年度经费不足部分</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4DA6F8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7676E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rPr>
              <w:t>31.362212</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0414AB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rPr>
              <w:t>31.362212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11FB2C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17D310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388C81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4993F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3"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362E25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635BA6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2023年上寨乡新增劳务派遣工资及保险</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7E3DC1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25D8EE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8.464896</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08AE1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7.675652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6116612E">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0.789244</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5713F4B6">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99.07</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2FE01D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50DB4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04200C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34E9E6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2023年上寨乡衡井线沿线绿化提升用地耕地占用税</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3C7D4D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60459F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6D9DC3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49.955</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3E10632A">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30.045</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57E78FBC">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96.24</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234028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09CDE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2EFCBA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1367C1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2023年上寨乡农用地转用耕地占用税</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4B543F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58196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6A8BE4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53.885384</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0FCA497F">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1.114616</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6BB47AFA">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99.80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73CFE9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4F9DF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0A5D82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1C008B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2023年上寨乡书香政协活动经费</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5C812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62960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577EBA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2.96022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21BCA208">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2.03978</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467F583C">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95.92</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44EEB5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301F9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4C06C0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46EC66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2023年区级衡井线北寨段两侧绿化、环乡路南寨及梁庄绿化、山前大道南延两侧绿化占地租金</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6E92AE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59279080">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33.946</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74A994F7">
            <w:pPr>
              <w:jc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33.946</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008EE7A4">
            <w:pPr>
              <w:keepNext w:val="0"/>
              <w:keepLines w:val="0"/>
              <w:widowControl/>
              <w:suppressLineNumbers w:val="0"/>
              <w:jc w:val="center"/>
              <w:textAlignment w:val="center"/>
              <w:rPr>
                <w:rFonts w:hint="eastAsia"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0B44D015">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95</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7D4F44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68BBD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2B4BB6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529FF5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上寨乡农村生活垃圾清理资金（五次）</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70107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08524B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135.859092</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1C111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135.859092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7D2AE3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4DCB5D88">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6CB7F9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47F9C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6D718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5B970A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2023年区级引岗渠修复工程涉及地上附着物拆除资金</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BDEF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6604C1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27.5</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5A5455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27.5</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0C3D9379">
            <w:pPr>
              <w:keepNext w:val="0"/>
              <w:keepLines w:val="0"/>
              <w:widowControl/>
              <w:suppressLineNumbers w:val="0"/>
              <w:jc w:val="center"/>
              <w:textAlignment w:val="center"/>
              <w:rPr>
                <w:rFonts w:hint="eastAsia" w:ascii="宋体" w:hAnsi="宋体" w:eastAsia="宋体" w:cs="宋体"/>
                <w:i w:val="0"/>
                <w:iCs w:val="0"/>
                <w:color w:val="000000"/>
                <w:sz w:val="20"/>
                <w:szCs w:val="20"/>
                <w:u w:val="none"/>
                <w:lang w:val="en-US" w:eastAsia="zh-CN"/>
              </w:rPr>
            </w:pPr>
            <w:r>
              <w:rPr>
                <w:rFonts w:hint="eastAsia" w:ascii="宋体" w:hAnsi="宋体" w:eastAsia="宋体" w:cs="宋体"/>
                <w:i w:val="0"/>
                <w:iCs w:val="0"/>
                <w:color w:val="000000"/>
                <w:sz w:val="20"/>
                <w:szCs w:val="20"/>
                <w:u w:val="none"/>
                <w:lang w:val="en-US" w:eastAsia="zh-CN"/>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68894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1E87A3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6A929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37081C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6FABEB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2023年区级山前大道北寨至上寨段改建工程</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60907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68EADA1C">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230</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4FD33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0B2F605F">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230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7DCADB8C">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85</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32D5AB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14FDF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73A1A1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473ED9B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公共文化设施免费开放（乡镇文化站）</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33B2D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3BF62203">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1.5</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41A796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432BD2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71CA313D">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54488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159EA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19F21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2D9BED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西山绿化北寨段工程勘察费用</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6E21D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65C0BEF1">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3.5</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0787E6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086A9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122F0E65">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714B4F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6E3C1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51EFFD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0BA75B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上寨乡常河村建设项目（2022年革命老区项目）</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537460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5B6DA6A7">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84.2</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6E8B3C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84.2</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4969F6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601D57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7A458A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1FDC9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583D9D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2EAD06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2023年区级山前大道北寨至上寨段给水管网工程</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6FFEB5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44DFF0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10.98</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27416A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10.98</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3E58B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31C2CF4B">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80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3B274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274A0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78272F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3AC9C1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区级水悦龙庭违建拆除（2个项目库）</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27FA7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591A45EF">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37</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3B342432">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37</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215D2F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438DDB11">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152A49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6A827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2207F6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498367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区级中以农科违建拆除（2个项目库）</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5BACEC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4491E342">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20</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65F54767">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20</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772E97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12B12C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0B028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42818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49599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6262B7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2023年农村综合改革转移支付资金一（上寨乡北寨村）省级资金/中央资金两个项目库</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332B4D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6DC19229">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300</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787B3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59659D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6F8C4A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473C72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r w14:paraId="237E2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700" w:type="dxa"/>
            <w:tcBorders>
              <w:top w:val="single" w:color="000000" w:sz="4" w:space="0"/>
              <w:left w:val="single" w:color="000000" w:sz="4" w:space="0"/>
              <w:bottom w:val="single" w:color="000000" w:sz="4" w:space="0"/>
              <w:right w:val="single" w:color="000000" w:sz="4" w:space="0"/>
            </w:tcBorders>
            <w:noWrap/>
            <w:vAlign w:val="center"/>
          </w:tcPr>
          <w:p w14:paraId="3F03AE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2200" w:type="dxa"/>
            <w:tcBorders>
              <w:top w:val="single" w:color="000000" w:sz="4" w:space="0"/>
              <w:left w:val="single" w:color="000000" w:sz="4" w:space="0"/>
              <w:bottom w:val="single" w:color="000000" w:sz="4" w:space="0"/>
              <w:right w:val="single" w:color="000000" w:sz="4" w:space="0"/>
            </w:tcBorders>
            <w:noWrap w:val="0"/>
            <w:vAlign w:val="center"/>
          </w:tcPr>
          <w:p w14:paraId="175219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2023年区级西山北寨段绿化工程</w:t>
            </w:r>
          </w:p>
        </w:tc>
        <w:tc>
          <w:tcPr>
            <w:tcW w:w="1043" w:type="dxa"/>
            <w:tcBorders>
              <w:top w:val="single" w:color="000000" w:sz="4" w:space="0"/>
              <w:left w:val="single" w:color="000000" w:sz="4" w:space="0"/>
              <w:bottom w:val="single" w:color="000000" w:sz="4" w:space="0"/>
              <w:right w:val="single" w:color="000000" w:sz="4" w:space="0"/>
            </w:tcBorders>
            <w:noWrap/>
            <w:vAlign w:val="center"/>
          </w:tcPr>
          <w:p w14:paraId="081C19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上寨乡人民政府</w:t>
            </w:r>
          </w:p>
        </w:tc>
        <w:tc>
          <w:tcPr>
            <w:tcW w:w="1257" w:type="dxa"/>
            <w:tcBorders>
              <w:top w:val="single" w:color="000000" w:sz="4" w:space="0"/>
              <w:left w:val="single" w:color="000000" w:sz="4" w:space="0"/>
              <w:bottom w:val="single" w:color="000000" w:sz="4" w:space="0"/>
              <w:right w:val="single" w:color="000000" w:sz="4" w:space="0"/>
            </w:tcBorders>
            <w:noWrap/>
            <w:vAlign w:val="center"/>
          </w:tcPr>
          <w:p w14:paraId="047990B3">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313</w:t>
            </w:r>
          </w:p>
        </w:tc>
        <w:tc>
          <w:tcPr>
            <w:tcW w:w="1285" w:type="dxa"/>
            <w:tcBorders>
              <w:top w:val="single" w:color="000000" w:sz="4" w:space="0"/>
              <w:left w:val="single" w:color="000000" w:sz="4" w:space="0"/>
              <w:bottom w:val="single" w:color="000000" w:sz="4" w:space="0"/>
              <w:right w:val="single" w:color="000000" w:sz="4" w:space="0"/>
            </w:tcBorders>
            <w:noWrap/>
            <w:vAlign w:val="center"/>
          </w:tcPr>
          <w:p w14:paraId="749A0C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772" w:type="dxa"/>
            <w:tcBorders>
              <w:top w:val="single" w:color="000000" w:sz="4" w:space="0"/>
              <w:left w:val="single" w:color="000000" w:sz="4" w:space="0"/>
              <w:bottom w:val="single" w:color="000000" w:sz="4" w:space="0"/>
              <w:right w:val="single" w:color="000000" w:sz="4" w:space="0"/>
            </w:tcBorders>
            <w:noWrap/>
            <w:vAlign w:val="center"/>
          </w:tcPr>
          <w:p w14:paraId="183E5E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971" w:type="dxa"/>
            <w:tcBorders>
              <w:top w:val="single" w:color="000000" w:sz="4" w:space="0"/>
              <w:left w:val="single" w:color="000000" w:sz="4" w:space="0"/>
              <w:bottom w:val="single" w:color="000000" w:sz="4" w:space="0"/>
              <w:right w:val="single" w:color="000000" w:sz="4" w:space="0"/>
            </w:tcBorders>
            <w:noWrap/>
            <w:vAlign w:val="center"/>
          </w:tcPr>
          <w:p w14:paraId="189A8243">
            <w:pPr>
              <w:keepNext w:val="0"/>
              <w:keepLines w:val="0"/>
              <w:widowControl/>
              <w:suppressLineNumbers w:val="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90</w:t>
            </w:r>
          </w:p>
        </w:tc>
        <w:tc>
          <w:tcPr>
            <w:tcW w:w="1201" w:type="dxa"/>
            <w:tcBorders>
              <w:top w:val="single" w:color="000000" w:sz="4" w:space="0"/>
              <w:left w:val="single" w:color="000000" w:sz="4" w:space="0"/>
              <w:bottom w:val="single" w:color="000000" w:sz="4" w:space="0"/>
              <w:right w:val="single" w:color="000000" w:sz="4" w:space="0"/>
            </w:tcBorders>
            <w:noWrap/>
            <w:vAlign w:val="center"/>
          </w:tcPr>
          <w:p w14:paraId="266536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优秀</w:t>
            </w:r>
          </w:p>
        </w:tc>
      </w:tr>
    </w:tbl>
    <w:p w14:paraId="25B60AFD">
      <w:pPr>
        <w:pStyle w:val="2"/>
        <w:rPr>
          <w:rFonts w:hint="eastAsia" w:ascii="仿宋" w:hAnsi="仿宋" w:eastAsia="仿宋"/>
          <w:sz w:val="32"/>
          <w:szCs w:val="32"/>
        </w:rPr>
      </w:pPr>
    </w:p>
    <w:p w14:paraId="0E42E553">
      <w:pPr>
        <w:pStyle w:val="2"/>
        <w:rPr>
          <w:rFonts w:hint="eastAsia" w:ascii="仿宋" w:hAnsi="仿宋" w:eastAsia="仿宋"/>
          <w:sz w:val="32"/>
          <w:szCs w:val="32"/>
        </w:rPr>
      </w:pPr>
    </w:p>
    <w:p w14:paraId="181DAFD2">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6803D8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583C132">
      <w:pPr>
        <w:ind w:firstLine="640" w:firstLineChars="200"/>
        <w:rPr>
          <w:rFonts w:hint="eastAsia" w:ascii="仿宋" w:hAnsi="仿宋" w:eastAsia="仿宋" w:cs="仿宋"/>
          <w:sz w:val="32"/>
          <w:szCs w:val="32"/>
        </w:rPr>
      </w:pPr>
      <w:r>
        <w:rPr>
          <w:rFonts w:hint="eastAsia" w:ascii="仿宋" w:hAnsi="仿宋" w:eastAsia="仿宋" w:cs="仿宋"/>
          <w:sz w:val="32"/>
          <w:szCs w:val="32"/>
        </w:rPr>
        <w:t>预算实施过程的精准度不够，预算项目约束性和预算资金安排的合理性有待提高。预算的资金设置方面与实际支出存在偏差，精准程度有待提高。</w:t>
      </w:r>
    </w:p>
    <w:p w14:paraId="2C8F2C52">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FCFF924">
      <w:pPr>
        <w:pStyle w:val="2"/>
        <w:rPr>
          <w:rFonts w:hint="default" w:eastAsia="宋体"/>
          <w:lang w:val="en-US" w:eastAsia="zh-CN"/>
        </w:rPr>
      </w:pPr>
      <w:r>
        <w:rPr>
          <w:rFonts w:hint="eastAsia"/>
          <w:lang w:val="en-US" w:eastAsia="zh-CN"/>
        </w:rPr>
        <w:t xml:space="preserve">      </w:t>
      </w:r>
      <w:r>
        <w:rPr>
          <w:rFonts w:hint="eastAsia" w:ascii="仿宋" w:hAnsi="仿宋" w:eastAsia="仿宋" w:cs="仿宋"/>
          <w:sz w:val="32"/>
          <w:szCs w:val="32"/>
        </w:rPr>
        <w:t>一方面要提高预算项目实施前及实施过程中的精准匹配度，并继续加强项目的预算绩效约束性，充分利用有限的预算资金合理安排各项工作事务。另一方面要增强预算编制的科学性和可行性。预算编制是预算执行的基础和依据，是严格预算执行的第一道关口。在编制年初预算时，要参考上年度预算执行情况、相关支出绩效评价结果和本年度的收支预测，按照规定程序多方征求意见。项目申报前期要进行充分的调查研究，严格论证项目实施的充分性和必要性，合理测算所需财政资金的多少，必须有足够的测算依据，准确评估财政资金投入使用的效益，提高预算编制的科学性。预算编制要实事求是，切实可行，要尽可能完整，要细化到项目及具体的事项。</w:t>
      </w:r>
    </w:p>
    <w:p w14:paraId="02DE9820">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5B616096">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 w:hAnsi="仿宋" w:eastAsia="仿宋" w:cs="Arial"/>
          <w:sz w:val="32"/>
          <w:szCs w:val="32"/>
          <w:lang w:val="en-US" w:eastAsia="zh-CN"/>
        </w:rPr>
      </w:pPr>
      <w:r>
        <w:rPr>
          <w:rFonts w:hint="eastAsia" w:ascii="仿宋" w:hAnsi="仿宋" w:eastAsia="仿宋" w:cs="Arial"/>
          <w:sz w:val="32"/>
          <w:szCs w:val="32"/>
          <w:lang w:val="en-US" w:eastAsia="zh-CN"/>
        </w:rPr>
        <w:t>李少华</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上寨乡政法委书记</w:t>
      </w:r>
    </w:p>
    <w:p w14:paraId="5382FEA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rPr>
      </w:pPr>
      <w:r>
        <w:rPr>
          <w:rFonts w:hint="eastAsia" w:ascii="仿宋" w:hAnsi="仿宋" w:eastAsia="仿宋" w:cs="Arial"/>
          <w:sz w:val="32"/>
          <w:szCs w:val="32"/>
          <w:lang w:val="en-US" w:eastAsia="zh-CN"/>
        </w:rPr>
        <w:t>刘  娜</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上寨乡</w:t>
      </w:r>
      <w:r>
        <w:rPr>
          <w:rFonts w:hint="eastAsia" w:ascii="仿宋" w:hAnsi="仿宋" w:eastAsia="仿宋" w:cs="Arial"/>
          <w:sz w:val="32"/>
          <w:szCs w:val="32"/>
        </w:rPr>
        <w:t>副乡长</w:t>
      </w:r>
    </w:p>
    <w:p w14:paraId="7F8271FE">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rPr>
      </w:pPr>
      <w:r>
        <w:rPr>
          <w:rFonts w:hint="eastAsia" w:ascii="仿宋" w:hAnsi="仿宋" w:eastAsia="仿宋" w:cs="Arial"/>
          <w:sz w:val="32"/>
          <w:szCs w:val="32"/>
          <w:lang w:val="en-US" w:eastAsia="zh-CN"/>
        </w:rPr>
        <w:t>栗剑锋</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上寨乡</w:t>
      </w:r>
      <w:r>
        <w:rPr>
          <w:rFonts w:hint="eastAsia" w:ascii="仿宋" w:hAnsi="仿宋" w:eastAsia="仿宋" w:cs="Arial"/>
          <w:sz w:val="32"/>
          <w:szCs w:val="32"/>
        </w:rPr>
        <w:t>副乡长</w:t>
      </w:r>
    </w:p>
    <w:p w14:paraId="1BCC1447">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lang w:val="en-US" w:eastAsia="zh-CN"/>
        </w:rPr>
        <w:t>任  杰</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w:t>
      </w:r>
      <w:r>
        <w:rPr>
          <w:rFonts w:hint="eastAsia" w:ascii="仿宋" w:hAnsi="仿宋" w:eastAsia="仿宋" w:cs="Arial"/>
          <w:sz w:val="32"/>
          <w:szCs w:val="32"/>
        </w:rPr>
        <w:t>乡武装部长</w:t>
      </w:r>
    </w:p>
    <w:p w14:paraId="0447BC12">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lang w:val="en-US" w:eastAsia="zh-CN"/>
        </w:rPr>
        <w:t>贾伟乾</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w:t>
      </w:r>
      <w:r>
        <w:rPr>
          <w:rFonts w:hint="eastAsia" w:ascii="仿宋" w:hAnsi="仿宋" w:eastAsia="仿宋" w:cs="Arial"/>
          <w:sz w:val="32"/>
          <w:szCs w:val="32"/>
        </w:rPr>
        <w:t>乡人大副主席</w:t>
      </w:r>
    </w:p>
    <w:p w14:paraId="3C7F07A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Arial"/>
          <w:sz w:val="32"/>
          <w:szCs w:val="32"/>
        </w:rPr>
      </w:pPr>
      <w:r>
        <w:rPr>
          <w:rFonts w:hint="eastAsia" w:ascii="仿宋" w:hAnsi="仿宋" w:eastAsia="仿宋" w:cs="Arial"/>
          <w:sz w:val="32"/>
          <w:szCs w:val="32"/>
          <w:lang w:val="en-US" w:eastAsia="zh-CN"/>
        </w:rPr>
        <w:t>李小泽</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w:t>
      </w:r>
      <w:r>
        <w:rPr>
          <w:rFonts w:hint="eastAsia" w:ascii="仿宋" w:hAnsi="仿宋" w:eastAsia="仿宋" w:cs="Arial"/>
          <w:sz w:val="32"/>
          <w:szCs w:val="32"/>
        </w:rPr>
        <w:t>乡人大副主席</w:t>
      </w:r>
    </w:p>
    <w:p w14:paraId="3E6F9B38">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 w:hAnsi="仿宋" w:eastAsia="仿宋" w:cs="Arial"/>
          <w:sz w:val="32"/>
          <w:szCs w:val="32"/>
          <w:lang w:val="en-US" w:eastAsia="zh-CN"/>
        </w:rPr>
      </w:pPr>
      <w:r>
        <w:rPr>
          <w:rFonts w:hint="eastAsia" w:ascii="仿宋" w:hAnsi="仿宋" w:eastAsia="仿宋" w:cs="Arial"/>
          <w:sz w:val="32"/>
          <w:szCs w:val="32"/>
          <w:lang w:val="en-US" w:eastAsia="zh-CN"/>
        </w:rPr>
        <w:t>郭晓洁   上寨乡纪检委书记</w:t>
      </w:r>
    </w:p>
    <w:p w14:paraId="48E30F60">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lang w:val="en-US" w:eastAsia="zh-CN"/>
        </w:rPr>
        <w:t>王柱学</w:t>
      </w:r>
      <w:r>
        <w:rPr>
          <w:rFonts w:ascii="仿宋" w:hAnsi="仿宋" w:eastAsia="仿宋" w:cs="Arial"/>
          <w:sz w:val="32"/>
          <w:szCs w:val="32"/>
        </w:rPr>
        <w:t xml:space="preserve"> </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w:t>
      </w:r>
      <w:r>
        <w:rPr>
          <w:rFonts w:hint="eastAsia" w:ascii="仿宋" w:hAnsi="仿宋" w:eastAsia="仿宋" w:cs="Arial"/>
          <w:sz w:val="32"/>
          <w:szCs w:val="32"/>
        </w:rPr>
        <w:t>乡财政所所长</w:t>
      </w:r>
    </w:p>
    <w:p w14:paraId="6E4066FC">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 w:hAnsi="仿宋" w:eastAsia="仿宋" w:cs="Arial"/>
          <w:sz w:val="32"/>
          <w:szCs w:val="32"/>
        </w:rPr>
      </w:pPr>
      <w:r>
        <w:rPr>
          <w:rFonts w:hint="eastAsia" w:ascii="仿宋" w:hAnsi="仿宋" w:eastAsia="仿宋" w:cs="Arial"/>
          <w:sz w:val="32"/>
          <w:szCs w:val="32"/>
          <w:lang w:val="en-US" w:eastAsia="zh-CN"/>
        </w:rPr>
        <w:t>宋  妍</w:t>
      </w:r>
      <w:r>
        <w:rPr>
          <w:rFonts w:ascii="仿宋" w:hAnsi="仿宋" w:eastAsia="仿宋" w:cs="Arial"/>
          <w:sz w:val="32"/>
          <w:szCs w:val="32"/>
        </w:rPr>
        <w:t xml:space="preserve"> </w:t>
      </w:r>
      <w:r>
        <w:rPr>
          <w:rFonts w:hint="eastAsia" w:ascii="仿宋" w:hAnsi="仿宋" w:eastAsia="仿宋" w:cs="Arial"/>
          <w:sz w:val="32"/>
          <w:szCs w:val="32"/>
        </w:rPr>
        <w:t xml:space="preserve">  </w:t>
      </w:r>
      <w:r>
        <w:rPr>
          <w:rFonts w:hint="eastAsia" w:ascii="仿宋" w:hAnsi="仿宋" w:eastAsia="仿宋" w:cs="Arial"/>
          <w:sz w:val="32"/>
          <w:szCs w:val="32"/>
          <w:lang w:val="en-US" w:eastAsia="zh-CN"/>
        </w:rPr>
        <w:t>上寨</w:t>
      </w:r>
      <w:r>
        <w:rPr>
          <w:rFonts w:hint="eastAsia" w:ascii="仿宋" w:hAnsi="仿宋" w:eastAsia="仿宋" w:cs="Arial"/>
          <w:sz w:val="32"/>
          <w:szCs w:val="32"/>
        </w:rPr>
        <w:t>乡财政所成员</w:t>
      </w:r>
    </w:p>
    <w:p w14:paraId="591C1147">
      <w:pPr>
        <w:pStyle w:val="2"/>
        <w:numPr>
          <w:ilvl w:val="0"/>
          <w:numId w:val="0"/>
        </w:numPr>
        <w:rPr>
          <w:rFonts w:hint="eastAsia" w:eastAsia="宋体"/>
          <w:lang w:val="en-US" w:eastAsia="zh-CN"/>
        </w:rPr>
      </w:pPr>
    </w:p>
    <w:p w14:paraId="0214288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748FB1">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16DAB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1BCB6BB5"/>
    <w:multiLevelType w:val="singleLevel"/>
    <w:tmpl w:val="1BCB6BB5"/>
    <w:lvl w:ilvl="0" w:tentative="0">
      <w:start w:val="6"/>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735C7B3B"/>
    <w:multiLevelType w:val="singleLevel"/>
    <w:tmpl w:val="735C7B3B"/>
    <w:lvl w:ilvl="0" w:tentative="0">
      <w:start w:val="2"/>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9B4930"/>
    <w:rsid w:val="01B104CA"/>
    <w:rsid w:val="01F42A41"/>
    <w:rsid w:val="02106AB0"/>
    <w:rsid w:val="02B43A28"/>
    <w:rsid w:val="046F331E"/>
    <w:rsid w:val="074A4D19"/>
    <w:rsid w:val="07956271"/>
    <w:rsid w:val="09721397"/>
    <w:rsid w:val="0BB63BED"/>
    <w:rsid w:val="0CF90255"/>
    <w:rsid w:val="0EB97A43"/>
    <w:rsid w:val="0EBD2122"/>
    <w:rsid w:val="0F214EAE"/>
    <w:rsid w:val="11B71E6A"/>
    <w:rsid w:val="1AAF0063"/>
    <w:rsid w:val="1BE140DE"/>
    <w:rsid w:val="20D32C92"/>
    <w:rsid w:val="248C197D"/>
    <w:rsid w:val="252959AF"/>
    <w:rsid w:val="277A6671"/>
    <w:rsid w:val="2884597F"/>
    <w:rsid w:val="292D35B7"/>
    <w:rsid w:val="30F8479D"/>
    <w:rsid w:val="30FC3D6F"/>
    <w:rsid w:val="32817910"/>
    <w:rsid w:val="33EB6CFF"/>
    <w:rsid w:val="35A12947"/>
    <w:rsid w:val="37387040"/>
    <w:rsid w:val="3B625C0A"/>
    <w:rsid w:val="3CEE1963"/>
    <w:rsid w:val="436B78D3"/>
    <w:rsid w:val="4C9C27FE"/>
    <w:rsid w:val="512260B4"/>
    <w:rsid w:val="52BD6ACB"/>
    <w:rsid w:val="55537534"/>
    <w:rsid w:val="561A74F1"/>
    <w:rsid w:val="597244E8"/>
    <w:rsid w:val="5A015073"/>
    <w:rsid w:val="5A1B61F5"/>
    <w:rsid w:val="5EB71C30"/>
    <w:rsid w:val="66AF0CE5"/>
    <w:rsid w:val="6AC537CF"/>
    <w:rsid w:val="6E5B14A6"/>
    <w:rsid w:val="6E861393"/>
    <w:rsid w:val="6E8E6774"/>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after="120" w:afterAutospacing="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5818</Words>
  <Characters>6318</Characters>
  <Lines>4</Lines>
  <Paragraphs>1</Paragraphs>
  <TotalTime>24</TotalTime>
  <ScaleCrop>false</ScaleCrop>
  <LinksUpToDate>false</LinksUpToDate>
  <CharactersWithSpaces>6392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85</cp:lastModifiedBy>
  <cp:lastPrinted>2024-03-06T07:40:00Z</cp:lastPrinted>
  <dcterms:modified xsi:type="dcterms:W3CDTF">2025-05-06T02:05:21Z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eyJoZGlkIjoiNWE4MmFhZDgzMjIxYWE5ZmFlYmQ1NGNiOTBlY2IxOTQiLCJ1c2VySWQiOiI2NjgyMDMwNzIifQ==</vt:lpwstr>
  </property>
</Properties>
</file>