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3CCA9F">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6A3F12F3">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bCs/>
          <w:sz w:val="44"/>
          <w:szCs w:val="44"/>
        </w:rPr>
      </w:pPr>
    </w:p>
    <w:p w14:paraId="47C9C0F5">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寺家庄镇</w:t>
      </w: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14:paraId="10338734">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华文楷体" w:eastAsia="华文楷体"/>
          <w:sz w:val="32"/>
          <w:szCs w:val="32"/>
        </w:rPr>
      </w:pPr>
    </w:p>
    <w:p w14:paraId="341F90FC">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寺家庄镇对</w:t>
      </w:r>
      <w:r>
        <w:rPr>
          <w:rFonts w:hint="eastAsia" w:ascii="仿宋" w:hAnsi="仿宋" w:eastAsia="仿宋"/>
          <w:sz w:val="32"/>
          <w:szCs w:val="32"/>
          <w:lang w:val="en-US" w:eastAsia="zh-CN"/>
        </w:rPr>
        <w:t>2023年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14:paraId="62259F75">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6B4A2F7B">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4EC6B858">
      <w:pPr>
        <w:keepNext w:val="0"/>
        <w:keepLines w:val="0"/>
        <w:pageBreakBefore w:val="0"/>
        <w:widowControl w:val="0"/>
        <w:kinsoku/>
        <w:wordWrap/>
        <w:overflowPunct/>
        <w:topLinePunct w:val="0"/>
        <w:autoSpaceDE/>
        <w:autoSpaceDN/>
        <w:bidi w:val="0"/>
        <w:spacing w:line="578" w:lineRule="exact"/>
        <w:ind w:firstLine="643" w:firstLineChars="200"/>
        <w:textAlignment w:val="auto"/>
        <w:rPr>
          <w:rFonts w:ascii="仿宋_GB2312" w:eastAsia="仿宋_GB2312" w:cs="仿宋_GB2312"/>
          <w:kern w:val="0"/>
          <w:sz w:val="32"/>
          <w:szCs w:val="28"/>
        </w:rPr>
      </w:pPr>
      <w:r>
        <w:rPr>
          <w:rFonts w:hint="eastAsia" w:ascii="仿宋" w:hAnsi="仿宋" w:eastAsia="仿宋" w:cs="楷体_GB2312"/>
          <w:b/>
          <w:bCs/>
          <w:sz w:val="32"/>
          <w:szCs w:val="32"/>
          <w:lang w:val="en-US" w:eastAsia="zh-CN"/>
        </w:rPr>
        <w:t xml:space="preserve"> </w:t>
      </w:r>
      <w:r>
        <w:rPr>
          <w:rFonts w:hint="eastAsia" w:ascii="仿宋_GB2312" w:eastAsia="仿宋_GB2312" w:cs="仿宋_GB2312"/>
          <w:kern w:val="0"/>
          <w:sz w:val="32"/>
          <w:szCs w:val="28"/>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95B171F">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2、讨论和决定本镇经济建设、政治建设、文化建设、社会建设、生态文明建设和党的建设以及乡村振兴中的重大问题。</w:t>
      </w:r>
    </w:p>
    <w:p w14:paraId="31938C3E">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3、组织召开本级人民代表大会，充分行使重大事项决定权、监督权和任免权，做好人大代表工作，联系选民、反映群众意见和要求。</w:t>
      </w:r>
    </w:p>
    <w:p w14:paraId="4935F187">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4、执行本行政区域内的经济和社会发展计划、预算，管理本行政区域内的经济、教育、科学、文化、卫生健康、体育事业和财政、统计、民政、司法行政等行政工作。落实本行政区域内发展规划、专项规划、区域规划、国土空</w:t>
      </w:r>
      <w:r>
        <w:rPr>
          <w:rFonts w:hint="eastAsia" w:ascii="仿宋_GB2312" w:eastAsia="仿宋_GB2312" w:cs="仿宋_GB2312"/>
          <w:kern w:val="0"/>
          <w:sz w:val="32"/>
          <w:szCs w:val="28"/>
          <w:lang w:eastAsia="zh-CN"/>
        </w:rPr>
        <w:t>间</w:t>
      </w:r>
      <w:r>
        <w:rPr>
          <w:rFonts w:hint="eastAsia" w:ascii="仿宋_GB2312" w:eastAsia="仿宋_GB2312" w:cs="仿宋_GB2312"/>
          <w:kern w:val="0"/>
          <w:sz w:val="32"/>
          <w:szCs w:val="28"/>
        </w:rPr>
        <w:t>规划,</w:t>
      </w:r>
    </w:p>
    <w:p w14:paraId="76A6F813">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5、镇党委领导镇政权机关、群团组织和其他各类组织， 加强指导和规范,支持和保证这些机关和组织依照国家法律法规以及各自章程履行职责。坚持党管武装的根本原则和制度，协调各方力量，对镇人民武装工作实行统一领导。</w:t>
      </w:r>
    </w:p>
    <w:p w14:paraId="09AA9477">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6、加强镇党委自身建设和村党组织建设，以及其他隶属 镇党委的党组织建设，抓好发展党员工作，加强党员队伍建设。维护和执行党的纪律，监督党员干部和其他任何工作人员严格遵守国家法律法规，</w:t>
      </w:r>
    </w:p>
    <w:p w14:paraId="6DAD0EA4">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7、按照干部管理权限，负责对干部的教育、培训、选拔、 考核和监督工作。协助管理上级有关</w:t>
      </w:r>
      <w:r>
        <w:rPr>
          <w:rFonts w:hint="eastAsia" w:ascii="仿宋_GB2312" w:eastAsia="仿宋_GB2312" w:cs="仿宋_GB2312"/>
          <w:kern w:val="0"/>
          <w:sz w:val="32"/>
          <w:szCs w:val="28"/>
          <w:lang w:eastAsia="zh-CN"/>
        </w:rPr>
        <w:t>单位</w:t>
      </w:r>
      <w:r>
        <w:rPr>
          <w:rFonts w:hint="eastAsia" w:ascii="仿宋_GB2312" w:eastAsia="仿宋_GB2312" w:cs="仿宋_GB2312"/>
          <w:kern w:val="0"/>
          <w:sz w:val="32"/>
          <w:szCs w:val="28"/>
        </w:rPr>
        <w:t>驻镇单位的干部。做好人才服务工作.</w:t>
      </w:r>
    </w:p>
    <w:p w14:paraId="7B1E0BF6">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0491D9B">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ascii="仿宋_GB2312" w:eastAsia="仿宋_GB2312" w:cs="仿宋_GB2312"/>
          <w:kern w:val="0"/>
          <w:sz w:val="32"/>
          <w:szCs w:val="28"/>
        </w:rPr>
      </w:pPr>
      <w:r>
        <w:rPr>
          <w:rFonts w:hint="eastAsia" w:ascii="仿宋_GB2312" w:eastAsia="仿宋_GB2312" w:cs="仿宋_GB2312"/>
          <w:kern w:val="0"/>
          <w:sz w:val="32"/>
          <w:szCs w:val="28"/>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 等各项权利。</w:t>
      </w:r>
    </w:p>
    <w:p w14:paraId="39B5FA73">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cs="楷体_GB2312"/>
          <w:b/>
          <w:bCs/>
          <w:sz w:val="32"/>
          <w:szCs w:val="32"/>
          <w:lang w:val="en-US" w:eastAsia="zh-CN"/>
        </w:rPr>
      </w:pPr>
      <w:r>
        <w:rPr>
          <w:rFonts w:hint="eastAsia" w:ascii="仿宋_GB2312" w:eastAsia="仿宋_GB2312" w:cs="仿宋_GB2312"/>
          <w:kern w:val="0"/>
          <w:sz w:val="32"/>
          <w:szCs w:val="28"/>
        </w:rPr>
        <w:t>10、承办上级党委、人大、政府交办的其他事项。</w:t>
      </w:r>
    </w:p>
    <w:p w14:paraId="45091595">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部门收支预决算情况</w:t>
      </w:r>
    </w:p>
    <w:p w14:paraId="059F4928">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1.收入支出预算总体情况说明</w:t>
      </w:r>
    </w:p>
    <w:p w14:paraId="4C02682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本单位2023年度预算收入</w:t>
      </w:r>
      <w:r>
        <w:rPr>
          <w:rFonts w:hint="eastAsia" w:ascii="仿宋_GB2312" w:eastAsia="仿宋_GB2312" w:cs="仿宋_GB2312"/>
          <w:kern w:val="0"/>
          <w:sz w:val="32"/>
          <w:szCs w:val="28"/>
          <w:lang w:val="en-US" w:eastAsia="zh-CN"/>
        </w:rPr>
        <w:t>5898.79</w:t>
      </w:r>
      <w:r>
        <w:rPr>
          <w:rFonts w:hint="eastAsia" w:ascii="仿宋_GB2312" w:eastAsia="仿宋_GB2312" w:cs="仿宋_GB2312"/>
          <w:kern w:val="0"/>
          <w:sz w:val="32"/>
          <w:szCs w:val="28"/>
          <w:lang w:eastAsia="zh-CN"/>
        </w:rPr>
        <w:t>万元，预算支出</w:t>
      </w:r>
      <w:r>
        <w:rPr>
          <w:rFonts w:hint="eastAsia" w:ascii="仿宋_GB2312" w:eastAsia="仿宋_GB2312" w:cs="仿宋_GB2312"/>
          <w:kern w:val="0"/>
          <w:sz w:val="32"/>
          <w:szCs w:val="28"/>
          <w:lang w:val="en-US" w:eastAsia="zh-CN"/>
        </w:rPr>
        <w:t>5898.79</w:t>
      </w:r>
      <w:r>
        <w:rPr>
          <w:rFonts w:hint="eastAsia" w:ascii="仿宋_GB2312" w:eastAsia="仿宋_GB2312" w:cs="仿宋_GB2312"/>
          <w:kern w:val="0"/>
          <w:sz w:val="32"/>
          <w:szCs w:val="28"/>
          <w:lang w:eastAsia="zh-CN"/>
        </w:rPr>
        <w:t>万元。</w:t>
      </w:r>
    </w:p>
    <w:p w14:paraId="7588EC1F">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2.收入支出决算总体情况说明</w:t>
      </w:r>
    </w:p>
    <w:p w14:paraId="655C8CE1">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eastAsia="仿宋_GB2312" w:cs="仿宋_GB2312"/>
          <w:kern w:val="0"/>
          <w:sz w:val="32"/>
          <w:szCs w:val="28"/>
          <w:lang w:eastAsia="zh-CN"/>
        </w:rPr>
      </w:pPr>
      <w:r>
        <w:rPr>
          <w:rFonts w:hint="eastAsia" w:ascii="仿宋_GB2312" w:eastAsia="仿宋_GB2312" w:cs="仿宋_GB2312"/>
          <w:kern w:val="0"/>
          <w:sz w:val="32"/>
          <w:szCs w:val="28"/>
          <w:lang w:eastAsia="zh-CN"/>
        </w:rPr>
        <w:t>本单位2023年度收、支总计（含结转和结余）</w:t>
      </w:r>
      <w:r>
        <w:rPr>
          <w:rFonts w:hint="eastAsia" w:ascii="仿宋_GB2312" w:eastAsia="仿宋_GB2312" w:cs="仿宋_GB2312"/>
          <w:kern w:val="0"/>
          <w:sz w:val="32"/>
          <w:szCs w:val="28"/>
          <w:lang w:val="en-US" w:eastAsia="zh-CN"/>
        </w:rPr>
        <w:t>5898.79</w:t>
      </w:r>
      <w:r>
        <w:rPr>
          <w:rFonts w:hint="eastAsia" w:ascii="仿宋_GB2312" w:eastAsia="仿宋_GB2312" w:cs="仿宋_GB2312"/>
          <w:kern w:val="0"/>
          <w:sz w:val="32"/>
          <w:szCs w:val="28"/>
          <w:lang w:eastAsia="zh-CN"/>
        </w:rPr>
        <w:t>万元。与2022年度决算相比，收支各减少</w:t>
      </w:r>
      <w:r>
        <w:rPr>
          <w:rFonts w:hint="eastAsia" w:ascii="仿宋_GB2312" w:eastAsia="仿宋_GB2312" w:cs="仿宋_GB2312"/>
          <w:kern w:val="0"/>
          <w:sz w:val="32"/>
          <w:szCs w:val="28"/>
          <w:lang w:val="en-US" w:eastAsia="zh-CN"/>
        </w:rPr>
        <w:t>1343.22</w:t>
      </w:r>
      <w:r>
        <w:rPr>
          <w:rFonts w:hint="eastAsia" w:ascii="仿宋_GB2312" w:eastAsia="仿宋_GB2312" w:cs="仿宋_GB2312"/>
          <w:kern w:val="0"/>
          <w:sz w:val="32"/>
          <w:szCs w:val="28"/>
          <w:lang w:eastAsia="zh-CN"/>
        </w:rPr>
        <w:t>万元，减少</w:t>
      </w:r>
      <w:r>
        <w:rPr>
          <w:rFonts w:hint="eastAsia" w:ascii="仿宋_GB2312" w:eastAsia="仿宋_GB2312" w:cs="仿宋_GB2312"/>
          <w:kern w:val="0"/>
          <w:sz w:val="32"/>
          <w:szCs w:val="28"/>
          <w:lang w:val="en-US" w:eastAsia="zh-CN"/>
        </w:rPr>
        <w:t>18.5</w:t>
      </w:r>
      <w:r>
        <w:rPr>
          <w:rFonts w:hint="eastAsia" w:ascii="仿宋_GB2312" w:eastAsia="仿宋_GB2312" w:cs="仿宋_GB2312"/>
          <w:kern w:val="0"/>
          <w:sz w:val="32"/>
          <w:szCs w:val="28"/>
          <w:lang w:eastAsia="zh-CN"/>
        </w:rPr>
        <w:t>%，主要原因是城乡社区事务项目支出的减少。</w:t>
      </w:r>
    </w:p>
    <w:p w14:paraId="0A8B9050">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14:paraId="770F713E">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2023年我镇工作的指导思想和总体思路是:坚持以习近平新时代中国特色社会主义思想为指导，深入贯彻党的二十大、二十届二中全会精神，落实区委全会和两会</w:t>
      </w:r>
      <w:bookmarkStart w:id="0" w:name="_GoBack"/>
      <w:bookmarkEnd w:id="0"/>
      <w:r>
        <w:rPr>
          <w:rFonts w:hint="eastAsia" w:ascii="仿宋" w:hAnsi="仿宋" w:eastAsia="仿宋" w:cs="楷体_GB2312"/>
          <w:b w:val="0"/>
          <w:bCs w:val="0"/>
          <w:sz w:val="32"/>
          <w:szCs w:val="32"/>
          <w:lang w:val="en-US" w:eastAsia="zh-CN"/>
        </w:rPr>
        <w:t>部署，坚持稳中求进工作总基调，推动我镇高质量发展。</w:t>
      </w:r>
    </w:p>
    <w:p w14:paraId="7F45F62F">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outlineLvl w:val="9"/>
        <w:rPr>
          <w:rFonts w:hint="eastAsia"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抓好重点项目落地投产，打造立足长远、功能完备的优质项目;加强财税管理，确保完成2023年各项经济指标。以产业兴、生态美、乡风清、治理有效、生活富裕为总目标多措并举进一步提升基层党建水平，以党建引领“五有”美丽乡村建设。</w:t>
      </w:r>
    </w:p>
    <w:p w14:paraId="07EBECBA">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0" w:firstLineChars="200"/>
        <w:textAlignment w:val="auto"/>
        <w:outlineLvl w:val="9"/>
        <w:rPr>
          <w:rFonts w:hint="default" w:ascii="仿宋" w:hAnsi="仿宋" w:eastAsia="仿宋" w:cs="楷体_GB2312"/>
          <w:b w:val="0"/>
          <w:bCs w:val="0"/>
          <w:sz w:val="32"/>
          <w:szCs w:val="32"/>
          <w:lang w:val="en-US" w:eastAsia="zh-CN"/>
        </w:rPr>
      </w:pPr>
      <w:r>
        <w:rPr>
          <w:rFonts w:hint="eastAsia" w:ascii="仿宋" w:hAnsi="仿宋" w:eastAsia="仿宋" w:cs="楷体_GB2312"/>
          <w:b w:val="0"/>
          <w:bCs w:val="0"/>
          <w:sz w:val="32"/>
          <w:szCs w:val="32"/>
          <w:lang w:val="en-US" w:eastAsia="zh-CN"/>
        </w:rPr>
        <w:t>保辖区民生稳定发展，强基层民政服务能力，着力化解重点信访案件，构建和谐治安综合治理局面;提升教育医疗水平，筑牢疫情防控线; 深化各项灾害预防细化措施和大气污染治理的联防联控机制。</w:t>
      </w:r>
    </w:p>
    <w:p w14:paraId="4BD044A2">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0F56B71">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4BB96AAB">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ascii="仿宋" w:hAnsi="仿宋" w:eastAsia="仿宋"/>
          <w:sz w:val="32"/>
          <w:szCs w:val="32"/>
        </w:rPr>
      </w:pPr>
      <w:r>
        <w:rPr>
          <w:rFonts w:hint="eastAsia" w:ascii="仿宋" w:hAnsi="仿宋" w:eastAsia="仿宋"/>
          <w:sz w:val="32"/>
          <w:szCs w:val="32"/>
        </w:rPr>
        <w:t xml:space="preserve">    一是采用目标比较法对</w:t>
      </w:r>
      <w:r>
        <w:rPr>
          <w:rFonts w:hint="eastAsia" w:ascii="仿宋" w:hAnsi="仿宋" w:eastAsia="仿宋"/>
          <w:sz w:val="32"/>
          <w:szCs w:val="32"/>
          <w:lang w:eastAsia="zh-CN"/>
        </w:rPr>
        <w:t>2023年</w:t>
      </w:r>
      <w:r>
        <w:rPr>
          <w:rFonts w:hint="eastAsia" w:ascii="仿宋" w:hAnsi="仿宋" w:eastAsia="仿宋"/>
          <w:sz w:val="32"/>
          <w:szCs w:val="32"/>
        </w:rPr>
        <w:t>预算项目进行分析，通过定量和定性分析相结合的方式，将预算项目的绩效实现情况与预期绩效目标进行比较，对目标完成、预算执行、组织实施、资金管理等情况进行分析研判。二是清晰果定工作内容与其需要达到的标准，在前期进行大量调查研究基础上进行项目策略计划的编制、充分论证绩效目标和指标的设定是否合理，精确分析项目执行过程，着重预算项目的绩效监控、风险控制、资金筹措及绩效制度监管过程，认真组织实施了预算绩效的自评工作。</w:t>
      </w:r>
    </w:p>
    <w:p w14:paraId="436AD6EB">
      <w:pPr>
        <w:keepNext w:val="0"/>
        <w:keepLines w:val="0"/>
        <w:pageBreakBefore w:val="0"/>
        <w:widowControl w:val="0"/>
        <w:numPr>
          <w:ilvl w:val="0"/>
          <w:numId w:val="2"/>
        </w:numPr>
        <w:kinsoku/>
        <w:wordWrap/>
        <w:overflowPunct/>
        <w:topLinePunct w:val="0"/>
        <w:autoSpaceDE/>
        <w:autoSpaceDN/>
        <w:bidi w:val="0"/>
        <w:spacing w:line="578"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5438393B">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1.自评方法:根据不同项目情况，选用适宜标准进行评价。主要采用目标比较法通过定量和定性评价标准与不同项目的客观实际相结合多角度综合评价</w:t>
      </w:r>
    </w:p>
    <w:p w14:paraId="015CFDF5">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2.自评过程:第一组织人员对预算项目前期和执行过程中的资料进行收集整理; 第二分析项目目标实现过程中出现的问题及采取的措施，从项目可行性、预算编制、目标设定、材料采购过程实施、资金拨付等各个环节严格按评价管理办法逐一分析;第三根据项目实际完成情况及项目自身特点真实、客观、公平、公正进行自评。</w:t>
      </w:r>
    </w:p>
    <w:p w14:paraId="5599E107">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69215432">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75AF970F">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2023年在区委、区政府和镇党委的坚强领导下，在镇人大的监督支持下，我镇始终坚持以习近平新时代中国特色社会主义思想为指引，深入学习贯彻党的二十大精神，牢牢把握中央“疫情要防住、经济要稳住、发展要安全”总要求，</w:t>
      </w:r>
      <w:r>
        <w:rPr>
          <w:rFonts w:hint="eastAsia" w:ascii="仿宋" w:hAnsi="仿宋" w:eastAsia="仿宋"/>
          <w:sz w:val="32"/>
          <w:szCs w:val="32"/>
        </w:rPr>
        <w:t>认真落实河北省“1+20”政策体系，正确处理发展与稳定的关系</w:t>
      </w:r>
      <w:r>
        <w:rPr>
          <w:rFonts w:hint="eastAsia" w:ascii="仿宋" w:hAnsi="仿宋" w:eastAsia="仿宋"/>
          <w:sz w:val="32"/>
          <w:szCs w:val="32"/>
          <w:lang w:eastAsia="zh-CN"/>
        </w:rPr>
        <w:t>；</w:t>
      </w:r>
      <w:r>
        <w:rPr>
          <w:rFonts w:hint="eastAsia" w:ascii="仿宋" w:hAnsi="仿宋" w:eastAsia="仿宋"/>
          <w:sz w:val="32"/>
          <w:szCs w:val="32"/>
          <w:lang w:val="en-US" w:eastAsia="zh-CN"/>
        </w:rPr>
        <w:t>围绕区政府“</w:t>
      </w:r>
      <w:r>
        <w:rPr>
          <w:rFonts w:hint="eastAsia" w:ascii="仿宋" w:hAnsi="仿宋" w:eastAsia="仿宋"/>
          <w:sz w:val="32"/>
          <w:szCs w:val="32"/>
          <w:lang w:eastAsia="zh-CN"/>
        </w:rPr>
        <w:t>‘六区同创’全面做乘法，高质量发展明显突破”</w:t>
      </w:r>
      <w:r>
        <w:rPr>
          <w:rFonts w:hint="eastAsia" w:ascii="仿宋" w:hAnsi="仿宋" w:eastAsia="仿宋"/>
          <w:sz w:val="32"/>
          <w:szCs w:val="32"/>
          <w:lang w:val="en-US" w:eastAsia="zh-CN"/>
        </w:rPr>
        <w:t>的</w:t>
      </w:r>
      <w:r>
        <w:rPr>
          <w:rFonts w:hint="eastAsia" w:ascii="仿宋" w:hAnsi="仿宋" w:eastAsia="仿宋"/>
          <w:sz w:val="32"/>
          <w:szCs w:val="32"/>
          <w:lang w:eastAsia="zh-CN"/>
        </w:rPr>
        <w:t>工作总基调；</w:t>
      </w:r>
      <w:r>
        <w:rPr>
          <w:rFonts w:hint="eastAsia" w:ascii="仿宋" w:hAnsi="仿宋" w:eastAsia="仿宋"/>
          <w:sz w:val="32"/>
          <w:szCs w:val="32"/>
        </w:rPr>
        <w:t>围绕“打造千亿级电子信息产业集群与智能制造业产业”发展定位，</w:t>
      </w:r>
      <w:r>
        <w:rPr>
          <w:rFonts w:hint="eastAsia" w:ascii="仿宋" w:hAnsi="仿宋" w:eastAsia="仿宋"/>
          <w:sz w:val="32"/>
          <w:szCs w:val="32"/>
          <w:lang w:val="en-US" w:eastAsia="zh-CN"/>
        </w:rPr>
        <w:t>团结带领全镇干部群众，奋发有为、开拓进取，圆满完成了全年各项目标任务。</w:t>
      </w:r>
    </w:p>
    <w:p w14:paraId="0FEC43B7">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cs="楷体_GB2312"/>
          <w:b/>
          <w:bCs/>
          <w:sz w:val="32"/>
          <w:szCs w:val="32"/>
        </w:rPr>
      </w:pPr>
      <w:r>
        <w:rPr>
          <w:rFonts w:hint="eastAsia" w:ascii="仿宋" w:hAnsi="仿宋" w:eastAsia="仿宋"/>
          <w:sz w:val="32"/>
          <w:szCs w:val="32"/>
          <w:lang w:val="en-US" w:eastAsia="zh-CN"/>
        </w:rPr>
        <w:t>2023年度全年财政收入3.48亿元，同比增长32%；一般公共预算收入1.72亿元，同比增长34.2%，增速全区第一；规上工业产值完成49亿元，增加值增速30.02%，全区排名第三；固定资产投资完成6.6亿元，同比增长190.5%，全区排名第二</w:t>
      </w:r>
      <w:r>
        <w:rPr>
          <w:rFonts w:hint="eastAsia" w:ascii="仿宋" w:hAnsi="仿宋" w:eastAsia="仿宋"/>
          <w:sz w:val="32"/>
          <w:szCs w:val="32"/>
          <w:lang w:eastAsia="zh-CN"/>
        </w:rPr>
        <w:t>。</w:t>
      </w:r>
      <w:r>
        <w:rPr>
          <w:rFonts w:hint="eastAsia" w:ascii="仿宋" w:hAnsi="仿宋" w:eastAsia="仿宋"/>
          <w:sz w:val="32"/>
          <w:szCs w:val="32"/>
        </w:rPr>
        <w:t xml:space="preserve"> </w:t>
      </w: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w:t>
      </w:r>
    </w:p>
    <w:p w14:paraId="60883074">
      <w:pPr>
        <w:keepNext w:val="0"/>
        <w:keepLines w:val="0"/>
        <w:pageBreakBefore w:val="0"/>
        <w:widowControl w:val="0"/>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lang w:eastAsia="zh-CN"/>
        </w:rPr>
      </w:pPr>
      <w:r>
        <w:rPr>
          <w:rFonts w:hint="eastAsia" w:ascii="仿宋" w:hAnsi="仿宋" w:eastAsia="仿宋" w:cs="楷体_GB2312"/>
          <w:b/>
          <w:bCs/>
          <w:sz w:val="32"/>
          <w:szCs w:val="32"/>
        </w:rPr>
        <w:t>（二）</w:t>
      </w:r>
      <w:r>
        <w:rPr>
          <w:rFonts w:hint="eastAsia" w:ascii="仿宋" w:hAnsi="仿宋" w:eastAsia="仿宋" w:cs="楷体_GB2312"/>
          <w:b/>
          <w:bCs/>
          <w:sz w:val="32"/>
          <w:szCs w:val="32"/>
          <w:lang w:eastAsia="zh-CN"/>
        </w:rPr>
        <w:t>分项绩效目标实现情况及指标分析</w:t>
      </w:r>
    </w:p>
    <w:p w14:paraId="321CFC0A">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退役军人人员公益性性岗位工资</w:t>
      </w:r>
      <w:r>
        <w:rPr>
          <w:rFonts w:hint="eastAsia" w:ascii="仿宋" w:hAnsi="仿宋" w:eastAsia="仿宋"/>
          <w:sz w:val="32"/>
          <w:szCs w:val="32"/>
        </w:rPr>
        <w:t>项目自评综述：根据年初设定的绩效目标，</w:t>
      </w:r>
      <w:r>
        <w:rPr>
          <w:rFonts w:hint="eastAsia" w:ascii="仿宋" w:hAnsi="仿宋" w:eastAsia="仿宋"/>
          <w:sz w:val="32"/>
          <w:szCs w:val="32"/>
          <w:lang w:eastAsia="zh-CN"/>
        </w:rPr>
        <w:t>该项目</w:t>
      </w:r>
      <w:r>
        <w:rPr>
          <w:rFonts w:hint="eastAsia" w:ascii="仿宋" w:hAnsi="仿宋" w:eastAsia="仿宋"/>
          <w:sz w:val="32"/>
          <w:szCs w:val="32"/>
        </w:rPr>
        <w:t>项目绩效自评得分为</w:t>
      </w:r>
      <w:r>
        <w:rPr>
          <w:rFonts w:hint="eastAsia" w:ascii="仿宋" w:hAnsi="仿宋" w:eastAsia="仿宋"/>
          <w:sz w:val="32"/>
          <w:szCs w:val="32"/>
          <w:lang w:val="en-US" w:eastAsia="zh-CN"/>
        </w:rPr>
        <w:t>100</w:t>
      </w:r>
      <w:r>
        <w:rPr>
          <w:rFonts w:hint="eastAsia" w:ascii="仿宋" w:hAnsi="仿宋" w:eastAsia="仿宋"/>
          <w:sz w:val="32"/>
          <w:szCs w:val="32"/>
        </w:rPr>
        <w:t>分。全年预算数为</w:t>
      </w:r>
      <w:r>
        <w:rPr>
          <w:rFonts w:hint="eastAsia" w:ascii="仿宋" w:hAnsi="仿宋" w:eastAsia="仿宋"/>
          <w:sz w:val="32"/>
          <w:szCs w:val="32"/>
          <w:lang w:val="en-US" w:eastAsia="zh-CN"/>
        </w:rPr>
        <w:t>102.87</w:t>
      </w:r>
      <w:r>
        <w:rPr>
          <w:rFonts w:hint="eastAsia" w:ascii="仿宋" w:hAnsi="仿宋" w:eastAsia="仿宋"/>
          <w:sz w:val="32"/>
          <w:szCs w:val="32"/>
        </w:rPr>
        <w:t>万元，执行数为</w:t>
      </w:r>
      <w:r>
        <w:rPr>
          <w:rFonts w:hint="eastAsia" w:ascii="仿宋" w:hAnsi="仿宋" w:eastAsia="仿宋"/>
          <w:sz w:val="32"/>
          <w:szCs w:val="32"/>
          <w:lang w:val="en-US" w:eastAsia="zh-CN"/>
        </w:rPr>
        <w:t>102.87</w:t>
      </w:r>
      <w:r>
        <w:rPr>
          <w:rFonts w:hint="eastAsia" w:ascii="仿宋" w:hAnsi="仿宋" w:eastAsia="仿宋"/>
          <w:sz w:val="32"/>
          <w:szCs w:val="32"/>
        </w:rPr>
        <w:t>万元，完成预算的</w:t>
      </w:r>
      <w:r>
        <w:rPr>
          <w:rFonts w:hint="eastAsia" w:ascii="仿宋" w:hAnsi="仿宋" w:eastAsia="仿宋"/>
          <w:sz w:val="32"/>
          <w:szCs w:val="32"/>
          <w:lang w:val="en-US" w:eastAsia="zh-CN"/>
        </w:rPr>
        <w:t>100%</w:t>
      </w:r>
      <w:r>
        <w:rPr>
          <w:rFonts w:hint="eastAsia" w:ascii="仿宋" w:hAnsi="仿宋" w:eastAsia="仿宋"/>
          <w:sz w:val="32"/>
          <w:szCs w:val="32"/>
        </w:rPr>
        <w:t>。项目绩效目标完成情况：一是</w:t>
      </w:r>
      <w:r>
        <w:rPr>
          <w:rFonts w:hint="eastAsia" w:ascii="仿宋" w:hAnsi="仿宋" w:eastAsia="仿宋"/>
          <w:sz w:val="32"/>
          <w:szCs w:val="32"/>
          <w:lang w:eastAsia="zh-CN"/>
        </w:rPr>
        <w:t>按时完成</w:t>
      </w:r>
      <w:r>
        <w:rPr>
          <w:rFonts w:hint="eastAsia" w:ascii="仿宋" w:hAnsi="仿宋" w:eastAsia="仿宋"/>
          <w:sz w:val="32"/>
          <w:szCs w:val="32"/>
        </w:rPr>
        <w:t>；二是</w:t>
      </w:r>
      <w:r>
        <w:rPr>
          <w:rFonts w:hint="eastAsia" w:ascii="仿宋" w:hAnsi="仿宋" w:eastAsia="仿宋"/>
          <w:sz w:val="32"/>
          <w:szCs w:val="32"/>
          <w:lang w:eastAsia="zh-CN"/>
        </w:rPr>
        <w:t>高质量完成</w:t>
      </w:r>
      <w:r>
        <w:rPr>
          <w:rFonts w:hint="eastAsia" w:ascii="仿宋" w:hAnsi="仿宋" w:eastAsia="仿宋"/>
          <w:sz w:val="32"/>
          <w:szCs w:val="32"/>
        </w:rPr>
        <w:t>。下一步改进措施：一是</w:t>
      </w:r>
      <w:r>
        <w:rPr>
          <w:rFonts w:hint="eastAsia" w:ascii="仿宋" w:hAnsi="仿宋" w:eastAsia="仿宋"/>
          <w:sz w:val="32"/>
          <w:szCs w:val="32"/>
          <w:lang w:eastAsia="zh-CN"/>
        </w:rPr>
        <w:t>健全考核机制</w:t>
      </w:r>
      <w:r>
        <w:rPr>
          <w:rFonts w:hint="eastAsia" w:ascii="仿宋" w:hAnsi="仿宋" w:eastAsia="仿宋"/>
          <w:sz w:val="32"/>
          <w:szCs w:val="32"/>
        </w:rPr>
        <w:t>；二是</w:t>
      </w:r>
      <w:r>
        <w:rPr>
          <w:rFonts w:hint="eastAsia" w:ascii="仿宋" w:hAnsi="仿宋" w:eastAsia="仿宋"/>
          <w:sz w:val="32"/>
          <w:szCs w:val="32"/>
          <w:lang w:eastAsia="zh-CN"/>
        </w:rPr>
        <w:t>加强事后监督</w:t>
      </w:r>
      <w:r>
        <w:rPr>
          <w:rFonts w:hint="eastAsia" w:ascii="仿宋" w:hAnsi="仿宋" w:eastAsia="仿宋"/>
          <w:sz w:val="32"/>
          <w:szCs w:val="32"/>
        </w:rPr>
        <w:t>。</w:t>
      </w:r>
    </w:p>
    <w:p w14:paraId="3625DD50">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区级</w:t>
      </w:r>
      <w:r>
        <w:rPr>
          <w:rFonts w:hint="eastAsia" w:ascii="仿宋" w:hAnsi="仿宋" w:eastAsia="仿宋"/>
          <w:sz w:val="32"/>
          <w:szCs w:val="32"/>
          <w:lang w:val="en-US" w:eastAsia="zh-CN"/>
        </w:rPr>
        <w:t>107国道绿化、道路等管护经费、南龙贵村道路硬化项目等2个项目均为区级项目，预算资金分别为13.85和7.03万元，执行数为13.85万元及4.76万。上述项目目标都能较好完成，保障了我镇各项工作正常运行。</w:t>
      </w:r>
    </w:p>
    <w:p w14:paraId="0F1E62B8">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劳务派遣人员工资及保险、教育临时工工资项目等</w:t>
      </w:r>
      <w:r>
        <w:rPr>
          <w:rFonts w:hint="eastAsia" w:ascii="仿宋" w:hAnsi="仿宋" w:eastAsia="仿宋"/>
          <w:sz w:val="32"/>
          <w:szCs w:val="32"/>
          <w:lang w:val="en-US" w:eastAsia="zh-CN"/>
        </w:rPr>
        <w:t>2个项目，是我镇的民生投入项目，预算数656.73万元，执行数656.73万元，预算执行率100%。由于我镇上年财力不足，上述2个项目2023年度预算资金不足，资金支付需列入下年预算。</w:t>
      </w:r>
    </w:p>
    <w:p w14:paraId="6B3E95BE">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3DCCDDD5">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0A3C0E1E">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color w:val="auto"/>
          <w:sz w:val="32"/>
          <w:szCs w:val="32"/>
        </w:rPr>
      </w:pPr>
      <w:r>
        <w:rPr>
          <w:rFonts w:hint="eastAsia" w:ascii="仿宋_GB2312" w:hAnsi="宋体" w:eastAsia="仿宋_GB2312"/>
          <w:color w:val="auto"/>
          <w:sz w:val="32"/>
          <w:szCs w:val="32"/>
          <w:lang w:eastAsia="zh-CN"/>
        </w:rPr>
        <w:t>2023</w:t>
      </w:r>
      <w:r>
        <w:rPr>
          <w:rFonts w:hint="eastAsia" w:ascii="仿宋_GB2312" w:hAnsi="宋体" w:eastAsia="仿宋_GB2312"/>
          <w:color w:val="auto"/>
          <w:sz w:val="32"/>
          <w:szCs w:val="32"/>
        </w:rPr>
        <w:t>年</w:t>
      </w:r>
      <w:r>
        <w:rPr>
          <w:rFonts w:hint="eastAsia" w:ascii="仿宋_GB2312" w:hAnsi="宋体" w:eastAsia="仿宋_GB2312"/>
          <w:color w:val="auto"/>
          <w:sz w:val="32"/>
          <w:szCs w:val="32"/>
          <w:lang w:eastAsia="zh-CN"/>
        </w:rPr>
        <w:t>本单位</w:t>
      </w:r>
      <w:r>
        <w:rPr>
          <w:rFonts w:hint="eastAsia" w:ascii="仿宋_GB2312" w:hAnsi="宋体" w:eastAsia="仿宋_GB2312"/>
          <w:color w:val="auto"/>
          <w:sz w:val="32"/>
          <w:szCs w:val="32"/>
        </w:rPr>
        <w:t>绩效自评项目共</w:t>
      </w:r>
      <w:r>
        <w:rPr>
          <w:rFonts w:hint="eastAsia" w:ascii="仿宋_GB2312" w:hAnsi="宋体" w:eastAsia="仿宋_GB2312"/>
          <w:color w:val="auto"/>
          <w:sz w:val="32"/>
          <w:szCs w:val="32"/>
          <w:lang w:val="en-US" w:eastAsia="zh-CN"/>
        </w:rPr>
        <w:t>62</w:t>
      </w:r>
      <w:r>
        <w:rPr>
          <w:rFonts w:hint="eastAsia" w:ascii="仿宋_GB2312" w:hAnsi="宋体" w:eastAsia="仿宋_GB2312"/>
          <w:color w:val="auto"/>
          <w:sz w:val="32"/>
          <w:szCs w:val="32"/>
        </w:rPr>
        <w:t>个，其中</w:t>
      </w:r>
      <w:r>
        <w:rPr>
          <w:rFonts w:hint="eastAsia" w:ascii="仿宋_GB2312" w:hAnsi="仿宋" w:eastAsia="仿宋_GB2312"/>
          <w:color w:val="auto"/>
          <w:sz w:val="32"/>
          <w:szCs w:val="32"/>
        </w:rPr>
        <w:t>评价等级为“优</w:t>
      </w:r>
      <w:r>
        <w:rPr>
          <w:rFonts w:hint="eastAsia" w:ascii="仿宋_GB2312" w:hAnsi="仿宋" w:eastAsia="仿宋_GB2312"/>
          <w:color w:val="auto"/>
          <w:sz w:val="32"/>
          <w:szCs w:val="32"/>
          <w:lang w:eastAsia="zh-CN"/>
        </w:rPr>
        <w:t>秀</w:t>
      </w:r>
      <w:r>
        <w:rPr>
          <w:rFonts w:hint="eastAsia" w:ascii="仿宋_GB2312" w:hAnsi="仿宋" w:eastAsia="仿宋_GB2312"/>
          <w:color w:val="auto"/>
          <w:sz w:val="32"/>
          <w:szCs w:val="32"/>
        </w:rPr>
        <w:t>”项目</w:t>
      </w:r>
      <w:r>
        <w:rPr>
          <w:rFonts w:hint="eastAsia" w:ascii="仿宋_GB2312" w:hAnsi="仿宋" w:eastAsia="仿宋_GB2312"/>
          <w:color w:val="auto"/>
          <w:sz w:val="32"/>
          <w:szCs w:val="32"/>
          <w:lang w:val="en-US" w:eastAsia="zh-CN"/>
        </w:rPr>
        <w:t>60</w:t>
      </w:r>
      <w:r>
        <w:rPr>
          <w:rFonts w:hint="eastAsia" w:ascii="仿宋_GB2312" w:hAnsi="仿宋" w:eastAsia="仿宋_GB2312"/>
          <w:color w:val="auto"/>
          <w:sz w:val="32"/>
          <w:szCs w:val="32"/>
        </w:rPr>
        <w:t>个，评价等级为“良</w:t>
      </w:r>
      <w:r>
        <w:rPr>
          <w:rFonts w:hint="eastAsia" w:ascii="仿宋_GB2312" w:hAnsi="仿宋" w:eastAsia="仿宋_GB2312"/>
          <w:color w:val="auto"/>
          <w:sz w:val="32"/>
          <w:szCs w:val="32"/>
          <w:lang w:eastAsia="zh-CN"/>
        </w:rPr>
        <w:t>好</w:t>
      </w:r>
      <w:r>
        <w:rPr>
          <w:rFonts w:hint="eastAsia" w:ascii="仿宋_GB2312" w:hAnsi="仿宋" w:eastAsia="仿宋_GB2312"/>
          <w:color w:val="auto"/>
          <w:sz w:val="32"/>
          <w:szCs w:val="32"/>
        </w:rPr>
        <w:t>”的项目</w:t>
      </w:r>
      <w:r>
        <w:rPr>
          <w:rFonts w:hint="eastAsia" w:ascii="仿宋_GB2312" w:hAnsi="仿宋" w:eastAsia="仿宋_GB2312"/>
          <w:color w:val="auto"/>
          <w:sz w:val="32"/>
          <w:szCs w:val="32"/>
          <w:lang w:val="en-US" w:eastAsia="zh-CN"/>
        </w:rPr>
        <w:t>1</w:t>
      </w:r>
      <w:r>
        <w:rPr>
          <w:rFonts w:hint="eastAsia" w:ascii="仿宋_GB2312" w:hAnsi="仿宋" w:eastAsia="仿宋_GB2312"/>
          <w:color w:val="auto"/>
          <w:sz w:val="32"/>
          <w:szCs w:val="32"/>
        </w:rPr>
        <w:t>个，</w:t>
      </w:r>
      <w:r>
        <w:rPr>
          <w:rFonts w:hint="eastAsia" w:ascii="仿宋_GB2312" w:hAnsi="仿宋" w:eastAsia="仿宋_GB2312"/>
          <w:color w:val="auto"/>
          <w:sz w:val="32"/>
          <w:szCs w:val="32"/>
          <w:lang w:eastAsia="zh-CN"/>
        </w:rPr>
        <w:t>评价等级为“一般”的项目</w:t>
      </w:r>
      <w:r>
        <w:rPr>
          <w:rFonts w:hint="eastAsia" w:ascii="仿宋_GB2312" w:hAnsi="仿宋" w:eastAsia="仿宋_GB2312"/>
          <w:color w:val="auto"/>
          <w:sz w:val="32"/>
          <w:szCs w:val="32"/>
          <w:lang w:val="en-US" w:eastAsia="zh-CN"/>
        </w:rPr>
        <w:t>1个，</w:t>
      </w:r>
      <w:r>
        <w:rPr>
          <w:rFonts w:hint="eastAsia" w:ascii="仿宋_GB2312" w:hAnsi="宋体" w:eastAsia="仿宋_GB2312"/>
          <w:color w:val="auto"/>
          <w:sz w:val="32"/>
          <w:szCs w:val="32"/>
        </w:rPr>
        <w:t>详见</w:t>
      </w:r>
      <w:r>
        <w:rPr>
          <w:rFonts w:hint="eastAsia" w:ascii="仿宋_GB2312" w:hAnsi="宋体" w:eastAsia="仿宋_GB2312"/>
          <w:color w:val="auto"/>
          <w:sz w:val="32"/>
          <w:szCs w:val="32"/>
          <w:lang w:val="en-US" w:eastAsia="zh-CN"/>
        </w:rPr>
        <w:t>下</w:t>
      </w:r>
      <w:r>
        <w:rPr>
          <w:rFonts w:hint="eastAsia" w:ascii="仿宋_GB2312" w:hAnsi="宋体" w:eastAsia="仿宋_GB2312"/>
          <w:color w:val="auto"/>
          <w:sz w:val="32"/>
          <w:szCs w:val="32"/>
        </w:rPr>
        <w:t>表。</w:t>
      </w:r>
    </w:p>
    <w:tbl>
      <w:tblPr>
        <w:tblStyle w:val="4"/>
        <w:tblW w:w="88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5"/>
        <w:gridCol w:w="5874"/>
        <w:gridCol w:w="1110"/>
        <w:gridCol w:w="1161"/>
      </w:tblGrid>
      <w:tr w14:paraId="46E0E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DD63D">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FB7B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429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自评得分</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19F4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评价等级</w:t>
            </w:r>
          </w:p>
        </w:tc>
      </w:tr>
      <w:tr w14:paraId="4C00E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C3DD2">
            <w:pPr>
              <w:keepNext w:val="0"/>
              <w:keepLines w:val="0"/>
              <w:widowControl/>
              <w:suppressLineNumbers w:val="0"/>
              <w:jc w:val="center"/>
              <w:textAlignment w:val="center"/>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31A78">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w:t>
            </w:r>
            <w:r>
              <w:rPr>
                <w:rStyle w:val="7"/>
                <w:lang w:val="en-US" w:eastAsia="zh-CN" w:bidi="ar"/>
              </w:rPr>
              <w:t>年镇级专项公用经费项目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5F7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EAF7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812B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DD08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D1920">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2023年文化体育与传媒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903D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C33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D040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9A0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CE623">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2023年107国道两侧绿化管护经费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34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67B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58F70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BCE9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ACEE">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2023年镇级教育临时工工资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7CC7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9B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078F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4AD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9567E">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2023年独生子女父母奖励</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9A3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BA9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B26E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38DE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87B1D">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2023年镇级城乡社区事务支出项目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1E7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96</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9A9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21EB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AB68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053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寺家庄镇农村生活垃圾清理资金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F3D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71E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F679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638C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78BA3">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2023年寺家庄镇大气污染防尘治理服务项目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262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2DF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5A2E9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A6D8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CEEE4">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2023年镇级办公设备购置项目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B37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3E9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E2AC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0399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71890">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2023年教育临时工工资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28D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4E0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CB34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D3CF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F6025">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2023年城乡社区事务支出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54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6CA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6C67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B1FD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04693">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2023年区级寺家庄镇青银高速两侧环境卫生整治工程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6295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79E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4FE6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205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F55A5">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2023年镇级镇专项业务支出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7CD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12C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6F9F9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BE8F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D4C7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区级追加寺家庄镇107国道平南段房屋拆迁补偿</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76D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043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BF2F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D59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9E5B9">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寺家庄镇农村生活垃圾清理资金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01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0A6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EA40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7924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DEA4">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2023年743寺高线、763寺平线、748高迁一线及767营东线线路迁改工程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1E4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827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7251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B901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5BBB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寺家庄镇农村生活垃圾清理项目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2AD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ECB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CE2B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CCF5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EB71C">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2023年镇级城乡社区事务支出</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919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94.89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D693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58211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137C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156B8">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寺家庄镇绿化租地相关税费项目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10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D8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9EA9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E658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8622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2023年教育临时工工资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832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6BF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5BBF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A05D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C22D">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2E5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D0F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958B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61BB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27076">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寺家庄镇绿化租地相关税费项目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36E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AC1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D14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4B2F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4F29C">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2023年农村生活垃圾清理项目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7B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031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CAF1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39D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0F88">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2023年镇级城乡社区事务支出项目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446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597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3569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E2DCC">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D2524">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区级鹿泉区深圳科技园项目35KV、10KV供电线路补偿</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E17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2F3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53B1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8FAF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7886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F23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DC86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581D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D874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7549">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448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151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0EE8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5BB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B20B1">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2023年镇级城乡社区事务支出项目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E7D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D5A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66EF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495B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B0C5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石财农【2023】54号下达2023年市级农村综合改革转移支付（寺家庄镇2023年一事一议项目）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4A2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8EF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BB7A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87AF0">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F52A3">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2023年平南段洨河治理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985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135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3975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3941">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8099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2023年镇级专项公用经费项目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FD0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F29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4670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F127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448C">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2023年三环辅路整治提升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F7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374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4FE7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7C4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0165C">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2023年镇级节能环保支出项目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6ED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16A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662F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6C7E6">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9D895">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2023年岗上排水泵站管护及运行维护费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3E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E69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57B00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8971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57ED8">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2023年公益</w:t>
            </w:r>
            <w:r>
              <w:rPr>
                <w:rFonts w:hint="eastAsia" w:cs="Calibri"/>
                <w:i w:val="0"/>
                <w:iCs w:val="0"/>
                <w:color w:val="000000"/>
                <w:kern w:val="0"/>
                <w:sz w:val="22"/>
                <w:szCs w:val="22"/>
                <w:u w:val="none"/>
                <w:lang w:val="en-US" w:eastAsia="zh-CN" w:bidi="ar"/>
              </w:rPr>
              <w:t>性</w:t>
            </w:r>
            <w:r>
              <w:rPr>
                <w:rFonts w:hint="default" w:ascii="Calibri" w:hAnsi="Calibri" w:eastAsia="宋体" w:cs="Calibri"/>
                <w:i w:val="0"/>
                <w:iCs w:val="0"/>
                <w:color w:val="000000"/>
                <w:kern w:val="0"/>
                <w:sz w:val="22"/>
                <w:szCs w:val="22"/>
                <w:u w:val="none"/>
                <w:lang w:val="en-US" w:eastAsia="zh-CN" w:bidi="ar"/>
              </w:rPr>
              <w:t>岗位及涉军劳务派遣人员工资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919F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C2F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4FF9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848B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498B2">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2023年鹿泉区深圳科技园项目35kv,10kv供电线路补偿</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309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876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5868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51C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C42CF">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2023年文化体育与传媒</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E55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FF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88B5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AF4F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4890A">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2023年镇级节能环保支出项目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25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1DF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D047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A34A2">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F3762">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8A3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982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71F9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178A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B616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193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146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FE70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BE8E7">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0C3E1">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石财农【2023】58号关于下达2023年中央农村综合改革转移支付（2023年寺家庄镇一事一议项目）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60F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82</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8843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良好</w:t>
            </w:r>
          </w:p>
        </w:tc>
      </w:tr>
      <w:tr w14:paraId="08E3B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D82BF">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A728A">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寺家庄镇农村生活垃圾清理项目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616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3E9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014C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A884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7B7CE">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2023年107国道环卫工人经费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9C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21F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54EA0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5E82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8BD43">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寺家庄镇洨河、蒲连河抢险维修项目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C97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0BD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1288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271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05C0">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2023年寺家庄镇东营东街污水管网工程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368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87.14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D63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A01A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A67B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1E7E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E4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280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2C9B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62E15">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1F1F1">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2023年镇级节能环保支出项目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24C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91</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7DD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75AB4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58A3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91404">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石财农【2022】58号2022年市级农村综合改革（寺家庄镇西龙贵村一事一议龙飞路雨水排水工程）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483A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9C8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5F31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092A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FB16">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2023年110KV铜玉线电力迁改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D7D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2E1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6EB54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3837E">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F332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866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97</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5A3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78EE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61F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FF3BB">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2023年红旗大街整治提升</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332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A06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w:t>
            </w:r>
          </w:p>
        </w:tc>
      </w:tr>
      <w:tr w14:paraId="68FE72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1AABA">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CB35">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107国道鹿泉段拓宽改造项目拆迁补偿费</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68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1EA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DFF1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8D54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53</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CD84D">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镇级寺家庄镇生活用水置换引江水管网和生活污水管网建设项目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7E8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77E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ED67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E25F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54</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98F2D">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2023年劳务派遣人员工资及保险</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5B9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716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C913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94428">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55</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721E6">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2023年教育临时工工资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2C57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6B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22A7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9E78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56</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F7E4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2023年独生子女父母奖励</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B6A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646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0353F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115EB">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57</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E0909">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xml:space="preserve"> 2023年寺家庄镇北外环（南绕城高速）辅路工程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5E9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7F5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38D69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138C4">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58</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7B770">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2023年教育临时工工资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96F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98</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22F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41DF9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23DC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59</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25BF">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公共文化设施免费开放（乡镇文化站）</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E6F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03A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24820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2E2DD">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60</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B6E4E">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区级河北久维电子科技项目基础设施建设奖励</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3BF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4A2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64CDE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2240A9">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61</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9EA07">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石财社【2022】64号关于下达2021年度新一代电子信息和生物医药产业高端人才奖励资金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67B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D774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r w14:paraId="18615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6EDC3">
            <w:pPr>
              <w:keepNext w:val="0"/>
              <w:keepLines w:val="0"/>
              <w:widowControl/>
              <w:suppressLineNumbers w:val="0"/>
              <w:jc w:val="center"/>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62</w:t>
            </w:r>
          </w:p>
        </w:tc>
        <w:tc>
          <w:tcPr>
            <w:tcW w:w="58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10255">
            <w:pPr>
              <w:keepNext w:val="0"/>
              <w:keepLines w:val="0"/>
              <w:widowControl/>
              <w:suppressLineNumbers w:val="0"/>
              <w:jc w:val="left"/>
              <w:textAlignment w:val="center"/>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2023年镇级专项公用经费项目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89D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99</w:t>
            </w:r>
          </w:p>
        </w:tc>
        <w:tc>
          <w:tcPr>
            <w:tcW w:w="11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1AA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优秀</w:t>
            </w:r>
          </w:p>
        </w:tc>
      </w:tr>
    </w:tbl>
    <w:p w14:paraId="58AA75C2">
      <w:pPr>
        <w:pageBreakBefore w:val="0"/>
        <w:widowControl w:val="0"/>
        <w:kinsoku/>
        <w:wordWrap/>
        <w:overflowPunct/>
        <w:topLinePunct w:val="0"/>
        <w:bidi w:val="0"/>
        <w:adjustRightInd/>
        <w:snapToGrid w:val="0"/>
        <w:spacing w:before="0" w:after="0" w:line="620" w:lineRule="exact"/>
        <w:ind w:right="0" w:rightChars="0"/>
        <w:textAlignment w:val="auto"/>
        <w:outlineLvl w:val="9"/>
        <w:rPr>
          <w:rFonts w:hint="eastAsia" w:ascii="仿宋_GB2312" w:hAnsi="宋体" w:eastAsia="仿宋_GB2312"/>
          <w:color w:val="auto"/>
          <w:sz w:val="32"/>
          <w:szCs w:val="32"/>
        </w:rPr>
      </w:pPr>
    </w:p>
    <w:p w14:paraId="7F912560">
      <w:pPr>
        <w:keepNext w:val="0"/>
        <w:keepLines w:val="0"/>
        <w:pageBreakBefore w:val="0"/>
        <w:widowControl w:val="0"/>
        <w:kinsoku/>
        <w:wordWrap/>
        <w:overflowPunct/>
        <w:topLinePunct w:val="0"/>
        <w:autoSpaceDE/>
        <w:autoSpaceDN/>
        <w:bidi w:val="0"/>
        <w:spacing w:line="578" w:lineRule="exact"/>
        <w:ind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293FA06D">
      <w:pPr>
        <w:keepNext w:val="0"/>
        <w:keepLines w:val="0"/>
        <w:pageBreakBefore w:val="0"/>
        <w:widowControl w:val="0"/>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73602BEA">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预算实施过程的精准度及预算项目约束性和预算资金安排合理性有待提高。</w:t>
      </w:r>
    </w:p>
    <w:p w14:paraId="785AD53F">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14:paraId="331C6E3E">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一方面提高预算项目实施前及过程中精准匹配度，另一方面继续加强项目的预算绩效约束性，充分利用有限的预算资金合理安排各项工作事务。</w:t>
      </w:r>
    </w:p>
    <w:p w14:paraId="3A342377">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default" w:ascii="仿宋" w:hAnsi="仿宋" w:eastAsia="仿宋"/>
          <w:vertAlign w:val="baseline"/>
          <w:lang w:val="en-US" w:eastAsia="zh-CN"/>
        </w:rPr>
      </w:pPr>
      <w:r>
        <w:rPr>
          <w:rFonts w:hint="eastAsia" w:ascii="黑体" w:hAnsi="黑体" w:eastAsia="黑体" w:cs="黑体"/>
          <w:sz w:val="32"/>
          <w:szCs w:val="32"/>
        </w:rPr>
        <w:t>六、评价工作组人员名单及签字（姓名、工作单位、职务、职称）</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2565"/>
        <w:gridCol w:w="2310"/>
        <w:gridCol w:w="2006"/>
      </w:tblGrid>
      <w:tr w14:paraId="0544B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14:paraId="629F5555">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姓名</w:t>
            </w:r>
          </w:p>
        </w:tc>
        <w:tc>
          <w:tcPr>
            <w:tcW w:w="2565" w:type="dxa"/>
            <w:vAlign w:val="center"/>
          </w:tcPr>
          <w:p w14:paraId="206586D6">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工作单位</w:t>
            </w:r>
          </w:p>
        </w:tc>
        <w:tc>
          <w:tcPr>
            <w:tcW w:w="2310" w:type="dxa"/>
            <w:vAlign w:val="center"/>
          </w:tcPr>
          <w:p w14:paraId="1B292796">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职务</w:t>
            </w:r>
          </w:p>
        </w:tc>
        <w:tc>
          <w:tcPr>
            <w:tcW w:w="2006" w:type="dxa"/>
            <w:vAlign w:val="center"/>
          </w:tcPr>
          <w:p w14:paraId="6170CD1A">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职称</w:t>
            </w:r>
          </w:p>
        </w:tc>
      </w:tr>
      <w:tr w14:paraId="2A947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14:paraId="7E2A0573">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武雅丽</w:t>
            </w:r>
          </w:p>
        </w:tc>
        <w:tc>
          <w:tcPr>
            <w:tcW w:w="2565" w:type="dxa"/>
            <w:vAlign w:val="center"/>
          </w:tcPr>
          <w:p w14:paraId="79355AC8">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寺家庄镇人民政府</w:t>
            </w:r>
          </w:p>
        </w:tc>
        <w:tc>
          <w:tcPr>
            <w:tcW w:w="2310" w:type="dxa"/>
            <w:vAlign w:val="center"/>
          </w:tcPr>
          <w:p w14:paraId="138E4B4A">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人大副主席</w:t>
            </w:r>
          </w:p>
        </w:tc>
        <w:tc>
          <w:tcPr>
            <w:tcW w:w="2006" w:type="dxa"/>
            <w:vAlign w:val="center"/>
          </w:tcPr>
          <w:p w14:paraId="4F8018C5">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p>
        </w:tc>
      </w:tr>
      <w:tr w14:paraId="42CB6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14:paraId="40CE93F9">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吴立坤</w:t>
            </w:r>
          </w:p>
        </w:tc>
        <w:tc>
          <w:tcPr>
            <w:tcW w:w="2565" w:type="dxa"/>
            <w:vAlign w:val="center"/>
          </w:tcPr>
          <w:p w14:paraId="23BB6274">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寺家庄镇人民政府</w:t>
            </w:r>
          </w:p>
        </w:tc>
        <w:tc>
          <w:tcPr>
            <w:tcW w:w="2310" w:type="dxa"/>
            <w:vAlign w:val="center"/>
          </w:tcPr>
          <w:p w14:paraId="1B22528C">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自然资源办主任</w:t>
            </w:r>
          </w:p>
        </w:tc>
        <w:tc>
          <w:tcPr>
            <w:tcW w:w="2006" w:type="dxa"/>
            <w:vAlign w:val="center"/>
          </w:tcPr>
          <w:p w14:paraId="34EAA47D">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p>
        </w:tc>
      </w:tr>
      <w:tr w14:paraId="7C354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14:paraId="0537A16D">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eastAsia" w:ascii="仿宋" w:hAnsi="仿宋" w:eastAsia="仿宋"/>
                <w:sz w:val="22"/>
                <w:szCs w:val="22"/>
                <w:lang w:val="en-US" w:eastAsia="zh-CN"/>
              </w:rPr>
            </w:pPr>
            <w:r>
              <w:rPr>
                <w:rFonts w:hint="eastAsia" w:ascii="仿宋" w:hAnsi="仿宋" w:eastAsia="仿宋"/>
                <w:sz w:val="22"/>
                <w:szCs w:val="22"/>
                <w:lang w:val="en-US" w:eastAsia="zh-CN"/>
              </w:rPr>
              <w:t>王翠海</w:t>
            </w:r>
          </w:p>
        </w:tc>
        <w:tc>
          <w:tcPr>
            <w:tcW w:w="2565" w:type="dxa"/>
            <w:vAlign w:val="center"/>
          </w:tcPr>
          <w:p w14:paraId="7B5DE67D">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eastAsia" w:ascii="仿宋" w:hAnsi="仿宋" w:eastAsia="仿宋"/>
                <w:sz w:val="22"/>
                <w:szCs w:val="22"/>
                <w:lang w:val="en-US" w:eastAsia="zh-CN"/>
              </w:rPr>
            </w:pPr>
            <w:r>
              <w:rPr>
                <w:rFonts w:hint="eastAsia" w:ascii="仿宋" w:hAnsi="仿宋" w:eastAsia="仿宋"/>
                <w:sz w:val="22"/>
                <w:szCs w:val="22"/>
                <w:lang w:val="en-US" w:eastAsia="zh-CN"/>
              </w:rPr>
              <w:t>寺家庄镇人民政府</w:t>
            </w:r>
          </w:p>
        </w:tc>
        <w:tc>
          <w:tcPr>
            <w:tcW w:w="2310" w:type="dxa"/>
            <w:vAlign w:val="center"/>
          </w:tcPr>
          <w:p w14:paraId="5888A2F9">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eastAsia" w:ascii="仿宋" w:hAnsi="仿宋" w:eastAsia="仿宋"/>
                <w:sz w:val="22"/>
                <w:szCs w:val="22"/>
                <w:lang w:val="en-US" w:eastAsia="zh-CN"/>
              </w:rPr>
            </w:pPr>
            <w:r>
              <w:rPr>
                <w:rFonts w:hint="eastAsia" w:ascii="仿宋" w:hAnsi="仿宋" w:eastAsia="仿宋"/>
                <w:sz w:val="22"/>
                <w:szCs w:val="22"/>
                <w:lang w:val="en-US" w:eastAsia="zh-CN"/>
              </w:rPr>
              <w:t>自然资源办副主任</w:t>
            </w:r>
          </w:p>
        </w:tc>
        <w:tc>
          <w:tcPr>
            <w:tcW w:w="2006" w:type="dxa"/>
            <w:vAlign w:val="center"/>
          </w:tcPr>
          <w:p w14:paraId="44F620BB">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p>
        </w:tc>
      </w:tr>
      <w:tr w14:paraId="36652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14:paraId="54A312F6">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李博洋</w:t>
            </w:r>
          </w:p>
        </w:tc>
        <w:tc>
          <w:tcPr>
            <w:tcW w:w="2565" w:type="dxa"/>
            <w:vAlign w:val="center"/>
          </w:tcPr>
          <w:p w14:paraId="4857554A">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寺家庄镇人民政府</w:t>
            </w:r>
          </w:p>
        </w:tc>
        <w:tc>
          <w:tcPr>
            <w:tcW w:w="2310" w:type="dxa"/>
            <w:vAlign w:val="center"/>
          </w:tcPr>
          <w:p w14:paraId="78578306">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r>
              <w:rPr>
                <w:rFonts w:hint="eastAsia" w:ascii="仿宋" w:hAnsi="仿宋" w:eastAsia="仿宋"/>
                <w:sz w:val="22"/>
                <w:szCs w:val="22"/>
                <w:lang w:val="en-US" w:eastAsia="zh-CN"/>
              </w:rPr>
              <w:t>党政办主任</w:t>
            </w:r>
          </w:p>
        </w:tc>
        <w:tc>
          <w:tcPr>
            <w:tcW w:w="2006" w:type="dxa"/>
            <w:vAlign w:val="center"/>
          </w:tcPr>
          <w:p w14:paraId="225181C0">
            <w:pPr>
              <w:keepNext w:val="0"/>
              <w:keepLines w:val="0"/>
              <w:pageBreakBefore w:val="0"/>
              <w:widowControl w:val="0"/>
              <w:numPr>
                <w:ilvl w:val="0"/>
                <w:numId w:val="0"/>
              </w:numPr>
              <w:kinsoku/>
              <w:wordWrap/>
              <w:overflowPunct/>
              <w:topLinePunct w:val="0"/>
              <w:autoSpaceDE/>
              <w:autoSpaceDN/>
              <w:bidi w:val="0"/>
              <w:spacing w:line="578" w:lineRule="exact"/>
              <w:ind w:leftChars="200" w:right="0" w:rightChars="0"/>
              <w:textAlignment w:val="auto"/>
              <w:outlineLvl w:val="9"/>
              <w:rPr>
                <w:rFonts w:hint="default" w:ascii="仿宋" w:hAnsi="仿宋" w:eastAsia="仿宋"/>
                <w:sz w:val="22"/>
                <w:szCs w:val="22"/>
                <w:lang w:val="en-US" w:eastAsia="zh-CN"/>
              </w:rPr>
            </w:pPr>
          </w:p>
        </w:tc>
      </w:tr>
    </w:tbl>
    <w:p w14:paraId="6BCCDA16">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83D812">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D55D9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1D55D9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4804E55B"/>
    <w:multiLevelType w:val="singleLevel"/>
    <w:tmpl w:val="4804E55B"/>
    <w:lvl w:ilvl="0" w:tentative="0">
      <w:start w:val="3"/>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BhMDNiYTFlMTY4ZjljYTA5NGQyYWQ1ZWU4MDZmNTgifQ=="/>
  </w:docVars>
  <w:rsids>
    <w:rsidRoot w:val="0EBD2122"/>
    <w:rsid w:val="007E6C1F"/>
    <w:rsid w:val="00AF566A"/>
    <w:rsid w:val="00B6553A"/>
    <w:rsid w:val="01B104CA"/>
    <w:rsid w:val="02106AB0"/>
    <w:rsid w:val="02B43A28"/>
    <w:rsid w:val="046F331E"/>
    <w:rsid w:val="07956271"/>
    <w:rsid w:val="07D32144"/>
    <w:rsid w:val="08266660"/>
    <w:rsid w:val="09721397"/>
    <w:rsid w:val="0BB63BED"/>
    <w:rsid w:val="0EB97A43"/>
    <w:rsid w:val="0EBD2122"/>
    <w:rsid w:val="0F214EAE"/>
    <w:rsid w:val="11B71E6A"/>
    <w:rsid w:val="12CE3EC1"/>
    <w:rsid w:val="1AAF0063"/>
    <w:rsid w:val="1B1E6C31"/>
    <w:rsid w:val="1BE140DE"/>
    <w:rsid w:val="1C363B56"/>
    <w:rsid w:val="1E5500BD"/>
    <w:rsid w:val="20154B13"/>
    <w:rsid w:val="248C197D"/>
    <w:rsid w:val="252959AF"/>
    <w:rsid w:val="277A6671"/>
    <w:rsid w:val="292D35B7"/>
    <w:rsid w:val="2A594280"/>
    <w:rsid w:val="2B2F2CD6"/>
    <w:rsid w:val="33EB6CFF"/>
    <w:rsid w:val="35A12947"/>
    <w:rsid w:val="365E6541"/>
    <w:rsid w:val="37387040"/>
    <w:rsid w:val="3B625C0A"/>
    <w:rsid w:val="3CEE1963"/>
    <w:rsid w:val="4C9C27FE"/>
    <w:rsid w:val="4DCC5675"/>
    <w:rsid w:val="4F283CE2"/>
    <w:rsid w:val="512260B4"/>
    <w:rsid w:val="52BD6ACB"/>
    <w:rsid w:val="55537534"/>
    <w:rsid w:val="561A74F1"/>
    <w:rsid w:val="58A81A34"/>
    <w:rsid w:val="597244E8"/>
    <w:rsid w:val="5ABB74BA"/>
    <w:rsid w:val="5CC50DBA"/>
    <w:rsid w:val="5EB71C30"/>
    <w:rsid w:val="66AF0CE5"/>
    <w:rsid w:val="6AC537CF"/>
    <w:rsid w:val="6E5B14A6"/>
    <w:rsid w:val="6F4C1020"/>
    <w:rsid w:val="711B255E"/>
    <w:rsid w:val="7317199D"/>
    <w:rsid w:val="79C31219"/>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51"/>
    <w:basedOn w:val="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4193</Words>
  <Characters>4706</Characters>
  <Lines>7</Lines>
  <Paragraphs>2</Paragraphs>
  <TotalTime>98</TotalTime>
  <ScaleCrop>false</ScaleCrop>
  <LinksUpToDate>false</LinksUpToDate>
  <CharactersWithSpaces>4735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阿杜</cp:lastModifiedBy>
  <cp:lastPrinted>2022-01-19T07:24:00Z</cp:lastPrinted>
  <dcterms:modified xsi:type="dcterms:W3CDTF">2025-04-27T09:07:29Z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47D1363251EF407889FF829DB1C5718E_13</vt:lpwstr>
  </property>
  <property fmtid="{D5CDD505-2E9C-101B-9397-08002B2CF9AE}" pid="4" name="KSOTemplateDocerSaveRecord">
    <vt:lpwstr>eyJoZGlkIjoiMTIxNDRjZDM4MTcxYzg1NGU3ZDJiMmI0NzQ2NjJiZjQiLCJ1c2VySWQiOiI1ODI4ODU2ODQifQ==</vt:lpwstr>
  </property>
</Properties>
</file>