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val="0"/>
        <w:wordWrap/>
        <w:spacing w:line="560" w:lineRule="exact"/>
        <w:ind w:left="0" w:leftChars="0" w:right="0"/>
        <w:jc w:val="both"/>
        <w:textAlignment w:val="auto"/>
        <w:outlineLvl w:val="9"/>
        <w:rPr>
          <w:rFonts w:hint="eastAsia" w:ascii="宋体" w:hAnsi="宋体" w:cs="宋体"/>
          <w:b/>
          <w:bCs/>
          <w:sz w:val="44"/>
          <w:szCs w:val="44"/>
        </w:rPr>
      </w:pPr>
    </w:p>
    <w:p>
      <w:pPr>
        <w:widowControl w:val="0"/>
        <w:wordWrap/>
        <w:spacing w:line="560" w:lineRule="exact"/>
        <w:ind w:left="0" w:leftChars="0" w:right="0"/>
        <w:jc w:val="center"/>
        <w:textAlignment w:val="auto"/>
        <w:outlineLvl w:val="9"/>
        <w:rPr>
          <w:rFonts w:hint="default" w:ascii="宋体" w:hAnsi="宋体" w:cs="宋体"/>
          <w:b/>
          <w:bCs/>
          <w:sz w:val="44"/>
          <w:szCs w:val="44"/>
          <w:lang w:val="en-US" w:eastAsia="zh-CN"/>
        </w:rPr>
      </w:pPr>
      <w:r>
        <w:rPr>
          <w:rFonts w:hint="eastAsia" w:ascii="宋体" w:hAnsi="宋体" w:cs="宋体"/>
          <w:b/>
          <w:bCs/>
          <w:sz w:val="44"/>
          <w:szCs w:val="44"/>
          <w:lang w:val="en-US" w:eastAsia="zh-CN"/>
        </w:rPr>
        <w:t>石家庄市鹿泉区城市管理综合执法大队</w:t>
      </w:r>
    </w:p>
    <w:p>
      <w:pPr>
        <w:widowControl w:val="0"/>
        <w:wordWrap/>
        <w:spacing w:line="560" w:lineRule="exact"/>
        <w:ind w:left="0" w:leftChars="0" w:right="0"/>
        <w:jc w:val="center"/>
        <w:textAlignment w:val="auto"/>
        <w:outlineLvl w:val="9"/>
        <w:rPr>
          <w:rFonts w:hint="eastAsia" w:ascii="宋体" w:hAnsi="宋体" w:cs="宋体"/>
          <w:b/>
          <w:bCs/>
          <w:sz w:val="44"/>
          <w:szCs w:val="44"/>
        </w:rPr>
      </w:pPr>
      <w:r>
        <w:rPr>
          <w:rFonts w:hint="eastAsia" w:ascii="宋体" w:hAnsi="宋体" w:cs="宋体"/>
          <w:b/>
          <w:bCs/>
          <w:sz w:val="44"/>
          <w:szCs w:val="44"/>
          <w:lang w:val="en-US" w:eastAsia="zh-CN"/>
        </w:rPr>
        <w:t>2022年度整体支出绩效</w:t>
      </w:r>
      <w:r>
        <w:rPr>
          <w:rFonts w:hint="eastAsia" w:ascii="宋体" w:hAnsi="宋体" w:cs="宋体"/>
          <w:b/>
          <w:bCs/>
          <w:sz w:val="44"/>
          <w:szCs w:val="44"/>
        </w:rPr>
        <w:t>自评报告</w:t>
      </w:r>
    </w:p>
    <w:p>
      <w:pPr>
        <w:widowControl w:val="0"/>
        <w:wordWrap/>
        <w:spacing w:line="560" w:lineRule="exact"/>
        <w:ind w:left="0" w:leftChars="0" w:right="0"/>
        <w:jc w:val="both"/>
        <w:textAlignment w:val="auto"/>
        <w:outlineLvl w:val="9"/>
        <w:rPr>
          <w:rFonts w:ascii="华文楷体" w:eastAsia="华文楷体"/>
          <w:sz w:val="32"/>
          <w:szCs w:val="32"/>
        </w:rPr>
      </w:pPr>
    </w:p>
    <w:p>
      <w:pPr>
        <w:widowControl w:val="0"/>
        <w:wordWrap/>
        <w:adjustRightInd w:val="0"/>
        <w:snapToGrid w:val="0"/>
        <w:spacing w:line="560" w:lineRule="exact"/>
        <w:ind w:left="0" w:leftChars="0" w:right="0" w:firstLine="640" w:firstLineChars="200"/>
        <w:jc w:val="both"/>
        <w:textAlignment w:val="auto"/>
        <w:outlineLvl w:val="9"/>
        <w:rPr>
          <w:rFonts w:ascii="仿宋" w:hAnsi="仿宋" w:eastAsia="仿宋"/>
          <w:sz w:val="32"/>
          <w:szCs w:val="32"/>
        </w:rPr>
      </w:pPr>
      <w:r>
        <w:rPr>
          <w:rFonts w:hint="eastAsia" w:ascii="仿宋" w:hAnsi="仿宋" w:eastAsia="仿宋"/>
          <w:sz w:val="32"/>
          <w:szCs w:val="32"/>
        </w:rPr>
        <w:t>贯彻落实</w:t>
      </w:r>
      <w:r>
        <w:rPr>
          <w:rFonts w:hint="eastAsia" w:ascii="仿宋" w:hAnsi="仿宋" w:eastAsia="仿宋"/>
          <w:sz w:val="32"/>
          <w:szCs w:val="32"/>
          <w:lang w:eastAsia="zh-CN"/>
        </w:rPr>
        <w:t>石家庄市鹿泉区人民政府《关于全面实施预算绩效管理的实施意见》（鹿发﹝</w:t>
      </w:r>
      <w:r>
        <w:rPr>
          <w:rFonts w:hint="eastAsia" w:ascii="仿宋" w:hAnsi="仿宋" w:eastAsia="仿宋"/>
          <w:sz w:val="32"/>
          <w:szCs w:val="32"/>
          <w:lang w:val="en-US" w:eastAsia="zh-CN"/>
        </w:rPr>
        <w:t>2019</w:t>
      </w:r>
      <w:r>
        <w:rPr>
          <w:rFonts w:hint="eastAsia" w:ascii="仿宋" w:hAnsi="仿宋" w:eastAsia="仿宋"/>
          <w:sz w:val="32"/>
          <w:szCs w:val="32"/>
          <w:lang w:eastAsia="zh-CN"/>
        </w:rPr>
        <w:t>﹞</w:t>
      </w:r>
      <w:r>
        <w:rPr>
          <w:rFonts w:hint="eastAsia" w:ascii="仿宋" w:hAnsi="仿宋" w:eastAsia="仿宋"/>
          <w:sz w:val="32"/>
          <w:szCs w:val="32"/>
          <w:lang w:val="en-US" w:eastAsia="zh-CN"/>
        </w:rPr>
        <w:t>8号</w:t>
      </w:r>
      <w:r>
        <w:rPr>
          <w:rFonts w:hint="eastAsia" w:ascii="仿宋" w:hAnsi="仿宋" w:eastAsia="仿宋"/>
          <w:sz w:val="32"/>
          <w:szCs w:val="32"/>
          <w:lang w:eastAsia="zh-CN"/>
        </w:rPr>
        <w:t>）</w:t>
      </w:r>
      <w:r>
        <w:rPr>
          <w:rFonts w:hint="eastAsia" w:ascii="仿宋" w:hAnsi="仿宋" w:eastAsia="仿宋"/>
          <w:sz w:val="32"/>
          <w:szCs w:val="32"/>
        </w:rPr>
        <w:t>文件精神，遵循“科学性、规范性、客观性和公正性”的原则，</w:t>
      </w:r>
      <w:r>
        <w:rPr>
          <w:rFonts w:hint="eastAsia" w:ascii="仿宋" w:hAnsi="仿宋" w:eastAsia="仿宋"/>
          <w:sz w:val="32"/>
          <w:szCs w:val="32"/>
          <w:lang w:val="en-US" w:eastAsia="zh-CN"/>
        </w:rPr>
        <w:t>石家庄市鹿泉区城市管理综合执法大队</w:t>
      </w:r>
      <w:r>
        <w:rPr>
          <w:rFonts w:hint="eastAsia" w:ascii="仿宋" w:hAnsi="仿宋" w:eastAsia="仿宋"/>
          <w:sz w:val="32"/>
          <w:szCs w:val="32"/>
          <w:lang w:eastAsia="zh-CN"/>
        </w:rPr>
        <w:t>部门对</w:t>
      </w:r>
      <w:r>
        <w:rPr>
          <w:rFonts w:hint="eastAsia" w:ascii="仿宋" w:hAnsi="仿宋" w:eastAsia="仿宋"/>
          <w:sz w:val="32"/>
          <w:szCs w:val="32"/>
          <w:lang w:val="en-US" w:eastAsia="zh-CN"/>
        </w:rPr>
        <w:t>2022年</w:t>
      </w:r>
      <w:r>
        <w:rPr>
          <w:rFonts w:hint="eastAsia" w:ascii="仿宋" w:hAnsi="仿宋" w:eastAsia="仿宋"/>
          <w:sz w:val="32"/>
          <w:szCs w:val="32"/>
          <w:lang w:eastAsia="zh-CN"/>
        </w:rPr>
        <w:t>整体支出情况</w:t>
      </w:r>
      <w:r>
        <w:rPr>
          <w:rFonts w:hint="eastAsia" w:ascii="仿宋" w:hAnsi="仿宋" w:eastAsia="仿宋"/>
          <w:sz w:val="32"/>
          <w:szCs w:val="32"/>
        </w:rPr>
        <w:t>实施了财政支出绩效自评价，形成本评价报告。</w:t>
      </w:r>
    </w:p>
    <w:p>
      <w:pPr>
        <w:widowControl w:val="0"/>
        <w:wordWrap/>
        <w:adjustRightInd w:val="0"/>
        <w:snapToGrid w:val="0"/>
        <w:spacing w:line="560" w:lineRule="exact"/>
        <w:ind w:left="0" w:leftChars="0" w:right="0"/>
        <w:jc w:val="both"/>
        <w:textAlignment w:val="auto"/>
        <w:outlineLvl w:val="9"/>
        <w:rPr>
          <w:rFonts w:ascii="黑体" w:hAnsi="黑体" w:eastAsia="黑体"/>
          <w:b/>
          <w:bCs/>
          <w:sz w:val="32"/>
          <w:szCs w:val="36"/>
        </w:rPr>
      </w:pPr>
      <w:r>
        <w:rPr>
          <w:rFonts w:hint="eastAsia" w:ascii="仿宋" w:hAnsi="仿宋" w:eastAsia="仿宋"/>
          <w:sz w:val="32"/>
          <w:szCs w:val="32"/>
        </w:rPr>
        <w:t xml:space="preserve">    </w:t>
      </w:r>
      <w:r>
        <w:rPr>
          <w:rFonts w:hint="eastAsia" w:ascii="黑体" w:hAnsi="黑体" w:eastAsia="黑体"/>
          <w:sz w:val="32"/>
          <w:szCs w:val="32"/>
        </w:rPr>
        <w:t>一、</w:t>
      </w:r>
      <w:r>
        <w:rPr>
          <w:rFonts w:hint="eastAsia" w:ascii="黑体" w:hAnsi="黑体" w:eastAsia="黑体"/>
          <w:sz w:val="32"/>
          <w:szCs w:val="32"/>
          <w:lang w:eastAsia="zh-CN"/>
        </w:rPr>
        <w:t>部门</w:t>
      </w:r>
      <w:r>
        <w:rPr>
          <w:rFonts w:hint="eastAsia" w:ascii="黑体" w:hAnsi="黑体" w:eastAsia="黑体"/>
          <w:sz w:val="32"/>
          <w:szCs w:val="36"/>
        </w:rPr>
        <w:t>基本情况</w:t>
      </w:r>
    </w:p>
    <w:p>
      <w:pPr>
        <w:widowControl w:val="0"/>
        <w:wordWrap/>
        <w:adjustRightInd w:val="0"/>
        <w:snapToGrid w:val="0"/>
        <w:spacing w:line="560" w:lineRule="exact"/>
        <w:ind w:left="0" w:leftChars="0" w:right="0" w:firstLine="643" w:firstLineChars="200"/>
        <w:jc w:val="both"/>
        <w:textAlignment w:val="auto"/>
        <w:outlineLvl w:val="9"/>
        <w:rPr>
          <w:rFonts w:ascii="仿宋" w:hAnsi="仿宋" w:eastAsia="仿宋" w:cs="楷体_GB2312"/>
          <w:b/>
          <w:bCs/>
          <w:sz w:val="32"/>
          <w:szCs w:val="32"/>
        </w:rPr>
      </w:pPr>
      <w:r>
        <w:rPr>
          <w:rFonts w:hint="eastAsia" w:ascii="仿宋" w:hAnsi="仿宋" w:eastAsia="仿宋" w:cs="楷体_GB2312"/>
          <w:b/>
          <w:bCs/>
          <w:sz w:val="32"/>
          <w:szCs w:val="32"/>
        </w:rPr>
        <w:t>（一）</w:t>
      </w:r>
      <w:r>
        <w:rPr>
          <w:rFonts w:hint="eastAsia" w:ascii="仿宋" w:hAnsi="仿宋" w:eastAsia="仿宋" w:cs="楷体_GB2312"/>
          <w:b/>
          <w:bCs/>
          <w:sz w:val="32"/>
          <w:szCs w:val="32"/>
          <w:lang w:eastAsia="zh-CN"/>
        </w:rPr>
        <w:t>部门</w:t>
      </w:r>
      <w:r>
        <w:rPr>
          <w:rFonts w:hint="eastAsia" w:ascii="仿宋" w:hAnsi="仿宋" w:eastAsia="仿宋" w:cs="楷体_GB2312"/>
          <w:b/>
          <w:bCs/>
          <w:sz w:val="32"/>
          <w:szCs w:val="32"/>
        </w:rPr>
        <w:t>概况</w:t>
      </w:r>
    </w:p>
    <w:p>
      <w:pPr>
        <w:pStyle w:val="11"/>
        <w:jc w:val="both"/>
        <w:rPr>
          <w:rFonts w:hint="default" w:ascii="仿宋_GB2312" w:hAnsi="Calibri" w:eastAsia="仿宋_GB2312" w:cs="仿宋_GB2312"/>
          <w:kern w:val="0"/>
          <w:sz w:val="32"/>
          <w:szCs w:val="32"/>
          <w:lang w:val="en-US" w:eastAsia="zh-CN" w:bidi="ar-SA"/>
        </w:rPr>
      </w:pPr>
      <w:r>
        <w:rPr>
          <w:rFonts w:hint="eastAsia" w:ascii="仿宋_GB2312" w:hAnsi="Calibri" w:eastAsia="仿宋_GB2312" w:cs="仿宋_GB2312"/>
          <w:kern w:val="0"/>
          <w:sz w:val="32"/>
          <w:szCs w:val="32"/>
          <w:lang w:val="en-US" w:eastAsia="zh-CN" w:bidi="ar-SA"/>
        </w:rPr>
        <w:t>1、部门职能</w:t>
      </w:r>
    </w:p>
    <w:p>
      <w:pPr>
        <w:pStyle w:val="11"/>
        <w:jc w:val="both"/>
        <w:rPr>
          <w:rFonts w:hint="eastAsia" w:ascii="仿宋_GB2312" w:hAnsi="Calibri" w:eastAsia="仿宋_GB2312" w:cs="仿宋_GB2312"/>
          <w:kern w:val="0"/>
          <w:sz w:val="32"/>
          <w:szCs w:val="32"/>
          <w:lang w:val="en-US" w:eastAsia="zh-CN" w:bidi="ar-SA"/>
        </w:rPr>
      </w:pPr>
      <w:r>
        <w:rPr>
          <w:rFonts w:hint="eastAsia" w:ascii="仿宋_GB2312" w:hAnsi="Calibri" w:eastAsia="仿宋_GB2312" w:cs="仿宋_GB2312"/>
          <w:kern w:val="0"/>
          <w:sz w:val="32"/>
          <w:szCs w:val="32"/>
          <w:lang w:val="en-US" w:eastAsia="zh-CN" w:bidi="ar-SA"/>
        </w:rPr>
        <w:t>（一）贯彻执行国家、省、市有关城市管理方面的方针政策和法律法规；拟定全区市容、环卫、渣土处置等城市管理规划、实施计划和地方性规范文件，并监督实施。</w:t>
      </w:r>
    </w:p>
    <w:p>
      <w:pPr>
        <w:pStyle w:val="11"/>
        <w:jc w:val="both"/>
        <w:rPr>
          <w:rFonts w:hint="eastAsia" w:ascii="仿宋_GB2312" w:hAnsi="Calibri" w:eastAsia="仿宋_GB2312" w:cs="仿宋_GB2312"/>
          <w:kern w:val="0"/>
          <w:sz w:val="32"/>
          <w:szCs w:val="32"/>
          <w:lang w:val="en-US" w:eastAsia="zh-CN" w:bidi="ar-SA"/>
        </w:rPr>
      </w:pPr>
      <w:r>
        <w:rPr>
          <w:rFonts w:hint="eastAsia" w:ascii="仿宋_GB2312" w:hAnsi="Calibri" w:eastAsia="仿宋_GB2312" w:cs="仿宋_GB2312"/>
          <w:kern w:val="0"/>
          <w:sz w:val="32"/>
          <w:szCs w:val="32"/>
          <w:lang w:val="en-US" w:eastAsia="zh-CN" w:bidi="ar-SA"/>
        </w:rPr>
        <w:t>（二）负责查处审批前占用挖掘城市道路、砍伐移栽城市树木工作。</w:t>
      </w:r>
    </w:p>
    <w:p>
      <w:pPr>
        <w:pStyle w:val="11"/>
        <w:jc w:val="both"/>
        <w:rPr>
          <w:rFonts w:hint="eastAsia" w:ascii="仿宋_GB2312" w:hAnsi="Calibri" w:eastAsia="仿宋_GB2312" w:cs="仿宋_GB2312"/>
          <w:kern w:val="0"/>
          <w:sz w:val="32"/>
          <w:szCs w:val="32"/>
          <w:lang w:val="en-US" w:eastAsia="zh-CN" w:bidi="ar-SA"/>
        </w:rPr>
      </w:pPr>
      <w:r>
        <w:rPr>
          <w:rFonts w:hint="eastAsia" w:ascii="仿宋_GB2312" w:hAnsi="Calibri" w:eastAsia="仿宋_GB2312" w:cs="仿宋_GB2312"/>
          <w:kern w:val="0"/>
          <w:sz w:val="32"/>
          <w:szCs w:val="32"/>
          <w:lang w:val="en-US" w:eastAsia="zh-CN" w:bidi="ar-SA"/>
        </w:rPr>
        <w:t>（三）负责国有土地上违法占地巡查工作；配合乡镇（区）做好集体土地违法占地的巡查工作。</w:t>
      </w:r>
    </w:p>
    <w:p>
      <w:pPr>
        <w:pStyle w:val="11"/>
        <w:jc w:val="both"/>
        <w:rPr>
          <w:rFonts w:hint="eastAsia" w:ascii="仿宋_GB2312" w:hAnsi="Calibri" w:eastAsia="仿宋_GB2312" w:cs="仿宋_GB2312"/>
          <w:kern w:val="0"/>
          <w:sz w:val="32"/>
          <w:szCs w:val="32"/>
          <w:lang w:val="en-US" w:eastAsia="zh-CN" w:bidi="ar-SA"/>
        </w:rPr>
      </w:pPr>
      <w:r>
        <w:rPr>
          <w:rFonts w:hint="eastAsia" w:ascii="仿宋_GB2312" w:hAnsi="Calibri" w:eastAsia="仿宋_GB2312" w:cs="仿宋_GB2312"/>
          <w:kern w:val="0"/>
          <w:sz w:val="32"/>
          <w:szCs w:val="32"/>
          <w:lang w:val="en-US" w:eastAsia="zh-CN" w:bidi="ar-SA"/>
        </w:rPr>
        <w:t>（四）负责对未取得《建设工程规划许可证》或《临时建设工程规划许可证》（含市政工程类）违法建设行为的查处工作；负责配合乡镇（区）做好对未取得《乡村建设规划许可证》违法建设行为的查处工作。</w:t>
      </w:r>
    </w:p>
    <w:p>
      <w:pPr>
        <w:pStyle w:val="11"/>
        <w:jc w:val="both"/>
        <w:rPr>
          <w:rFonts w:hint="eastAsia" w:ascii="仿宋_GB2312" w:hAnsi="Calibri" w:eastAsia="仿宋_GB2312" w:cs="仿宋_GB2312"/>
          <w:kern w:val="0"/>
          <w:sz w:val="32"/>
          <w:szCs w:val="32"/>
          <w:lang w:val="en-US" w:eastAsia="zh-CN" w:bidi="ar-SA"/>
        </w:rPr>
      </w:pPr>
      <w:r>
        <w:rPr>
          <w:rFonts w:hint="eastAsia" w:ascii="仿宋_GB2312" w:hAnsi="Calibri" w:eastAsia="仿宋_GB2312" w:cs="仿宋_GB2312"/>
          <w:kern w:val="0"/>
          <w:sz w:val="32"/>
          <w:szCs w:val="32"/>
          <w:lang w:val="en-US" w:eastAsia="zh-CN" w:bidi="ar-SA"/>
        </w:rPr>
        <w:t>（五）负责取得国有土地使用权的住宅小区内私搭乱建、侵占损毁公共绿地等违法行为的查处工作。</w:t>
      </w:r>
    </w:p>
    <w:p>
      <w:pPr>
        <w:pStyle w:val="11"/>
        <w:jc w:val="both"/>
        <w:rPr>
          <w:rFonts w:hint="eastAsia" w:ascii="仿宋_GB2312" w:hAnsi="Calibri" w:eastAsia="仿宋_GB2312" w:cs="仿宋_GB2312"/>
          <w:kern w:val="0"/>
          <w:sz w:val="32"/>
          <w:szCs w:val="32"/>
          <w:lang w:val="en-US" w:eastAsia="zh-CN" w:bidi="ar-SA"/>
        </w:rPr>
      </w:pPr>
      <w:r>
        <w:rPr>
          <w:rFonts w:hint="eastAsia" w:ascii="仿宋_GB2312" w:hAnsi="Calibri" w:eastAsia="仿宋_GB2312" w:cs="仿宋_GB2312"/>
          <w:kern w:val="0"/>
          <w:sz w:val="32"/>
          <w:szCs w:val="32"/>
          <w:lang w:val="en-US" w:eastAsia="zh-CN" w:bidi="ar-SA"/>
        </w:rPr>
        <w:t>（六）负责主城区（不含开发区）市政道路两侧私搭乱建等违反市容管理行为的查处工作；负责配合获鹿镇政府及乡镇（区）做好主城区城中村及辖区范围内的私搭乱建等影响市容行为的查处工作。</w:t>
      </w:r>
    </w:p>
    <w:p>
      <w:pPr>
        <w:pStyle w:val="11"/>
        <w:jc w:val="both"/>
        <w:rPr>
          <w:rFonts w:hint="eastAsia" w:ascii="仿宋_GB2312" w:hAnsi="Calibri" w:eastAsia="仿宋_GB2312" w:cs="仿宋_GB2312"/>
          <w:kern w:val="0"/>
          <w:sz w:val="32"/>
          <w:szCs w:val="32"/>
          <w:lang w:val="en-US" w:eastAsia="zh-CN" w:bidi="ar-SA"/>
        </w:rPr>
      </w:pPr>
      <w:r>
        <w:rPr>
          <w:rFonts w:hint="eastAsia" w:ascii="仿宋_GB2312" w:hAnsi="Calibri" w:eastAsia="仿宋_GB2312" w:cs="仿宋_GB2312"/>
          <w:kern w:val="0"/>
          <w:sz w:val="32"/>
          <w:szCs w:val="32"/>
          <w:lang w:val="en-US" w:eastAsia="zh-CN" w:bidi="ar-SA"/>
        </w:rPr>
        <w:t>（七）依法查处取缔主城区（不含开发区）占道无照商贩、店外或专业市场外经营行为。</w:t>
      </w:r>
    </w:p>
    <w:p>
      <w:pPr>
        <w:pStyle w:val="11"/>
        <w:jc w:val="both"/>
        <w:rPr>
          <w:rFonts w:hint="eastAsia" w:ascii="仿宋_GB2312" w:hAnsi="Calibri" w:eastAsia="仿宋_GB2312" w:cs="仿宋_GB2312"/>
          <w:kern w:val="0"/>
          <w:sz w:val="32"/>
          <w:szCs w:val="32"/>
          <w:lang w:val="en-US" w:eastAsia="zh-CN" w:bidi="ar-SA"/>
        </w:rPr>
      </w:pPr>
      <w:r>
        <w:rPr>
          <w:rFonts w:hint="eastAsia" w:ascii="仿宋_GB2312" w:hAnsi="Calibri" w:eastAsia="仿宋_GB2312" w:cs="仿宋_GB2312"/>
          <w:kern w:val="0"/>
          <w:sz w:val="32"/>
          <w:szCs w:val="32"/>
          <w:lang w:val="en-US" w:eastAsia="zh-CN" w:bidi="ar-SA"/>
        </w:rPr>
        <w:t>（八）负责牵头和督导相关单位对主城区（不含开发区）主要街道机动车乱停乱放侵占城市道路和公共场地行为进行查处。</w:t>
      </w:r>
    </w:p>
    <w:p>
      <w:pPr>
        <w:pStyle w:val="11"/>
        <w:jc w:val="both"/>
        <w:rPr>
          <w:rFonts w:hint="eastAsia" w:ascii="仿宋_GB2312" w:hAnsi="Calibri" w:eastAsia="仿宋_GB2312" w:cs="仿宋_GB2312"/>
          <w:kern w:val="0"/>
          <w:sz w:val="32"/>
          <w:szCs w:val="32"/>
          <w:lang w:val="en-US" w:eastAsia="zh-CN" w:bidi="ar-SA"/>
        </w:rPr>
      </w:pPr>
      <w:r>
        <w:rPr>
          <w:rFonts w:hint="eastAsia" w:ascii="仿宋_GB2312" w:hAnsi="Calibri" w:eastAsia="仿宋_GB2312" w:cs="仿宋_GB2312"/>
          <w:kern w:val="0"/>
          <w:sz w:val="32"/>
          <w:szCs w:val="32"/>
          <w:lang w:val="en-US" w:eastAsia="zh-CN" w:bidi="ar-SA"/>
        </w:rPr>
        <w:t>（九）负责牵头和督导相关单位做好主城区（不含开发区）及槐安路(鹿泉段)、山前大道（307国道—衡井线）、京赞线（槐安路口—君乐宝路）、石铜路、君乐宝路和107国道(鹿泉段)市容市貌管理；负责沿街建筑物、构筑物及其它设施容貌管理；依法查处在城市设置户外广告、各种标志、牌匾、实物造型、宣传品等违规行为；依法查处占用城市道路及道路两侧的违规行为。</w:t>
      </w:r>
    </w:p>
    <w:p>
      <w:pPr>
        <w:pStyle w:val="11"/>
        <w:jc w:val="both"/>
        <w:rPr>
          <w:rFonts w:hint="eastAsia" w:ascii="仿宋_GB2312" w:hAnsi="Calibri" w:eastAsia="仿宋_GB2312" w:cs="仿宋_GB2312"/>
          <w:kern w:val="0"/>
          <w:sz w:val="32"/>
          <w:szCs w:val="32"/>
          <w:lang w:val="en-US" w:eastAsia="zh-CN" w:bidi="ar-SA"/>
        </w:rPr>
      </w:pPr>
      <w:r>
        <w:rPr>
          <w:rFonts w:hint="eastAsia" w:ascii="仿宋_GB2312" w:hAnsi="Calibri" w:eastAsia="仿宋_GB2312" w:cs="仿宋_GB2312"/>
          <w:kern w:val="0"/>
          <w:sz w:val="32"/>
          <w:szCs w:val="32"/>
          <w:lang w:val="en-US" w:eastAsia="zh-CN" w:bidi="ar-SA"/>
        </w:rPr>
        <w:t>（十）负责主城区（不含开发区）主次干道、槐安路(鹿泉段)道路、山前大道（307国道—衡井线）主路面及绿化带，107国道(鹿泉段)绿化区域、主路面以外区域的环卫保洁工作；负责主城区部分公厕、垃圾收集转运站、垃圾箱（点）、清扫清运车辆、果皮箱等环卫设施、设备的建设、维护与管理；负责“门前三包”责任制的监督落实；依法查处影响环境卫生的行为。</w:t>
      </w:r>
    </w:p>
    <w:p>
      <w:pPr>
        <w:pStyle w:val="11"/>
        <w:jc w:val="both"/>
        <w:rPr>
          <w:rFonts w:hint="eastAsia" w:ascii="仿宋_GB2312" w:hAnsi="Calibri" w:eastAsia="仿宋_GB2312" w:cs="仿宋_GB2312"/>
          <w:kern w:val="0"/>
          <w:sz w:val="32"/>
          <w:szCs w:val="32"/>
          <w:lang w:val="en-US" w:eastAsia="zh-CN" w:bidi="ar-SA"/>
        </w:rPr>
      </w:pPr>
      <w:r>
        <w:rPr>
          <w:rFonts w:hint="eastAsia" w:ascii="仿宋_GB2312" w:hAnsi="Calibri" w:eastAsia="仿宋_GB2312" w:cs="仿宋_GB2312"/>
          <w:kern w:val="0"/>
          <w:sz w:val="32"/>
          <w:szCs w:val="32"/>
          <w:lang w:val="en-US" w:eastAsia="zh-CN" w:bidi="ar-SA"/>
        </w:rPr>
        <w:t>（十一）负责城乡生活垃圾处置、利用和消纳日常管理；负责区域生活垃圾压缩转运站及配套设施、设备的建设、维护与管理；依法查处从事城市生活垃圾经营性清扫、收集、运输、处理服务的违规行为。</w:t>
      </w:r>
    </w:p>
    <w:p>
      <w:pPr>
        <w:pStyle w:val="11"/>
        <w:jc w:val="both"/>
        <w:rPr>
          <w:rFonts w:hint="eastAsia" w:ascii="仿宋_GB2312" w:hAnsi="Calibri" w:eastAsia="仿宋_GB2312" w:cs="仿宋_GB2312"/>
          <w:kern w:val="0"/>
          <w:sz w:val="32"/>
          <w:szCs w:val="32"/>
          <w:lang w:val="en-US" w:eastAsia="zh-CN" w:bidi="ar-SA"/>
        </w:rPr>
      </w:pPr>
      <w:r>
        <w:rPr>
          <w:rFonts w:hint="eastAsia" w:ascii="仿宋_GB2312" w:hAnsi="Calibri" w:eastAsia="仿宋_GB2312" w:cs="仿宋_GB2312"/>
          <w:kern w:val="0"/>
          <w:sz w:val="32"/>
          <w:szCs w:val="32"/>
          <w:lang w:val="en-US" w:eastAsia="zh-CN" w:bidi="ar-SA"/>
        </w:rPr>
        <w:t>（十二）负责对全区建筑垃圾、工程渣土的产生、收集、运输、处理进行监督管理；督导各乡镇（区）做好建筑垃圾的收集、运输、处理等各环节工作；依法查处违法运输、倾倒、遗撒建筑垃圾工程渣土等违章行为、私设建筑垃圾工程渣土填埋场违规行为。</w:t>
      </w:r>
    </w:p>
    <w:p>
      <w:pPr>
        <w:pStyle w:val="11"/>
        <w:jc w:val="both"/>
        <w:rPr>
          <w:rFonts w:hint="eastAsia" w:ascii="仿宋_GB2312" w:hAnsi="Calibri" w:eastAsia="仿宋_GB2312" w:cs="仿宋_GB2312"/>
          <w:kern w:val="0"/>
          <w:sz w:val="32"/>
          <w:szCs w:val="32"/>
          <w:lang w:val="en-US" w:eastAsia="zh-CN" w:bidi="ar-SA"/>
        </w:rPr>
      </w:pPr>
      <w:r>
        <w:rPr>
          <w:rFonts w:hint="eastAsia" w:ascii="仿宋_GB2312" w:hAnsi="Calibri" w:eastAsia="仿宋_GB2312" w:cs="仿宋_GB2312"/>
          <w:kern w:val="0"/>
          <w:sz w:val="32"/>
          <w:szCs w:val="32"/>
          <w:lang w:val="en-US" w:eastAsia="zh-CN" w:bidi="ar-SA"/>
        </w:rPr>
        <w:t>（十三）负责主城区（不含开发区）部分便民市场管理。做好城东综合市场、会馆路综合市场、传统集市环境容貌秩序维护与日常管理，并在不影响正常交通的次要路段设置早夜市等便民市场，方便群众生活；依法查处市场内占道经营、乱倾乱倒等违规行为。</w:t>
      </w:r>
    </w:p>
    <w:p>
      <w:pPr>
        <w:pStyle w:val="11"/>
        <w:jc w:val="both"/>
        <w:rPr>
          <w:rFonts w:hint="eastAsia" w:ascii="仿宋_GB2312" w:hAnsi="Calibri" w:eastAsia="仿宋_GB2312" w:cs="仿宋_GB2312"/>
          <w:kern w:val="0"/>
          <w:sz w:val="32"/>
          <w:szCs w:val="32"/>
          <w:lang w:val="en-US" w:eastAsia="zh-CN" w:bidi="ar-SA"/>
        </w:rPr>
      </w:pPr>
      <w:r>
        <w:rPr>
          <w:rFonts w:hint="eastAsia" w:ascii="仿宋_GB2312" w:hAnsi="Calibri" w:eastAsia="仿宋_GB2312" w:cs="仿宋_GB2312"/>
          <w:kern w:val="0"/>
          <w:sz w:val="32"/>
          <w:szCs w:val="32"/>
          <w:lang w:val="en-US" w:eastAsia="zh-CN" w:bidi="ar-SA"/>
        </w:rPr>
        <w:t>（十四）负责省政府决定调整的城市管理领域的其它行政处罚事项。</w:t>
      </w:r>
    </w:p>
    <w:p>
      <w:pPr>
        <w:pStyle w:val="11"/>
        <w:jc w:val="both"/>
        <w:rPr>
          <w:rFonts w:hint="eastAsia" w:ascii="仿宋_GB2312" w:hAnsi="Calibri" w:eastAsia="仿宋_GB2312" w:cs="仿宋_GB2312"/>
          <w:kern w:val="0"/>
          <w:sz w:val="32"/>
          <w:szCs w:val="32"/>
          <w:lang w:val="en-US" w:eastAsia="zh-CN" w:bidi="ar-SA"/>
        </w:rPr>
      </w:pPr>
      <w:r>
        <w:rPr>
          <w:rFonts w:hint="eastAsia" w:ascii="仿宋_GB2312" w:hAnsi="Calibri" w:eastAsia="仿宋_GB2312" w:cs="仿宋_GB2312"/>
          <w:kern w:val="0"/>
          <w:sz w:val="32"/>
          <w:szCs w:val="32"/>
          <w:lang w:val="en-US" w:eastAsia="zh-CN" w:bidi="ar-SA"/>
        </w:rPr>
        <w:t>（十五）负责城乡环境容貌考评工作。负责主城区及各乡镇（区）政府所在地和主要交通干道环境容貌考评工作；负责组织有关市容环境卫生专项整治行动；指导乡镇（区）城管中队工作。</w:t>
      </w:r>
    </w:p>
    <w:p>
      <w:pPr>
        <w:pStyle w:val="11"/>
        <w:jc w:val="both"/>
        <w:rPr>
          <w:rFonts w:hint="eastAsia" w:ascii="仿宋_GB2312" w:hAnsi="Calibri" w:eastAsia="仿宋_GB2312" w:cs="仿宋_GB2312"/>
          <w:kern w:val="0"/>
          <w:sz w:val="32"/>
          <w:szCs w:val="32"/>
          <w:lang w:val="en-US" w:eastAsia="zh-CN" w:bidi="ar-SA"/>
        </w:rPr>
      </w:pPr>
      <w:r>
        <w:rPr>
          <w:rFonts w:hint="eastAsia" w:ascii="仿宋_GB2312" w:hAnsi="Calibri" w:eastAsia="仿宋_GB2312" w:cs="仿宋_GB2312"/>
          <w:kern w:val="0"/>
          <w:sz w:val="32"/>
          <w:szCs w:val="32"/>
          <w:lang w:val="en-US" w:eastAsia="zh-CN" w:bidi="ar-SA"/>
        </w:rPr>
        <w:t>备注：部分职能职责已划转，新的三定方案未批复</w:t>
      </w:r>
    </w:p>
    <w:p>
      <w:pPr>
        <w:spacing w:line="580" w:lineRule="exact"/>
        <w:ind w:firstLine="640" w:firstLineChars="200"/>
        <w:jc w:val="both"/>
        <w:rPr>
          <w:rFonts w:hint="default" w:ascii="仿宋_GB2312" w:eastAsia="仿宋_GB2312" w:cs="仿宋_GB2312"/>
          <w:kern w:val="0"/>
          <w:sz w:val="32"/>
          <w:szCs w:val="32"/>
          <w:lang w:val="en-US" w:eastAsia="zh-CN"/>
        </w:rPr>
      </w:pPr>
      <w:r>
        <w:rPr>
          <w:rFonts w:hint="eastAsia" w:ascii="仿宋_GB2312" w:eastAsia="仿宋_GB2312" w:cs="仿宋_GB2312"/>
          <w:kern w:val="0"/>
          <w:sz w:val="32"/>
          <w:szCs w:val="32"/>
          <w:lang w:val="en-US" w:eastAsia="zh-CN"/>
        </w:rPr>
        <w:t>2、组织机构及人员</w:t>
      </w:r>
    </w:p>
    <w:p>
      <w:pPr>
        <w:spacing w:line="580" w:lineRule="exact"/>
        <w:ind w:firstLine="640" w:firstLineChars="200"/>
        <w:jc w:val="both"/>
        <w:rPr>
          <w:rFonts w:hint="default" w:ascii="仿宋" w:hAnsi="仿宋" w:eastAsia="仿宋"/>
          <w:sz w:val="32"/>
          <w:szCs w:val="32"/>
          <w:lang w:val="en-US" w:eastAsia="zh-CN"/>
        </w:rPr>
      </w:pPr>
      <w:r>
        <w:rPr>
          <w:rFonts w:hint="eastAsia" w:ascii="仿宋_GB2312" w:eastAsia="仿宋_GB2312" w:cs="仿宋_GB2312"/>
          <w:kern w:val="0"/>
          <w:sz w:val="32"/>
          <w:szCs w:val="32"/>
          <w:lang w:val="en-US" w:eastAsia="zh-CN"/>
        </w:rPr>
        <w:t>我单位为财政补助事业单位，</w:t>
      </w:r>
      <w:r>
        <w:rPr>
          <w:rFonts w:hint="eastAsia" w:ascii="仿宋" w:hAnsi="仿宋" w:eastAsia="仿宋" w:cs="仿宋"/>
          <w:b w:val="0"/>
          <w:bCs w:val="0"/>
          <w:kern w:val="2"/>
          <w:sz w:val="32"/>
          <w:szCs w:val="32"/>
        </w:rPr>
        <w:t>下</w:t>
      </w:r>
      <w:r>
        <w:rPr>
          <w:rFonts w:hint="eastAsia" w:ascii="仿宋_GB2312" w:eastAsia="仿宋_GB2312" w:cs="仿宋_GB2312"/>
          <w:kern w:val="0"/>
          <w:sz w:val="32"/>
          <w:szCs w:val="32"/>
          <w:lang w:val="en-US" w:eastAsia="zh-CN"/>
        </w:rPr>
        <w:t>设</w:t>
      </w:r>
      <w:r>
        <w:rPr>
          <w:rFonts w:hint="eastAsia" w:ascii="仿宋_GB2312" w:eastAsia="仿宋_GB2312" w:cs="仿宋_GB2312"/>
          <w:kern w:val="0"/>
          <w:sz w:val="32"/>
          <w:szCs w:val="32"/>
        </w:rPr>
        <w:t>石家庄市鹿泉区市容监察中队</w:t>
      </w:r>
      <w:r>
        <w:rPr>
          <w:rFonts w:hint="eastAsia" w:ascii="仿宋_GB2312" w:eastAsia="仿宋_GB2312" w:cs="仿宋_GB2312"/>
          <w:kern w:val="0"/>
          <w:sz w:val="32"/>
          <w:szCs w:val="32"/>
          <w:lang w:eastAsia="zh-CN"/>
        </w:rPr>
        <w:t>、</w:t>
      </w:r>
      <w:r>
        <w:rPr>
          <w:rFonts w:hint="eastAsia" w:ascii="仿宋_GB2312" w:eastAsia="仿宋_GB2312" w:cs="仿宋_GB2312"/>
          <w:kern w:val="0"/>
          <w:sz w:val="32"/>
          <w:szCs w:val="32"/>
        </w:rPr>
        <w:t>石家庄市鹿泉区城镇服务管理中心</w:t>
      </w:r>
      <w:r>
        <w:rPr>
          <w:rFonts w:hint="eastAsia" w:ascii="仿宋_GB2312" w:eastAsia="仿宋_GB2312" w:cs="仿宋_GB2312"/>
          <w:kern w:val="0"/>
          <w:sz w:val="32"/>
          <w:szCs w:val="32"/>
          <w:lang w:eastAsia="zh-CN"/>
        </w:rPr>
        <w:t>、</w:t>
      </w:r>
      <w:r>
        <w:rPr>
          <w:rFonts w:hint="eastAsia" w:ascii="仿宋_GB2312" w:eastAsia="仿宋_GB2312" w:cs="仿宋_GB2312"/>
          <w:kern w:val="0"/>
          <w:sz w:val="32"/>
          <w:szCs w:val="32"/>
        </w:rPr>
        <w:t>石家庄市鹿泉区环境卫生管护中心</w:t>
      </w:r>
      <w:r>
        <w:rPr>
          <w:rFonts w:hint="eastAsia" w:ascii="仿宋_GB2312" w:eastAsia="仿宋_GB2312" w:cs="仿宋_GB2312"/>
          <w:kern w:val="0"/>
          <w:sz w:val="32"/>
          <w:szCs w:val="32"/>
          <w:lang w:eastAsia="zh-CN"/>
        </w:rPr>
        <w:t>、</w:t>
      </w:r>
      <w:r>
        <w:rPr>
          <w:rFonts w:hint="eastAsia" w:ascii="仿宋_GB2312" w:eastAsia="仿宋_GB2312" w:cs="仿宋_GB2312"/>
          <w:kern w:val="0"/>
          <w:sz w:val="32"/>
          <w:szCs w:val="32"/>
        </w:rPr>
        <w:t>石家庄市鹿泉区城乡卫生管护中心</w:t>
      </w:r>
      <w:r>
        <w:rPr>
          <w:rFonts w:hint="eastAsia" w:ascii="仿宋_GB2312" w:eastAsia="仿宋_GB2312" w:cs="仿宋_GB2312"/>
          <w:kern w:val="0"/>
          <w:sz w:val="32"/>
          <w:szCs w:val="32"/>
          <w:lang w:eastAsia="zh-CN"/>
        </w:rPr>
        <w:t>、</w:t>
      </w:r>
      <w:r>
        <w:rPr>
          <w:rFonts w:hint="eastAsia" w:ascii="仿宋_GB2312" w:eastAsia="仿宋_GB2312" w:cs="仿宋_GB2312"/>
          <w:kern w:val="0"/>
          <w:sz w:val="32"/>
          <w:szCs w:val="32"/>
        </w:rPr>
        <w:t>石家庄市鹿泉区市场服务中心</w:t>
      </w:r>
      <w:r>
        <w:rPr>
          <w:rFonts w:hint="eastAsia" w:ascii="仿宋_GB2312" w:eastAsia="仿宋_GB2312" w:cs="仿宋_GB2312"/>
          <w:kern w:val="0"/>
          <w:sz w:val="32"/>
          <w:szCs w:val="32"/>
          <w:lang w:val="en-US" w:eastAsia="zh-CN"/>
        </w:rPr>
        <w:t>5个下属单位。现有</w:t>
      </w:r>
      <w:r>
        <w:rPr>
          <w:rFonts w:hint="eastAsia" w:ascii="仿宋" w:hAnsi="仿宋" w:eastAsia="仿宋" w:cs="Times New Roman"/>
          <w:sz w:val="32"/>
          <w:szCs w:val="32"/>
          <w:highlight w:val="none"/>
        </w:rPr>
        <w:t>事业</w:t>
      </w:r>
      <w:r>
        <w:rPr>
          <w:rFonts w:hint="eastAsia" w:ascii="仿宋" w:hAnsi="仿宋" w:eastAsia="仿宋" w:cs="Times New Roman"/>
          <w:sz w:val="32"/>
          <w:szCs w:val="32"/>
          <w:highlight w:val="none"/>
          <w:lang w:val="en-US" w:eastAsia="zh-CN"/>
        </w:rPr>
        <w:t>在编人员134</w:t>
      </w:r>
      <w:r>
        <w:rPr>
          <w:rFonts w:hint="eastAsia" w:ascii="仿宋" w:hAnsi="仿宋" w:eastAsia="仿宋" w:cs="Times New Roman"/>
          <w:sz w:val="32"/>
          <w:szCs w:val="32"/>
          <w:highlight w:val="none"/>
        </w:rPr>
        <w:t>人、</w:t>
      </w:r>
      <w:r>
        <w:rPr>
          <w:rFonts w:hint="eastAsia" w:ascii="仿宋" w:hAnsi="仿宋" w:eastAsia="仿宋" w:cs="Times New Roman"/>
          <w:sz w:val="32"/>
          <w:szCs w:val="32"/>
          <w:highlight w:val="none"/>
          <w:lang w:val="en-US" w:eastAsia="zh-CN"/>
        </w:rPr>
        <w:t>离退休人员32人、劳动聘用人员319</w:t>
      </w:r>
      <w:r>
        <w:rPr>
          <w:rFonts w:hint="eastAsia" w:ascii="仿宋" w:hAnsi="仿宋" w:eastAsia="仿宋" w:cs="Times New Roman"/>
          <w:sz w:val="32"/>
          <w:szCs w:val="32"/>
          <w:highlight w:val="none"/>
        </w:rPr>
        <w:t>人。</w:t>
      </w:r>
    </w:p>
    <w:p>
      <w:pPr>
        <w:widowControl w:val="0"/>
        <w:numPr>
          <w:ilvl w:val="0"/>
          <w:numId w:val="1"/>
        </w:numPr>
        <w:wordWrap/>
        <w:adjustRightInd w:val="0"/>
        <w:snapToGrid w:val="0"/>
        <w:spacing w:line="560" w:lineRule="exact"/>
        <w:ind w:left="0" w:leftChars="0" w:right="0" w:firstLine="643" w:firstLineChars="200"/>
        <w:jc w:val="both"/>
        <w:textAlignment w:val="auto"/>
        <w:outlineLvl w:val="9"/>
        <w:rPr>
          <w:rFonts w:ascii="仿宋_GB2312" w:hAnsi="Times New Roman" w:eastAsia="仿宋_GB2312" w:cs="Times New Roman"/>
          <w:sz w:val="32"/>
          <w:szCs w:val="32"/>
        </w:rPr>
      </w:pPr>
      <w:r>
        <w:rPr>
          <w:rFonts w:hint="eastAsia" w:ascii="仿宋" w:hAnsi="仿宋" w:eastAsia="仿宋" w:cs="楷体_GB2312"/>
          <w:b/>
          <w:bCs/>
          <w:sz w:val="32"/>
          <w:szCs w:val="32"/>
          <w:lang w:eastAsia="zh-CN"/>
        </w:rPr>
        <w:t>部门收支预决算情况</w:t>
      </w:r>
    </w:p>
    <w:p>
      <w:pPr>
        <w:widowControl w:val="0"/>
        <w:numPr>
          <w:ilvl w:val="0"/>
          <w:numId w:val="0"/>
        </w:numPr>
        <w:wordWrap/>
        <w:adjustRightInd w:val="0"/>
        <w:snapToGrid w:val="0"/>
        <w:spacing w:line="560" w:lineRule="exact"/>
        <w:ind w:right="0" w:rightChars="0" w:firstLine="640" w:firstLineChars="200"/>
        <w:jc w:val="both"/>
        <w:textAlignment w:val="auto"/>
        <w:outlineLvl w:val="9"/>
        <w:rPr>
          <w:rFonts w:ascii="仿宋_GB2312" w:hAnsi="Times New Roman" w:eastAsia="仿宋_GB2312" w:cs="Times New Roman"/>
          <w:sz w:val="32"/>
          <w:szCs w:val="32"/>
        </w:rPr>
      </w:pPr>
      <w:r>
        <w:rPr>
          <w:rFonts w:hint="eastAsia" w:ascii="仿宋_GB2312" w:hAnsi="Times New Roman" w:eastAsia="仿宋_GB2312" w:cs="仿宋_GB2312"/>
          <w:sz w:val="32"/>
          <w:szCs w:val="32"/>
        </w:rPr>
        <w:t>本部门</w:t>
      </w:r>
      <w:r>
        <w:rPr>
          <w:rFonts w:ascii="仿宋_GB2312" w:hAnsi="Times New Roman" w:eastAsia="仿宋_GB2312" w:cs="仿宋_GB2312"/>
          <w:sz w:val="32"/>
          <w:szCs w:val="32"/>
        </w:rPr>
        <w:t>2022</w:t>
      </w:r>
      <w:r>
        <w:rPr>
          <w:rFonts w:hint="eastAsia" w:ascii="仿宋_GB2312" w:hAnsi="Times New Roman" w:eastAsia="仿宋_GB2312" w:cs="仿宋_GB2312"/>
          <w:sz w:val="32"/>
          <w:szCs w:val="32"/>
        </w:rPr>
        <w:t>年度</w:t>
      </w:r>
      <w:r>
        <w:rPr>
          <w:rFonts w:hint="eastAsia" w:ascii="仿宋_GB2312" w:hAnsi="Times New Roman" w:eastAsia="仿宋_GB2312" w:cs="仿宋_GB2312"/>
          <w:sz w:val="32"/>
          <w:szCs w:val="32"/>
          <w:lang w:val="en-US" w:eastAsia="zh-CN"/>
        </w:rPr>
        <w:t>决算本年</w:t>
      </w:r>
      <w:r>
        <w:rPr>
          <w:rFonts w:hint="eastAsia" w:ascii="仿宋_GB2312" w:hAnsi="Times New Roman" w:eastAsia="仿宋_GB2312" w:cs="仿宋_GB2312"/>
          <w:sz w:val="32"/>
          <w:szCs w:val="32"/>
        </w:rPr>
        <w:t>收入</w:t>
      </w:r>
      <w:r>
        <w:rPr>
          <w:rFonts w:hint="eastAsia" w:ascii="仿宋_GB2312" w:hAnsi="Times New Roman" w:eastAsia="仿宋_GB2312" w:cs="仿宋_GB2312"/>
          <w:sz w:val="32"/>
          <w:szCs w:val="32"/>
          <w:lang w:val="en-US" w:eastAsia="zh-CN"/>
        </w:rPr>
        <w:t>22370.82</w:t>
      </w:r>
      <w:r>
        <w:rPr>
          <w:rFonts w:hint="eastAsia" w:ascii="仿宋_GB2312" w:hAnsi="Times New Roman" w:eastAsia="仿宋_GB2312" w:cs="仿宋_GB2312"/>
          <w:sz w:val="32"/>
          <w:szCs w:val="32"/>
        </w:rPr>
        <w:t>万元</w:t>
      </w:r>
      <w:r>
        <w:rPr>
          <w:rFonts w:ascii="仿宋_GB2312" w:hAnsi="Times New Roman" w:eastAsia="仿宋_GB2312" w:cs="仿宋_GB2312"/>
          <w:sz w:val="32"/>
          <w:szCs w:val="32"/>
        </w:rPr>
        <w:t>,</w:t>
      </w:r>
      <w:r>
        <w:rPr>
          <w:rFonts w:hint="eastAsia" w:ascii="仿宋_GB2312" w:hAnsi="Times New Roman" w:eastAsia="仿宋_GB2312" w:cs="仿宋_GB2312"/>
          <w:sz w:val="32"/>
          <w:szCs w:val="32"/>
          <w:lang w:val="en-US" w:eastAsia="zh-CN"/>
        </w:rPr>
        <w:t>较年初预算</w:t>
      </w:r>
      <w:r>
        <w:rPr>
          <w:rFonts w:hint="eastAsia" w:ascii="仿宋_GB2312" w:hAnsi="Times New Roman" w:eastAsia="仿宋_GB2312" w:cs="仿宋_GB2312"/>
          <w:sz w:val="32"/>
          <w:szCs w:val="32"/>
        </w:rPr>
        <w:t>增加</w:t>
      </w:r>
      <w:r>
        <w:rPr>
          <w:rFonts w:hint="eastAsia" w:ascii="仿宋_GB2312" w:hAnsi="Times New Roman" w:eastAsia="仿宋_GB2312" w:cs="仿宋_GB2312"/>
          <w:sz w:val="32"/>
          <w:szCs w:val="32"/>
          <w:lang w:val="en-US" w:eastAsia="zh-CN"/>
        </w:rPr>
        <w:t>4207.37</w:t>
      </w:r>
      <w:r>
        <w:rPr>
          <w:rFonts w:hint="eastAsia" w:ascii="仿宋_GB2312" w:hAnsi="Times New Roman" w:eastAsia="仿宋_GB2312" w:cs="仿宋_GB2312"/>
          <w:sz w:val="32"/>
          <w:szCs w:val="32"/>
        </w:rPr>
        <w:t>万元，增长</w:t>
      </w:r>
      <w:r>
        <w:rPr>
          <w:rFonts w:hint="eastAsia" w:ascii="仿宋_GB2312" w:hAnsi="Times New Roman" w:eastAsia="仿宋_GB2312" w:cs="仿宋_GB2312"/>
          <w:sz w:val="32"/>
          <w:szCs w:val="32"/>
          <w:lang w:val="en-US" w:eastAsia="zh-CN"/>
        </w:rPr>
        <w:t>23.2</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w:t>
      </w:r>
      <w:r>
        <w:rPr>
          <w:rFonts w:hint="eastAsia" w:ascii="仿宋_GB2312" w:hAnsi="Times New Roman" w:eastAsia="仿宋_GB2312" w:cs="仿宋_GB2312"/>
          <w:sz w:val="32"/>
          <w:szCs w:val="32"/>
          <w:lang w:val="en-US" w:eastAsia="zh-CN"/>
        </w:rPr>
        <w:t>决算本年</w:t>
      </w:r>
      <w:r>
        <w:rPr>
          <w:rFonts w:hint="eastAsia" w:ascii="仿宋_GB2312" w:hAnsi="Times New Roman" w:eastAsia="仿宋_GB2312" w:cs="仿宋_GB2312"/>
          <w:sz w:val="32"/>
          <w:szCs w:val="32"/>
        </w:rPr>
        <w:t>支出</w:t>
      </w:r>
      <w:r>
        <w:rPr>
          <w:rFonts w:hint="eastAsia" w:ascii="仿宋_GB2312" w:hAnsi="Times New Roman" w:eastAsia="仿宋_GB2312" w:cs="仿宋_GB2312"/>
          <w:sz w:val="32"/>
          <w:szCs w:val="32"/>
          <w:lang w:val="en-US" w:eastAsia="zh-CN"/>
        </w:rPr>
        <w:t>22479.77</w:t>
      </w:r>
      <w:r>
        <w:rPr>
          <w:rFonts w:hint="eastAsia" w:ascii="仿宋_GB2312" w:hAnsi="Times New Roman" w:eastAsia="仿宋_GB2312" w:cs="仿宋_GB2312"/>
          <w:sz w:val="32"/>
          <w:szCs w:val="32"/>
        </w:rPr>
        <w:t>万元，</w:t>
      </w:r>
      <w:r>
        <w:rPr>
          <w:rFonts w:hint="eastAsia" w:ascii="仿宋_GB2312" w:hAnsi="Times New Roman" w:eastAsia="仿宋_GB2312" w:cs="仿宋_GB2312"/>
          <w:sz w:val="32"/>
          <w:szCs w:val="32"/>
          <w:lang w:val="en-US" w:eastAsia="zh-CN"/>
        </w:rPr>
        <w:t>较年初预算</w:t>
      </w:r>
      <w:r>
        <w:rPr>
          <w:rFonts w:hint="eastAsia" w:ascii="仿宋_GB2312" w:hAnsi="Times New Roman" w:eastAsia="仿宋_GB2312" w:cs="仿宋_GB2312"/>
          <w:sz w:val="32"/>
          <w:szCs w:val="32"/>
        </w:rPr>
        <w:t>增加</w:t>
      </w:r>
      <w:r>
        <w:rPr>
          <w:rFonts w:hint="eastAsia" w:ascii="仿宋_GB2312" w:hAnsi="Times New Roman" w:eastAsia="仿宋_GB2312" w:cs="仿宋_GB2312"/>
          <w:sz w:val="32"/>
          <w:szCs w:val="32"/>
          <w:lang w:val="en-US" w:eastAsia="zh-CN"/>
        </w:rPr>
        <w:t>4316.32</w:t>
      </w:r>
      <w:r>
        <w:rPr>
          <w:rFonts w:hint="eastAsia" w:ascii="仿宋_GB2312" w:hAnsi="Times New Roman" w:eastAsia="仿宋_GB2312" w:cs="仿宋_GB2312"/>
          <w:sz w:val="32"/>
          <w:szCs w:val="32"/>
        </w:rPr>
        <w:t>万元，增长</w:t>
      </w:r>
      <w:r>
        <w:rPr>
          <w:rFonts w:hint="eastAsia" w:ascii="仿宋_GB2312" w:hAnsi="Times New Roman" w:eastAsia="仿宋_GB2312" w:cs="仿宋_GB2312"/>
          <w:sz w:val="32"/>
          <w:szCs w:val="32"/>
          <w:lang w:val="en-US" w:eastAsia="zh-CN"/>
        </w:rPr>
        <w:t>23.8</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。具体情况如下：</w:t>
      </w:r>
    </w:p>
    <w:p>
      <w:pPr>
        <w:numPr>
          <w:ilvl w:val="0"/>
          <w:numId w:val="2"/>
        </w:numPr>
        <w:adjustRightInd w:val="0"/>
        <w:snapToGrid w:val="0"/>
        <w:spacing w:line="580" w:lineRule="exact"/>
        <w:ind w:firstLine="640" w:firstLineChars="200"/>
        <w:jc w:val="both"/>
        <w:rPr>
          <w:rFonts w:hint="eastAsia" w:ascii="仿宋_GB2312" w:hAnsi="Times New Roman" w:eastAsia="仿宋_GB2312" w:cs="仿宋_GB2312"/>
          <w:sz w:val="32"/>
          <w:szCs w:val="32"/>
        </w:rPr>
      </w:pPr>
      <w:r>
        <w:rPr>
          <w:rFonts w:hint="eastAsia" w:ascii="仿宋_GB2312" w:hAnsi="Times New Roman" w:eastAsia="仿宋_GB2312" w:cs="仿宋_GB2312"/>
          <w:sz w:val="32"/>
          <w:szCs w:val="32"/>
        </w:rPr>
        <w:t>一般公共预算财政拨款</w:t>
      </w:r>
      <w:r>
        <w:rPr>
          <w:rFonts w:hint="eastAsia" w:ascii="仿宋_GB2312" w:hAnsi="Times New Roman" w:eastAsia="仿宋_GB2312" w:cs="仿宋_GB2312"/>
          <w:sz w:val="32"/>
          <w:szCs w:val="32"/>
          <w:lang w:val="en-US" w:eastAsia="zh-CN"/>
        </w:rPr>
        <w:t>决算本年</w:t>
      </w:r>
      <w:r>
        <w:rPr>
          <w:rFonts w:hint="eastAsia" w:ascii="仿宋_GB2312" w:hAnsi="Times New Roman" w:eastAsia="仿宋_GB2312" w:cs="仿宋_GB2312"/>
          <w:sz w:val="32"/>
          <w:szCs w:val="32"/>
        </w:rPr>
        <w:t>收入</w:t>
      </w:r>
      <w:r>
        <w:rPr>
          <w:rFonts w:hint="eastAsia" w:ascii="仿宋_GB2312" w:hAnsi="Times New Roman" w:eastAsia="仿宋_GB2312" w:cs="仿宋_GB2312"/>
          <w:sz w:val="32"/>
          <w:szCs w:val="32"/>
          <w:lang w:val="en-US" w:eastAsia="zh-CN"/>
        </w:rPr>
        <w:t>7365.01</w:t>
      </w:r>
      <w:r>
        <w:rPr>
          <w:rFonts w:hint="eastAsia" w:ascii="仿宋_GB2312" w:hAnsi="Times New Roman" w:eastAsia="仿宋_GB2312" w:cs="仿宋_GB2312"/>
          <w:sz w:val="32"/>
          <w:szCs w:val="32"/>
        </w:rPr>
        <w:t>万元，</w:t>
      </w:r>
      <w:r>
        <w:rPr>
          <w:rFonts w:hint="eastAsia" w:ascii="仿宋_GB2312" w:hAnsi="Times New Roman" w:eastAsia="仿宋_GB2312" w:cs="仿宋_GB2312"/>
          <w:sz w:val="32"/>
          <w:szCs w:val="32"/>
          <w:lang w:val="en-US" w:eastAsia="zh-CN"/>
        </w:rPr>
        <w:t>较年初预算减少811.62</w:t>
      </w:r>
      <w:r>
        <w:rPr>
          <w:rFonts w:hint="eastAsia" w:ascii="仿宋_GB2312" w:hAnsi="Times New Roman" w:eastAsia="仿宋_GB2312" w:cs="仿宋_GB2312"/>
          <w:sz w:val="32"/>
          <w:szCs w:val="32"/>
        </w:rPr>
        <w:t>万元，</w:t>
      </w:r>
      <w:r>
        <w:rPr>
          <w:rFonts w:hint="eastAsia" w:ascii="仿宋_GB2312" w:hAnsi="Times New Roman" w:eastAsia="仿宋_GB2312" w:cs="仿宋_GB2312"/>
          <w:sz w:val="32"/>
          <w:szCs w:val="32"/>
          <w:lang w:val="en-US" w:eastAsia="zh-CN"/>
        </w:rPr>
        <w:t>降低9.9</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w:t>
      </w:r>
      <w:r>
        <w:rPr>
          <w:rFonts w:hint="eastAsia" w:ascii="仿宋_GB2312" w:hAnsi="Times New Roman" w:eastAsia="仿宋_GB2312" w:cs="仿宋_GB2312"/>
          <w:sz w:val="32"/>
          <w:szCs w:val="32"/>
          <w:lang w:val="en-US" w:eastAsia="zh-CN"/>
        </w:rPr>
        <w:t>决算本年</w:t>
      </w:r>
      <w:r>
        <w:rPr>
          <w:rFonts w:hint="eastAsia" w:ascii="仿宋_GB2312" w:hAnsi="Times New Roman" w:eastAsia="仿宋_GB2312" w:cs="仿宋_GB2312"/>
          <w:sz w:val="32"/>
          <w:szCs w:val="32"/>
        </w:rPr>
        <w:t>支出</w:t>
      </w:r>
      <w:r>
        <w:rPr>
          <w:rFonts w:hint="eastAsia" w:ascii="仿宋_GB2312" w:hAnsi="Times New Roman" w:eastAsia="仿宋_GB2312" w:cs="仿宋_GB2312"/>
          <w:sz w:val="32"/>
          <w:szCs w:val="32"/>
          <w:lang w:val="en-US" w:eastAsia="zh-CN"/>
        </w:rPr>
        <w:t>7364.63</w:t>
      </w:r>
      <w:r>
        <w:rPr>
          <w:rFonts w:hint="eastAsia" w:ascii="仿宋_GB2312" w:hAnsi="Times New Roman" w:eastAsia="仿宋_GB2312" w:cs="仿宋_GB2312"/>
          <w:sz w:val="32"/>
          <w:szCs w:val="32"/>
        </w:rPr>
        <w:t>万元，</w:t>
      </w:r>
      <w:r>
        <w:rPr>
          <w:rFonts w:hint="eastAsia" w:ascii="仿宋_GB2312" w:hAnsi="Times New Roman" w:eastAsia="仿宋_GB2312" w:cs="仿宋_GB2312"/>
          <w:sz w:val="32"/>
          <w:szCs w:val="32"/>
          <w:lang w:val="en-US" w:eastAsia="zh-CN"/>
        </w:rPr>
        <w:t>较年初预算减少812</w:t>
      </w:r>
      <w:r>
        <w:rPr>
          <w:rFonts w:hint="eastAsia" w:ascii="仿宋_GB2312" w:hAnsi="Times New Roman" w:eastAsia="仿宋_GB2312" w:cs="仿宋_GB2312"/>
          <w:sz w:val="32"/>
          <w:szCs w:val="32"/>
        </w:rPr>
        <w:t>万元，</w:t>
      </w:r>
      <w:r>
        <w:rPr>
          <w:rFonts w:hint="eastAsia" w:ascii="仿宋_GB2312" w:hAnsi="Times New Roman" w:eastAsia="仿宋_GB2312" w:cs="仿宋_GB2312"/>
          <w:sz w:val="32"/>
          <w:szCs w:val="32"/>
          <w:lang w:val="en-US" w:eastAsia="zh-CN"/>
        </w:rPr>
        <w:t>降低9.9</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w:t>
      </w:r>
    </w:p>
    <w:p>
      <w:pPr>
        <w:numPr>
          <w:ilvl w:val="0"/>
          <w:numId w:val="0"/>
        </w:numPr>
        <w:adjustRightInd w:val="0"/>
        <w:snapToGrid w:val="0"/>
        <w:spacing w:line="580" w:lineRule="exact"/>
        <w:ind w:firstLine="640" w:firstLineChars="200"/>
        <w:jc w:val="both"/>
        <w:rPr>
          <w:rFonts w:hint="default" w:ascii="仿宋" w:hAnsi="仿宋" w:eastAsia="仿宋" w:cs="楷体_GB2312"/>
          <w:b/>
          <w:bCs/>
          <w:sz w:val="32"/>
          <w:szCs w:val="32"/>
          <w:lang w:val="en-US" w:eastAsia="zh-CN"/>
        </w:rPr>
      </w:pPr>
      <w:r>
        <w:rPr>
          <w:rFonts w:ascii="仿宋_GB2312" w:hAnsi="Times New Roman" w:eastAsia="仿宋_GB2312" w:cs="仿宋_GB2312"/>
          <w:sz w:val="32"/>
          <w:szCs w:val="32"/>
        </w:rPr>
        <w:t>2.</w:t>
      </w:r>
      <w:r>
        <w:rPr>
          <w:rFonts w:hint="eastAsia" w:ascii="仿宋_GB2312" w:hAnsi="Times New Roman" w:eastAsia="仿宋_GB2312" w:cs="仿宋_GB2312"/>
          <w:sz w:val="32"/>
          <w:szCs w:val="32"/>
        </w:rPr>
        <w:t>政府性基金预算财政拨款</w:t>
      </w:r>
      <w:r>
        <w:rPr>
          <w:rFonts w:hint="eastAsia" w:ascii="仿宋_GB2312" w:hAnsi="Times New Roman" w:eastAsia="仿宋_GB2312" w:cs="仿宋_GB2312"/>
          <w:sz w:val="32"/>
          <w:szCs w:val="32"/>
          <w:lang w:val="en-US" w:eastAsia="zh-CN"/>
        </w:rPr>
        <w:t>决算本年</w:t>
      </w:r>
      <w:r>
        <w:rPr>
          <w:rFonts w:hint="eastAsia" w:ascii="仿宋_GB2312" w:hAnsi="Times New Roman" w:eastAsia="仿宋_GB2312" w:cs="仿宋_GB2312"/>
          <w:sz w:val="32"/>
          <w:szCs w:val="32"/>
        </w:rPr>
        <w:t>收入</w:t>
      </w:r>
      <w:r>
        <w:rPr>
          <w:rFonts w:hint="eastAsia" w:ascii="仿宋_GB2312" w:hAnsi="Times New Roman" w:eastAsia="仿宋_GB2312" w:cs="仿宋_GB2312"/>
          <w:sz w:val="32"/>
          <w:szCs w:val="32"/>
          <w:lang w:val="en-US" w:eastAsia="zh-CN"/>
        </w:rPr>
        <w:t>12336.34</w:t>
      </w:r>
      <w:r>
        <w:rPr>
          <w:rFonts w:hint="eastAsia" w:ascii="仿宋_GB2312" w:hAnsi="Times New Roman" w:eastAsia="仿宋_GB2312" w:cs="仿宋_GB2312"/>
          <w:sz w:val="32"/>
          <w:szCs w:val="32"/>
        </w:rPr>
        <w:t>万元，</w:t>
      </w:r>
      <w:r>
        <w:rPr>
          <w:rFonts w:hint="eastAsia" w:ascii="仿宋_GB2312" w:hAnsi="Times New Roman" w:eastAsia="仿宋_GB2312" w:cs="仿宋_GB2312"/>
          <w:sz w:val="32"/>
          <w:szCs w:val="32"/>
          <w:lang w:val="en-US" w:eastAsia="zh-CN"/>
        </w:rPr>
        <w:t>较年初预算</w:t>
      </w:r>
      <w:r>
        <w:rPr>
          <w:rFonts w:hint="eastAsia" w:ascii="仿宋_GB2312" w:hAnsi="Times New Roman" w:eastAsia="仿宋_GB2312" w:cs="仿宋_GB2312"/>
          <w:sz w:val="32"/>
          <w:szCs w:val="32"/>
        </w:rPr>
        <w:t>增加</w:t>
      </w:r>
      <w:r>
        <w:rPr>
          <w:rFonts w:hint="eastAsia" w:ascii="仿宋_GB2312" w:hAnsi="Times New Roman" w:eastAsia="仿宋_GB2312" w:cs="仿宋_GB2312"/>
          <w:sz w:val="32"/>
          <w:szCs w:val="32"/>
          <w:lang w:val="en-US" w:eastAsia="zh-CN"/>
        </w:rPr>
        <w:t>2444.53</w:t>
      </w:r>
      <w:r>
        <w:rPr>
          <w:rFonts w:hint="eastAsia" w:ascii="仿宋_GB2312" w:hAnsi="Times New Roman" w:eastAsia="仿宋_GB2312" w:cs="仿宋_GB2312"/>
          <w:sz w:val="32"/>
          <w:szCs w:val="32"/>
        </w:rPr>
        <w:t>万元，增长</w:t>
      </w:r>
      <w:r>
        <w:rPr>
          <w:rFonts w:hint="eastAsia" w:ascii="仿宋_GB2312" w:hAnsi="Times New Roman" w:eastAsia="仿宋_GB2312" w:cs="仿宋_GB2312"/>
          <w:sz w:val="32"/>
          <w:szCs w:val="32"/>
          <w:lang w:val="en-US" w:eastAsia="zh-CN"/>
        </w:rPr>
        <w:t>24.7</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w:t>
      </w:r>
      <w:r>
        <w:rPr>
          <w:rFonts w:hint="eastAsia" w:ascii="仿宋_GB2312" w:hAnsi="Times New Roman" w:eastAsia="仿宋_GB2312" w:cs="仿宋_GB2312"/>
          <w:sz w:val="32"/>
          <w:szCs w:val="32"/>
          <w:lang w:val="en-US" w:eastAsia="zh-CN"/>
        </w:rPr>
        <w:t>决算本年</w:t>
      </w:r>
      <w:r>
        <w:rPr>
          <w:rFonts w:hint="eastAsia" w:ascii="仿宋_GB2312" w:hAnsi="Times New Roman" w:eastAsia="仿宋_GB2312" w:cs="仿宋_GB2312"/>
          <w:sz w:val="32"/>
          <w:szCs w:val="32"/>
        </w:rPr>
        <w:t>支出</w:t>
      </w:r>
      <w:r>
        <w:rPr>
          <w:rFonts w:hint="eastAsia" w:ascii="仿宋_GB2312" w:hAnsi="Times New Roman" w:eastAsia="仿宋_GB2312" w:cs="仿宋_GB2312"/>
          <w:sz w:val="32"/>
          <w:szCs w:val="32"/>
          <w:lang w:val="en-US" w:eastAsia="zh-CN"/>
        </w:rPr>
        <w:t>12336.35</w:t>
      </w:r>
      <w:r>
        <w:rPr>
          <w:rFonts w:hint="eastAsia" w:ascii="仿宋_GB2312" w:hAnsi="Times New Roman" w:eastAsia="仿宋_GB2312" w:cs="仿宋_GB2312"/>
          <w:sz w:val="32"/>
          <w:szCs w:val="32"/>
        </w:rPr>
        <w:t>万元，</w:t>
      </w:r>
      <w:r>
        <w:rPr>
          <w:rFonts w:hint="eastAsia" w:ascii="仿宋_GB2312" w:hAnsi="Times New Roman" w:eastAsia="仿宋_GB2312" w:cs="仿宋_GB2312"/>
          <w:sz w:val="32"/>
          <w:szCs w:val="32"/>
          <w:lang w:val="en-US" w:eastAsia="zh-CN"/>
        </w:rPr>
        <w:t>较年初预算</w:t>
      </w:r>
      <w:r>
        <w:rPr>
          <w:rFonts w:hint="eastAsia" w:ascii="仿宋_GB2312" w:hAnsi="Times New Roman" w:eastAsia="仿宋_GB2312" w:cs="仿宋_GB2312"/>
          <w:sz w:val="32"/>
          <w:szCs w:val="32"/>
        </w:rPr>
        <w:t>增加</w:t>
      </w:r>
      <w:r>
        <w:rPr>
          <w:rFonts w:hint="eastAsia" w:ascii="仿宋_GB2312" w:hAnsi="Times New Roman" w:eastAsia="仿宋_GB2312" w:cs="仿宋_GB2312"/>
          <w:sz w:val="32"/>
          <w:szCs w:val="32"/>
          <w:lang w:val="en-US" w:eastAsia="zh-CN"/>
        </w:rPr>
        <w:t>2444.54</w:t>
      </w:r>
      <w:r>
        <w:rPr>
          <w:rFonts w:hint="eastAsia" w:ascii="仿宋_GB2312" w:hAnsi="Times New Roman" w:eastAsia="仿宋_GB2312" w:cs="仿宋_GB2312"/>
          <w:sz w:val="32"/>
          <w:szCs w:val="32"/>
        </w:rPr>
        <w:t>万元，增长</w:t>
      </w:r>
      <w:r>
        <w:rPr>
          <w:rFonts w:hint="eastAsia" w:ascii="仿宋_GB2312" w:hAnsi="Times New Roman" w:eastAsia="仿宋_GB2312" w:cs="仿宋_GB2312"/>
          <w:sz w:val="32"/>
          <w:szCs w:val="32"/>
          <w:lang w:val="en-US" w:eastAsia="zh-CN"/>
        </w:rPr>
        <w:t>24.7</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w:t>
      </w:r>
    </w:p>
    <w:p>
      <w:pPr>
        <w:widowControl w:val="0"/>
        <w:wordWrap/>
        <w:adjustRightInd w:val="0"/>
        <w:snapToGrid w:val="0"/>
        <w:spacing w:line="560" w:lineRule="exact"/>
        <w:ind w:left="0" w:leftChars="0" w:right="0" w:firstLine="643" w:firstLineChars="200"/>
        <w:jc w:val="both"/>
        <w:textAlignment w:val="auto"/>
        <w:outlineLvl w:val="9"/>
        <w:rPr>
          <w:rFonts w:hint="eastAsia" w:ascii="仿宋" w:hAnsi="仿宋" w:eastAsia="仿宋" w:cs="楷体_GB2312"/>
          <w:b/>
          <w:bCs/>
          <w:sz w:val="32"/>
          <w:szCs w:val="32"/>
          <w:lang w:eastAsia="zh-CN"/>
        </w:rPr>
      </w:pPr>
      <w:r>
        <w:rPr>
          <w:rFonts w:hint="eastAsia" w:ascii="仿宋" w:hAnsi="仿宋" w:eastAsia="仿宋" w:cs="楷体_GB2312"/>
          <w:b/>
          <w:bCs/>
          <w:sz w:val="32"/>
          <w:szCs w:val="32"/>
          <w:lang w:eastAsia="zh-CN"/>
        </w:rPr>
        <w:t>（三）部门整体支出绩效目标、指标</w:t>
      </w:r>
    </w:p>
    <w:p>
      <w:pPr>
        <w:keepNext w:val="0"/>
        <w:keepLines w:val="0"/>
        <w:pageBreakBefore w:val="0"/>
        <w:widowControl w:val="0"/>
        <w:kinsoku/>
        <w:wordWrap/>
        <w:overflowPunct/>
        <w:topLinePunct w:val="0"/>
        <w:autoSpaceDE/>
        <w:autoSpaceDN/>
        <w:bidi w:val="0"/>
        <w:adjustRightInd w:val="0"/>
        <w:snapToGrid w:val="0"/>
        <w:spacing w:line="540" w:lineRule="exact"/>
        <w:ind w:left="0" w:leftChars="0" w:right="0" w:rightChars="0" w:firstLine="640" w:firstLineChars="200"/>
        <w:jc w:val="both"/>
        <w:textAlignment w:val="auto"/>
        <w:outlineLvl w:val="9"/>
        <w:rPr>
          <w:rFonts w:hint="eastAsia" w:ascii="仿宋" w:hAnsi="仿宋" w:eastAsia="仿宋" w:cs="Times New Roman"/>
          <w:sz w:val="32"/>
          <w:szCs w:val="32"/>
          <w:lang w:eastAsia="zh-CN"/>
        </w:rPr>
      </w:pPr>
      <w:r>
        <w:rPr>
          <w:rFonts w:hint="default" w:ascii="仿宋" w:hAnsi="仿宋" w:eastAsia="仿宋" w:cs="仿宋"/>
          <w:kern w:val="2"/>
          <w:sz w:val="32"/>
          <w:szCs w:val="32"/>
          <w:lang w:val="en-US" w:eastAsia="zh-CN" w:bidi="ar-SA"/>
        </w:rPr>
        <w:t>围绕我区“经济强区、魅力鹿泉、生态宜居宜业宜游新城区”工作目标，全面贯彻新发展理念，坚持党建工作与业务工作同安排，紧紧围绕“六区同创”等重点工作部署，拉高标杆、积极作为，在环境卫生保洁、市容市貌管理、市场秩序规范等方面加强精细化管理，通过提升城区品质、实施城市精细化管理，为广大群众提供一个环境美丽、洁净舒适的城市生活环境，实现城市容貌治理效能和文明城市建设常态化的双提升。</w:t>
      </w:r>
      <w:r>
        <w:rPr>
          <w:rFonts w:hint="eastAsia" w:ascii="仿宋" w:hAnsi="仿宋" w:eastAsia="仿宋" w:cs="Times New Roman"/>
          <w:sz w:val="32"/>
          <w:szCs w:val="32"/>
          <w:lang w:eastAsia="zh-CN"/>
        </w:rPr>
        <w:t>在数量指标、成本指标、效率指标、社会效益、生态效益指标等方面进行绩效考量。</w:t>
      </w:r>
    </w:p>
    <w:p>
      <w:pPr>
        <w:keepNext w:val="0"/>
        <w:keepLines w:val="0"/>
        <w:pageBreakBefore w:val="0"/>
        <w:widowControl w:val="0"/>
        <w:kinsoku/>
        <w:wordWrap/>
        <w:overflowPunct/>
        <w:topLinePunct w:val="0"/>
        <w:autoSpaceDE/>
        <w:autoSpaceDN/>
        <w:bidi w:val="0"/>
        <w:adjustRightInd w:val="0"/>
        <w:snapToGrid w:val="0"/>
        <w:spacing w:line="540" w:lineRule="exact"/>
        <w:ind w:right="0" w:rightChars="0" w:firstLine="640" w:firstLineChars="200"/>
        <w:jc w:val="both"/>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eastAsia="zh-CN"/>
        </w:rPr>
        <w:t>部门</w:t>
      </w:r>
      <w:r>
        <w:rPr>
          <w:rFonts w:hint="eastAsia" w:ascii="仿宋" w:hAnsi="仿宋" w:eastAsia="仿宋" w:cs="仿宋"/>
          <w:sz w:val="32"/>
          <w:szCs w:val="32"/>
          <w:lang w:val="en-US" w:eastAsia="zh-CN"/>
        </w:rPr>
        <w:t>总目标：细化预算编制工作，认真做好预算编制；加强财务管理，严格审核制度，落实预算执行，确保资金使用的透明度和规范性；抓好“三公经费”控制管理，确保各项业务工作任务圆满完成。</w:t>
      </w:r>
    </w:p>
    <w:p>
      <w:pPr>
        <w:keepNext w:val="0"/>
        <w:keepLines w:val="0"/>
        <w:pageBreakBefore w:val="0"/>
        <w:widowControl w:val="0"/>
        <w:kinsoku/>
        <w:wordWrap/>
        <w:overflowPunct/>
        <w:topLinePunct w:val="0"/>
        <w:autoSpaceDE/>
        <w:autoSpaceDN/>
        <w:bidi w:val="0"/>
        <w:adjustRightInd w:val="0"/>
        <w:snapToGrid w:val="0"/>
        <w:spacing w:line="540" w:lineRule="exact"/>
        <w:ind w:left="0" w:leftChars="0" w:right="0" w:rightChars="0" w:firstLine="640" w:firstLineChars="200"/>
        <w:jc w:val="both"/>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预决算公开：2022年按照上级要求，我单位在政府网站进行了预决算公开。</w:t>
      </w:r>
    </w:p>
    <w:p>
      <w:pPr>
        <w:keepNext w:val="0"/>
        <w:keepLines w:val="0"/>
        <w:pageBreakBefore w:val="0"/>
        <w:widowControl w:val="0"/>
        <w:kinsoku/>
        <w:wordWrap/>
        <w:overflowPunct/>
        <w:topLinePunct w:val="0"/>
        <w:autoSpaceDE/>
        <w:autoSpaceDN/>
        <w:bidi w:val="0"/>
        <w:adjustRightInd w:val="0"/>
        <w:snapToGrid w:val="0"/>
        <w:spacing w:line="540" w:lineRule="exact"/>
        <w:ind w:left="0" w:leftChars="0" w:right="0" w:rightChars="0" w:firstLine="640" w:firstLineChars="200"/>
        <w:jc w:val="both"/>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资产管理：我部门进一步加强资产的管理，制定了《资产管理内控制度》等制度，明确了具体责任人，完善了固定资产档案，严格报批、销审等手续，做好资产登记工作，单位无资产流失现象。</w:t>
      </w:r>
    </w:p>
    <w:p>
      <w:pPr>
        <w:adjustRightInd w:val="0"/>
        <w:snapToGrid w:val="0"/>
        <w:spacing w:line="580" w:lineRule="exact"/>
        <w:ind w:firstLine="640" w:firstLineChars="200"/>
        <w:jc w:val="both"/>
        <w:rPr>
          <w:rFonts w:hint="eastAsia" w:ascii="仿宋_GB2312" w:hAnsi="Times New Roman" w:eastAsia="仿宋_GB2312" w:cs="仿宋_GB2312"/>
          <w:sz w:val="32"/>
          <w:szCs w:val="32"/>
        </w:rPr>
      </w:pPr>
      <w:r>
        <w:rPr>
          <w:rFonts w:hint="eastAsia" w:ascii="仿宋" w:hAnsi="仿宋" w:eastAsia="仿宋" w:cs="仿宋"/>
          <w:sz w:val="32"/>
          <w:szCs w:val="32"/>
          <w:lang w:val="en-US" w:eastAsia="zh-CN"/>
        </w:rPr>
        <w:t>三公经费控制情况：我部门贯彻落实上级有关精神，严格控制“三公经费”支出，取得了良好的效果。具体情况如下：</w:t>
      </w:r>
      <w:r>
        <w:rPr>
          <w:rFonts w:hint="eastAsia" w:ascii="仿宋" w:hAnsi="仿宋" w:eastAsia="仿宋" w:cs="仿宋"/>
          <w:sz w:val="32"/>
          <w:szCs w:val="32"/>
        </w:rPr>
        <w:t>本部门2022年度“三公”经费财政拨款支出预算为</w:t>
      </w:r>
      <w:r>
        <w:rPr>
          <w:rFonts w:hint="eastAsia" w:ascii="仿宋" w:hAnsi="仿宋" w:eastAsia="仿宋" w:cs="仿宋"/>
          <w:sz w:val="32"/>
          <w:szCs w:val="32"/>
          <w:lang w:val="en-US" w:eastAsia="zh-CN"/>
        </w:rPr>
        <w:t>47.22</w:t>
      </w:r>
      <w:r>
        <w:rPr>
          <w:rFonts w:hint="eastAsia" w:ascii="仿宋" w:hAnsi="仿宋" w:eastAsia="仿宋" w:cs="仿宋"/>
          <w:sz w:val="32"/>
          <w:szCs w:val="32"/>
        </w:rPr>
        <w:t>万元，支出决算为</w:t>
      </w:r>
      <w:r>
        <w:rPr>
          <w:rFonts w:hint="eastAsia" w:ascii="仿宋_GB2312" w:hAnsi="Times New Roman" w:eastAsia="仿宋_GB2312" w:cs="仿宋_GB2312"/>
          <w:sz w:val="32"/>
          <w:szCs w:val="32"/>
          <w:lang w:val="en-US" w:eastAsia="zh-CN"/>
        </w:rPr>
        <w:t>31.31</w:t>
      </w:r>
      <w:r>
        <w:rPr>
          <w:rFonts w:hint="eastAsia" w:ascii="仿宋" w:hAnsi="仿宋" w:eastAsia="仿宋" w:cs="仿宋"/>
          <w:sz w:val="32"/>
          <w:szCs w:val="32"/>
        </w:rPr>
        <w:t>万元，</w:t>
      </w:r>
      <w:r>
        <w:rPr>
          <w:rFonts w:hint="eastAsia" w:ascii="仿宋_GB2312" w:hAnsi="Times New Roman" w:eastAsia="仿宋_GB2312" w:cs="仿宋_GB2312"/>
          <w:sz w:val="32"/>
          <w:szCs w:val="32"/>
        </w:rPr>
        <w:t>完成预算的</w:t>
      </w:r>
      <w:r>
        <w:rPr>
          <w:rFonts w:hint="eastAsia" w:ascii="仿宋_GB2312" w:hAnsi="Times New Roman" w:eastAsia="仿宋_GB2312" w:cs="仿宋_GB2312"/>
          <w:sz w:val="32"/>
          <w:szCs w:val="32"/>
          <w:lang w:val="en-US" w:eastAsia="zh-CN"/>
        </w:rPr>
        <w:t>66.3</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较预算减少</w:t>
      </w:r>
      <w:r>
        <w:rPr>
          <w:rFonts w:hint="eastAsia" w:ascii="仿宋_GB2312" w:hAnsi="Times New Roman" w:eastAsia="仿宋_GB2312" w:cs="仿宋_GB2312"/>
          <w:sz w:val="32"/>
          <w:szCs w:val="32"/>
          <w:lang w:val="en-US" w:eastAsia="zh-CN"/>
        </w:rPr>
        <w:t>15.91</w:t>
      </w:r>
      <w:r>
        <w:rPr>
          <w:rFonts w:hint="eastAsia" w:ascii="仿宋_GB2312" w:hAnsi="Times New Roman" w:eastAsia="仿宋_GB2312" w:cs="仿宋_GB2312"/>
          <w:sz w:val="32"/>
          <w:szCs w:val="32"/>
        </w:rPr>
        <w:t>万元，降低</w:t>
      </w:r>
      <w:r>
        <w:rPr>
          <w:rFonts w:hint="eastAsia" w:ascii="仿宋_GB2312" w:hAnsi="Times New Roman" w:eastAsia="仿宋_GB2312" w:cs="仿宋_GB2312"/>
          <w:sz w:val="32"/>
          <w:szCs w:val="32"/>
          <w:lang w:val="en-US" w:eastAsia="zh-CN"/>
        </w:rPr>
        <w:t>33.7</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，主要是</w:t>
      </w:r>
      <w:r>
        <w:rPr>
          <w:rFonts w:hint="eastAsia" w:ascii="仿宋_GB2312" w:hAnsi="Times New Roman" w:eastAsia="仿宋_GB2312" w:cs="仿宋_GB2312"/>
          <w:sz w:val="32"/>
          <w:szCs w:val="32"/>
          <w:lang w:val="en-US" w:eastAsia="zh-CN"/>
        </w:rPr>
        <w:t>严格按照预算执行，厉行勤俭节约</w:t>
      </w:r>
      <w:r>
        <w:rPr>
          <w:rFonts w:hint="eastAsia" w:ascii="仿宋_GB2312" w:hAnsi="Times New Roman" w:eastAsia="仿宋_GB2312" w:cs="仿宋_GB2312"/>
          <w:sz w:val="32"/>
          <w:szCs w:val="32"/>
        </w:rPr>
        <w:t>；较</w:t>
      </w:r>
      <w:r>
        <w:rPr>
          <w:rFonts w:ascii="仿宋_GB2312" w:hAnsi="Times New Roman" w:eastAsia="仿宋_GB2312" w:cs="仿宋_GB2312"/>
          <w:sz w:val="32"/>
          <w:szCs w:val="32"/>
        </w:rPr>
        <w:t>2021</w:t>
      </w:r>
      <w:r>
        <w:rPr>
          <w:rFonts w:hint="eastAsia" w:ascii="仿宋_GB2312" w:hAnsi="Times New Roman" w:eastAsia="仿宋_GB2312" w:cs="仿宋_GB2312"/>
          <w:sz w:val="32"/>
          <w:szCs w:val="32"/>
        </w:rPr>
        <w:t>年度决算减少</w:t>
      </w:r>
      <w:r>
        <w:rPr>
          <w:rFonts w:hint="eastAsia" w:ascii="仿宋_GB2312" w:hAnsi="Times New Roman" w:eastAsia="仿宋_GB2312" w:cs="仿宋_GB2312"/>
          <w:sz w:val="32"/>
          <w:szCs w:val="32"/>
          <w:lang w:val="en-US" w:eastAsia="zh-CN"/>
        </w:rPr>
        <w:t>21.3</w:t>
      </w:r>
      <w:r>
        <w:rPr>
          <w:rFonts w:hint="eastAsia" w:ascii="仿宋_GB2312" w:hAnsi="Times New Roman" w:eastAsia="仿宋_GB2312" w:cs="仿宋_GB2312"/>
          <w:sz w:val="32"/>
          <w:szCs w:val="32"/>
        </w:rPr>
        <w:t>万元，降低</w:t>
      </w:r>
      <w:r>
        <w:rPr>
          <w:rFonts w:hint="eastAsia" w:ascii="仿宋_GB2312" w:hAnsi="Times New Roman" w:eastAsia="仿宋_GB2312" w:cs="仿宋_GB2312"/>
          <w:sz w:val="32"/>
          <w:szCs w:val="32"/>
          <w:lang w:val="en-US" w:eastAsia="zh-CN"/>
        </w:rPr>
        <w:t>40.5</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，主要是</w:t>
      </w:r>
      <w:r>
        <w:rPr>
          <w:rFonts w:hint="eastAsia" w:ascii="仿宋_GB2312" w:hAnsi="Times New Roman" w:eastAsia="仿宋_GB2312" w:cs="仿宋_GB2312"/>
          <w:sz w:val="32"/>
          <w:szCs w:val="32"/>
          <w:lang w:val="en-US" w:eastAsia="zh-CN"/>
        </w:rPr>
        <w:t>厉行勤俭节约</w:t>
      </w:r>
      <w:r>
        <w:rPr>
          <w:rFonts w:hint="eastAsia" w:ascii="仿宋_GB2312" w:hAnsi="Times New Roman" w:eastAsia="仿宋_GB2312" w:cs="仿宋_GB2312"/>
          <w:sz w:val="32"/>
          <w:szCs w:val="32"/>
        </w:rPr>
        <w:t>。</w:t>
      </w:r>
    </w:p>
    <w:p>
      <w:pPr>
        <w:pStyle w:val="7"/>
        <w:pageBreakBefore w:val="0"/>
        <w:widowControl w:val="0"/>
        <w:kinsoku/>
        <w:wordWrap/>
        <w:overflowPunct/>
        <w:topLinePunct w:val="0"/>
        <w:autoSpaceDE/>
        <w:autoSpaceDN/>
        <w:bidi w:val="0"/>
        <w:spacing w:line="540" w:lineRule="exact"/>
        <w:ind w:left="0" w:leftChars="0" w:right="0" w:rightChars="0" w:firstLine="640" w:firstLineChars="200"/>
        <w:jc w:val="both"/>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内部管理制度建设：健全单位财务管理制度，制订内部控制管理制度，加强合理使用和管理；制定内部监督检查制度，强化内部制度执行的监督管理。</w:t>
      </w:r>
    </w:p>
    <w:p>
      <w:pPr>
        <w:pStyle w:val="7"/>
        <w:pageBreakBefore w:val="0"/>
        <w:widowControl w:val="0"/>
        <w:kinsoku/>
        <w:wordWrap/>
        <w:overflowPunct/>
        <w:topLinePunct w:val="0"/>
        <w:autoSpaceDE/>
        <w:autoSpaceDN/>
        <w:bidi w:val="0"/>
        <w:spacing w:line="540" w:lineRule="exact"/>
        <w:ind w:right="0" w:rightChars="0"/>
        <w:jc w:val="both"/>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项目绩效总目标完成情况：2022年我部门完成各项工作任务。</w:t>
      </w:r>
    </w:p>
    <w:p>
      <w:pPr>
        <w:pStyle w:val="7"/>
        <w:pageBreakBefore w:val="0"/>
        <w:widowControl w:val="0"/>
        <w:kinsoku/>
        <w:wordWrap/>
        <w:overflowPunct/>
        <w:topLinePunct w:val="0"/>
        <w:autoSpaceDE/>
        <w:autoSpaceDN/>
        <w:bidi w:val="0"/>
        <w:spacing w:line="540" w:lineRule="exact"/>
        <w:ind w:right="0" w:rightChars="0"/>
        <w:jc w:val="both"/>
        <w:rPr>
          <w:rFonts w:hint="default"/>
          <w:lang w:val="en-US" w:eastAsia="zh-CN"/>
        </w:rPr>
      </w:pPr>
      <w:r>
        <w:rPr>
          <w:rFonts w:hint="eastAsia" w:ascii="仿宋" w:hAnsi="仿宋" w:eastAsia="仿宋" w:cs="仿宋"/>
          <w:sz w:val="32"/>
          <w:szCs w:val="32"/>
          <w:lang w:val="en-US" w:eastAsia="zh-CN"/>
        </w:rPr>
        <w:t>从整体情况来看，严格按照年初预算进行部门整体支出。在支出过程中，能严格遵守各项规章制度。</w:t>
      </w:r>
    </w:p>
    <w:p>
      <w:pPr>
        <w:widowControl w:val="0"/>
        <w:wordWrap/>
        <w:adjustRightInd w:val="0"/>
        <w:snapToGrid w:val="0"/>
        <w:spacing w:line="560" w:lineRule="exact"/>
        <w:ind w:left="0" w:leftChars="0" w:right="0" w:firstLine="640" w:firstLineChars="200"/>
        <w:jc w:val="both"/>
        <w:textAlignment w:val="auto"/>
        <w:outlineLvl w:val="9"/>
        <w:rPr>
          <w:rFonts w:ascii="黑体" w:hAnsi="黑体" w:eastAsia="黑体"/>
          <w:sz w:val="32"/>
          <w:szCs w:val="32"/>
        </w:rPr>
      </w:pPr>
      <w:r>
        <w:rPr>
          <w:rFonts w:hint="eastAsia" w:ascii="黑体" w:hAnsi="黑体" w:eastAsia="黑体"/>
          <w:sz w:val="32"/>
          <w:szCs w:val="32"/>
        </w:rPr>
        <w:t>二、自评工作</w:t>
      </w:r>
      <w:r>
        <w:rPr>
          <w:rFonts w:hint="eastAsia" w:ascii="黑体" w:hAnsi="黑体" w:eastAsia="黑体"/>
          <w:sz w:val="32"/>
          <w:szCs w:val="32"/>
          <w:lang w:eastAsia="zh-CN"/>
        </w:rPr>
        <w:t>开展</w:t>
      </w:r>
      <w:r>
        <w:rPr>
          <w:rFonts w:hint="eastAsia" w:ascii="黑体" w:hAnsi="黑体" w:eastAsia="黑体"/>
          <w:sz w:val="32"/>
          <w:szCs w:val="32"/>
        </w:rPr>
        <w:t>情况</w:t>
      </w:r>
    </w:p>
    <w:p>
      <w:pPr>
        <w:widowControl w:val="0"/>
        <w:wordWrap/>
        <w:spacing w:line="560" w:lineRule="exact"/>
        <w:ind w:left="0" w:leftChars="0" w:right="0"/>
        <w:jc w:val="both"/>
        <w:textAlignment w:val="auto"/>
        <w:outlineLvl w:val="9"/>
        <w:rPr>
          <w:rFonts w:ascii="仿宋" w:hAnsi="仿宋" w:eastAsia="仿宋" w:cs="楷体_GB2312"/>
          <w:sz w:val="32"/>
          <w:szCs w:val="32"/>
        </w:rPr>
      </w:pPr>
      <w:r>
        <w:rPr>
          <w:rFonts w:hint="eastAsia" w:ascii="仿宋" w:hAnsi="仿宋" w:eastAsia="仿宋"/>
          <w:sz w:val="32"/>
          <w:szCs w:val="32"/>
        </w:rPr>
        <w:t xml:space="preserve">    </w:t>
      </w:r>
      <w:r>
        <w:rPr>
          <w:rFonts w:hint="eastAsia" w:ascii="仿宋" w:hAnsi="仿宋" w:eastAsia="仿宋" w:cs="楷体_GB2312"/>
          <w:b/>
          <w:bCs/>
          <w:sz w:val="32"/>
          <w:szCs w:val="32"/>
        </w:rPr>
        <w:t>（一）自评的组织工作</w:t>
      </w:r>
    </w:p>
    <w:p>
      <w:pPr>
        <w:spacing w:line="600" w:lineRule="exact"/>
        <w:ind w:firstLine="640" w:firstLineChars="200"/>
        <w:jc w:val="both"/>
        <w:rPr>
          <w:rFonts w:hint="eastAsia" w:ascii="仿宋" w:hAnsi="仿宋" w:eastAsia="仿宋" w:cs="仿宋"/>
          <w:sz w:val="32"/>
          <w:szCs w:val="32"/>
        </w:rPr>
      </w:pPr>
      <w:r>
        <w:rPr>
          <w:rFonts w:hint="eastAsia" w:ascii="仿宋" w:hAnsi="仿宋" w:eastAsia="仿宋"/>
          <w:sz w:val="32"/>
          <w:szCs w:val="32"/>
          <w:lang w:val="en-US" w:eastAsia="zh-CN"/>
        </w:rPr>
        <w:t>根据区财政局《关于开展2023年绩效自评工作的通知》相关要求，对2022年部门所有区级预算项目进行绩效自评，我部门收到通知后高度重视，对此项工作进行了安排部署，成立部门预算项目绩效评价领导小组，严格按照文件要求对标对表，通过查账目、检查系统运行情况等方式，认真对照绩效自评，对我部门2022年区级预算项目进行自查自评，形成绩效评价报告。</w:t>
      </w:r>
    </w:p>
    <w:p>
      <w:pPr>
        <w:spacing w:line="600" w:lineRule="exact"/>
        <w:ind w:firstLine="640" w:firstLineChars="200"/>
        <w:jc w:val="both"/>
        <w:rPr>
          <w:rFonts w:hint="eastAsia" w:ascii="仿宋" w:hAnsi="仿宋" w:eastAsia="仿宋" w:cs="仿宋"/>
          <w:sz w:val="32"/>
          <w:szCs w:val="32"/>
        </w:rPr>
      </w:pPr>
      <w:r>
        <w:rPr>
          <w:rFonts w:hint="eastAsia" w:ascii="仿宋" w:hAnsi="仿宋" w:eastAsia="仿宋" w:cs="仿宋"/>
          <w:sz w:val="32"/>
          <w:szCs w:val="32"/>
        </w:rPr>
        <w:t>本次评价通过</w:t>
      </w:r>
      <w:r>
        <w:rPr>
          <w:rFonts w:hint="eastAsia" w:ascii="仿宋" w:hAnsi="仿宋" w:eastAsia="仿宋" w:cs="仿宋"/>
          <w:sz w:val="32"/>
          <w:szCs w:val="32"/>
          <w:lang w:val="en-US" w:eastAsia="zh-CN"/>
        </w:rPr>
        <w:t>全面、</w:t>
      </w:r>
      <w:r>
        <w:rPr>
          <w:rFonts w:hint="eastAsia" w:ascii="仿宋" w:hAnsi="仿宋" w:eastAsia="仿宋" w:cs="仿宋"/>
          <w:sz w:val="32"/>
          <w:szCs w:val="32"/>
        </w:rPr>
        <w:t>客观</w:t>
      </w:r>
      <w:r>
        <w:rPr>
          <w:rFonts w:hint="eastAsia" w:ascii="仿宋" w:hAnsi="仿宋" w:eastAsia="仿宋" w:cs="仿宋"/>
          <w:sz w:val="32"/>
          <w:szCs w:val="32"/>
          <w:lang w:eastAsia="zh-CN"/>
        </w:rPr>
        <w:t>、</w:t>
      </w:r>
      <w:r>
        <w:rPr>
          <w:rFonts w:hint="eastAsia" w:ascii="仿宋" w:hAnsi="仿宋" w:eastAsia="仿宋" w:cs="仿宋"/>
          <w:sz w:val="32"/>
          <w:szCs w:val="32"/>
        </w:rPr>
        <w:t>公正地核查项目经费使用情况及预期目标实现程度，考评资金支出效率和综合效果，</w:t>
      </w:r>
      <w:r>
        <w:rPr>
          <w:rFonts w:hint="default" w:ascii="仿宋" w:hAnsi="仿宋" w:eastAsia="仿宋" w:cs="仿宋"/>
          <w:kern w:val="2"/>
          <w:sz w:val="32"/>
          <w:szCs w:val="32"/>
          <w:lang w:val="en-US" w:eastAsia="zh-CN" w:bidi="ar-SA"/>
        </w:rPr>
        <w:t>整理分析形成绩效报告</w:t>
      </w:r>
      <w:r>
        <w:rPr>
          <w:rFonts w:hint="eastAsia" w:ascii="仿宋" w:hAnsi="仿宋" w:eastAsia="仿宋" w:cs="仿宋"/>
          <w:kern w:val="2"/>
          <w:sz w:val="32"/>
          <w:szCs w:val="32"/>
          <w:lang w:val="en-US" w:eastAsia="zh-CN" w:bidi="ar-SA"/>
        </w:rPr>
        <w:t>，</w:t>
      </w:r>
      <w:r>
        <w:rPr>
          <w:rFonts w:hint="default" w:ascii="仿宋" w:hAnsi="仿宋" w:eastAsia="仿宋" w:cs="仿宋"/>
          <w:kern w:val="2"/>
          <w:sz w:val="32"/>
          <w:szCs w:val="32"/>
          <w:lang w:val="en-US" w:eastAsia="zh-CN" w:bidi="ar-SA"/>
        </w:rPr>
        <w:t>确保评价结果的可信度和有效性</w:t>
      </w:r>
      <w:r>
        <w:rPr>
          <w:rFonts w:hint="eastAsia" w:ascii="仿宋" w:hAnsi="仿宋" w:eastAsia="仿宋" w:cs="仿宋"/>
          <w:kern w:val="2"/>
          <w:sz w:val="32"/>
          <w:szCs w:val="32"/>
          <w:lang w:val="en-US" w:eastAsia="zh-CN" w:bidi="ar-SA"/>
        </w:rPr>
        <w:t>，能够</w:t>
      </w:r>
      <w:r>
        <w:rPr>
          <w:rFonts w:hint="default" w:ascii="仿宋" w:hAnsi="仿宋" w:eastAsia="仿宋" w:cs="仿宋"/>
          <w:kern w:val="2"/>
          <w:sz w:val="32"/>
          <w:szCs w:val="32"/>
          <w:lang w:val="en-US" w:eastAsia="zh-CN" w:bidi="ar-SA"/>
        </w:rPr>
        <w:t>清晰明了地反映项目的整体绩效情况</w:t>
      </w:r>
      <w:r>
        <w:rPr>
          <w:rFonts w:hint="eastAsia" w:ascii="仿宋" w:hAnsi="仿宋" w:eastAsia="仿宋" w:cs="仿宋"/>
          <w:kern w:val="2"/>
          <w:sz w:val="32"/>
          <w:szCs w:val="32"/>
          <w:lang w:val="en-US" w:eastAsia="zh-CN" w:bidi="ar-SA"/>
        </w:rPr>
        <w:t>。同时，</w:t>
      </w:r>
      <w:r>
        <w:rPr>
          <w:rFonts w:hint="eastAsia" w:ascii="仿宋" w:hAnsi="仿宋" w:eastAsia="仿宋" w:cs="仿宋"/>
          <w:sz w:val="32"/>
          <w:szCs w:val="32"/>
        </w:rPr>
        <w:t>及时总结经验，分析存在的问题及原因，进一步推进财政资金科学化、精细化管理，不断提高财政专项资金管理水平和使用效率。</w:t>
      </w:r>
    </w:p>
    <w:p>
      <w:pPr>
        <w:widowControl w:val="0"/>
        <w:numPr>
          <w:ilvl w:val="0"/>
          <w:numId w:val="3"/>
        </w:numPr>
        <w:wordWrap/>
        <w:spacing w:line="560" w:lineRule="exact"/>
        <w:ind w:left="630" w:leftChars="0" w:right="0" w:firstLine="0" w:firstLineChars="0"/>
        <w:jc w:val="both"/>
        <w:textAlignment w:val="auto"/>
        <w:outlineLvl w:val="9"/>
        <w:rPr>
          <w:rFonts w:hint="eastAsia" w:ascii="仿宋" w:hAnsi="仿宋" w:eastAsia="仿宋" w:cs="楷体_GB2312"/>
          <w:b/>
          <w:bCs/>
          <w:sz w:val="32"/>
          <w:szCs w:val="32"/>
        </w:rPr>
      </w:pPr>
      <w:r>
        <w:rPr>
          <w:rFonts w:hint="eastAsia" w:ascii="仿宋" w:hAnsi="仿宋" w:eastAsia="仿宋" w:cs="楷体_GB2312"/>
          <w:b/>
          <w:bCs/>
          <w:sz w:val="32"/>
          <w:szCs w:val="32"/>
        </w:rPr>
        <w:t>自评的方法和过程</w:t>
      </w:r>
    </w:p>
    <w:p>
      <w:pPr>
        <w:spacing w:line="600" w:lineRule="exact"/>
        <w:ind w:firstLine="640" w:firstLineChars="200"/>
        <w:jc w:val="both"/>
        <w:rPr>
          <w:rFonts w:hint="eastAsia" w:ascii="仿宋" w:hAnsi="仿宋" w:eastAsia="仿宋" w:cs="仿宋"/>
          <w:sz w:val="32"/>
          <w:szCs w:val="32"/>
        </w:rPr>
      </w:pPr>
      <w:r>
        <w:rPr>
          <w:rFonts w:hint="eastAsia" w:ascii="仿宋" w:hAnsi="仿宋" w:eastAsia="仿宋" w:cs="仿宋"/>
          <w:sz w:val="32"/>
          <w:szCs w:val="32"/>
        </w:rPr>
        <w:t>评价原则：1、评估的客观公正性原则。在项目评估中尊重客观规律，深入调查研究，不带主观随意性，讲求科学性。2、分析的系统性原则。从项目内部要素的内在联系，以及与外部条件的广泛联系入手，进行全面的动态的分析论证。3、评估的效益性原则。投入与产出的经济社会效益比例。4、评估方法的规范化原则。所采用的定性和定量分析方法，必须符合客观实际，体现事物的内在联系。5、评估指标的科学性。确定指标体系中权重集合的科学合理程度，评估指标具有可操作性。</w:t>
      </w:r>
    </w:p>
    <w:p>
      <w:pPr>
        <w:spacing w:line="600" w:lineRule="exact"/>
        <w:ind w:firstLine="640" w:firstLineChars="200"/>
        <w:jc w:val="both"/>
        <w:rPr>
          <w:rFonts w:hint="eastAsia" w:ascii="仿宋" w:hAnsi="仿宋" w:eastAsia="仿宋" w:cs="仿宋"/>
          <w:sz w:val="32"/>
          <w:szCs w:val="32"/>
        </w:rPr>
      </w:pPr>
      <w:r>
        <w:rPr>
          <w:rFonts w:hint="eastAsia" w:ascii="仿宋" w:hAnsi="仿宋" w:eastAsia="仿宋" w:cs="仿宋"/>
          <w:sz w:val="32"/>
          <w:szCs w:val="32"/>
        </w:rPr>
        <w:t>评价指标体系：主要从项目资金的投入、业务管理和财务管理过程、项目计划产出和项目计划效益四个方面对评价目标进行逐步分解，从定性和定量两个角度综合考量。</w:t>
      </w:r>
    </w:p>
    <w:p>
      <w:pPr>
        <w:spacing w:line="600" w:lineRule="exact"/>
        <w:ind w:firstLine="640" w:firstLineChars="200"/>
        <w:jc w:val="both"/>
        <w:rPr>
          <w:rFonts w:hint="eastAsia" w:ascii="仿宋" w:hAnsi="仿宋" w:eastAsia="仿宋" w:cs="仿宋"/>
          <w:sz w:val="32"/>
          <w:szCs w:val="32"/>
        </w:rPr>
      </w:pPr>
      <w:r>
        <w:rPr>
          <w:rFonts w:hint="eastAsia" w:ascii="仿宋" w:hAnsi="仿宋" w:eastAsia="仿宋" w:cs="仿宋"/>
          <w:sz w:val="32"/>
          <w:szCs w:val="32"/>
        </w:rPr>
        <w:t>评价方法：绩效评价工作采用单位自评价和财政再评价相结合的方式开展。自评价采取数据收集汇总、指标分析、询问查证等方法，形成了自评价报告。</w:t>
      </w:r>
    </w:p>
    <w:p>
      <w:pPr>
        <w:spacing w:line="600" w:lineRule="exact"/>
        <w:ind w:firstLine="640" w:firstLineChars="200"/>
        <w:jc w:val="both"/>
        <w:rPr>
          <w:rFonts w:hint="eastAsia" w:ascii="仿宋" w:hAnsi="仿宋" w:eastAsia="仿宋" w:cs="仿宋"/>
          <w:sz w:val="32"/>
          <w:szCs w:val="32"/>
        </w:rPr>
      </w:pPr>
      <w:r>
        <w:rPr>
          <w:rFonts w:hint="eastAsia" w:ascii="仿宋" w:hAnsi="仿宋" w:eastAsia="仿宋" w:cs="仿宋"/>
          <w:sz w:val="32"/>
          <w:szCs w:val="32"/>
        </w:rPr>
        <w:t>（三）评价工作过程</w:t>
      </w:r>
    </w:p>
    <w:p>
      <w:pPr>
        <w:spacing w:line="600" w:lineRule="exact"/>
        <w:ind w:firstLine="640" w:firstLineChars="200"/>
        <w:jc w:val="both"/>
        <w:rPr>
          <w:rFonts w:hint="eastAsia" w:ascii="仿宋" w:hAnsi="仿宋" w:eastAsia="仿宋" w:cs="仿宋"/>
          <w:sz w:val="32"/>
          <w:szCs w:val="32"/>
        </w:rPr>
      </w:pPr>
      <w:r>
        <w:rPr>
          <w:rFonts w:hint="eastAsia" w:ascii="仿宋" w:hAnsi="仿宋" w:eastAsia="仿宋" w:cs="仿宋"/>
          <w:sz w:val="32"/>
          <w:szCs w:val="32"/>
        </w:rPr>
        <w:t>本次绩效评价自评价工作分为三个阶段：</w:t>
      </w:r>
    </w:p>
    <w:p>
      <w:pPr>
        <w:spacing w:line="600" w:lineRule="exact"/>
        <w:ind w:firstLine="640" w:firstLineChars="200"/>
        <w:jc w:val="both"/>
        <w:rPr>
          <w:rFonts w:hint="eastAsia" w:ascii="仿宋" w:hAnsi="仿宋" w:eastAsia="仿宋" w:cs="仿宋"/>
          <w:sz w:val="32"/>
          <w:szCs w:val="32"/>
        </w:rPr>
      </w:pPr>
      <w:r>
        <w:rPr>
          <w:rFonts w:hint="eastAsia" w:ascii="仿宋" w:hAnsi="仿宋" w:eastAsia="仿宋" w:cs="仿宋"/>
          <w:sz w:val="32"/>
          <w:szCs w:val="32"/>
        </w:rPr>
        <w:t>第一阶段：成立评价工作小组，制定项目绩效评价具体实施方案。</w:t>
      </w:r>
    </w:p>
    <w:p>
      <w:pPr>
        <w:spacing w:line="600" w:lineRule="exact"/>
        <w:ind w:firstLine="640" w:firstLineChars="200"/>
        <w:jc w:val="both"/>
        <w:rPr>
          <w:rFonts w:hint="eastAsia" w:ascii="仿宋" w:hAnsi="仿宋" w:eastAsia="仿宋" w:cs="仿宋"/>
          <w:sz w:val="32"/>
          <w:szCs w:val="32"/>
        </w:rPr>
      </w:pPr>
      <w:r>
        <w:rPr>
          <w:rFonts w:hint="eastAsia" w:ascii="仿宋" w:hAnsi="仿宋" w:eastAsia="仿宋" w:cs="仿宋"/>
          <w:sz w:val="32"/>
          <w:szCs w:val="32"/>
        </w:rPr>
        <w:t>第二阶段：按照区财政局要求，进行自查。</w:t>
      </w:r>
    </w:p>
    <w:p>
      <w:pPr>
        <w:spacing w:line="600" w:lineRule="exact"/>
        <w:ind w:firstLine="640" w:firstLineChars="200"/>
        <w:jc w:val="both"/>
        <w:rPr>
          <w:rFonts w:hint="eastAsia" w:ascii="仿宋" w:hAnsi="仿宋" w:eastAsia="仿宋" w:cs="仿宋"/>
          <w:sz w:val="32"/>
          <w:szCs w:val="32"/>
        </w:rPr>
      </w:pPr>
      <w:r>
        <w:rPr>
          <w:rFonts w:hint="eastAsia" w:ascii="仿宋" w:hAnsi="仿宋" w:eastAsia="仿宋" w:cs="仿宋"/>
          <w:sz w:val="32"/>
          <w:szCs w:val="32"/>
        </w:rPr>
        <w:t>第三阶段：由评价工作小组对项目进行抽样核查，总结评价结论，最终形成自评报告。</w:t>
      </w:r>
    </w:p>
    <w:p>
      <w:pPr>
        <w:widowControl w:val="0"/>
        <w:wordWrap/>
        <w:spacing w:line="560" w:lineRule="exact"/>
        <w:ind w:left="0" w:leftChars="0" w:right="0"/>
        <w:jc w:val="both"/>
        <w:textAlignment w:val="auto"/>
        <w:outlineLvl w:val="9"/>
        <w:rPr>
          <w:rFonts w:hint="eastAsia" w:ascii="黑体" w:hAnsi="黑体" w:eastAsia="黑体"/>
          <w:b/>
          <w:bCs/>
          <w:sz w:val="32"/>
          <w:szCs w:val="32"/>
          <w:lang w:eastAsia="zh-CN"/>
        </w:rPr>
      </w:pPr>
      <w:r>
        <w:rPr>
          <w:rFonts w:hint="eastAsia" w:ascii="仿宋" w:hAnsi="仿宋" w:eastAsia="仿宋" w:cs="楷体_GB2312"/>
          <w:b/>
          <w:bCs/>
          <w:sz w:val="32"/>
          <w:szCs w:val="32"/>
        </w:rPr>
        <w:t xml:space="preserve">    </w:t>
      </w:r>
      <w:r>
        <w:rPr>
          <w:rFonts w:hint="eastAsia" w:ascii="仿宋" w:hAnsi="仿宋" w:eastAsia="仿宋"/>
          <w:b/>
          <w:bCs/>
          <w:sz w:val="32"/>
          <w:szCs w:val="32"/>
        </w:rPr>
        <w:t xml:space="preserve"> </w:t>
      </w:r>
      <w:r>
        <w:rPr>
          <w:rFonts w:hint="eastAsia" w:ascii="黑体" w:hAnsi="黑体" w:eastAsia="黑体"/>
          <w:sz w:val="32"/>
          <w:szCs w:val="32"/>
        </w:rPr>
        <w:t>三、</w:t>
      </w:r>
      <w:r>
        <w:rPr>
          <w:rFonts w:hint="eastAsia" w:ascii="黑体" w:hAnsi="黑体" w:eastAsia="黑体"/>
          <w:sz w:val="32"/>
          <w:szCs w:val="32"/>
          <w:lang w:eastAsia="zh-CN"/>
        </w:rPr>
        <w:t>部门整体支出</w:t>
      </w:r>
      <w:r>
        <w:rPr>
          <w:rFonts w:hint="eastAsia" w:ascii="黑体" w:hAnsi="黑体" w:eastAsia="黑体"/>
          <w:sz w:val="32"/>
          <w:szCs w:val="32"/>
        </w:rPr>
        <w:t>绩效</w:t>
      </w:r>
      <w:r>
        <w:rPr>
          <w:rFonts w:hint="eastAsia" w:ascii="黑体" w:hAnsi="黑体" w:eastAsia="黑体"/>
          <w:sz w:val="32"/>
          <w:szCs w:val="32"/>
          <w:lang w:eastAsia="zh-CN"/>
        </w:rPr>
        <w:t>目标实现情况及指标分析</w:t>
      </w:r>
    </w:p>
    <w:p>
      <w:pPr>
        <w:widowControl w:val="0"/>
        <w:numPr>
          <w:ilvl w:val="0"/>
          <w:numId w:val="4"/>
        </w:numPr>
        <w:wordWrap/>
        <w:spacing w:line="560" w:lineRule="exact"/>
        <w:ind w:left="0" w:leftChars="0" w:right="0" w:firstLine="643" w:firstLineChars="200"/>
        <w:jc w:val="both"/>
        <w:textAlignment w:val="auto"/>
        <w:outlineLvl w:val="9"/>
        <w:rPr>
          <w:rFonts w:ascii="仿宋" w:hAnsi="仿宋" w:eastAsia="仿宋" w:cs="楷体_GB2312"/>
          <w:b/>
          <w:bCs/>
          <w:sz w:val="32"/>
          <w:szCs w:val="32"/>
        </w:rPr>
      </w:pPr>
      <w:r>
        <w:rPr>
          <w:rFonts w:hint="eastAsia" w:ascii="仿宋" w:hAnsi="仿宋" w:eastAsia="仿宋" w:cs="楷体_GB2312"/>
          <w:b/>
          <w:bCs/>
          <w:sz w:val="32"/>
          <w:szCs w:val="32"/>
          <w:lang w:eastAsia="zh-CN"/>
        </w:rPr>
        <w:t>总体绩效目标实现情况</w:t>
      </w:r>
    </w:p>
    <w:p>
      <w:pPr>
        <w:pStyle w:val="14"/>
        <w:jc w:val="both"/>
        <w:rPr>
          <w:rFonts w:hint="default" w:eastAsia="方正仿宋_GBK"/>
          <w:color w:val="auto"/>
          <w:lang w:val="en-US" w:eastAsia="zh-CN"/>
        </w:rPr>
      </w:pPr>
      <w:r>
        <w:rPr>
          <w:rFonts w:hint="default" w:ascii="仿宋" w:hAnsi="仿宋" w:eastAsia="仿宋" w:cs="仿宋"/>
          <w:kern w:val="2"/>
          <w:sz w:val="32"/>
          <w:szCs w:val="32"/>
          <w:lang w:val="en-US" w:eastAsia="zh-CN" w:bidi="ar-SA"/>
        </w:rPr>
        <w:t>围绕我区“经济强区、魅力鹿泉、生态宜居宜业宜游新城区”工作目标，全面贯彻新发展理念，坚持党建工作与业务工作同安排，紧紧围绕“六区同创”等重点工作部署，拉高标杆、积极作为，在环境卫生保洁、市容市貌管理、市场秩序规范等方面加强精细化管理，通过提升城区品质、实施城市精细化管理，为广大群众提供一个环境美丽、洁净舒适的城市生活环境，实现城市容貌治理效能和文明城市建设常态化的双提升。</w:t>
      </w:r>
    </w:p>
    <w:p>
      <w:pPr>
        <w:widowControl w:val="0"/>
        <w:wordWrap/>
        <w:spacing w:line="560" w:lineRule="exact"/>
        <w:ind w:left="0" w:leftChars="0" w:right="0"/>
        <w:jc w:val="both"/>
        <w:textAlignment w:val="auto"/>
        <w:outlineLvl w:val="9"/>
        <w:rPr>
          <w:rFonts w:hint="eastAsia" w:ascii="仿宋" w:hAnsi="仿宋" w:eastAsia="仿宋"/>
          <w:b/>
          <w:bCs/>
          <w:sz w:val="32"/>
          <w:szCs w:val="32"/>
          <w:lang w:eastAsia="zh-CN"/>
        </w:rPr>
      </w:pPr>
      <w:r>
        <w:rPr>
          <w:rFonts w:hint="eastAsia" w:ascii="仿宋" w:hAnsi="仿宋" w:eastAsia="仿宋"/>
          <w:b/>
          <w:bCs/>
          <w:sz w:val="32"/>
          <w:szCs w:val="32"/>
        </w:rPr>
        <w:t xml:space="preserve">   </w:t>
      </w:r>
      <w:r>
        <w:rPr>
          <w:rFonts w:hint="eastAsia" w:ascii="仿宋" w:hAnsi="仿宋" w:eastAsia="仿宋" w:cs="楷体_GB2312"/>
          <w:b/>
          <w:bCs/>
          <w:sz w:val="32"/>
          <w:szCs w:val="32"/>
        </w:rPr>
        <w:t xml:space="preserve"> （二）</w:t>
      </w:r>
      <w:r>
        <w:rPr>
          <w:rFonts w:hint="eastAsia" w:ascii="仿宋" w:hAnsi="仿宋" w:eastAsia="仿宋" w:cs="楷体_GB2312"/>
          <w:b/>
          <w:bCs/>
          <w:sz w:val="32"/>
          <w:szCs w:val="32"/>
          <w:lang w:eastAsia="zh-CN"/>
        </w:rPr>
        <w:t>分项绩效目标实现情况及指标分析</w:t>
      </w:r>
    </w:p>
    <w:p>
      <w:pPr>
        <w:widowControl w:val="0"/>
        <w:wordWrap/>
        <w:spacing w:line="560" w:lineRule="exact"/>
        <w:ind w:left="0" w:leftChars="0" w:right="0" w:firstLine="640" w:firstLineChars="200"/>
        <w:jc w:val="both"/>
        <w:textAlignment w:val="auto"/>
        <w:outlineLvl w:val="9"/>
        <w:rPr>
          <w:rFonts w:hint="eastAsia" w:ascii="仿宋" w:hAnsi="仿宋" w:eastAsia="仿宋" w:cs="仿宋"/>
          <w:b w:val="0"/>
          <w:bCs w:val="0"/>
          <w:color w:val="auto"/>
          <w:sz w:val="32"/>
          <w:szCs w:val="32"/>
          <w:lang w:val="en-US" w:eastAsia="zh-CN"/>
        </w:rPr>
      </w:pPr>
      <w:r>
        <w:rPr>
          <w:rFonts w:hint="eastAsia" w:ascii="仿宋" w:hAnsi="仿宋" w:eastAsia="仿宋"/>
          <w:sz w:val="32"/>
          <w:szCs w:val="32"/>
          <w:highlight w:val="none"/>
          <w:lang w:val="en-US" w:eastAsia="zh-CN"/>
        </w:rPr>
        <w:t>城市管理继续常态化、精细化。</w:t>
      </w:r>
      <w:r>
        <w:rPr>
          <w:rFonts w:hint="eastAsia" w:ascii="仿宋" w:hAnsi="仿宋" w:eastAsia="仿宋" w:cs="仿宋"/>
          <w:b w:val="0"/>
          <w:bCs w:val="0"/>
          <w:color w:val="auto"/>
          <w:sz w:val="32"/>
          <w:szCs w:val="32"/>
          <w:lang w:val="en-US" w:eastAsia="zh-CN"/>
        </w:rPr>
        <w:t>我单位持续加强常态化、精细化管理工作，</w:t>
      </w:r>
      <w:r>
        <w:rPr>
          <w:rFonts w:hint="eastAsia" w:ascii="仿宋" w:hAnsi="仿宋" w:eastAsia="仿宋" w:cs="仿宋"/>
          <w:b w:val="0"/>
          <w:bCs w:val="0"/>
          <w:color w:val="auto"/>
          <w:sz w:val="32"/>
          <w:szCs w:val="32"/>
          <w:lang w:eastAsia="zh-CN"/>
        </w:rPr>
        <w:t>认真履行职能，以“七大专项整治行动”为抓手，围绕</w:t>
      </w:r>
      <w:r>
        <w:rPr>
          <w:rFonts w:hint="eastAsia" w:ascii="仿宋" w:hAnsi="仿宋" w:eastAsia="仿宋" w:cs="仿宋"/>
          <w:color w:val="auto"/>
          <w:sz w:val="32"/>
          <w:szCs w:val="32"/>
          <w:lang w:val="en-US" w:eastAsia="zh-CN"/>
        </w:rPr>
        <w:t>“三统筹三扩大四创建”</w:t>
      </w:r>
      <w:r>
        <w:rPr>
          <w:rFonts w:hint="eastAsia" w:ascii="仿宋" w:hAnsi="仿宋" w:eastAsia="仿宋" w:cs="仿宋"/>
          <w:b w:val="0"/>
          <w:bCs w:val="0"/>
          <w:color w:val="auto"/>
          <w:sz w:val="32"/>
          <w:szCs w:val="32"/>
          <w:lang w:val="en-US" w:eastAsia="zh-CN"/>
        </w:rPr>
        <w:t>工作，全面加强城市管理，开展专项整治，持续保持环境整治与创建工作的双提升。</w:t>
      </w:r>
    </w:p>
    <w:p>
      <w:pPr>
        <w:widowControl w:val="0"/>
        <w:wordWrap/>
        <w:spacing w:line="560" w:lineRule="exact"/>
        <w:ind w:left="0" w:leftChars="0" w:right="0" w:firstLine="640" w:firstLineChars="200"/>
        <w:jc w:val="both"/>
        <w:textAlignment w:val="auto"/>
        <w:outlineLvl w:val="9"/>
        <w:rPr>
          <w:rFonts w:hint="default" w:ascii="仿宋" w:hAnsi="仿宋" w:eastAsia="仿宋" w:cs="仿宋"/>
          <w:b w:val="0"/>
          <w:bCs w:val="0"/>
          <w:color w:val="auto"/>
          <w:sz w:val="32"/>
          <w:szCs w:val="32"/>
          <w:lang w:val="en-US" w:eastAsia="zh-CN"/>
        </w:rPr>
      </w:pPr>
      <w:r>
        <w:rPr>
          <w:rFonts w:hint="eastAsia" w:ascii="仿宋" w:hAnsi="仿宋" w:eastAsia="仿宋" w:cs="仿宋"/>
          <w:b w:val="0"/>
          <w:bCs w:val="0"/>
          <w:color w:val="auto"/>
          <w:sz w:val="32"/>
          <w:szCs w:val="32"/>
          <w:lang w:val="en-US" w:eastAsia="zh-CN"/>
        </w:rPr>
        <w:t>绩效目标：经费保障及时到位，保证人员开支，</w:t>
      </w:r>
      <w:r>
        <w:rPr>
          <w:rFonts w:hint="default" w:ascii="仿宋" w:hAnsi="仿宋" w:eastAsia="仿宋" w:cs="仿宋"/>
          <w:b w:val="0"/>
          <w:bCs w:val="0"/>
          <w:color w:val="auto"/>
          <w:sz w:val="32"/>
          <w:szCs w:val="32"/>
          <w:lang w:val="en-US" w:eastAsia="zh-CN"/>
        </w:rPr>
        <w:t>保障日常工作正常运转，及时</w:t>
      </w:r>
      <w:r>
        <w:rPr>
          <w:rFonts w:hint="eastAsia" w:ascii="仿宋" w:hAnsi="仿宋" w:eastAsia="仿宋" w:cs="仿宋"/>
          <w:b w:val="0"/>
          <w:bCs w:val="0"/>
          <w:color w:val="auto"/>
          <w:sz w:val="32"/>
          <w:szCs w:val="32"/>
          <w:lang w:val="en-US" w:eastAsia="zh-CN"/>
        </w:rPr>
        <w:t>高</w:t>
      </w:r>
      <w:r>
        <w:rPr>
          <w:rFonts w:hint="default" w:ascii="仿宋" w:hAnsi="仿宋" w:eastAsia="仿宋" w:cs="仿宋"/>
          <w:b w:val="0"/>
          <w:bCs w:val="0"/>
          <w:color w:val="auto"/>
          <w:sz w:val="32"/>
          <w:szCs w:val="32"/>
          <w:lang w:val="en-US" w:eastAsia="zh-CN"/>
        </w:rPr>
        <w:t>效治理相关违法行为，提升城乡环境容貌水平</w:t>
      </w:r>
      <w:r>
        <w:rPr>
          <w:rFonts w:hint="eastAsia" w:ascii="仿宋" w:hAnsi="仿宋" w:eastAsia="仿宋" w:cs="仿宋"/>
          <w:b w:val="0"/>
          <w:bCs w:val="0"/>
          <w:color w:val="auto"/>
          <w:sz w:val="32"/>
          <w:szCs w:val="32"/>
          <w:lang w:val="en-US" w:eastAsia="zh-CN"/>
        </w:rPr>
        <w:t>，</w:t>
      </w:r>
      <w:r>
        <w:rPr>
          <w:rFonts w:hint="default" w:ascii="仿宋" w:hAnsi="仿宋" w:eastAsia="仿宋" w:cs="仿宋"/>
          <w:b w:val="0"/>
          <w:bCs w:val="0"/>
          <w:color w:val="auto"/>
          <w:sz w:val="32"/>
          <w:szCs w:val="32"/>
          <w:lang w:val="en-US" w:eastAsia="zh-CN"/>
        </w:rPr>
        <w:t>提高群众满意度</w:t>
      </w:r>
      <w:r>
        <w:rPr>
          <w:rFonts w:hint="eastAsia" w:ascii="仿宋" w:hAnsi="仿宋" w:eastAsia="仿宋" w:cs="仿宋"/>
          <w:b w:val="0"/>
          <w:bCs w:val="0"/>
          <w:color w:val="auto"/>
          <w:sz w:val="32"/>
          <w:szCs w:val="32"/>
          <w:lang w:val="en-US" w:eastAsia="zh-CN"/>
        </w:rPr>
        <w:t>。对城市基础设施进行精细化管理，保障城市基础设施的正常运行和维修保养，提高城市基础设施的完好率和安全性，保</w:t>
      </w:r>
      <w:r>
        <w:rPr>
          <w:rFonts w:hint="default" w:ascii="仿宋" w:hAnsi="仿宋" w:eastAsia="仿宋" w:cs="仿宋"/>
          <w:b w:val="0"/>
          <w:bCs w:val="0"/>
          <w:color w:val="auto"/>
          <w:sz w:val="32"/>
          <w:szCs w:val="32"/>
          <w:lang w:val="en-US" w:eastAsia="zh-CN"/>
        </w:rPr>
        <w:t>障城管项目基础设施、软硬件正常运转</w:t>
      </w:r>
      <w:r>
        <w:rPr>
          <w:rFonts w:hint="eastAsia" w:ascii="仿宋" w:hAnsi="仿宋" w:eastAsia="仿宋" w:cs="仿宋"/>
          <w:b w:val="0"/>
          <w:bCs w:val="0"/>
          <w:color w:val="auto"/>
          <w:sz w:val="32"/>
          <w:szCs w:val="32"/>
          <w:lang w:val="en-US" w:eastAsia="zh-CN"/>
        </w:rPr>
        <w:t>，打造宜居生活环境，维护社会长久发展</w:t>
      </w:r>
      <w:r>
        <w:rPr>
          <w:rFonts w:hint="default" w:ascii="仿宋" w:hAnsi="仿宋" w:eastAsia="仿宋" w:cs="仿宋"/>
          <w:b w:val="0"/>
          <w:bCs w:val="0"/>
          <w:color w:val="auto"/>
          <w:sz w:val="32"/>
          <w:szCs w:val="32"/>
          <w:lang w:val="en-US" w:eastAsia="zh-CN"/>
        </w:rPr>
        <w:t>。</w:t>
      </w:r>
    </w:p>
    <w:p>
      <w:pPr>
        <w:keepNext w:val="0"/>
        <w:keepLines w:val="0"/>
        <w:pageBreakBefore w:val="0"/>
        <w:widowControl/>
        <w:kinsoku/>
        <w:wordWrap/>
        <w:overflowPunct w:val="0"/>
        <w:topLinePunct w:val="0"/>
        <w:autoSpaceDE/>
        <w:autoSpaceDN/>
        <w:bidi w:val="0"/>
        <w:adjustRightInd w:val="0"/>
        <w:snapToGrid w:val="0"/>
        <w:spacing w:after="0" w:line="560" w:lineRule="exact"/>
        <w:ind w:firstLine="640" w:firstLineChars="200"/>
        <w:jc w:val="both"/>
        <w:textAlignment w:val="auto"/>
        <w:rPr>
          <w:rFonts w:hint="default" w:ascii="仿宋" w:hAnsi="仿宋" w:eastAsia="仿宋" w:cs="仿宋"/>
          <w:b w:val="0"/>
          <w:bCs w:val="0"/>
          <w:color w:val="auto"/>
          <w:sz w:val="32"/>
          <w:szCs w:val="32"/>
          <w:lang w:val="en-US" w:eastAsia="zh-CN"/>
        </w:rPr>
      </w:pPr>
      <w:r>
        <w:rPr>
          <w:rFonts w:hint="eastAsia" w:ascii="仿宋" w:hAnsi="仿宋" w:eastAsia="仿宋" w:cs="仿宋"/>
          <w:b w:val="0"/>
          <w:bCs w:val="0"/>
          <w:color w:val="auto"/>
          <w:sz w:val="32"/>
          <w:szCs w:val="32"/>
          <w:lang w:val="en-US" w:eastAsia="zh-CN"/>
        </w:rPr>
        <w:t>绩效指标：</w:t>
      </w:r>
      <w:r>
        <w:rPr>
          <w:rFonts w:hint="eastAsia" w:ascii="仿宋" w:hAnsi="仿宋" w:eastAsia="仿宋" w:cs="仿宋"/>
          <w:color w:val="auto"/>
          <w:sz w:val="32"/>
          <w:szCs w:val="32"/>
          <w:lang w:val="en-US" w:eastAsia="zh-CN"/>
        </w:rPr>
        <w:t>针对城区范围内遗留对联福字、破旧灯笼、玻璃贴字等开展专项整治行动，出动执法人员80人，执法车辆6辆，共清理玻璃贴字、遗留对联福字1500余处、破旧灯笼60余处；</w:t>
      </w:r>
      <w:r>
        <w:rPr>
          <w:rFonts w:hint="eastAsia" w:ascii="仿宋" w:hAnsi="仿宋" w:eastAsia="仿宋" w:cs="仿宋"/>
          <w:i w:val="0"/>
          <w:caps w:val="0"/>
          <w:color w:val="auto"/>
          <w:spacing w:val="0"/>
          <w:sz w:val="32"/>
          <w:szCs w:val="32"/>
          <w:lang w:eastAsia="zh-CN"/>
        </w:rPr>
        <w:t>完成</w:t>
      </w:r>
      <w:r>
        <w:rPr>
          <w:rFonts w:hint="eastAsia" w:ascii="仿宋" w:hAnsi="仿宋" w:eastAsia="仿宋" w:cs="仿宋"/>
          <w:i w:val="0"/>
          <w:caps w:val="0"/>
          <w:color w:val="auto"/>
          <w:spacing w:val="0"/>
          <w:sz w:val="32"/>
          <w:szCs w:val="32"/>
          <w:lang w:val="en-US" w:eastAsia="zh-CN"/>
        </w:rPr>
        <w:t>5</w:t>
      </w:r>
      <w:r>
        <w:rPr>
          <w:rFonts w:hint="eastAsia" w:ascii="仿宋" w:hAnsi="仿宋" w:eastAsia="仿宋" w:cs="仿宋"/>
          <w:i w:val="0"/>
          <w:caps w:val="0"/>
          <w:color w:val="auto"/>
          <w:spacing w:val="0"/>
          <w:sz w:val="32"/>
          <w:szCs w:val="32"/>
          <w:lang w:eastAsia="zh-CN"/>
        </w:rPr>
        <w:t>80多家商户牌匾的清洗工作。</w:t>
      </w:r>
      <w:r>
        <w:rPr>
          <w:rFonts w:hint="eastAsia" w:ascii="仿宋" w:hAnsi="仿宋" w:eastAsia="仿宋" w:cs="仿宋"/>
          <w:color w:val="auto"/>
          <w:sz w:val="32"/>
          <w:szCs w:val="32"/>
          <w:lang w:val="en-US" w:eastAsia="zh-CN"/>
        </w:rPr>
        <w:t>对城区沿街门店牌匾进行全面整治，利用一个月的时间，将辖区20条街道1340处LED显示屏和不符合要求的30余处“菜单式”牌匾全部进行拆除。开展非机动车专项整治行动；对道路两侧便道非机动车乱停乱放及人行道随意停放的非机动车进行重点整治。对占用公共停车位、长期停放不使用的非机动车，以及无人管理、破损严重、已达到报废标准的车辆进行了强制拖离；</w:t>
      </w:r>
      <w:r>
        <w:rPr>
          <w:rFonts w:hint="eastAsia" w:ascii="仿宋" w:hAnsi="仿宋" w:eastAsia="仿宋" w:cs="仿宋"/>
          <w:b w:val="0"/>
          <w:bCs w:val="0"/>
          <w:color w:val="auto"/>
          <w:sz w:val="32"/>
          <w:szCs w:val="32"/>
          <w:lang w:val="en-US" w:eastAsia="zh-CN"/>
        </w:rPr>
        <w:t>垃</w:t>
      </w:r>
      <w:r>
        <w:rPr>
          <w:rFonts w:hint="default" w:ascii="仿宋" w:hAnsi="仿宋" w:eastAsia="仿宋" w:cs="仿宋"/>
          <w:b w:val="0"/>
          <w:bCs w:val="0"/>
          <w:color w:val="auto"/>
          <w:sz w:val="32"/>
          <w:szCs w:val="32"/>
          <w:lang w:val="en-US" w:eastAsia="zh-CN"/>
        </w:rPr>
        <w:t>圾压缩站及停车场租赁场地约3.93亩，养护5辆清扫车、提升城乡环境容貌水平；租赁光纤及网络专线、是数字化城管及数字城管案卷正常运行</w:t>
      </w:r>
      <w:r>
        <w:rPr>
          <w:rFonts w:hint="eastAsia" w:ascii="仿宋" w:hAnsi="仿宋" w:eastAsia="仿宋" w:cs="仿宋"/>
          <w:b w:val="0"/>
          <w:bCs w:val="0"/>
          <w:color w:val="auto"/>
          <w:sz w:val="32"/>
          <w:szCs w:val="32"/>
          <w:lang w:val="en-US" w:eastAsia="zh-CN"/>
        </w:rPr>
        <w:t>；</w:t>
      </w:r>
      <w:r>
        <w:rPr>
          <w:rFonts w:hint="default" w:ascii="仿宋" w:hAnsi="仿宋" w:eastAsia="仿宋" w:cs="仿宋"/>
          <w:b w:val="0"/>
          <w:bCs w:val="0"/>
          <w:color w:val="auto"/>
          <w:sz w:val="32"/>
          <w:szCs w:val="32"/>
          <w:lang w:val="en-US" w:eastAsia="zh-CN"/>
        </w:rPr>
        <w:t>智慧城管运行专线1条，光纤2条，监控运转路数约100条</w:t>
      </w:r>
      <w:r>
        <w:rPr>
          <w:rFonts w:hint="eastAsia" w:ascii="仿宋" w:hAnsi="仿宋" w:eastAsia="仿宋" w:cs="仿宋"/>
          <w:b w:val="0"/>
          <w:bCs w:val="0"/>
          <w:color w:val="auto"/>
          <w:sz w:val="32"/>
          <w:szCs w:val="32"/>
          <w:lang w:val="en-US" w:eastAsia="zh-CN"/>
        </w:rPr>
        <w:t>；</w:t>
      </w:r>
      <w:r>
        <w:rPr>
          <w:rFonts w:hint="default" w:ascii="仿宋" w:hAnsi="仿宋" w:eastAsia="仿宋" w:cs="仿宋"/>
          <w:b w:val="0"/>
          <w:bCs w:val="0"/>
          <w:color w:val="auto"/>
          <w:sz w:val="32"/>
          <w:szCs w:val="32"/>
          <w:lang w:val="en-US" w:eastAsia="zh-CN"/>
        </w:rPr>
        <w:t>粉刷沿街的外墙立面、清洗牌匾，清洗卷闸，粉刷桥体、楼体约，修补整治破损门脸及破损台阶，拆除无产权单位的牌匾字号及违规悬挂的灯箱广告、整治通信线缆，清理杂草垃圾，油漆翠屏大街编导内侧护栏、整治提升新康路西段道路</w:t>
      </w:r>
      <w:r>
        <w:rPr>
          <w:rFonts w:hint="eastAsia" w:ascii="仿宋" w:hAnsi="仿宋" w:eastAsia="仿宋" w:cs="仿宋"/>
          <w:b w:val="0"/>
          <w:bCs w:val="0"/>
          <w:color w:val="auto"/>
          <w:sz w:val="32"/>
          <w:szCs w:val="32"/>
          <w:lang w:val="en-US" w:eastAsia="zh-CN"/>
        </w:rPr>
        <w:t>。</w:t>
      </w:r>
    </w:p>
    <w:p>
      <w:pPr>
        <w:keepNext w:val="0"/>
        <w:keepLines w:val="0"/>
        <w:pageBreakBefore w:val="0"/>
        <w:widowControl/>
        <w:kinsoku/>
        <w:wordWrap/>
        <w:overflowPunct w:val="0"/>
        <w:topLinePunct w:val="0"/>
        <w:autoSpaceDE/>
        <w:autoSpaceDN/>
        <w:bidi w:val="0"/>
        <w:adjustRightInd w:val="0"/>
        <w:snapToGrid w:val="0"/>
        <w:spacing w:after="0" w:line="560" w:lineRule="exact"/>
        <w:ind w:firstLine="640" w:firstLineChars="200"/>
        <w:jc w:val="both"/>
        <w:textAlignment w:val="auto"/>
        <w:rPr>
          <w:rFonts w:hint="eastAsia" w:ascii="仿宋" w:hAnsi="仿宋" w:eastAsia="仿宋" w:cs="仿宋"/>
          <w:b w:val="0"/>
          <w:bCs w:val="0"/>
          <w:color w:val="auto"/>
          <w:sz w:val="32"/>
          <w:szCs w:val="32"/>
          <w:lang w:val="en-US" w:eastAsia="zh-CN"/>
        </w:rPr>
      </w:pPr>
      <w:r>
        <w:rPr>
          <w:rFonts w:hint="eastAsia" w:ascii="仿宋" w:hAnsi="仿宋" w:eastAsia="仿宋" w:cs="仿宋"/>
          <w:sz w:val="32"/>
          <w:szCs w:val="32"/>
          <w:lang w:val="en-US" w:eastAsia="zh-CN"/>
        </w:rPr>
        <w:t>城市</w:t>
      </w:r>
      <w:r>
        <w:rPr>
          <w:rFonts w:hint="eastAsia" w:ascii="仿宋" w:hAnsi="仿宋" w:eastAsia="仿宋" w:cs="仿宋"/>
          <w:sz w:val="32"/>
          <w:szCs w:val="32"/>
        </w:rPr>
        <w:t>基础设施建设不断加快</w:t>
      </w:r>
      <w:r>
        <w:rPr>
          <w:rFonts w:hint="eastAsia" w:ascii="仿宋" w:hAnsi="仿宋" w:eastAsia="仿宋" w:cs="仿宋"/>
          <w:sz w:val="32"/>
          <w:szCs w:val="32"/>
          <w:lang w:eastAsia="zh-CN"/>
        </w:rPr>
        <w:t>。</w:t>
      </w:r>
      <w:r>
        <w:rPr>
          <w:rFonts w:hint="eastAsia" w:ascii="仿宋" w:hAnsi="仿宋" w:eastAsia="仿宋" w:cs="仿宋"/>
          <w:sz w:val="32"/>
          <w:szCs w:val="32"/>
          <w:lang w:val="en-US" w:eastAsia="zh-CN"/>
        </w:rPr>
        <w:t>为了</w:t>
      </w:r>
      <w:r>
        <w:rPr>
          <w:rFonts w:hint="eastAsia" w:ascii="仿宋" w:hAnsi="仿宋" w:eastAsia="仿宋" w:cs="仿宋"/>
          <w:b w:val="0"/>
          <w:bCs w:val="0"/>
          <w:color w:val="auto"/>
          <w:sz w:val="32"/>
          <w:szCs w:val="32"/>
          <w:lang w:val="en-US" w:eastAsia="zh-CN"/>
        </w:rPr>
        <w:t>提升</w:t>
      </w:r>
      <w:r>
        <w:rPr>
          <w:rFonts w:hint="default" w:ascii="仿宋" w:hAnsi="仿宋" w:eastAsia="仿宋" w:cs="仿宋"/>
          <w:b w:val="0"/>
          <w:bCs w:val="0"/>
          <w:color w:val="auto"/>
          <w:sz w:val="32"/>
          <w:szCs w:val="32"/>
          <w:lang w:val="en-US" w:eastAsia="zh-CN"/>
        </w:rPr>
        <w:t>居民的生活质量，</w:t>
      </w:r>
      <w:r>
        <w:rPr>
          <w:rFonts w:hint="eastAsia" w:ascii="仿宋" w:hAnsi="仿宋" w:eastAsia="仿宋" w:cs="仿宋"/>
          <w:b w:val="0"/>
          <w:bCs w:val="0"/>
          <w:color w:val="auto"/>
          <w:sz w:val="32"/>
          <w:szCs w:val="32"/>
          <w:lang w:val="en-US" w:eastAsia="zh-CN"/>
        </w:rPr>
        <w:t>使市民</w:t>
      </w:r>
      <w:r>
        <w:rPr>
          <w:rFonts w:hint="default" w:ascii="仿宋" w:hAnsi="仿宋" w:eastAsia="仿宋" w:cs="仿宋"/>
          <w:b w:val="0"/>
          <w:bCs w:val="0"/>
          <w:color w:val="auto"/>
          <w:sz w:val="32"/>
          <w:szCs w:val="32"/>
          <w:lang w:val="en-US" w:eastAsia="zh-CN"/>
        </w:rPr>
        <w:t>更好地融入城市生活</w:t>
      </w:r>
      <w:r>
        <w:rPr>
          <w:rFonts w:hint="eastAsia" w:ascii="仿宋" w:hAnsi="仿宋" w:eastAsia="仿宋" w:cs="仿宋"/>
          <w:b w:val="0"/>
          <w:bCs w:val="0"/>
          <w:color w:val="auto"/>
          <w:sz w:val="32"/>
          <w:szCs w:val="32"/>
          <w:lang w:val="en-US" w:eastAsia="zh-CN"/>
        </w:rPr>
        <w:t>，助力</w:t>
      </w:r>
      <w:r>
        <w:rPr>
          <w:rFonts w:hint="default" w:ascii="仿宋" w:hAnsi="仿宋" w:eastAsia="仿宋" w:cs="仿宋"/>
          <w:b w:val="0"/>
          <w:bCs w:val="0"/>
          <w:color w:val="auto"/>
          <w:sz w:val="32"/>
          <w:szCs w:val="32"/>
          <w:lang w:val="en-US" w:eastAsia="zh-CN"/>
        </w:rPr>
        <w:t>城市经济发展</w:t>
      </w:r>
      <w:r>
        <w:rPr>
          <w:rFonts w:hint="eastAsia" w:ascii="仿宋" w:hAnsi="仿宋" w:eastAsia="仿宋" w:cs="仿宋"/>
          <w:b w:val="0"/>
          <w:bCs w:val="0"/>
          <w:color w:val="auto"/>
          <w:sz w:val="32"/>
          <w:szCs w:val="32"/>
          <w:lang w:val="en-US" w:eastAsia="zh-CN"/>
        </w:rPr>
        <w:t>，</w:t>
      </w:r>
      <w:r>
        <w:rPr>
          <w:rFonts w:hint="default" w:ascii="仿宋" w:hAnsi="仿宋" w:eastAsia="仿宋" w:cs="仿宋"/>
          <w:b w:val="0"/>
          <w:bCs w:val="0"/>
          <w:color w:val="auto"/>
          <w:sz w:val="32"/>
          <w:szCs w:val="32"/>
          <w:lang w:val="en-US" w:eastAsia="zh-CN"/>
        </w:rPr>
        <w:t>促进城市经济的增长和提升城市竞争力</w:t>
      </w:r>
      <w:r>
        <w:rPr>
          <w:rFonts w:hint="eastAsia" w:ascii="仿宋" w:hAnsi="仿宋" w:eastAsia="仿宋" w:cs="仿宋"/>
          <w:b w:val="0"/>
          <w:bCs w:val="0"/>
          <w:color w:val="auto"/>
          <w:sz w:val="32"/>
          <w:szCs w:val="32"/>
          <w:lang w:val="en-US" w:eastAsia="zh-CN"/>
        </w:rPr>
        <w:t>，我部门不断加快城市基础设施建设</w:t>
      </w:r>
      <w:r>
        <w:rPr>
          <w:rFonts w:hint="default" w:ascii="仿宋" w:hAnsi="仿宋" w:eastAsia="仿宋" w:cs="仿宋"/>
          <w:b w:val="0"/>
          <w:bCs w:val="0"/>
          <w:color w:val="auto"/>
          <w:sz w:val="32"/>
          <w:szCs w:val="32"/>
          <w:lang w:val="en-US" w:eastAsia="zh-CN"/>
        </w:rPr>
        <w:t>，为实现城市可持续发展和建设现代化城市提供有力保障。</w:t>
      </w:r>
    </w:p>
    <w:p>
      <w:pPr>
        <w:widowControl w:val="0"/>
        <w:wordWrap/>
        <w:spacing w:line="560" w:lineRule="exact"/>
        <w:ind w:left="0" w:leftChars="0" w:right="0" w:firstLine="640" w:firstLineChars="200"/>
        <w:jc w:val="both"/>
        <w:textAlignment w:val="auto"/>
        <w:outlineLvl w:val="9"/>
        <w:rPr>
          <w:rFonts w:hint="default" w:ascii="仿宋" w:hAnsi="仿宋" w:eastAsia="仿宋" w:cs="仿宋"/>
          <w:b w:val="0"/>
          <w:bCs w:val="0"/>
          <w:color w:val="auto"/>
          <w:sz w:val="32"/>
          <w:szCs w:val="32"/>
          <w:lang w:val="en-US" w:eastAsia="zh-CN"/>
        </w:rPr>
      </w:pPr>
      <w:r>
        <w:rPr>
          <w:rFonts w:hint="eastAsia" w:ascii="仿宋" w:hAnsi="仿宋" w:eastAsia="仿宋" w:cs="仿宋"/>
          <w:b w:val="0"/>
          <w:bCs w:val="0"/>
          <w:color w:val="auto"/>
          <w:sz w:val="32"/>
          <w:szCs w:val="32"/>
          <w:lang w:val="en-US" w:eastAsia="zh-CN"/>
        </w:rPr>
        <w:t>绩效目标：</w:t>
      </w:r>
      <w:r>
        <w:rPr>
          <w:rFonts w:hint="default" w:ascii="仿宋" w:hAnsi="仿宋" w:eastAsia="仿宋" w:cs="仿宋"/>
          <w:b w:val="0"/>
          <w:bCs w:val="0"/>
          <w:color w:val="auto"/>
          <w:sz w:val="32"/>
          <w:szCs w:val="32"/>
          <w:lang w:val="en-US" w:eastAsia="zh-CN"/>
        </w:rPr>
        <w:t>满足城市居民的基本生活需求，提高城市居民的生活质量，创造良好的城市环境</w:t>
      </w:r>
      <w:r>
        <w:rPr>
          <w:rFonts w:hint="eastAsia" w:ascii="仿宋" w:hAnsi="仿宋" w:eastAsia="仿宋" w:cs="仿宋"/>
          <w:b w:val="0"/>
          <w:bCs w:val="0"/>
          <w:color w:val="auto"/>
          <w:sz w:val="32"/>
          <w:szCs w:val="32"/>
          <w:lang w:val="en-US" w:eastAsia="zh-CN"/>
        </w:rPr>
        <w:t>；</w:t>
      </w:r>
      <w:r>
        <w:rPr>
          <w:rFonts w:hint="default" w:ascii="仿宋" w:hAnsi="仿宋" w:eastAsia="仿宋" w:cs="仿宋"/>
          <w:b w:val="0"/>
          <w:bCs w:val="0"/>
          <w:color w:val="auto"/>
          <w:sz w:val="32"/>
          <w:szCs w:val="32"/>
          <w:lang w:val="en-US" w:eastAsia="zh-CN"/>
        </w:rPr>
        <w:t>提高城市基础设施的供应效率和质量，降低城市基础设施的供应成本，优化城市基础设施的配置和布局</w:t>
      </w:r>
      <w:r>
        <w:rPr>
          <w:rFonts w:hint="eastAsia" w:ascii="仿宋" w:hAnsi="仿宋" w:eastAsia="仿宋" w:cs="仿宋"/>
          <w:b w:val="0"/>
          <w:bCs w:val="0"/>
          <w:color w:val="auto"/>
          <w:sz w:val="32"/>
          <w:szCs w:val="32"/>
          <w:lang w:val="en-US" w:eastAsia="zh-CN"/>
        </w:rPr>
        <w:t>；</w:t>
      </w:r>
      <w:r>
        <w:rPr>
          <w:rFonts w:hint="default" w:ascii="仿宋" w:hAnsi="仿宋" w:eastAsia="仿宋" w:cs="仿宋"/>
          <w:b w:val="0"/>
          <w:bCs w:val="0"/>
          <w:color w:val="auto"/>
          <w:sz w:val="32"/>
          <w:szCs w:val="32"/>
          <w:lang w:val="en-US" w:eastAsia="zh-CN"/>
        </w:rPr>
        <w:t>加强城市基础设施的维护和保养，提高城市基础设施的使用寿命和安全性，减少城市基础设施的故障率和损坏率</w:t>
      </w:r>
      <w:r>
        <w:rPr>
          <w:rFonts w:hint="eastAsia" w:ascii="仿宋" w:hAnsi="仿宋" w:eastAsia="仿宋" w:cs="仿宋"/>
          <w:b w:val="0"/>
          <w:bCs w:val="0"/>
          <w:color w:val="auto"/>
          <w:sz w:val="32"/>
          <w:szCs w:val="32"/>
          <w:lang w:val="en-US" w:eastAsia="zh-CN"/>
        </w:rPr>
        <w:t>；</w:t>
      </w:r>
      <w:r>
        <w:rPr>
          <w:rFonts w:hint="default" w:ascii="仿宋" w:hAnsi="仿宋" w:eastAsia="仿宋" w:cs="仿宋"/>
          <w:b w:val="0"/>
          <w:bCs w:val="0"/>
          <w:color w:val="auto"/>
          <w:sz w:val="32"/>
          <w:szCs w:val="32"/>
          <w:lang w:val="en-US" w:eastAsia="zh-CN"/>
        </w:rPr>
        <w:t>推进城市基础设施建设领域的信息化、数字化、智能化建设，实现基础设施建设的数字化管理和智慧化运行，提高城市基础设施的运行效率和服务水平。</w:t>
      </w:r>
    </w:p>
    <w:p>
      <w:pPr>
        <w:widowControl w:val="0"/>
        <w:wordWrap/>
        <w:spacing w:line="560" w:lineRule="exact"/>
        <w:ind w:left="0" w:leftChars="0" w:right="0" w:firstLine="640" w:firstLineChars="200"/>
        <w:jc w:val="both"/>
        <w:textAlignment w:val="auto"/>
        <w:outlineLvl w:val="9"/>
        <w:rPr>
          <w:rFonts w:hint="default" w:ascii="仿宋" w:hAnsi="仿宋" w:eastAsia="仿宋" w:cs="仿宋"/>
          <w:b w:val="0"/>
          <w:bCs w:val="0"/>
          <w:color w:val="auto"/>
          <w:sz w:val="32"/>
          <w:szCs w:val="32"/>
          <w:lang w:val="en-US" w:eastAsia="zh-CN"/>
        </w:rPr>
      </w:pPr>
      <w:r>
        <w:rPr>
          <w:rFonts w:hint="eastAsia" w:ascii="仿宋" w:hAnsi="仿宋" w:eastAsia="仿宋" w:cs="仿宋"/>
          <w:b w:val="0"/>
          <w:bCs w:val="0"/>
          <w:color w:val="auto"/>
          <w:sz w:val="32"/>
          <w:szCs w:val="32"/>
          <w:lang w:val="en-US" w:eastAsia="zh-CN"/>
        </w:rPr>
        <w:t>绩效指标：</w:t>
      </w:r>
      <w:r>
        <w:rPr>
          <w:rFonts w:hint="default" w:ascii="仿宋" w:hAnsi="仿宋" w:eastAsia="仿宋" w:cs="仿宋"/>
          <w:b w:val="0"/>
          <w:bCs w:val="0"/>
          <w:color w:val="auto"/>
          <w:sz w:val="32"/>
          <w:szCs w:val="32"/>
          <w:lang w:val="en-US" w:eastAsia="zh-CN"/>
        </w:rPr>
        <w:t>对鹿泉141条小街巷进行提升改造，深入挖掘小街巷文化特色，打造精品特色街巷，整治提升后达到“一街一景观”“一街一特色”</w:t>
      </w:r>
      <w:r>
        <w:rPr>
          <w:rFonts w:hint="eastAsia" w:ascii="仿宋" w:hAnsi="仿宋" w:eastAsia="仿宋" w:cs="仿宋"/>
          <w:b w:val="0"/>
          <w:bCs w:val="0"/>
          <w:color w:val="auto"/>
          <w:sz w:val="32"/>
          <w:szCs w:val="32"/>
          <w:lang w:val="en-US" w:eastAsia="zh-CN"/>
        </w:rPr>
        <w:t>；</w:t>
      </w:r>
      <w:r>
        <w:rPr>
          <w:rFonts w:hint="default" w:ascii="仿宋" w:hAnsi="仿宋" w:eastAsia="仿宋" w:cs="仿宋"/>
          <w:b w:val="0"/>
          <w:bCs w:val="0"/>
          <w:color w:val="auto"/>
          <w:sz w:val="32"/>
          <w:szCs w:val="32"/>
          <w:lang w:val="en-US" w:eastAsia="zh-CN"/>
        </w:rPr>
        <w:t>修建停车区域约25000平米，行车道路面积约3000平米，缓解龙泉古镇景区周边出行难、停车难问题</w:t>
      </w:r>
      <w:r>
        <w:rPr>
          <w:rFonts w:hint="eastAsia" w:ascii="仿宋" w:hAnsi="仿宋" w:eastAsia="仿宋" w:cs="仿宋"/>
          <w:b w:val="0"/>
          <w:bCs w:val="0"/>
          <w:color w:val="auto"/>
          <w:sz w:val="32"/>
          <w:szCs w:val="32"/>
          <w:lang w:val="en-US" w:eastAsia="zh-CN"/>
        </w:rPr>
        <w:t>；</w:t>
      </w:r>
      <w:r>
        <w:rPr>
          <w:rFonts w:hint="default" w:ascii="仿宋" w:hAnsi="仿宋" w:eastAsia="仿宋" w:cs="仿宋"/>
          <w:b w:val="0"/>
          <w:bCs w:val="0"/>
          <w:color w:val="auto"/>
          <w:sz w:val="32"/>
          <w:szCs w:val="32"/>
          <w:lang w:val="en-US" w:eastAsia="zh-CN"/>
        </w:rPr>
        <w:t>在奇石街北头，新建设60个停车泊位，缓解周边停车难问题、美化绿化城区北部环境</w:t>
      </w:r>
      <w:r>
        <w:rPr>
          <w:rFonts w:hint="eastAsia" w:ascii="仿宋" w:hAnsi="仿宋" w:eastAsia="仿宋" w:cs="仿宋"/>
          <w:b w:val="0"/>
          <w:bCs w:val="0"/>
          <w:color w:val="auto"/>
          <w:sz w:val="32"/>
          <w:szCs w:val="32"/>
          <w:lang w:val="en-US" w:eastAsia="zh-CN"/>
        </w:rPr>
        <w:t>；</w:t>
      </w:r>
      <w:r>
        <w:rPr>
          <w:rFonts w:hint="default" w:ascii="仿宋" w:hAnsi="仿宋" w:eastAsia="仿宋" w:cs="仿宋"/>
          <w:b w:val="0"/>
          <w:bCs w:val="0"/>
          <w:color w:val="auto"/>
          <w:sz w:val="32"/>
          <w:szCs w:val="32"/>
          <w:lang w:val="en-US" w:eastAsia="zh-CN"/>
        </w:rPr>
        <w:t>新增地下停车库1座、新增机械停车楼3座、新增智慧泊车1处，共新建618个停车位，提升城市基础设施水平，缓解周边停车难问题</w:t>
      </w:r>
      <w:r>
        <w:rPr>
          <w:rFonts w:hint="eastAsia" w:ascii="仿宋" w:hAnsi="仿宋" w:eastAsia="仿宋" w:cs="仿宋"/>
          <w:b w:val="0"/>
          <w:bCs w:val="0"/>
          <w:color w:val="auto"/>
          <w:sz w:val="32"/>
          <w:szCs w:val="32"/>
          <w:lang w:val="en-US" w:eastAsia="zh-CN"/>
        </w:rPr>
        <w:t>；</w:t>
      </w:r>
      <w:r>
        <w:rPr>
          <w:rFonts w:hint="default" w:ascii="仿宋" w:hAnsi="仿宋" w:eastAsia="仿宋" w:cs="仿宋"/>
          <w:b w:val="0"/>
          <w:bCs w:val="0"/>
          <w:color w:val="auto"/>
          <w:sz w:val="32"/>
          <w:szCs w:val="32"/>
          <w:lang w:val="en-US" w:eastAsia="zh-CN"/>
        </w:rPr>
        <w:t>新增设停车位530个，高标准对体育场设施进行恢复，缓解体育场周边停车难问题，方便群众进行体育活动</w:t>
      </w:r>
      <w:r>
        <w:rPr>
          <w:rFonts w:hint="eastAsia" w:ascii="仿宋" w:hAnsi="仿宋" w:eastAsia="仿宋" w:cs="仿宋"/>
          <w:b w:val="0"/>
          <w:bCs w:val="0"/>
          <w:color w:val="auto"/>
          <w:sz w:val="32"/>
          <w:szCs w:val="32"/>
          <w:lang w:val="en-US" w:eastAsia="zh-CN"/>
        </w:rPr>
        <w:t>；</w:t>
      </w:r>
      <w:r>
        <w:rPr>
          <w:rFonts w:hint="default" w:ascii="仿宋" w:hAnsi="仿宋" w:eastAsia="仿宋" w:cs="仿宋"/>
          <w:b w:val="0"/>
          <w:bCs w:val="0"/>
          <w:color w:val="auto"/>
          <w:sz w:val="32"/>
          <w:szCs w:val="32"/>
          <w:lang w:val="en-US" w:eastAsia="zh-CN"/>
        </w:rPr>
        <w:t>新增停车场10个，停车位6026个，提升城市基础设施水平，缓解出行难停车难问题，提高全区停车位，满足停车需求</w:t>
      </w:r>
      <w:r>
        <w:rPr>
          <w:rFonts w:hint="eastAsia" w:ascii="仿宋" w:hAnsi="仿宋" w:eastAsia="仿宋" w:cs="仿宋"/>
          <w:b w:val="0"/>
          <w:bCs w:val="0"/>
          <w:color w:val="auto"/>
          <w:sz w:val="32"/>
          <w:szCs w:val="32"/>
          <w:lang w:val="en-US" w:eastAsia="zh-CN"/>
        </w:rPr>
        <w:t>；</w:t>
      </w:r>
      <w:r>
        <w:rPr>
          <w:rFonts w:hint="default" w:ascii="仿宋" w:hAnsi="仿宋" w:eastAsia="仿宋" w:cs="仿宋"/>
          <w:b w:val="0"/>
          <w:bCs w:val="0"/>
          <w:color w:val="auto"/>
          <w:sz w:val="32"/>
          <w:szCs w:val="32"/>
          <w:lang w:val="en-US" w:eastAsia="zh-CN"/>
        </w:rPr>
        <w:t>鹿泉区北部振兴-李村镇镇前大街基础设施改造项目，建设内容镇前大街西起石清路，东至省道232，长约1800米，本工程改造包括人行道改造，道路两侧增设雨水管道，雨水管道4150米等工程</w:t>
      </w:r>
      <w:r>
        <w:rPr>
          <w:rFonts w:hint="eastAsia" w:ascii="仿宋" w:hAnsi="仿宋" w:eastAsia="仿宋" w:cs="仿宋"/>
          <w:b w:val="0"/>
          <w:bCs w:val="0"/>
          <w:color w:val="auto"/>
          <w:sz w:val="32"/>
          <w:szCs w:val="32"/>
          <w:lang w:val="en-US" w:eastAsia="zh-CN"/>
        </w:rPr>
        <w:t>；</w:t>
      </w:r>
      <w:r>
        <w:rPr>
          <w:rFonts w:hint="default" w:ascii="仿宋" w:hAnsi="仿宋" w:eastAsia="仿宋" w:cs="仿宋"/>
          <w:b w:val="0"/>
          <w:bCs w:val="0"/>
          <w:color w:val="auto"/>
          <w:sz w:val="32"/>
          <w:szCs w:val="32"/>
          <w:lang w:val="en-US" w:eastAsia="zh-CN"/>
        </w:rPr>
        <w:t>完成智慧城管系统建设开发提升软件平台12个、改建240平方米综合机房、采购安装100路高清摄像头、5座LED大屏，保障项目基础设施、软硬件正常运转，为业务开展提供支撑。新建3座生活垃圾转运站，购置压缩机头3个台，购置9辆垃圾转运车，购置生活垃圾转运箱17个，提升改造现有4座垃圾压缩转运站</w:t>
      </w:r>
      <w:r>
        <w:rPr>
          <w:rFonts w:hint="eastAsia" w:ascii="仿宋" w:hAnsi="仿宋" w:eastAsia="仿宋" w:cs="仿宋"/>
          <w:b w:val="0"/>
          <w:bCs w:val="0"/>
          <w:color w:val="auto"/>
          <w:sz w:val="32"/>
          <w:szCs w:val="32"/>
          <w:lang w:val="en-US" w:eastAsia="zh-CN"/>
        </w:rPr>
        <w:t>；</w:t>
      </w:r>
      <w:r>
        <w:rPr>
          <w:rFonts w:hint="default" w:ascii="仿宋" w:hAnsi="仿宋" w:eastAsia="仿宋" w:cs="仿宋"/>
          <w:b w:val="0"/>
          <w:bCs w:val="0"/>
          <w:color w:val="auto"/>
          <w:sz w:val="32"/>
          <w:szCs w:val="32"/>
          <w:lang w:val="en-US" w:eastAsia="zh-CN"/>
        </w:rPr>
        <w:t>按时完成城东便民市场3号厅内外装修工程量，使市民购物经营环境更满意</w:t>
      </w:r>
      <w:r>
        <w:rPr>
          <w:rFonts w:hint="eastAsia" w:ascii="仿宋" w:hAnsi="仿宋" w:eastAsia="仿宋" w:cs="仿宋"/>
          <w:b w:val="0"/>
          <w:bCs w:val="0"/>
          <w:color w:val="auto"/>
          <w:sz w:val="32"/>
          <w:szCs w:val="32"/>
          <w:lang w:val="en-US" w:eastAsia="zh-CN"/>
        </w:rPr>
        <w:t>；</w:t>
      </w:r>
      <w:r>
        <w:rPr>
          <w:rFonts w:hint="default" w:ascii="仿宋" w:hAnsi="仿宋" w:eastAsia="仿宋" w:cs="仿宋"/>
          <w:b w:val="0"/>
          <w:bCs w:val="0"/>
          <w:color w:val="auto"/>
          <w:sz w:val="32"/>
          <w:szCs w:val="32"/>
          <w:lang w:val="en-US" w:eastAsia="zh-CN"/>
        </w:rPr>
        <w:t>改善城东便民市场两侧居民的生活环境和居住条件，解决安全隐患，提升市场及周边的整体形象，提高市场美观度。</w:t>
      </w:r>
    </w:p>
    <w:p>
      <w:pPr>
        <w:widowControl w:val="0"/>
        <w:wordWrap/>
        <w:spacing w:line="560" w:lineRule="exact"/>
        <w:ind w:left="0" w:leftChars="0" w:right="0" w:firstLine="640" w:firstLineChars="200"/>
        <w:jc w:val="both"/>
        <w:textAlignment w:val="auto"/>
        <w:outlineLvl w:val="9"/>
        <w:rPr>
          <w:rFonts w:hint="eastAsia" w:ascii="仿宋" w:hAnsi="仿宋" w:eastAsia="仿宋" w:cs="仿宋"/>
          <w:b w:val="0"/>
          <w:bCs w:val="0"/>
          <w:color w:val="auto"/>
          <w:sz w:val="32"/>
          <w:szCs w:val="32"/>
          <w:lang w:val="en-US" w:eastAsia="zh-CN"/>
        </w:rPr>
      </w:pPr>
      <w:r>
        <w:rPr>
          <w:rFonts w:hint="eastAsia" w:ascii="仿宋" w:hAnsi="仿宋" w:eastAsia="仿宋" w:cs="仿宋"/>
          <w:b w:val="0"/>
          <w:bCs w:val="0"/>
          <w:color w:val="auto"/>
          <w:sz w:val="32"/>
          <w:szCs w:val="32"/>
          <w:lang w:val="en-US" w:eastAsia="zh-CN"/>
        </w:rPr>
        <w:t>环境卫生管护持续强化提升。为了</w:t>
      </w:r>
      <w:r>
        <w:rPr>
          <w:rFonts w:hint="default" w:ascii="仿宋" w:hAnsi="仿宋" w:eastAsia="仿宋" w:cs="仿宋"/>
          <w:b w:val="0"/>
          <w:bCs w:val="0"/>
          <w:color w:val="auto"/>
          <w:sz w:val="32"/>
          <w:szCs w:val="32"/>
          <w:lang w:val="en-US" w:eastAsia="zh-CN"/>
        </w:rPr>
        <w:t>创造清洁、美丽、卫生的城市环境，改善环境卫生设施，增强市民环保意识和参与度，</w:t>
      </w:r>
      <w:r>
        <w:rPr>
          <w:rFonts w:hint="eastAsia" w:ascii="仿宋" w:hAnsi="仿宋" w:eastAsia="仿宋" w:cs="仿宋"/>
          <w:b w:val="0"/>
          <w:bCs w:val="0"/>
          <w:color w:val="auto"/>
          <w:sz w:val="32"/>
          <w:szCs w:val="32"/>
          <w:lang w:val="en-US" w:eastAsia="zh-CN"/>
        </w:rPr>
        <w:t>我部门继续</w:t>
      </w:r>
      <w:r>
        <w:rPr>
          <w:rFonts w:hint="default" w:ascii="仿宋" w:hAnsi="仿宋" w:eastAsia="仿宋" w:cs="仿宋"/>
          <w:b w:val="0"/>
          <w:bCs w:val="0"/>
          <w:color w:val="auto"/>
          <w:sz w:val="32"/>
          <w:szCs w:val="32"/>
          <w:lang w:val="en-US" w:eastAsia="zh-CN"/>
        </w:rPr>
        <w:t>加强环境卫生</w:t>
      </w:r>
      <w:r>
        <w:rPr>
          <w:rFonts w:hint="eastAsia" w:ascii="仿宋" w:hAnsi="仿宋" w:eastAsia="仿宋" w:cs="仿宋"/>
          <w:b w:val="0"/>
          <w:bCs w:val="0"/>
          <w:color w:val="auto"/>
          <w:sz w:val="32"/>
          <w:szCs w:val="32"/>
          <w:lang w:val="en-US" w:eastAsia="zh-CN"/>
        </w:rPr>
        <w:t>管理，助力</w:t>
      </w:r>
      <w:r>
        <w:rPr>
          <w:rFonts w:hint="default" w:ascii="仿宋" w:hAnsi="仿宋" w:eastAsia="仿宋" w:cs="仿宋"/>
          <w:kern w:val="2"/>
          <w:sz w:val="32"/>
          <w:szCs w:val="32"/>
          <w:lang w:val="en-US" w:eastAsia="zh-CN" w:bidi="ar-SA"/>
        </w:rPr>
        <w:t>生态宜居宜业宜游新城区</w:t>
      </w:r>
      <w:r>
        <w:rPr>
          <w:rFonts w:hint="default" w:ascii="仿宋" w:hAnsi="仿宋" w:eastAsia="仿宋" w:cs="仿宋"/>
          <w:b w:val="0"/>
          <w:bCs w:val="0"/>
          <w:color w:val="auto"/>
          <w:sz w:val="32"/>
          <w:szCs w:val="32"/>
          <w:lang w:val="en-US" w:eastAsia="zh-CN"/>
        </w:rPr>
        <w:t>。</w:t>
      </w:r>
    </w:p>
    <w:p>
      <w:pPr>
        <w:widowControl w:val="0"/>
        <w:wordWrap/>
        <w:spacing w:line="560" w:lineRule="exact"/>
        <w:ind w:left="0" w:leftChars="0" w:right="0" w:firstLine="640" w:firstLineChars="200"/>
        <w:jc w:val="both"/>
        <w:textAlignment w:val="auto"/>
        <w:outlineLvl w:val="9"/>
        <w:rPr>
          <w:rFonts w:hint="default" w:ascii="仿宋" w:hAnsi="仿宋" w:eastAsia="仿宋" w:cs="仿宋"/>
          <w:b w:val="0"/>
          <w:bCs w:val="0"/>
          <w:color w:val="auto"/>
          <w:sz w:val="32"/>
          <w:szCs w:val="32"/>
          <w:lang w:val="en-US" w:eastAsia="zh-CN"/>
        </w:rPr>
      </w:pPr>
      <w:r>
        <w:rPr>
          <w:rFonts w:hint="eastAsia" w:ascii="仿宋" w:hAnsi="仿宋" w:eastAsia="仿宋" w:cs="仿宋"/>
          <w:b w:val="0"/>
          <w:bCs w:val="0"/>
          <w:color w:val="auto"/>
          <w:sz w:val="32"/>
          <w:szCs w:val="32"/>
          <w:lang w:val="en-US" w:eastAsia="zh-CN"/>
        </w:rPr>
        <w:t>绩效目标：</w:t>
      </w:r>
      <w:r>
        <w:rPr>
          <w:rFonts w:hint="default" w:ascii="仿宋" w:hAnsi="仿宋" w:eastAsia="仿宋" w:cs="仿宋"/>
          <w:b w:val="0"/>
          <w:bCs w:val="0"/>
          <w:color w:val="auto"/>
          <w:sz w:val="32"/>
          <w:szCs w:val="32"/>
          <w:lang w:val="en-US" w:eastAsia="zh-CN"/>
        </w:rPr>
        <w:t>提高环境卫生质量和标准</w:t>
      </w:r>
      <w:r>
        <w:rPr>
          <w:rFonts w:hint="eastAsia" w:ascii="仿宋" w:hAnsi="仿宋" w:eastAsia="仿宋" w:cs="仿宋"/>
          <w:b w:val="0"/>
          <w:bCs w:val="0"/>
          <w:color w:val="auto"/>
          <w:sz w:val="32"/>
          <w:szCs w:val="32"/>
          <w:lang w:val="en-US" w:eastAsia="zh-CN"/>
        </w:rPr>
        <w:t>，</w:t>
      </w:r>
      <w:r>
        <w:rPr>
          <w:rFonts w:hint="default" w:ascii="仿宋" w:hAnsi="仿宋" w:eastAsia="仿宋" w:cs="仿宋"/>
          <w:b w:val="0"/>
          <w:bCs w:val="0"/>
          <w:color w:val="auto"/>
          <w:sz w:val="32"/>
          <w:szCs w:val="32"/>
          <w:lang w:val="en-US" w:eastAsia="zh-CN"/>
        </w:rPr>
        <w:t>通过加强环境卫生的日常管理和监督，提高城市公共场所、社区、工业区的环境卫生质量和标准，创造更加清洁、美丽、卫生的城市环境</w:t>
      </w:r>
      <w:r>
        <w:rPr>
          <w:rFonts w:hint="eastAsia" w:ascii="仿宋" w:hAnsi="仿宋" w:eastAsia="仿宋" w:cs="仿宋"/>
          <w:b w:val="0"/>
          <w:bCs w:val="0"/>
          <w:color w:val="auto"/>
          <w:sz w:val="32"/>
          <w:szCs w:val="32"/>
          <w:lang w:val="en-US" w:eastAsia="zh-CN"/>
        </w:rPr>
        <w:t>；</w:t>
      </w:r>
      <w:r>
        <w:rPr>
          <w:rFonts w:hint="default" w:ascii="仿宋" w:hAnsi="仿宋" w:eastAsia="仿宋" w:cs="仿宋"/>
          <w:b w:val="0"/>
          <w:bCs w:val="0"/>
          <w:color w:val="auto"/>
          <w:sz w:val="32"/>
          <w:szCs w:val="32"/>
          <w:lang w:val="en-US" w:eastAsia="zh-CN"/>
        </w:rPr>
        <w:t>减少环境污染和垃圾废弃物</w:t>
      </w:r>
      <w:r>
        <w:rPr>
          <w:rFonts w:hint="eastAsia" w:ascii="仿宋" w:hAnsi="仿宋" w:eastAsia="仿宋" w:cs="仿宋"/>
          <w:b w:val="0"/>
          <w:bCs w:val="0"/>
          <w:color w:val="auto"/>
          <w:sz w:val="32"/>
          <w:szCs w:val="32"/>
          <w:lang w:val="en-US" w:eastAsia="zh-CN"/>
        </w:rPr>
        <w:t>，</w:t>
      </w:r>
      <w:r>
        <w:rPr>
          <w:rFonts w:hint="default" w:ascii="仿宋" w:hAnsi="仿宋" w:eastAsia="仿宋" w:cs="仿宋"/>
          <w:b w:val="0"/>
          <w:bCs w:val="0"/>
          <w:color w:val="auto"/>
          <w:sz w:val="32"/>
          <w:szCs w:val="32"/>
          <w:lang w:val="en-US" w:eastAsia="zh-CN"/>
        </w:rPr>
        <w:t>通过推广垃圾分类、回收、再利用等措施，减少环境污染和垃圾废弃物的产生，实现城市环境的可持续发展</w:t>
      </w:r>
      <w:r>
        <w:rPr>
          <w:rFonts w:hint="eastAsia" w:ascii="仿宋" w:hAnsi="仿宋" w:eastAsia="仿宋" w:cs="仿宋"/>
          <w:b w:val="0"/>
          <w:bCs w:val="0"/>
          <w:color w:val="auto"/>
          <w:sz w:val="32"/>
          <w:szCs w:val="32"/>
          <w:lang w:val="en-US" w:eastAsia="zh-CN"/>
        </w:rPr>
        <w:t>；</w:t>
      </w:r>
      <w:r>
        <w:rPr>
          <w:rFonts w:hint="default" w:ascii="仿宋" w:hAnsi="仿宋" w:eastAsia="仿宋" w:cs="仿宋"/>
          <w:b w:val="0"/>
          <w:bCs w:val="0"/>
          <w:color w:val="auto"/>
          <w:sz w:val="32"/>
          <w:szCs w:val="32"/>
          <w:lang w:val="en-US" w:eastAsia="zh-CN"/>
        </w:rPr>
        <w:t>改善环境卫生设施</w:t>
      </w:r>
      <w:r>
        <w:rPr>
          <w:rFonts w:hint="eastAsia" w:ascii="仿宋" w:hAnsi="仿宋" w:eastAsia="仿宋" w:cs="仿宋"/>
          <w:b w:val="0"/>
          <w:bCs w:val="0"/>
          <w:color w:val="auto"/>
          <w:sz w:val="32"/>
          <w:szCs w:val="32"/>
          <w:lang w:val="en-US" w:eastAsia="zh-CN"/>
        </w:rPr>
        <w:t>，</w:t>
      </w:r>
      <w:r>
        <w:rPr>
          <w:rFonts w:hint="default" w:ascii="仿宋" w:hAnsi="仿宋" w:eastAsia="仿宋" w:cs="仿宋"/>
          <w:b w:val="0"/>
          <w:bCs w:val="0"/>
          <w:color w:val="auto"/>
          <w:sz w:val="32"/>
          <w:szCs w:val="32"/>
          <w:lang w:val="en-US" w:eastAsia="zh-CN"/>
        </w:rPr>
        <w:t>通过加强环境卫生设施的建设和维护，提高城市公共厕所、垃圾箱、垃圾处理厂等设施的质量和数量，提供更加便捷、舒适、安全的环境卫生设施。</w:t>
      </w:r>
    </w:p>
    <w:p>
      <w:pPr>
        <w:widowControl w:val="0"/>
        <w:wordWrap/>
        <w:spacing w:line="560" w:lineRule="exact"/>
        <w:ind w:left="0" w:leftChars="0" w:right="0" w:firstLine="640" w:firstLineChars="200"/>
        <w:jc w:val="both"/>
        <w:textAlignment w:val="auto"/>
        <w:outlineLvl w:val="9"/>
        <w:rPr>
          <w:rFonts w:hint="default"/>
          <w:lang w:val="en-US" w:eastAsia="zh-CN"/>
        </w:rPr>
      </w:pPr>
      <w:r>
        <w:rPr>
          <w:rFonts w:hint="eastAsia" w:ascii="仿宋" w:hAnsi="仿宋" w:eastAsia="仿宋" w:cs="仿宋"/>
          <w:b w:val="0"/>
          <w:bCs w:val="0"/>
          <w:color w:val="auto"/>
          <w:sz w:val="32"/>
          <w:szCs w:val="32"/>
          <w:lang w:val="en-US" w:eastAsia="zh-CN"/>
        </w:rPr>
        <w:t>绩效指标：保障6座垃圾压缩站的设备车辆正常运转，64名工作人员工资社保及补贴按时发放，保证发放无遗漏；</w:t>
      </w:r>
      <w:r>
        <w:rPr>
          <w:rFonts w:hint="default" w:ascii="仿宋" w:hAnsi="仿宋" w:eastAsia="仿宋" w:cs="仿宋"/>
          <w:b w:val="0"/>
          <w:bCs w:val="0"/>
          <w:color w:val="auto"/>
          <w:sz w:val="32"/>
          <w:szCs w:val="32"/>
          <w:lang w:val="en-US" w:eastAsia="zh-CN"/>
        </w:rPr>
        <w:t>，保障人员开支、设备维修维护、水电等开支，重点对各乡镇主镇区厨余垃圾进行无害化处理，实现厨余垃圾的资源化利用，实现农村干湿垃圾初级分类</w:t>
      </w:r>
      <w:r>
        <w:rPr>
          <w:rFonts w:hint="eastAsia" w:ascii="仿宋" w:hAnsi="仿宋" w:eastAsia="仿宋" w:cs="仿宋"/>
          <w:b w:val="0"/>
          <w:bCs w:val="0"/>
          <w:color w:val="auto"/>
          <w:sz w:val="32"/>
          <w:szCs w:val="32"/>
          <w:lang w:val="en-US" w:eastAsia="zh-CN"/>
        </w:rPr>
        <w:t>；确保生活垃圾及时收集清运无害化处理，提高群众居住环境；保障农村生活垃圾清理范围全覆盖。达到各个乡镇村垃圾桶表面无污垢、垃圾桶四周无散落垃圾。对鹿泉13个乡镇208个村的街道清扫保洁并对产生的垃圾及时清理，日产日清，达到生活垃圾无积存。</w:t>
      </w:r>
    </w:p>
    <w:p>
      <w:pPr>
        <w:widowControl w:val="0"/>
        <w:wordWrap/>
        <w:spacing w:line="560" w:lineRule="exact"/>
        <w:ind w:left="0" w:leftChars="0" w:right="0" w:firstLine="640" w:firstLineChars="200"/>
        <w:jc w:val="both"/>
        <w:textAlignment w:val="auto"/>
        <w:outlineLvl w:val="9"/>
        <w:rPr>
          <w:rFonts w:ascii="黑体" w:hAnsi="黑体" w:eastAsia="黑体"/>
          <w:sz w:val="32"/>
          <w:szCs w:val="32"/>
        </w:rPr>
      </w:pPr>
      <w:r>
        <w:rPr>
          <w:rFonts w:hint="eastAsia" w:ascii="黑体" w:hAnsi="黑体" w:eastAsia="黑体"/>
          <w:sz w:val="32"/>
          <w:szCs w:val="32"/>
        </w:rPr>
        <w:t>四、评价结论和评价等级</w:t>
      </w:r>
    </w:p>
    <w:p>
      <w:pPr>
        <w:widowControl w:val="0"/>
        <w:wordWrap/>
        <w:spacing w:line="560" w:lineRule="exact"/>
        <w:ind w:left="0" w:leftChars="0" w:right="0" w:firstLine="640" w:firstLineChars="200"/>
        <w:jc w:val="both"/>
        <w:textAlignment w:val="auto"/>
        <w:outlineLvl w:val="9"/>
        <w:rPr>
          <w:rFonts w:hint="eastAsia" w:ascii="仿宋" w:hAnsi="仿宋" w:eastAsia="仿宋"/>
          <w:sz w:val="32"/>
          <w:szCs w:val="32"/>
        </w:rPr>
      </w:pPr>
      <w:r>
        <w:rPr>
          <w:rFonts w:hint="eastAsia" w:ascii="仿宋" w:hAnsi="仿宋" w:eastAsia="仿宋"/>
          <w:sz w:val="32"/>
          <w:szCs w:val="32"/>
        </w:rPr>
        <w:t>根据</w:t>
      </w:r>
      <w:r>
        <w:rPr>
          <w:rFonts w:hint="eastAsia" w:ascii="仿宋" w:hAnsi="仿宋" w:eastAsia="仿宋"/>
          <w:sz w:val="32"/>
          <w:szCs w:val="32"/>
          <w:lang w:val="en-US" w:eastAsia="zh-CN"/>
        </w:rPr>
        <w:t>我</w:t>
      </w:r>
      <w:r>
        <w:rPr>
          <w:rFonts w:hint="eastAsia" w:ascii="仿宋" w:hAnsi="仿宋" w:eastAsia="仿宋"/>
          <w:sz w:val="32"/>
          <w:szCs w:val="32"/>
          <w:lang w:eastAsia="zh-CN"/>
        </w:rPr>
        <w:t>部门职责定位和各项工作履职情况进行</w:t>
      </w:r>
      <w:r>
        <w:rPr>
          <w:rFonts w:hint="eastAsia" w:ascii="仿宋" w:hAnsi="仿宋" w:eastAsia="仿宋"/>
          <w:sz w:val="32"/>
          <w:szCs w:val="32"/>
          <w:lang w:val="en-US" w:eastAsia="zh-CN"/>
        </w:rPr>
        <w:t>了</w:t>
      </w:r>
      <w:r>
        <w:rPr>
          <w:rFonts w:hint="eastAsia" w:ascii="仿宋" w:hAnsi="仿宋" w:eastAsia="仿宋"/>
          <w:sz w:val="32"/>
          <w:szCs w:val="32"/>
          <w:lang w:eastAsia="zh-CN"/>
        </w:rPr>
        <w:t>综合评价</w:t>
      </w:r>
      <w:r>
        <w:rPr>
          <w:rFonts w:hint="eastAsia" w:ascii="仿宋" w:hAnsi="仿宋" w:eastAsia="仿宋"/>
          <w:sz w:val="32"/>
          <w:szCs w:val="32"/>
        </w:rPr>
        <w:t>，得出综合绩效评价等级。满分100分，</w:t>
      </w:r>
      <w:r>
        <w:rPr>
          <w:rFonts w:hint="eastAsia" w:ascii="仿宋" w:hAnsi="仿宋" w:eastAsia="仿宋"/>
          <w:sz w:val="32"/>
          <w:szCs w:val="32"/>
          <w:lang w:eastAsia="zh-CN"/>
        </w:rPr>
        <w:t>部门整体支出</w:t>
      </w:r>
      <w:r>
        <w:rPr>
          <w:rFonts w:hint="eastAsia" w:ascii="仿宋" w:hAnsi="仿宋" w:eastAsia="仿宋"/>
          <w:sz w:val="32"/>
          <w:szCs w:val="32"/>
        </w:rPr>
        <w:t>综合绩效评价分为4个等级：得分</w:t>
      </w:r>
      <w:r>
        <w:rPr>
          <w:rFonts w:ascii="仿宋" w:hAnsi="仿宋" w:eastAsia="仿宋" w:cs="Arial"/>
          <w:sz w:val="32"/>
          <w:szCs w:val="32"/>
        </w:rPr>
        <w:t>≥</w:t>
      </w:r>
      <w:r>
        <w:rPr>
          <w:rFonts w:hint="eastAsia" w:ascii="仿宋" w:hAnsi="仿宋" w:eastAsia="仿宋"/>
          <w:sz w:val="32"/>
          <w:szCs w:val="32"/>
        </w:rPr>
        <w:t>85分为优秀；75</w:t>
      </w:r>
      <w:r>
        <w:rPr>
          <w:rFonts w:ascii="仿宋" w:hAnsi="仿宋" w:eastAsia="仿宋" w:cs="Arial"/>
          <w:sz w:val="32"/>
          <w:szCs w:val="32"/>
        </w:rPr>
        <w:t>≤</w:t>
      </w:r>
      <w:r>
        <w:rPr>
          <w:rFonts w:hint="eastAsia" w:ascii="仿宋" w:hAnsi="仿宋" w:eastAsia="仿宋"/>
          <w:sz w:val="32"/>
          <w:szCs w:val="32"/>
        </w:rPr>
        <w:t>得分＜85分为良好；60</w:t>
      </w:r>
      <w:r>
        <w:rPr>
          <w:rFonts w:ascii="仿宋" w:hAnsi="仿宋" w:eastAsia="仿宋" w:cs="Arial"/>
          <w:sz w:val="32"/>
          <w:szCs w:val="32"/>
        </w:rPr>
        <w:t>≤</w:t>
      </w:r>
      <w:r>
        <w:rPr>
          <w:rFonts w:hint="eastAsia" w:ascii="仿宋" w:hAnsi="仿宋" w:eastAsia="仿宋"/>
          <w:sz w:val="32"/>
          <w:szCs w:val="32"/>
        </w:rPr>
        <w:t>得分＜75分为一般；得分＜60分为较差。</w:t>
      </w:r>
    </w:p>
    <w:p>
      <w:pPr>
        <w:spacing w:line="600" w:lineRule="exact"/>
        <w:ind w:firstLine="640" w:firstLineChars="200"/>
        <w:rPr>
          <w:rFonts w:hint="eastAsia" w:ascii="仿宋" w:hAnsi="仿宋" w:eastAsia="仿宋_GB2312"/>
          <w:sz w:val="32"/>
          <w:szCs w:val="32"/>
          <w:lang w:val="en-US" w:eastAsia="zh-CN"/>
        </w:rPr>
      </w:pPr>
      <w:r>
        <w:rPr>
          <w:rFonts w:hint="eastAsia" w:ascii="仿宋_GB2312" w:hAnsi="仿宋_GB2312" w:eastAsia="仿宋_GB2312" w:cs="仿宋_GB2312"/>
          <w:sz w:val="32"/>
          <w:szCs w:val="32"/>
        </w:rPr>
        <w:t>本部门在今年部门决算公开中反映</w:t>
      </w:r>
      <w:r>
        <w:rPr>
          <w:rFonts w:hint="eastAsia" w:ascii="仿宋_GB2312" w:hAnsi="仿宋_GB2312" w:eastAsia="仿宋_GB2312" w:cs="仿宋_GB2312"/>
          <w:sz w:val="32"/>
          <w:szCs w:val="32"/>
          <w:lang w:eastAsia="zh-CN"/>
        </w:rPr>
        <w:t>2022年鹿泉区北部振兴-李村镇镇前大街基础设施改造项目（一般债券）、</w:t>
      </w:r>
      <w:r>
        <w:rPr>
          <w:rFonts w:hint="eastAsia" w:ascii="仿宋_GB2312" w:hAnsi="仿宋_GB2312" w:eastAsia="仿宋_GB2312" w:cs="仿宋_GB2312"/>
          <w:sz w:val="32"/>
          <w:szCs w:val="32"/>
        </w:rPr>
        <w:t>体育场地下停车场建设项目（专项债券）等</w:t>
      </w:r>
      <w:r>
        <w:rPr>
          <w:rFonts w:hint="eastAsia" w:ascii="仿宋_GB2312" w:hAnsi="仿宋_GB2312" w:eastAsia="仿宋_GB2312" w:cs="仿宋_GB2312"/>
          <w:sz w:val="32"/>
          <w:szCs w:val="32"/>
          <w:lang w:val="en-US" w:eastAsia="zh-CN"/>
        </w:rPr>
        <w:t>88</w:t>
      </w:r>
      <w:r>
        <w:rPr>
          <w:rFonts w:hint="eastAsia" w:ascii="仿宋_GB2312" w:hAnsi="仿宋_GB2312" w:eastAsia="仿宋_GB2312" w:cs="仿宋_GB2312"/>
          <w:sz w:val="32"/>
          <w:szCs w:val="32"/>
        </w:rPr>
        <w:t>个项目绩效自评结果。</w:t>
      </w:r>
      <w:r>
        <w:rPr>
          <w:rFonts w:hint="eastAsia" w:ascii="仿宋_GB2312" w:hAnsi="仿宋_GB2312" w:eastAsia="仿宋_GB2312" w:cs="仿宋_GB2312"/>
          <w:sz w:val="32"/>
          <w:szCs w:val="32"/>
          <w:lang w:val="en-US" w:eastAsia="zh-CN"/>
        </w:rPr>
        <w:t>其</w:t>
      </w:r>
      <w:r>
        <w:rPr>
          <w:rFonts w:hint="eastAsia" w:ascii="仿宋_GB2312" w:hAnsi="宋体" w:eastAsia="仿宋_GB2312"/>
          <w:sz w:val="32"/>
          <w:szCs w:val="32"/>
        </w:rPr>
        <w:t>中</w:t>
      </w:r>
      <w:r>
        <w:rPr>
          <w:rFonts w:hint="eastAsia" w:ascii="仿宋_GB2312" w:hAnsi="仿宋" w:eastAsia="仿宋_GB2312"/>
          <w:sz w:val="32"/>
          <w:szCs w:val="32"/>
        </w:rPr>
        <w:t>评价等级为“</w:t>
      </w:r>
      <w:r>
        <w:rPr>
          <w:rFonts w:hint="eastAsia" w:ascii="仿宋_GB2312" w:hAnsi="仿宋_GB2312" w:eastAsia="仿宋_GB2312" w:cs="仿宋_GB2312"/>
          <w:sz w:val="32"/>
          <w:szCs w:val="32"/>
        </w:rPr>
        <w:t>优</w:t>
      </w:r>
      <w:r>
        <w:rPr>
          <w:rFonts w:hint="eastAsia" w:ascii="仿宋_GB2312" w:hAnsi="仿宋_GB2312" w:eastAsia="仿宋_GB2312" w:cs="仿宋_GB2312"/>
          <w:sz w:val="32"/>
          <w:szCs w:val="32"/>
          <w:lang w:val="en-US" w:eastAsia="zh-CN"/>
        </w:rPr>
        <w:t>秀</w:t>
      </w:r>
      <w:r>
        <w:rPr>
          <w:rFonts w:hint="eastAsia" w:ascii="仿宋_GB2312" w:hAnsi="仿宋_GB2312" w:eastAsia="仿宋_GB2312" w:cs="仿宋_GB2312"/>
          <w:sz w:val="32"/>
          <w:szCs w:val="32"/>
        </w:rPr>
        <w:t>”项目</w:t>
      </w:r>
      <w:r>
        <w:rPr>
          <w:rFonts w:hint="eastAsia" w:ascii="仿宋_GB2312" w:hAnsi="仿宋_GB2312" w:eastAsia="仿宋_GB2312" w:cs="仿宋_GB2312"/>
          <w:sz w:val="32"/>
          <w:szCs w:val="32"/>
          <w:lang w:val="en-US" w:eastAsia="zh-CN"/>
        </w:rPr>
        <w:t>81</w:t>
      </w:r>
      <w:r>
        <w:rPr>
          <w:rFonts w:hint="eastAsia" w:ascii="仿宋_GB2312" w:hAnsi="仿宋_GB2312" w:eastAsia="仿宋_GB2312" w:cs="仿宋_GB2312"/>
          <w:sz w:val="32"/>
          <w:szCs w:val="32"/>
        </w:rPr>
        <w:t>个，评优率为</w:t>
      </w:r>
      <w:r>
        <w:rPr>
          <w:rFonts w:hint="eastAsia" w:ascii="仿宋_GB2312" w:hAnsi="仿宋_GB2312" w:eastAsia="仿宋_GB2312" w:cs="仿宋_GB2312"/>
          <w:sz w:val="32"/>
          <w:szCs w:val="32"/>
          <w:lang w:val="en-US" w:eastAsia="zh-CN"/>
        </w:rPr>
        <w:t>92</w:t>
      </w:r>
      <w:r>
        <w:rPr>
          <w:rFonts w:hint="eastAsia" w:ascii="仿宋_GB2312" w:hAnsi="仿宋_GB2312" w:eastAsia="仿宋_GB2312" w:cs="仿宋_GB2312"/>
          <w:sz w:val="32"/>
          <w:szCs w:val="32"/>
        </w:rPr>
        <w:t>%。</w:t>
      </w:r>
      <w:r>
        <w:rPr>
          <w:rFonts w:hint="eastAsia" w:ascii="仿宋_GB2312" w:hAnsi="仿宋" w:eastAsia="仿宋_GB2312"/>
          <w:sz w:val="32"/>
          <w:szCs w:val="32"/>
        </w:rPr>
        <w:t>评价等级为“</w:t>
      </w:r>
      <w:r>
        <w:rPr>
          <w:rFonts w:hint="eastAsia" w:ascii="仿宋_GB2312" w:hAnsi="仿宋" w:eastAsia="仿宋_GB2312"/>
          <w:sz w:val="32"/>
          <w:szCs w:val="32"/>
          <w:lang w:val="en-US" w:eastAsia="zh-CN"/>
        </w:rPr>
        <w:t>良好</w:t>
      </w:r>
      <w:r>
        <w:rPr>
          <w:rFonts w:hint="eastAsia" w:ascii="仿宋_GB2312" w:hAnsi="仿宋_GB2312" w:eastAsia="仿宋_GB2312" w:cs="仿宋_GB2312"/>
          <w:sz w:val="32"/>
          <w:szCs w:val="32"/>
        </w:rPr>
        <w:t>”项目</w:t>
      </w:r>
      <w:r>
        <w:rPr>
          <w:rFonts w:hint="eastAsia" w:ascii="仿宋_GB2312" w:hAnsi="仿宋_GB2312" w:eastAsia="仿宋_GB2312" w:cs="仿宋_GB2312"/>
          <w:sz w:val="32"/>
          <w:szCs w:val="32"/>
          <w:lang w:val="en-US" w:eastAsia="zh-CN"/>
        </w:rPr>
        <w:t>2</w:t>
      </w:r>
      <w:r>
        <w:rPr>
          <w:rFonts w:hint="eastAsia" w:ascii="仿宋_GB2312" w:hAnsi="仿宋_GB2312" w:eastAsia="仿宋_GB2312" w:cs="仿宋_GB2312"/>
          <w:sz w:val="32"/>
          <w:szCs w:val="32"/>
        </w:rPr>
        <w:t>个，评</w:t>
      </w:r>
      <w:r>
        <w:rPr>
          <w:rFonts w:hint="eastAsia" w:ascii="仿宋_GB2312" w:hAnsi="仿宋_GB2312" w:eastAsia="仿宋_GB2312" w:cs="仿宋_GB2312"/>
          <w:sz w:val="32"/>
          <w:szCs w:val="32"/>
          <w:lang w:val="en-US" w:eastAsia="zh-CN"/>
        </w:rPr>
        <w:t>良</w:t>
      </w:r>
      <w:r>
        <w:rPr>
          <w:rFonts w:hint="eastAsia" w:ascii="仿宋_GB2312" w:hAnsi="仿宋_GB2312" w:eastAsia="仿宋_GB2312" w:cs="仿宋_GB2312"/>
          <w:sz w:val="32"/>
          <w:szCs w:val="32"/>
        </w:rPr>
        <w:t>率为</w:t>
      </w:r>
      <w:r>
        <w:rPr>
          <w:rFonts w:hint="eastAsia" w:ascii="仿宋_GB2312" w:hAnsi="仿宋_GB2312" w:eastAsia="仿宋_GB2312" w:cs="仿宋_GB2312"/>
          <w:sz w:val="32"/>
          <w:szCs w:val="32"/>
          <w:lang w:val="en-US" w:eastAsia="zh-CN"/>
        </w:rPr>
        <w:t>2.3</w:t>
      </w:r>
      <w:r>
        <w:rPr>
          <w:rFonts w:hint="eastAsia" w:ascii="仿宋_GB2312" w:hAnsi="仿宋_GB2312" w:eastAsia="仿宋_GB2312" w:cs="仿宋_GB2312"/>
          <w:sz w:val="32"/>
          <w:szCs w:val="32"/>
        </w:rPr>
        <w:t>%。</w:t>
      </w:r>
      <w:r>
        <w:rPr>
          <w:rFonts w:hint="eastAsia" w:ascii="仿宋_GB2312" w:hAnsi="仿宋" w:eastAsia="仿宋_GB2312"/>
          <w:sz w:val="32"/>
          <w:szCs w:val="32"/>
        </w:rPr>
        <w:t>评价等级为“</w:t>
      </w:r>
      <w:r>
        <w:rPr>
          <w:rFonts w:hint="eastAsia" w:ascii="仿宋_GB2312" w:hAnsi="仿宋" w:eastAsia="仿宋_GB2312"/>
          <w:sz w:val="32"/>
          <w:szCs w:val="32"/>
          <w:lang w:val="en-US" w:eastAsia="zh-CN"/>
        </w:rPr>
        <w:t>一般</w:t>
      </w:r>
      <w:r>
        <w:rPr>
          <w:rFonts w:hint="eastAsia" w:ascii="仿宋_GB2312" w:hAnsi="仿宋_GB2312" w:eastAsia="仿宋_GB2312" w:cs="仿宋_GB2312"/>
          <w:sz w:val="32"/>
          <w:szCs w:val="32"/>
        </w:rPr>
        <w:t>”项目</w:t>
      </w:r>
      <w:r>
        <w:rPr>
          <w:rFonts w:hint="eastAsia" w:ascii="仿宋_GB2312" w:hAnsi="仿宋_GB2312" w:eastAsia="仿宋_GB2312" w:cs="仿宋_GB2312"/>
          <w:sz w:val="32"/>
          <w:szCs w:val="32"/>
          <w:lang w:val="en-US" w:eastAsia="zh-CN"/>
        </w:rPr>
        <w:t>1</w:t>
      </w:r>
      <w:r>
        <w:rPr>
          <w:rFonts w:hint="eastAsia" w:ascii="仿宋_GB2312" w:hAnsi="仿宋_GB2312" w:eastAsia="仿宋_GB2312" w:cs="仿宋_GB2312"/>
          <w:sz w:val="32"/>
          <w:szCs w:val="32"/>
        </w:rPr>
        <w:t>个，评</w:t>
      </w:r>
      <w:r>
        <w:rPr>
          <w:rFonts w:hint="eastAsia" w:ascii="仿宋_GB2312" w:hAnsi="仿宋_GB2312" w:eastAsia="仿宋_GB2312" w:cs="仿宋_GB2312"/>
          <w:sz w:val="32"/>
          <w:szCs w:val="32"/>
          <w:lang w:val="en-US" w:eastAsia="zh-CN"/>
        </w:rPr>
        <w:t>价</w:t>
      </w:r>
      <w:r>
        <w:rPr>
          <w:rFonts w:hint="eastAsia" w:ascii="仿宋_GB2312" w:hAnsi="仿宋_GB2312" w:eastAsia="仿宋_GB2312" w:cs="仿宋_GB2312"/>
          <w:sz w:val="32"/>
          <w:szCs w:val="32"/>
        </w:rPr>
        <w:t>率为</w:t>
      </w:r>
      <w:r>
        <w:rPr>
          <w:rFonts w:hint="eastAsia" w:ascii="仿宋_GB2312" w:hAnsi="仿宋_GB2312" w:eastAsia="仿宋_GB2312" w:cs="仿宋_GB2312"/>
          <w:sz w:val="32"/>
          <w:szCs w:val="32"/>
          <w:lang w:val="en-US" w:eastAsia="zh-CN"/>
        </w:rPr>
        <w:t>1.1</w:t>
      </w:r>
      <w:r>
        <w:rPr>
          <w:rFonts w:hint="eastAsia" w:ascii="仿宋_GB2312" w:hAnsi="仿宋_GB2312" w:eastAsia="仿宋_GB2312" w:cs="仿宋_GB2312"/>
          <w:sz w:val="32"/>
          <w:szCs w:val="32"/>
        </w:rPr>
        <w:t>%。</w:t>
      </w:r>
      <w:r>
        <w:rPr>
          <w:rFonts w:hint="eastAsia" w:ascii="仿宋_GB2312" w:hAnsi="仿宋" w:eastAsia="仿宋_GB2312"/>
          <w:sz w:val="32"/>
          <w:szCs w:val="32"/>
        </w:rPr>
        <w:t>评价等级为“</w:t>
      </w:r>
      <w:r>
        <w:rPr>
          <w:rFonts w:hint="eastAsia" w:ascii="仿宋_GB2312" w:hAnsi="仿宋_GB2312" w:eastAsia="仿宋_GB2312" w:cs="仿宋_GB2312"/>
          <w:sz w:val="32"/>
          <w:szCs w:val="32"/>
          <w:lang w:val="en-US" w:eastAsia="zh-CN"/>
        </w:rPr>
        <w:t>较差</w:t>
      </w:r>
      <w:r>
        <w:rPr>
          <w:rFonts w:hint="eastAsia" w:ascii="仿宋_GB2312" w:hAnsi="仿宋_GB2312" w:eastAsia="仿宋_GB2312" w:cs="仿宋_GB2312"/>
          <w:sz w:val="32"/>
          <w:szCs w:val="32"/>
        </w:rPr>
        <w:t>”项目</w:t>
      </w:r>
      <w:r>
        <w:rPr>
          <w:rFonts w:hint="eastAsia" w:ascii="仿宋_GB2312" w:hAnsi="仿宋_GB2312" w:eastAsia="仿宋_GB2312" w:cs="仿宋_GB2312"/>
          <w:sz w:val="32"/>
          <w:szCs w:val="32"/>
          <w:lang w:val="en-US" w:eastAsia="zh-CN"/>
        </w:rPr>
        <w:t>4</w:t>
      </w:r>
      <w:r>
        <w:rPr>
          <w:rFonts w:hint="eastAsia" w:ascii="仿宋_GB2312" w:hAnsi="仿宋_GB2312" w:eastAsia="仿宋_GB2312" w:cs="仿宋_GB2312"/>
          <w:sz w:val="32"/>
          <w:szCs w:val="32"/>
        </w:rPr>
        <w:t>个，评</w:t>
      </w:r>
      <w:r>
        <w:rPr>
          <w:rFonts w:hint="eastAsia" w:ascii="仿宋_GB2312" w:hAnsi="仿宋_GB2312" w:eastAsia="仿宋_GB2312" w:cs="仿宋_GB2312"/>
          <w:sz w:val="32"/>
          <w:szCs w:val="32"/>
          <w:lang w:val="en-US" w:eastAsia="zh-CN"/>
        </w:rPr>
        <w:t>价</w:t>
      </w:r>
      <w:r>
        <w:rPr>
          <w:rFonts w:hint="eastAsia" w:ascii="仿宋_GB2312" w:hAnsi="仿宋_GB2312" w:eastAsia="仿宋_GB2312" w:cs="仿宋_GB2312"/>
          <w:sz w:val="32"/>
          <w:szCs w:val="32"/>
        </w:rPr>
        <w:t>率为</w:t>
      </w:r>
      <w:r>
        <w:rPr>
          <w:rFonts w:hint="eastAsia" w:ascii="仿宋_GB2312" w:hAnsi="仿宋_GB2312" w:eastAsia="仿宋_GB2312" w:cs="仿宋_GB2312"/>
          <w:sz w:val="32"/>
          <w:szCs w:val="32"/>
          <w:lang w:val="en-US" w:eastAsia="zh-CN"/>
        </w:rPr>
        <w:t>4.5</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val="en-US" w:eastAsia="zh-CN"/>
        </w:rPr>
        <w:t>总</w:t>
      </w:r>
      <w:r>
        <w:rPr>
          <w:rFonts w:hint="eastAsia" w:ascii="仿宋_GB2312" w:eastAsia="仿宋_GB2312" w:cs="仿宋_GB2312"/>
          <w:kern w:val="0"/>
          <w:sz w:val="32"/>
          <w:szCs w:val="32"/>
          <w:lang w:eastAsia="zh-CN"/>
        </w:rPr>
        <w:t>体来说，</w:t>
      </w:r>
      <w:r>
        <w:rPr>
          <w:rFonts w:hint="eastAsia" w:ascii="仿宋_GB2312" w:eastAsia="仿宋_GB2312" w:cs="仿宋_GB2312"/>
          <w:kern w:val="0"/>
          <w:sz w:val="32"/>
          <w:szCs w:val="32"/>
          <w:lang w:val="en-US" w:eastAsia="zh-CN"/>
        </w:rPr>
        <w:t>我单位</w:t>
      </w:r>
      <w:r>
        <w:rPr>
          <w:rFonts w:hint="eastAsia" w:ascii="仿宋_GB2312" w:eastAsia="仿宋_GB2312" w:cs="仿宋_GB2312"/>
          <w:kern w:val="0"/>
          <w:sz w:val="32"/>
          <w:szCs w:val="32"/>
        </w:rPr>
        <w:t>资金到位，使用合规。资金</w:t>
      </w:r>
      <w:r>
        <w:rPr>
          <w:rFonts w:hint="eastAsia" w:ascii="仿宋_GB2312" w:eastAsia="仿宋_GB2312" w:cs="仿宋_GB2312"/>
          <w:kern w:val="0"/>
          <w:sz w:val="32"/>
          <w:szCs w:val="32"/>
          <w:lang w:val="en-US" w:eastAsia="zh-CN"/>
        </w:rPr>
        <w:t>支付</w:t>
      </w:r>
      <w:r>
        <w:rPr>
          <w:rFonts w:hint="eastAsia" w:ascii="仿宋_GB2312" w:eastAsia="仿宋_GB2312" w:cs="仿宋_GB2312"/>
          <w:kern w:val="0"/>
          <w:sz w:val="32"/>
          <w:szCs w:val="32"/>
        </w:rPr>
        <w:t>从申请、审核、审查、审批到最后</w:t>
      </w:r>
      <w:r>
        <w:rPr>
          <w:rFonts w:hint="eastAsia" w:ascii="仿宋_GB2312" w:eastAsia="仿宋_GB2312" w:cs="仿宋_GB2312"/>
          <w:kern w:val="0"/>
          <w:sz w:val="32"/>
          <w:szCs w:val="32"/>
          <w:lang w:val="en-US" w:eastAsia="zh-CN"/>
        </w:rPr>
        <w:t>支出</w:t>
      </w:r>
      <w:r>
        <w:rPr>
          <w:rFonts w:hint="eastAsia" w:ascii="仿宋_GB2312" w:eastAsia="仿宋_GB2312" w:cs="仿宋_GB2312"/>
          <w:kern w:val="0"/>
          <w:sz w:val="32"/>
          <w:szCs w:val="32"/>
        </w:rPr>
        <w:t>都</w:t>
      </w:r>
      <w:r>
        <w:rPr>
          <w:rFonts w:hint="eastAsia" w:ascii="仿宋_GB2312" w:eastAsia="仿宋_GB2312" w:cs="仿宋_GB2312"/>
          <w:kern w:val="0"/>
          <w:sz w:val="32"/>
          <w:szCs w:val="32"/>
          <w:lang w:val="en-US" w:eastAsia="zh-CN"/>
        </w:rPr>
        <w:t>按照</w:t>
      </w:r>
      <w:r>
        <w:rPr>
          <w:rFonts w:hint="eastAsia" w:ascii="仿宋_GB2312" w:eastAsia="仿宋_GB2312" w:cs="仿宋_GB2312"/>
          <w:kern w:val="0"/>
          <w:sz w:val="32"/>
          <w:szCs w:val="32"/>
        </w:rPr>
        <w:t>相关财政政策实施，使用符合财务管理规定。</w:t>
      </w:r>
      <w:r>
        <w:rPr>
          <w:rFonts w:hint="eastAsia" w:ascii="仿宋" w:hAnsi="仿宋" w:eastAsia="仿宋" w:cs="仿宋"/>
          <w:sz w:val="32"/>
          <w:szCs w:val="32"/>
        </w:rPr>
        <w:t>我</w:t>
      </w:r>
      <w:r>
        <w:rPr>
          <w:rFonts w:hint="eastAsia" w:ascii="仿宋" w:hAnsi="仿宋" w:eastAsia="仿宋" w:cs="仿宋"/>
          <w:sz w:val="32"/>
          <w:szCs w:val="32"/>
          <w:lang w:val="en-US" w:eastAsia="zh-CN"/>
        </w:rPr>
        <w:t>部门</w:t>
      </w:r>
      <w:r>
        <w:rPr>
          <w:rFonts w:hint="eastAsia" w:ascii="仿宋" w:hAnsi="仿宋" w:eastAsia="仿宋"/>
          <w:sz w:val="32"/>
          <w:szCs w:val="32"/>
        </w:rPr>
        <w:t>综合绩效评价</w:t>
      </w:r>
      <w:r>
        <w:rPr>
          <w:rFonts w:hint="eastAsia" w:ascii="仿宋" w:hAnsi="仿宋" w:eastAsia="仿宋"/>
          <w:sz w:val="32"/>
          <w:szCs w:val="32"/>
          <w:lang w:val="en-US" w:eastAsia="zh-CN"/>
        </w:rPr>
        <w:t>得分</w:t>
      </w:r>
      <w:r>
        <w:rPr>
          <w:rFonts w:hint="eastAsia" w:ascii="仿宋_GB2312" w:eastAsia="仿宋_GB2312" w:cs="仿宋_GB2312"/>
          <w:kern w:val="0"/>
          <w:sz w:val="32"/>
          <w:szCs w:val="32"/>
          <w:lang w:val="en-US" w:eastAsia="zh-CN"/>
        </w:rPr>
        <w:t>92，</w:t>
      </w:r>
      <w:r>
        <w:rPr>
          <w:rFonts w:hint="eastAsia" w:ascii="仿宋" w:hAnsi="仿宋" w:eastAsia="仿宋" w:cs="仿宋"/>
          <w:sz w:val="32"/>
          <w:szCs w:val="32"/>
        </w:rPr>
        <w:t>为优秀等次。</w:t>
      </w:r>
    </w:p>
    <w:p>
      <w:pPr>
        <w:widowControl w:val="0"/>
        <w:wordWrap/>
        <w:spacing w:line="560" w:lineRule="exact"/>
        <w:ind w:left="0" w:leftChars="0" w:right="0" w:firstLine="640" w:firstLineChars="200"/>
        <w:jc w:val="both"/>
        <w:textAlignment w:val="auto"/>
        <w:outlineLvl w:val="9"/>
        <w:rPr>
          <w:rFonts w:ascii="黑体" w:hAnsi="黑体" w:eastAsia="黑体"/>
          <w:sz w:val="32"/>
          <w:szCs w:val="32"/>
        </w:rPr>
      </w:pPr>
      <w:r>
        <w:rPr>
          <w:rFonts w:hint="eastAsia" w:ascii="黑体" w:hAnsi="黑体" w:eastAsia="黑体"/>
          <w:sz w:val="32"/>
          <w:szCs w:val="32"/>
        </w:rPr>
        <w:t>五、存在的问题及改进措施</w:t>
      </w:r>
    </w:p>
    <w:p>
      <w:pPr>
        <w:widowControl w:val="0"/>
        <w:wordWrap/>
        <w:spacing w:line="560" w:lineRule="exact"/>
        <w:ind w:left="0" w:leftChars="0" w:right="0" w:firstLine="643" w:firstLineChars="200"/>
        <w:jc w:val="both"/>
        <w:textAlignment w:val="auto"/>
        <w:outlineLvl w:val="9"/>
        <w:rPr>
          <w:rFonts w:hint="eastAsia" w:ascii="仿宋" w:hAnsi="仿宋" w:eastAsia="仿宋"/>
          <w:b/>
          <w:bCs/>
          <w:sz w:val="32"/>
          <w:szCs w:val="32"/>
        </w:rPr>
      </w:pPr>
      <w:r>
        <w:rPr>
          <w:rFonts w:hint="eastAsia" w:ascii="仿宋" w:hAnsi="仿宋" w:eastAsia="仿宋"/>
          <w:b/>
          <w:bCs/>
          <w:sz w:val="32"/>
          <w:szCs w:val="32"/>
        </w:rPr>
        <w:t>（一）存在的主要问题</w:t>
      </w:r>
    </w:p>
    <w:p>
      <w:pPr>
        <w:pStyle w:val="7"/>
        <w:keepNext w:val="0"/>
        <w:keepLines w:val="0"/>
        <w:pageBreakBefore w:val="0"/>
        <w:widowControl w:val="0"/>
        <w:kinsoku/>
        <w:wordWrap/>
        <w:overflowPunct/>
        <w:topLinePunct w:val="0"/>
        <w:autoSpaceDE/>
        <w:autoSpaceDN/>
        <w:bidi w:val="0"/>
        <w:adjustRightInd/>
        <w:snapToGrid/>
        <w:spacing w:line="540" w:lineRule="exact"/>
        <w:ind w:left="0" w:leftChars="0" w:right="0" w:rightChars="0" w:firstLine="640" w:firstLineChars="200"/>
        <w:jc w:val="both"/>
        <w:textAlignment w:val="baseline"/>
        <w:rPr>
          <w:rFonts w:hint="eastAsia" w:ascii="仿宋" w:hAnsi="仿宋" w:eastAsia="仿宋"/>
          <w:b/>
          <w:bCs/>
          <w:sz w:val="32"/>
          <w:szCs w:val="32"/>
        </w:rPr>
      </w:pPr>
      <w:r>
        <w:rPr>
          <w:rFonts w:hint="eastAsia" w:ascii="仿宋" w:hAnsi="仿宋" w:eastAsia="仿宋"/>
          <w:b w:val="0"/>
          <w:bCs w:val="0"/>
          <w:sz w:val="32"/>
          <w:szCs w:val="32"/>
          <w:lang w:val="en-US" w:eastAsia="zh-CN"/>
        </w:rPr>
        <w:t>预算过程绩效管理制度体系不健全，需进一步完善；全面推进预算绩效管理工作贯彻不到位，需进一步加强；对自身预算绩效管理不到位，需进一步落实；各业务股室填报预算数字存在不准确，需进一步细致。究其原因：一是经办人员业务能力有待提高；二是预算执行和绩效管理的监督管理不到位。</w:t>
      </w:r>
    </w:p>
    <w:p>
      <w:pPr>
        <w:widowControl w:val="0"/>
        <w:wordWrap/>
        <w:spacing w:line="560" w:lineRule="exact"/>
        <w:ind w:left="0" w:leftChars="0" w:right="0" w:firstLine="643" w:firstLineChars="200"/>
        <w:jc w:val="both"/>
        <w:textAlignment w:val="auto"/>
        <w:outlineLvl w:val="9"/>
        <w:rPr>
          <w:rFonts w:hint="eastAsia" w:ascii="仿宋" w:hAnsi="仿宋" w:eastAsia="仿宋"/>
          <w:b/>
          <w:bCs/>
          <w:sz w:val="32"/>
          <w:szCs w:val="32"/>
        </w:rPr>
      </w:pPr>
      <w:r>
        <w:rPr>
          <w:rFonts w:hint="eastAsia" w:ascii="仿宋" w:hAnsi="仿宋" w:eastAsia="仿宋"/>
          <w:b/>
          <w:bCs/>
          <w:sz w:val="32"/>
          <w:szCs w:val="32"/>
        </w:rPr>
        <w:t>（二）针对问题提出具体的改进措施或建议</w:t>
      </w:r>
    </w:p>
    <w:p>
      <w:pPr>
        <w:pStyle w:val="15"/>
        <w:jc w:val="both"/>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1、完善制度建设。将事前评估、目标管理、运行监控、绩效评价、结果应用等各项改革措施，有效融入预算管理的全过程，研究完善</w:t>
      </w:r>
      <w:bookmarkStart w:id="0" w:name="_GoBack"/>
      <w:bookmarkEnd w:id="0"/>
      <w:r>
        <w:rPr>
          <w:rFonts w:hint="eastAsia" w:ascii="仿宋" w:hAnsi="仿宋" w:eastAsia="仿宋" w:cs="黑体"/>
          <w:kern w:val="2"/>
          <w:sz w:val="32"/>
          <w:szCs w:val="32"/>
          <w:lang w:val="en-US" w:eastAsia="zh-CN" w:bidi="ar-SA"/>
        </w:rPr>
        <w:t>预算绩效管理有关制度办法和财务管理规定。建立统筹协调、分工协作、密切配合、合力推进的工作机制，围绕年度总体绩效目标和分项绩效目标，明确责任主体，实施进度要求，确保如期完成。</w:t>
      </w:r>
    </w:p>
    <w:p>
      <w:pPr>
        <w:pStyle w:val="15"/>
        <w:jc w:val="both"/>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2、加强支出管理。强化财政预算执行刚性，编细编实预算，对预算的事前、事中、事后进行全过程控制，进一步提高财政资金使用效益。加强支出结构优化，通过加快履行政府采购手续、尽快启动项目、及时支付资金、9月底前细化代编预算等多种举措，确保按照时间节点完成支出任务。</w:t>
      </w:r>
    </w:p>
    <w:p>
      <w:pPr>
        <w:pStyle w:val="15"/>
        <w:jc w:val="both"/>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3、加强绩效运行监控。按要求开展绩效运行监控，依据确定的绩效目标，采取项目跟踪、数据核查和汇总分析等方式，动态了解和掌握项目绩效目标实现程度、资金支出进度和项目实施进度，对评价中发现的问题及时整改，确保绩效目标按期保质完成。</w:t>
      </w:r>
    </w:p>
    <w:p>
      <w:pPr>
        <w:pStyle w:val="15"/>
        <w:jc w:val="both"/>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4、规范财政资金、财务资产管理。规范财政资金使用效益，完善内部控制管理制度，坚持依法理财，注重资金支出绩效，最大限额的发挥财政资金效益。在完善财务管理制度的基础上，科学配置单位资产，严格审批程序，加强固定资产登记、使用和报废处置管理，做到支出合理，物尽其用。</w:t>
      </w:r>
    </w:p>
    <w:p>
      <w:pPr>
        <w:pStyle w:val="15"/>
        <w:jc w:val="both"/>
        <w:rPr>
          <w:rFonts w:hint="eastAsia" w:ascii="仿宋" w:hAnsi="仿宋" w:eastAsia="仿宋"/>
          <w:b/>
          <w:bCs/>
          <w:sz w:val="32"/>
          <w:szCs w:val="32"/>
        </w:rPr>
      </w:pPr>
      <w:r>
        <w:rPr>
          <w:rFonts w:hint="eastAsia" w:ascii="仿宋" w:hAnsi="仿宋" w:eastAsia="仿宋" w:cs="黑体"/>
          <w:kern w:val="2"/>
          <w:sz w:val="32"/>
          <w:szCs w:val="32"/>
          <w:lang w:val="en-US" w:eastAsia="zh-CN" w:bidi="ar-SA"/>
        </w:rPr>
        <w:t>5、强化宣传引导。加强预算绩效管理专业知识培训，提高预算绩效管理工作人员的业务素质，不断优化财务人员知识结构，促进财务人员严格履职，当好领导参谋。加大宣传力度，强化预算绩效管理意识，培育绩效管理文化，促进预算绩效管理水平进一步提升。</w:t>
      </w:r>
    </w:p>
    <w:p>
      <w:pPr>
        <w:widowControl w:val="0"/>
        <w:wordWrap/>
        <w:adjustRightInd w:val="0"/>
        <w:snapToGrid w:val="0"/>
        <w:spacing w:line="560" w:lineRule="exact"/>
        <w:ind w:left="0" w:leftChars="0" w:right="0" w:firstLine="640" w:firstLineChars="200"/>
        <w:jc w:val="both"/>
        <w:textAlignment w:val="auto"/>
        <w:outlineLvl w:val="9"/>
        <w:rPr>
          <w:rFonts w:hint="eastAsia" w:ascii="黑体" w:hAnsi="黑体" w:eastAsia="黑体" w:cs="黑体"/>
          <w:sz w:val="32"/>
          <w:szCs w:val="32"/>
        </w:rPr>
      </w:pPr>
      <w:r>
        <w:rPr>
          <w:rFonts w:hint="eastAsia" w:ascii="黑体" w:hAnsi="黑体" w:eastAsia="黑体" w:cs="黑体"/>
          <w:sz w:val="32"/>
          <w:szCs w:val="32"/>
        </w:rPr>
        <w:t>六、评价工作组人员名单及签字（姓名、工作单位、职务、职称）</w:t>
      </w:r>
    </w:p>
    <w:p>
      <w:pPr>
        <w:pageBreakBefore w:val="0"/>
        <w:widowControl w:val="0"/>
        <w:kinsoku/>
        <w:wordWrap/>
        <w:overflowPunct/>
        <w:topLinePunct w:val="0"/>
        <w:autoSpaceDE/>
        <w:autoSpaceDN/>
        <w:bidi w:val="0"/>
        <w:spacing w:line="312" w:lineRule="auto"/>
        <w:ind w:left="0" w:leftChars="0" w:right="0"/>
        <w:jc w:val="center"/>
        <w:textAlignment w:val="auto"/>
        <w:outlineLvl w:val="9"/>
        <w:rPr>
          <w:rFonts w:hint="eastAsia" w:ascii="仿宋" w:hAnsi="仿宋" w:eastAsia="仿宋"/>
          <w:b/>
          <w:bCs/>
          <w:sz w:val="32"/>
          <w:szCs w:val="32"/>
          <w:lang w:val="en-US" w:eastAsia="zh-CN"/>
        </w:rPr>
      </w:pPr>
      <w:r>
        <w:rPr>
          <w:rFonts w:hint="eastAsia" w:ascii="仿宋" w:hAnsi="仿宋" w:eastAsia="仿宋"/>
          <w:b/>
          <w:bCs/>
          <w:sz w:val="32"/>
          <w:szCs w:val="32"/>
          <w:lang w:val="en-US" w:eastAsia="zh-CN"/>
        </w:rPr>
        <w:t>评价工作组人员名单</w:t>
      </w:r>
    </w:p>
    <w:p>
      <w:pPr>
        <w:widowControl w:val="0"/>
        <w:wordWrap/>
        <w:spacing w:line="560" w:lineRule="exact"/>
        <w:ind w:right="0"/>
        <w:jc w:val="both"/>
        <w:textAlignment w:val="auto"/>
        <w:outlineLvl w:val="9"/>
        <w:rPr>
          <w:rFonts w:hint="default"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 xml:space="preserve">王邵伟  石家庄市鹿泉区城市管理综合执法大队副大队长 </w:t>
      </w:r>
    </w:p>
    <w:p>
      <w:pPr>
        <w:widowControl w:val="0"/>
        <w:wordWrap/>
        <w:spacing w:line="560" w:lineRule="exact"/>
        <w:ind w:right="0"/>
        <w:jc w:val="both"/>
        <w:textAlignment w:val="auto"/>
        <w:outlineLvl w:val="9"/>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王显扬  区城市管理综合执法大队办公室负责人</w:t>
      </w:r>
    </w:p>
    <w:p>
      <w:pPr>
        <w:widowControl w:val="0"/>
        <w:wordWrap/>
        <w:spacing w:line="560" w:lineRule="exact"/>
        <w:ind w:left="0" w:leftChars="0" w:right="0"/>
        <w:jc w:val="both"/>
        <w:textAlignment w:val="auto"/>
        <w:outlineLvl w:val="9"/>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封艳霞  区城市管理综合执法大队计财股负责人</w:t>
      </w:r>
    </w:p>
    <w:p>
      <w:pPr>
        <w:widowControl w:val="0"/>
        <w:wordWrap/>
        <w:spacing w:line="560" w:lineRule="exact"/>
        <w:ind w:left="0" w:leftChars="0" w:right="0"/>
        <w:jc w:val="both"/>
        <w:textAlignment w:val="auto"/>
        <w:outlineLvl w:val="9"/>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白日明  区城市管理综合执法大队渣土股负责人</w:t>
      </w:r>
    </w:p>
    <w:p>
      <w:pPr>
        <w:widowControl w:val="0"/>
        <w:wordWrap/>
        <w:spacing w:line="560" w:lineRule="exact"/>
        <w:ind w:right="0"/>
        <w:jc w:val="both"/>
        <w:textAlignment w:val="auto"/>
        <w:outlineLvl w:val="9"/>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杜子维  区城市管理综合执法大队考评办负责人</w:t>
      </w:r>
    </w:p>
    <w:p>
      <w:pPr>
        <w:widowControl w:val="0"/>
        <w:wordWrap/>
        <w:spacing w:line="560" w:lineRule="exact"/>
        <w:ind w:left="0" w:leftChars="0" w:right="0"/>
        <w:jc w:val="both"/>
        <w:textAlignment w:val="auto"/>
        <w:outlineLvl w:val="9"/>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刘  峰  区城市管理综合执法大队数字城管负责人</w:t>
      </w:r>
    </w:p>
    <w:p>
      <w:pPr>
        <w:widowControl w:val="0"/>
        <w:wordWrap/>
        <w:spacing w:line="560" w:lineRule="exact"/>
        <w:ind w:left="0" w:leftChars="0" w:right="0"/>
        <w:jc w:val="both"/>
        <w:textAlignment w:val="auto"/>
        <w:outlineLvl w:val="9"/>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张少春  石家庄市鹿泉区市容监察中队负责人</w:t>
      </w:r>
    </w:p>
    <w:p>
      <w:pPr>
        <w:widowControl w:val="0"/>
        <w:wordWrap/>
        <w:spacing w:line="560" w:lineRule="exact"/>
        <w:ind w:left="0" w:leftChars="0" w:right="0"/>
        <w:jc w:val="both"/>
        <w:textAlignment w:val="auto"/>
        <w:outlineLvl w:val="9"/>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杜晓玲  石家庄市鹿泉区城镇服务管理中心负责人</w:t>
      </w:r>
    </w:p>
    <w:p>
      <w:pPr>
        <w:widowControl w:val="0"/>
        <w:wordWrap/>
        <w:spacing w:line="560" w:lineRule="exact"/>
        <w:ind w:left="0" w:leftChars="0" w:right="0"/>
        <w:jc w:val="both"/>
        <w:textAlignment w:val="auto"/>
        <w:outlineLvl w:val="9"/>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王志伟  石家庄市鹿泉区环境卫生管护中心负责人</w:t>
      </w:r>
    </w:p>
    <w:p>
      <w:pPr>
        <w:widowControl w:val="0"/>
        <w:wordWrap/>
        <w:spacing w:line="560" w:lineRule="exact"/>
        <w:ind w:left="0" w:leftChars="0" w:right="0"/>
        <w:jc w:val="both"/>
        <w:textAlignment w:val="auto"/>
        <w:outlineLvl w:val="9"/>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曹玉宏  石家庄市鹿泉区城乡卫生管护中心负责人</w:t>
      </w:r>
    </w:p>
    <w:p>
      <w:pPr>
        <w:widowControl w:val="0"/>
        <w:wordWrap/>
        <w:spacing w:line="560" w:lineRule="exact"/>
        <w:ind w:left="0" w:leftChars="0" w:right="0"/>
        <w:jc w:val="both"/>
        <w:textAlignment w:val="auto"/>
        <w:outlineLvl w:val="9"/>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苗亚斌  石家庄市鹿泉区市场服务中心负责人</w:t>
      </w:r>
    </w:p>
    <w:p>
      <w:pPr>
        <w:bidi w:val="0"/>
        <w:rPr>
          <w:rFonts w:hint="eastAsia" w:ascii="Calibri" w:hAnsi="Calibri" w:eastAsia="宋体" w:cs="黑体"/>
          <w:kern w:val="2"/>
          <w:sz w:val="21"/>
          <w:szCs w:val="22"/>
          <w:lang w:val="en-US" w:eastAsia="zh-CN" w:bidi="ar-SA"/>
        </w:rPr>
      </w:pPr>
    </w:p>
    <w:p>
      <w:pPr>
        <w:bidi w:val="0"/>
        <w:rPr>
          <w:rFonts w:hint="eastAsia"/>
          <w:lang w:val="en-US" w:eastAsia="zh-CN"/>
        </w:rPr>
      </w:pPr>
    </w:p>
    <w:p>
      <w:pPr>
        <w:bidi w:val="0"/>
        <w:rPr>
          <w:rFonts w:hint="eastAsia"/>
          <w:lang w:val="en-US" w:eastAsia="zh-CN"/>
        </w:rPr>
      </w:pPr>
    </w:p>
    <w:p>
      <w:pPr>
        <w:bidi w:val="0"/>
        <w:rPr>
          <w:rFonts w:hint="eastAsia"/>
          <w:lang w:val="en-US" w:eastAsia="zh-CN"/>
        </w:rPr>
      </w:pPr>
    </w:p>
    <w:p>
      <w:pPr>
        <w:bidi w:val="0"/>
        <w:rPr>
          <w:rFonts w:hint="eastAsia"/>
          <w:lang w:val="en-US" w:eastAsia="zh-CN"/>
        </w:rPr>
      </w:pPr>
    </w:p>
    <w:p>
      <w:pPr>
        <w:bidi w:val="0"/>
        <w:rPr>
          <w:rFonts w:hint="eastAsia"/>
          <w:lang w:val="en-US" w:eastAsia="zh-CN"/>
        </w:rPr>
      </w:pPr>
    </w:p>
    <w:p>
      <w:pPr>
        <w:bidi w:val="0"/>
        <w:rPr>
          <w:rFonts w:hint="eastAsia"/>
          <w:lang w:val="en-US" w:eastAsia="zh-CN"/>
        </w:rPr>
      </w:pPr>
    </w:p>
    <w:p>
      <w:pPr>
        <w:bidi w:val="0"/>
        <w:rPr>
          <w:rFonts w:hint="default"/>
          <w:lang w:val="en-US" w:eastAsia="zh-CN"/>
        </w:rPr>
      </w:pPr>
      <w:r>
        <w:rPr>
          <w:rFonts w:hint="eastAsia"/>
          <w:lang w:val="en-US" w:eastAsia="zh-CN"/>
        </w:rPr>
        <w:t xml:space="preserve"> </w:t>
      </w:r>
    </w:p>
    <w:p>
      <w:pPr>
        <w:bidi w:val="0"/>
        <w:rPr>
          <w:rFonts w:hint="eastAsia"/>
          <w:lang w:val="en-US" w:eastAsia="zh-CN"/>
        </w:rPr>
      </w:pPr>
    </w:p>
    <w:p>
      <w:pPr>
        <w:bidi w:val="0"/>
        <w:rPr>
          <w:rFonts w:hint="eastAsia"/>
          <w:lang w:val="en-US" w:eastAsia="zh-CN"/>
        </w:rPr>
      </w:pPr>
    </w:p>
    <w:p>
      <w:pPr>
        <w:widowControl w:val="0"/>
        <w:wordWrap/>
        <w:spacing w:line="560" w:lineRule="exact"/>
        <w:ind w:left="0" w:leftChars="0" w:right="0"/>
        <w:jc w:val="both"/>
        <w:textAlignment w:val="auto"/>
        <w:outlineLvl w:val="9"/>
        <w:rPr>
          <w:rFonts w:hint="default"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 xml:space="preserve">                                  2023年9月27日</w:t>
      </w:r>
    </w:p>
    <w:sectPr>
      <w:footerReference r:id="rId3" w:type="default"/>
      <w:pgSz w:w="11906" w:h="16838"/>
      <w:pgMar w:top="1440" w:right="1474" w:bottom="1440" w:left="1587" w:header="851" w:footer="992" w:gutter="0"/>
      <w:pgNumType w:fmt="numberInDash"/>
      <w:cols w:space="0" w:num="1"/>
      <w:rtlGutter w:val="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仿宋_GB2312">
    <w:altName w:val="仿宋"/>
    <w:panose1 w:val="02010609030101010101"/>
    <w:charset w:val="86"/>
    <w:family w:val="auto"/>
    <w:pitch w:val="default"/>
    <w:sig w:usb0="00000000" w:usb1="00000000" w:usb2="00000000" w:usb3="00000000" w:csb0="00040000" w:csb1="00000000"/>
  </w:font>
  <w:font w:name="华文楷体">
    <w:altName w:val="宋体"/>
    <w:panose1 w:val="02010600040101010101"/>
    <w:charset w:val="86"/>
    <w:family w:val="auto"/>
    <w:pitch w:val="default"/>
    <w:sig w:usb0="00000000" w:usb1="00000000" w:usb2="00000000" w:usb3="00000000" w:csb0="0004009F" w:csb1="DFD70000"/>
  </w:font>
  <w:font w:name="仿宋">
    <w:panose1 w:val="02010609060101010101"/>
    <w:charset w:val="86"/>
    <w:family w:val="auto"/>
    <w:pitch w:val="default"/>
    <w:sig w:usb0="800002BF" w:usb1="38CF7CFA" w:usb2="00000016" w:usb3="00000000" w:csb0="00040001" w:csb1="00000000"/>
  </w:font>
  <w:font w:name="楷体_GB2312">
    <w:altName w:val="楷体"/>
    <w:panose1 w:val="02010609030101010101"/>
    <w:charset w:val="86"/>
    <w:family w:val="auto"/>
    <w:pitch w:val="default"/>
    <w:sig w:usb0="00000000" w:usb1="00000000" w:usb2="00000000" w:usb3="00000000" w:csb0="0004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w:rPr>
        <w:rFonts w:ascii="Calibri" w:hAnsi="Calibri" w:eastAsia="宋体" w:cs="黑体"/>
        <w:kern w:val="2"/>
        <w:sz w:val="18"/>
        <w:szCs w:val="22"/>
        <w:lang w:val="en-US" w:eastAsia="zh-CN" w:bidi="ar-SA"/>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Quad Arrow 307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wps:txbx>
                    <wps:bodyPr wrap="none" lIns="0" tIns="0" rIns="0" bIns="0" upright="1">
                      <a:spAutoFit/>
                    </wps:bodyPr>
                  </wps:wsp>
                </a:graphicData>
              </a:graphic>
            </wp:anchor>
          </w:drawing>
        </mc:Choice>
        <mc:Fallback>
          <w:pict>
            <v:shape id="Quad Arrow 3073"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y2adD8ABAACdAwAADgAAAGRycy9lMm9Eb2MueG1srVPLjtswDLwX6D8I&#10;ujd2skAbGHEWWwRbFCj6wLYfoMhyLEASBVKOnb8vZTvZdnvZQy82RdLDmRG9ux+9E2eDZCHUcr0q&#10;pTBBQ2PDqZa/fj6+20pBSYVGOQimlhdD8n7/9s1uiJXZQAeuMSgYJFA1xFp2KcWqKEh3xitaQTSB&#10;iy2gV4mPeCoaVAOje1dsyvJ9MQA2EUEbIs4e5qJcEPE1gNC2VpsD6N6bkGZUNE4llkSdjST3E9u2&#10;NTp9a1sySbhastI0PXkIx8f8LPY7VZ1Qxc7qhYJ6DYUXmryygYfeoA4qKdGj/QfKW41A0KaVBl/M&#10;QiZHWMW6fOHNU6eimbSw1RRvptP/g9Vfz99R2IY3QYqgPF/4j1414gERBnFXfrjLFg2RKu58ityb&#10;xo8w5vYlT5zMyscWfX6zJsF1NvhyM9iMSej80Xaz3ZZc0ly7HhineP48IqVPBrzIQS2Rb3AyVp2/&#10;UJpbry15WoBH6xznVeXCXwnGzJkic5855iiNx3EhfoTmwnoGvvxaBt51KdznwN7mPbkGeA2O16CP&#10;aE8dU1tPvCg+9IlJTNzyhBl2Gcy3NqlbNiyvxZ/nqev5r9r/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CgEAABbQ29udGVudF9UeXBlc10ueG1s&#10;UEsBAhQACgAAAAAAh07iQAAAAAAAAAAAAAAAAAYAAAAAAAAAAAAQAAAACgMAAF9yZWxzL1BLAQIU&#10;ABQAAAAIAIdO4kCKFGY80QAAAJQBAAALAAAAAAAAAAEAIAAAAC4DAABfcmVscy8ucmVsc1BLAQIU&#10;AAoAAAAAAIdO4kAAAAAAAAAAAAAAAAAEAAAAAAAAAAAAEAAAAAAAAABkcnMvUEsBAhQAFAAAAAgA&#10;h07iQM6pebnPAAAABQEAAA8AAAAAAAAAAQAgAAAAIgAAAGRycy9kb3ducmV2LnhtbFBLAQIUABQA&#10;AAAIAIdO4kDLZp0PwAEAAJ0DAAAOAAAAAAAAAAEAIAAAAB4BAABkcnMvZTJvRG9jLnhtbFBLBQYA&#10;AAAABgAGAFkBAABQBQAAAAA=&#10;">
              <v:fill on="f" focussize="0,0"/>
              <v:stroke on="f"/>
              <v:imagedata o:title=""/>
              <o:lock v:ext="edit" aspectratio="f"/>
              <v:textbox inset="0mm,0mm,0mm,0mm" style="mso-fit-shape-to-text:t;">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F0AA2A8A"/>
    <w:multiLevelType w:val="singleLevel"/>
    <w:tmpl w:val="F0AA2A8A"/>
    <w:lvl w:ilvl="0" w:tentative="0">
      <w:start w:val="1"/>
      <w:numFmt w:val="decimal"/>
      <w:lvlText w:val="%1."/>
      <w:lvlJc w:val="left"/>
      <w:pPr>
        <w:tabs>
          <w:tab w:val="left" w:pos="312"/>
        </w:tabs>
      </w:pPr>
    </w:lvl>
  </w:abstractNum>
  <w:abstractNum w:abstractNumId="1">
    <w:nsid w:val="0516AA81"/>
    <w:multiLevelType w:val="singleLevel"/>
    <w:tmpl w:val="0516AA81"/>
    <w:lvl w:ilvl="0" w:tentative="0">
      <w:start w:val="2"/>
      <w:numFmt w:val="chineseCounting"/>
      <w:suff w:val="nothing"/>
      <w:lvlText w:val="（%1）"/>
      <w:lvlJc w:val="left"/>
      <w:pPr>
        <w:ind w:left="630" w:leftChars="0" w:firstLine="0" w:firstLineChars="0"/>
      </w:pPr>
      <w:rPr>
        <w:rFonts w:hint="eastAsia"/>
      </w:rPr>
    </w:lvl>
  </w:abstractNum>
  <w:abstractNum w:abstractNumId="2">
    <w:nsid w:val="5E68489B"/>
    <w:multiLevelType w:val="singleLevel"/>
    <w:tmpl w:val="5E68489B"/>
    <w:lvl w:ilvl="0" w:tentative="0">
      <w:start w:val="1"/>
      <w:numFmt w:val="chineseCounting"/>
      <w:suff w:val="nothing"/>
      <w:lvlText w:val="（%1）"/>
      <w:lvlJc w:val="left"/>
    </w:lvl>
  </w:abstractNum>
  <w:abstractNum w:abstractNumId="3">
    <w:nsid w:val="77E4B8A6"/>
    <w:multiLevelType w:val="singleLevel"/>
    <w:tmpl w:val="77E4B8A6"/>
    <w:lvl w:ilvl="0" w:tentative="0">
      <w:start w:val="2"/>
      <w:numFmt w:val="chineseCounting"/>
      <w:suff w:val="nothing"/>
      <w:lvlText w:val="（%1）"/>
      <w:lvlJc w:val="left"/>
      <w:rPr>
        <w:rFonts w:hint="eastAsia"/>
      </w:rPr>
    </w:lvl>
  </w:abstractNum>
  <w:num w:numId="1">
    <w:abstractNumId w:val="3"/>
  </w:num>
  <w:num w:numId="2">
    <w:abstractNumId w:val="0"/>
  </w:num>
  <w:num w:numId="3">
    <w:abstractNumId w:val="1"/>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WQwZTAzYTFhMjQ3MzgwODE5ZDMxM2IyZWM0YjViOWQifQ=="/>
  </w:docVars>
  <w:rsids>
    <w:rsidRoot w:val="0EBD2122"/>
    <w:rsid w:val="002A1AF8"/>
    <w:rsid w:val="00327C15"/>
    <w:rsid w:val="007E6C1F"/>
    <w:rsid w:val="00AF566A"/>
    <w:rsid w:val="00B6553A"/>
    <w:rsid w:val="015B7D34"/>
    <w:rsid w:val="01B104CA"/>
    <w:rsid w:val="02015179"/>
    <w:rsid w:val="02106AB0"/>
    <w:rsid w:val="02B43A28"/>
    <w:rsid w:val="046F331E"/>
    <w:rsid w:val="052D4EEB"/>
    <w:rsid w:val="061B7444"/>
    <w:rsid w:val="06ED64DB"/>
    <w:rsid w:val="07060306"/>
    <w:rsid w:val="07956271"/>
    <w:rsid w:val="0875181E"/>
    <w:rsid w:val="08B651F8"/>
    <w:rsid w:val="097035F9"/>
    <w:rsid w:val="09721397"/>
    <w:rsid w:val="097F55EA"/>
    <w:rsid w:val="09D65B51"/>
    <w:rsid w:val="0AD55E09"/>
    <w:rsid w:val="0AE75B3C"/>
    <w:rsid w:val="0AF049F1"/>
    <w:rsid w:val="0B3D575C"/>
    <w:rsid w:val="0B4F3FBF"/>
    <w:rsid w:val="0B762CFB"/>
    <w:rsid w:val="0B9D6DBB"/>
    <w:rsid w:val="0BB63BED"/>
    <w:rsid w:val="0CBF0B1F"/>
    <w:rsid w:val="0D240982"/>
    <w:rsid w:val="0EB97A43"/>
    <w:rsid w:val="0EBD2122"/>
    <w:rsid w:val="0EFD592E"/>
    <w:rsid w:val="0F214EAE"/>
    <w:rsid w:val="0F621C35"/>
    <w:rsid w:val="0F9A13CF"/>
    <w:rsid w:val="11B71E6A"/>
    <w:rsid w:val="135B70C7"/>
    <w:rsid w:val="150B04AE"/>
    <w:rsid w:val="165F2A2B"/>
    <w:rsid w:val="16647159"/>
    <w:rsid w:val="167C182F"/>
    <w:rsid w:val="16DE4297"/>
    <w:rsid w:val="17D80170"/>
    <w:rsid w:val="17DB2585"/>
    <w:rsid w:val="194242C9"/>
    <w:rsid w:val="19B906A4"/>
    <w:rsid w:val="1A367BC4"/>
    <w:rsid w:val="1AAF0063"/>
    <w:rsid w:val="1BAB226E"/>
    <w:rsid w:val="1BE140DE"/>
    <w:rsid w:val="1E2403A5"/>
    <w:rsid w:val="1E5519DC"/>
    <w:rsid w:val="1EDB6610"/>
    <w:rsid w:val="1EDF1969"/>
    <w:rsid w:val="1FC009DE"/>
    <w:rsid w:val="1FF97A4C"/>
    <w:rsid w:val="20E57935"/>
    <w:rsid w:val="212E7BC9"/>
    <w:rsid w:val="21374CD0"/>
    <w:rsid w:val="2197751D"/>
    <w:rsid w:val="22350AE4"/>
    <w:rsid w:val="23160915"/>
    <w:rsid w:val="23356FED"/>
    <w:rsid w:val="235D4796"/>
    <w:rsid w:val="237A0EA4"/>
    <w:rsid w:val="24596D0B"/>
    <w:rsid w:val="248C197D"/>
    <w:rsid w:val="252959AF"/>
    <w:rsid w:val="254774AC"/>
    <w:rsid w:val="25DC4098"/>
    <w:rsid w:val="25E568FD"/>
    <w:rsid w:val="277A6671"/>
    <w:rsid w:val="27C668CE"/>
    <w:rsid w:val="292D35B7"/>
    <w:rsid w:val="2A594280"/>
    <w:rsid w:val="2BD80E5D"/>
    <w:rsid w:val="2C547BE2"/>
    <w:rsid w:val="2CA945A8"/>
    <w:rsid w:val="2D8527AF"/>
    <w:rsid w:val="2E840E29"/>
    <w:rsid w:val="2EAC037F"/>
    <w:rsid w:val="303E4D2C"/>
    <w:rsid w:val="31797E91"/>
    <w:rsid w:val="323D7C6C"/>
    <w:rsid w:val="32D73DD4"/>
    <w:rsid w:val="33830D44"/>
    <w:rsid w:val="33EB6CFF"/>
    <w:rsid w:val="359B1A8F"/>
    <w:rsid w:val="35A12947"/>
    <w:rsid w:val="360B1E2F"/>
    <w:rsid w:val="36AA789A"/>
    <w:rsid w:val="371B6954"/>
    <w:rsid w:val="37387040"/>
    <w:rsid w:val="38290817"/>
    <w:rsid w:val="38712BDA"/>
    <w:rsid w:val="39091573"/>
    <w:rsid w:val="39C649EB"/>
    <w:rsid w:val="3A304D85"/>
    <w:rsid w:val="3A9248CD"/>
    <w:rsid w:val="3ADB5F75"/>
    <w:rsid w:val="3B625C0A"/>
    <w:rsid w:val="3BD72D16"/>
    <w:rsid w:val="3BDD7DCA"/>
    <w:rsid w:val="3C37211C"/>
    <w:rsid w:val="3C6329C5"/>
    <w:rsid w:val="3CEE1963"/>
    <w:rsid w:val="3CF14896"/>
    <w:rsid w:val="3D453E79"/>
    <w:rsid w:val="3D7326BC"/>
    <w:rsid w:val="408C61C9"/>
    <w:rsid w:val="40907B01"/>
    <w:rsid w:val="40B76E3C"/>
    <w:rsid w:val="42F8373B"/>
    <w:rsid w:val="430A50D7"/>
    <w:rsid w:val="4348021F"/>
    <w:rsid w:val="444255B6"/>
    <w:rsid w:val="44A1408B"/>
    <w:rsid w:val="46F3302B"/>
    <w:rsid w:val="47940AD4"/>
    <w:rsid w:val="4B6226D4"/>
    <w:rsid w:val="4B6776B0"/>
    <w:rsid w:val="4BF47196"/>
    <w:rsid w:val="4C577725"/>
    <w:rsid w:val="4C7E4CB1"/>
    <w:rsid w:val="4C854292"/>
    <w:rsid w:val="4C9C27FE"/>
    <w:rsid w:val="4DC4528E"/>
    <w:rsid w:val="4E1753BE"/>
    <w:rsid w:val="4E597784"/>
    <w:rsid w:val="4EAB5A92"/>
    <w:rsid w:val="4F012458"/>
    <w:rsid w:val="4F4A63AC"/>
    <w:rsid w:val="4F754A92"/>
    <w:rsid w:val="4F8B5CB3"/>
    <w:rsid w:val="4F932C30"/>
    <w:rsid w:val="50B43398"/>
    <w:rsid w:val="512260B4"/>
    <w:rsid w:val="52BD6ACB"/>
    <w:rsid w:val="52DD71A3"/>
    <w:rsid w:val="538434F5"/>
    <w:rsid w:val="53D22211"/>
    <w:rsid w:val="54C97AC2"/>
    <w:rsid w:val="55537534"/>
    <w:rsid w:val="555F106D"/>
    <w:rsid w:val="556A671B"/>
    <w:rsid w:val="561A74F1"/>
    <w:rsid w:val="56660C3A"/>
    <w:rsid w:val="571A2823"/>
    <w:rsid w:val="58156E12"/>
    <w:rsid w:val="58A957AC"/>
    <w:rsid w:val="58D77C23"/>
    <w:rsid w:val="597244E8"/>
    <w:rsid w:val="59743C4A"/>
    <w:rsid w:val="59A6630F"/>
    <w:rsid w:val="5A2A2324"/>
    <w:rsid w:val="5BB035BF"/>
    <w:rsid w:val="5C007491"/>
    <w:rsid w:val="5D7E59E4"/>
    <w:rsid w:val="5DE40447"/>
    <w:rsid w:val="5EA52305"/>
    <w:rsid w:val="5EB71C30"/>
    <w:rsid w:val="5F230066"/>
    <w:rsid w:val="5FF4730D"/>
    <w:rsid w:val="600A4D82"/>
    <w:rsid w:val="62B1691A"/>
    <w:rsid w:val="6300246C"/>
    <w:rsid w:val="63901A42"/>
    <w:rsid w:val="64022AFF"/>
    <w:rsid w:val="64CD26C7"/>
    <w:rsid w:val="65F20792"/>
    <w:rsid w:val="66067D9A"/>
    <w:rsid w:val="66A03D4A"/>
    <w:rsid w:val="66AF0CE5"/>
    <w:rsid w:val="67EC1211"/>
    <w:rsid w:val="685C0145"/>
    <w:rsid w:val="68EB7ABC"/>
    <w:rsid w:val="699403F0"/>
    <w:rsid w:val="6AC537CF"/>
    <w:rsid w:val="6AD229EA"/>
    <w:rsid w:val="6C2E004A"/>
    <w:rsid w:val="6E5B14A6"/>
    <w:rsid w:val="6E7D2BC3"/>
    <w:rsid w:val="6F4D6275"/>
    <w:rsid w:val="6F5778B8"/>
    <w:rsid w:val="711B255E"/>
    <w:rsid w:val="71557E27"/>
    <w:rsid w:val="72061263"/>
    <w:rsid w:val="72255A4C"/>
    <w:rsid w:val="7317199D"/>
    <w:rsid w:val="74406B6D"/>
    <w:rsid w:val="749E58B9"/>
    <w:rsid w:val="74E24654"/>
    <w:rsid w:val="7722255A"/>
    <w:rsid w:val="78AA0A59"/>
    <w:rsid w:val="790068CB"/>
    <w:rsid w:val="7A106FE1"/>
    <w:rsid w:val="7A2621AB"/>
    <w:rsid w:val="7B60375F"/>
    <w:rsid w:val="7BA67BFD"/>
    <w:rsid w:val="7BB51E06"/>
    <w:rsid w:val="7C387F7C"/>
    <w:rsid w:val="7E9A50CB"/>
    <w:rsid w:val="7EA45F4A"/>
    <w:rsid w:val="7FE83423"/>
  </w:rsids>
  <m:mathPr>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semiHidden="0" w:name="Default Paragraph Font"/>
    <w:lsdException w:qFormat="1" w:unhideWhenUsed="0" w:uiPriority="99"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semiHidden="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黑体"/>
      <w:kern w:val="2"/>
      <w:sz w:val="21"/>
      <w:szCs w:val="22"/>
      <w:lang w:val="en-US" w:eastAsia="zh-CN" w:bidi="ar-SA"/>
    </w:rPr>
  </w:style>
  <w:style w:type="character" w:default="1" w:styleId="10">
    <w:name w:val="Default Paragraph Font"/>
    <w:autoRedefine/>
    <w:unhideWhenUsed/>
    <w:qFormat/>
    <w:uiPriority w:val="1"/>
  </w:style>
  <w:style w:type="table" w:default="1" w:styleId="8">
    <w:name w:val="Normal Table"/>
    <w:autoRedefine/>
    <w:unhideWhenUsed/>
    <w:qFormat/>
    <w:uiPriority w:val="99"/>
    <w:tblPr>
      <w:tblCellMar>
        <w:top w:w="0" w:type="dxa"/>
        <w:left w:w="108" w:type="dxa"/>
        <w:bottom w:w="0" w:type="dxa"/>
        <w:right w:w="108" w:type="dxa"/>
      </w:tblCellMar>
    </w:tblPr>
  </w:style>
  <w:style w:type="paragraph" w:styleId="2">
    <w:name w:val="Body Text"/>
    <w:basedOn w:val="1"/>
    <w:next w:val="1"/>
    <w:qFormat/>
    <w:uiPriority w:val="99"/>
    <w:pPr>
      <w:spacing w:line="400" w:lineRule="exact"/>
      <w:jc w:val="center"/>
    </w:pPr>
    <w:rPr>
      <w:sz w:val="24"/>
    </w:rPr>
  </w:style>
  <w:style w:type="paragraph" w:styleId="3">
    <w:name w:val="Body Text Indent"/>
    <w:basedOn w:val="1"/>
    <w:qFormat/>
    <w:uiPriority w:val="0"/>
    <w:pPr>
      <w:spacing w:line="360" w:lineRule="auto"/>
      <w:ind w:firstLine="200" w:firstLineChars="200"/>
      <w:textAlignment w:val="baseline"/>
    </w:pPr>
    <w:rPr>
      <w:rFonts w:hint="eastAsia" w:ascii="Times New Roman" w:hAnsi="Times New Roman" w:eastAsia="宋体" w:cs="Times New Roman"/>
      <w:sz w:val="24"/>
    </w:rPr>
  </w:style>
  <w:style w:type="paragraph" w:styleId="4">
    <w:name w:val="footer"/>
    <w:basedOn w:val="1"/>
    <w:qFormat/>
    <w:uiPriority w:val="0"/>
    <w:pPr>
      <w:tabs>
        <w:tab w:val="center" w:pos="4153"/>
        <w:tab w:val="right" w:pos="8306"/>
      </w:tabs>
      <w:snapToGrid w:val="0"/>
      <w:jc w:val="left"/>
    </w:pPr>
    <w:rPr>
      <w:sz w:val="18"/>
    </w:rPr>
  </w:style>
  <w:style w:type="paragraph" w:styleId="5">
    <w:name w:val="header"/>
    <w:basedOn w:val="1"/>
    <w:autoRedefine/>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sz w:val="18"/>
    </w:rPr>
  </w:style>
  <w:style w:type="paragraph" w:styleId="6">
    <w:name w:val="Normal (Web)"/>
    <w:basedOn w:val="1"/>
    <w:qFormat/>
    <w:uiPriority w:val="0"/>
    <w:pPr>
      <w:spacing w:before="0" w:beforeAutospacing="1" w:after="0" w:afterAutospacing="1"/>
      <w:ind w:left="0" w:right="0"/>
      <w:jc w:val="left"/>
    </w:pPr>
    <w:rPr>
      <w:kern w:val="0"/>
      <w:sz w:val="24"/>
      <w:lang w:val="en-US" w:eastAsia="zh-CN" w:bidi="ar"/>
    </w:rPr>
  </w:style>
  <w:style w:type="paragraph" w:styleId="7">
    <w:name w:val="Body Text First Indent 2"/>
    <w:basedOn w:val="3"/>
    <w:autoRedefine/>
    <w:qFormat/>
    <w:uiPriority w:val="0"/>
    <w:pPr>
      <w:ind w:firstLine="420"/>
    </w:pPr>
    <w:rPr>
      <w:rFonts w:ascii="Times New Roman" w:hAnsi="Times New Roman" w:eastAsia="宋体" w:cs="Times New Roman"/>
    </w:rPr>
  </w:style>
  <w:style w:type="table" w:styleId="9">
    <w:name w:val="Table Grid"/>
    <w:basedOn w:val="8"/>
    <w:autoRedefine/>
    <w:qFormat/>
    <w:uiPriority w:val="0"/>
    <w:rPr>
      <w:rFonts w:cs="Calibri"/>
      <w:kern w:val="0"/>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11">
    <w:name w:val="插入文本样式-插入部门职责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2">
    <w:name w:val="单元格样式2"/>
    <w:basedOn w:val="1"/>
    <w:autoRedefine/>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3"/>
    <w:basedOn w:val="1"/>
    <w:autoRedefine/>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4">
    <w:name w:val="插入文本样式-插入总体目标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5">
    <w:name w:val="插入文本样式-插入实现年度发展规划目标的保障措施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6">
    <w:name w:val="无间隔1"/>
    <w:basedOn w:val="1"/>
    <w:autoRedefine/>
    <w:qFormat/>
    <w:uiPriority w:val="0"/>
    <w:rPr>
      <w:rFonts w:ascii="宋体" w:hAnsi="宋体" w:eastAsia="仿宋_GB2312"/>
      <w:sz w:val="32"/>
      <w:szCs w:val="32"/>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1</Pages>
  <Words>160</Words>
  <Characters>916</Characters>
  <Lines>7</Lines>
  <Paragraphs>2</Paragraphs>
  <TotalTime>4</TotalTime>
  <ScaleCrop>false</ScaleCrop>
  <LinksUpToDate>false</LinksUpToDate>
  <CharactersWithSpaces>0</CharactersWithSpaces>
  <Application>WPS Office_12.1.0.16388_F1E327BC-269C-435d-A152-05C5408002CA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2020-02-04T03:46:00Z</dcterms:created>
  <dc:creator>欣欣大人</dc:creator>
  <cp:lastModifiedBy>Administrator</cp:lastModifiedBy>
  <cp:lastPrinted>2022-01-19T07:24:00Z</cp:lastPrinted>
  <dcterms:modified xsi:type="dcterms:W3CDTF">2024-04-07T03:37:24Z</dcterms:modified>
  <dc:title>附件3：</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2052-12.1.0.16388</vt:lpwstr>
  </property>
  <property fmtid="{D5CDD505-2E9C-101B-9397-08002B2CF9AE}" pid="3" name="ICV">
    <vt:lpwstr>A0F2695490CD4B16A991011DB805B6B4_12</vt:lpwstr>
  </property>
</Properties>
</file>