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石家庄市鹿泉区医疗保障局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本</w:t>
      </w:r>
      <w:r>
        <w:rPr>
          <w:rFonts w:hint="eastAsia" w:ascii="仿宋" w:hAnsi="仿宋" w:eastAsia="仿宋"/>
          <w:sz w:val="32"/>
          <w:szCs w:val="32"/>
        </w:rPr>
        <w:t>部门</w:t>
      </w:r>
      <w:r>
        <w:rPr>
          <w:rFonts w:hint="eastAsia" w:ascii="仿宋" w:hAnsi="仿宋" w:eastAsia="仿宋"/>
          <w:sz w:val="32"/>
          <w:szCs w:val="32"/>
          <w:lang w:val="en-US" w:eastAsia="zh-CN"/>
        </w:rPr>
        <w:t>对</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r>
        <w:rPr>
          <w:rFonts w:hint="eastAsia" w:ascii="仿宋" w:hAnsi="仿宋" w:eastAsia="仿宋"/>
          <w:sz w:val="32"/>
          <w:szCs w:val="32"/>
          <w:lang w:val="en-US" w:eastAsia="zh-CN"/>
        </w:rPr>
        <w:t>现将报告汇报如下：</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lang w:val="en-US" w:eastAsia="zh-CN"/>
        </w:rPr>
        <w:t>1</w:t>
      </w:r>
      <w:r>
        <w:rPr>
          <w:rFonts w:hint="eastAsia" w:ascii="黑体" w:eastAsia="黑体" w:cs="黑体"/>
          <w:b w:val="0"/>
          <w:bCs w:val="0"/>
          <w:kern w:val="0"/>
          <w:sz w:val="32"/>
          <w:szCs w:val="32"/>
        </w:rPr>
        <w:t>、部门职责</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贯彻落实党中央和省、市、区委关于医疗保障工作的方针政策和决策部署，坚持和加强党对医疗保障工作的集中统一领导。</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主要职责是：</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一）贯彻落实国家、省、市关于城镇职工和城乡居民医疗保险、生育保险、长期护理保险、医疗救助等医疗保障法规、规章以及政策、制度、规划和标准。按照政策规定拟订本辖区具体医疗保障政策，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（二）贯彻落实国家、省、市医疗保障基金监督管理规定，建立健全医疗保障基金安全防控机制，建设维护网络信息系统和智能监控平台，按上级部署推进医疗保障基金支付方式改革，并组织实施。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（三）贯彻落实石家庄市城镇职工、城乡居民参保筹资和保障相关待遇政策。贯彻落实长期护理保险制度及政策并组织实施。</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（四）贯彻落实城乡统一的药品、医用耗材、医疗服务项目、医疗服务设施等医保支付标准。</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五）按照政策规定制定和调整公立基层医疗机构医疗服务价格。贯彻落实上级医保支付医药服务价格政策。依法管理药品、医用耗材、医疗服务价格政策执行情况。组织实施药品、医用耗材、医疗服务价格政策执行情况。组织实施药品、医用耗材和医疗服务价格检测信息发布工作。</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六）贯彻落实石家庄市定点医疗机构协议和支付管理办法。建立健全医疗保障信用评价体系和信息披露制度，监督管理定点医药机构的医疗服务行为、医疗费用和医药价格，依法查处医疗保障领域违法违规行为。</w:t>
      </w:r>
    </w:p>
    <w:p>
      <w:pPr>
        <w:widowControl/>
        <w:spacing w:line="580" w:lineRule="exact"/>
        <w:ind w:firstLine="640" w:firstLineChars="20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（七）负责医疗保障经办管理、公共服务体系和信息化建设。贯彻落实异地就医管理和费用结算政策、医疗保障关系转移接续制度。</w:t>
      </w:r>
    </w:p>
    <w:p>
      <w:pPr>
        <w:keepNext/>
        <w:keepLines/>
        <w:spacing w:line="580" w:lineRule="exact"/>
        <w:ind w:firstLine="640" w:firstLineChars="200"/>
        <w:jc w:val="left"/>
        <w:outlineLvl w:val="0"/>
        <w:rPr>
          <w:rFonts w:hint="eastAsia" w:ascii="仿宋_GB2312" w:eastAsia="仿宋_GB2312" w:cs="仿宋_GB2312"/>
          <w:kern w:val="0"/>
          <w:sz w:val="32"/>
          <w:szCs w:val="32"/>
          <w:highlight w:val="none"/>
        </w:rPr>
      </w:pPr>
      <w:r>
        <w:rPr>
          <w:rFonts w:hint="eastAsia" w:ascii="仿宋_GB2312" w:eastAsia="仿宋_GB2312" w:cs="仿宋_GB2312"/>
          <w:kern w:val="0"/>
          <w:sz w:val="32"/>
          <w:szCs w:val="32"/>
          <w:highlight w:val="none"/>
        </w:rPr>
        <w:t>（八）完成区委、区政府交办的其他任务。</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lang w:val="en-US" w:eastAsia="zh-CN"/>
        </w:rPr>
        <w:t>2</w:t>
      </w:r>
      <w:r>
        <w:rPr>
          <w:rFonts w:hint="eastAsia" w:ascii="黑体" w:eastAsia="黑体" w:cs="黑体"/>
          <w:kern w:val="0"/>
          <w:sz w:val="32"/>
          <w:szCs w:val="32"/>
        </w:rPr>
        <w:t>、机构设置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年度本部门决算汇编范围的独立核算单位（以下简称“单位”）共</w:t>
      </w: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个，具体情况如下：</w:t>
      </w:r>
    </w:p>
    <w:tbl>
      <w:tblPr>
        <w:tblStyle w:val="6"/>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rPr>
                <w:rFonts w:ascii="仿宋_GB2312" w:eastAsia="仿宋_GB2312" w:cs="仿宋_GB2312"/>
                <w:kern w:val="0"/>
                <w:sz w:val="28"/>
                <w:szCs w:val="28"/>
              </w:rPr>
            </w:pPr>
            <w:r>
              <w:rPr>
                <w:rFonts w:hint="eastAsia" w:ascii="仿宋_GB2312" w:hAnsi="Calibri" w:eastAsia="仿宋_GB2312" w:cs="ArialUnicodeMS"/>
                <w:kern w:val="0"/>
                <w:sz w:val="28"/>
                <w:szCs w:val="28"/>
                <w:lang w:eastAsia="zh-CN"/>
              </w:rPr>
              <w:t>石家庄市鹿泉区医疗保障局</w:t>
            </w:r>
            <w:r>
              <w:rPr>
                <w:rFonts w:hint="eastAsia" w:ascii="仿宋_GB2312" w:hAnsi="Calibri" w:eastAsia="仿宋_GB2312" w:cs="ArialUnicodeMS"/>
                <w:kern w:val="0"/>
                <w:sz w:val="28"/>
                <w:szCs w:val="28"/>
              </w:rPr>
              <w:t>(本级)</w:t>
            </w:r>
          </w:p>
        </w:tc>
        <w:tc>
          <w:tcPr>
            <w:tcW w:w="244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行政单位</w:t>
            </w:r>
          </w:p>
        </w:tc>
        <w:tc>
          <w:tcPr>
            <w:tcW w:w="266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vAlign w:val="top"/>
          </w:tcPr>
          <w:p>
            <w:pPr>
              <w:spacing w:line="560" w:lineRule="exact"/>
              <w:jc w:val="center"/>
              <w:rPr>
                <w:rFonts w:ascii="仿宋_GB2312" w:eastAsia="仿宋_GB2312" w:cs="仿宋_GB2312"/>
                <w:kern w:val="0"/>
                <w:sz w:val="28"/>
                <w:szCs w:val="28"/>
              </w:rPr>
            </w:pPr>
            <w:r>
              <w:rPr>
                <w:rFonts w:hint="eastAsia" w:ascii="仿宋_GB2312" w:hAnsi="Calibri" w:eastAsia="仿宋_GB2312" w:cs="ArialUnicodeMS"/>
                <w:kern w:val="0"/>
                <w:sz w:val="28"/>
                <w:szCs w:val="28"/>
              </w:rPr>
              <w:t>2</w:t>
            </w:r>
          </w:p>
        </w:tc>
        <w:tc>
          <w:tcPr>
            <w:tcW w:w="3485" w:type="dxa"/>
            <w:vAlign w:val="top"/>
          </w:tcPr>
          <w:p>
            <w:pPr>
              <w:spacing w:line="560" w:lineRule="exact"/>
              <w:rPr>
                <w:rFonts w:ascii="仿宋_GB2312" w:eastAsia="仿宋_GB2312" w:cs="Times New Roman"/>
                <w:kern w:val="0"/>
                <w:sz w:val="28"/>
                <w:szCs w:val="28"/>
              </w:rPr>
            </w:pPr>
            <w:r>
              <w:rPr>
                <w:rFonts w:hint="eastAsia" w:ascii="仿宋_GB2312" w:hAnsi="Calibri" w:eastAsia="仿宋_GB2312" w:cs="ArialUnicodeMS"/>
                <w:kern w:val="0"/>
                <w:sz w:val="28"/>
                <w:szCs w:val="28"/>
              </w:rPr>
              <w:t>石家庄市鹿泉区医疗保险管理中心</w:t>
            </w:r>
          </w:p>
        </w:tc>
        <w:tc>
          <w:tcPr>
            <w:tcW w:w="244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财政补助事业单位</w:t>
            </w:r>
          </w:p>
        </w:tc>
        <w:tc>
          <w:tcPr>
            <w:tcW w:w="2665" w:type="dxa"/>
            <w:vAlign w:val="top"/>
          </w:tcPr>
          <w:p>
            <w:pPr>
              <w:spacing w:line="560" w:lineRule="exact"/>
              <w:jc w:val="center"/>
              <w:rPr>
                <w:rFonts w:ascii="仿宋_GB2312" w:eastAsia="仿宋_GB2312" w:cs="Times New Roman"/>
                <w:kern w:val="0"/>
                <w:sz w:val="28"/>
                <w:szCs w:val="28"/>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widowControl w:val="0"/>
        <w:wordWrap/>
        <w:spacing w:line="560" w:lineRule="exact"/>
        <w:ind w:left="0" w:leftChars="0" w:right="0" w:firstLine="643" w:firstLineChars="200"/>
        <w:textAlignment w:val="auto"/>
        <w:outlineLvl w:val="9"/>
        <w:rPr>
          <w:rFonts w:hint="eastAsia" w:ascii="仿宋_GB2312" w:hAnsi="仿宋_GB2312" w:eastAsia="仿宋_GB2312" w:cs="仿宋_GB2312"/>
          <w:sz w:val="32"/>
          <w:szCs w:val="32"/>
        </w:rPr>
      </w:pPr>
      <w:r>
        <w:rPr>
          <w:rFonts w:hint="eastAsia" w:ascii="仿宋" w:hAnsi="仿宋" w:eastAsia="仿宋" w:cs="楷体_GB2312"/>
          <w:b/>
          <w:bCs/>
          <w:sz w:val="32"/>
          <w:szCs w:val="32"/>
        </w:rPr>
        <w:t xml:space="preserve">    </w:t>
      </w:r>
      <w:r>
        <w:rPr>
          <w:rFonts w:hint="eastAsia" w:ascii="仿宋_GB2312" w:hAnsi="仿宋_GB2312" w:eastAsia="仿宋_GB2312" w:cs="仿宋_GB2312"/>
          <w:sz w:val="32"/>
          <w:szCs w:val="32"/>
        </w:rPr>
        <w:t>（一）项目概况</w:t>
      </w:r>
    </w:p>
    <w:p>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1、医保局退役军人公益性岗位工资补贴</w:t>
      </w:r>
    </w:p>
    <w:p>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lang w:val="en-US" w:eastAsia="zh-CN"/>
        </w:rPr>
        <w:t>8</w:t>
      </w:r>
      <w:r>
        <w:rPr>
          <w:rFonts w:hint="default" w:ascii="仿宋_GB2312" w:hAnsi="仿宋_GB2312" w:eastAsia="仿宋_GB2312" w:cs="仿宋_GB2312"/>
          <w:sz w:val="32"/>
          <w:szCs w:val="32"/>
          <w:lang w:val="en-US" w:eastAsia="zh-CN"/>
        </w:rPr>
        <w:t>万元。</w:t>
      </w:r>
    </w:p>
    <w:p>
      <w:pPr>
        <w:spacing w:line="600" w:lineRule="exact"/>
        <w:ind w:firstLine="640" w:firstLineChars="200"/>
        <w:rPr>
          <w:rFonts w:hint="eastAsia"/>
          <w:b w:val="0"/>
          <w:bCs/>
          <w:sz w:val="32"/>
          <w:szCs w:val="32"/>
        </w:rPr>
      </w:pPr>
      <w:r>
        <w:rPr>
          <w:rFonts w:hint="eastAsia" w:ascii="仿宋_GB2312" w:hAnsi="仿宋_GB2312" w:eastAsia="仿宋_GB2312" w:cs="仿宋_GB2312"/>
          <w:sz w:val="32"/>
          <w:szCs w:val="32"/>
          <w:lang w:val="en-US" w:eastAsia="zh-CN"/>
        </w:rPr>
        <w:t>2、区本级</w:t>
      </w:r>
      <w:r>
        <w:rPr>
          <w:rFonts w:hint="eastAsia"/>
          <w:b w:val="0"/>
          <w:bCs/>
          <w:sz w:val="32"/>
          <w:szCs w:val="32"/>
          <w:lang w:eastAsia="zh-CN"/>
        </w:rPr>
        <w:t>医疗救助补助资金</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该项目用于</w:t>
      </w:r>
      <w:r>
        <w:rPr>
          <w:rFonts w:hint="eastAsia" w:ascii="仿宋_GB2312" w:hAnsi="仿宋_GB2312" w:eastAsia="仿宋_GB2312" w:cs="仿宋_GB2312"/>
          <w:sz w:val="32"/>
          <w:szCs w:val="32"/>
          <w:lang w:eastAsia="zh-CN"/>
        </w:rPr>
        <w:t>资助符合条件的贫困人口参加城乡居民医疗保险以及城乡困难群众医疗救助、重特大疾病医疗救助等方面的支出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eastAsia="zh-CN"/>
        </w:rPr>
        <w:t>共计</w:t>
      </w:r>
      <w:r>
        <w:rPr>
          <w:rFonts w:hint="eastAsia" w:ascii="仿宋_GB2312" w:hAnsi="仿宋_GB2312" w:eastAsia="仿宋_GB2312" w:cs="仿宋_GB2312"/>
          <w:sz w:val="32"/>
          <w:szCs w:val="32"/>
          <w:lang w:val="en-US" w:eastAsia="zh-CN"/>
        </w:rPr>
        <w:t>419.32</w:t>
      </w:r>
      <w:r>
        <w:rPr>
          <w:rFonts w:hint="eastAsia" w:ascii="仿宋_GB2312" w:hAnsi="仿宋_GB2312" w:eastAsia="仿宋_GB2312" w:cs="仿宋_GB2312"/>
          <w:sz w:val="32"/>
          <w:szCs w:val="32"/>
        </w:rPr>
        <w:t>万元。</w:t>
      </w:r>
    </w:p>
    <w:p>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3、医保局监督检查专项经费</w:t>
      </w:r>
    </w:p>
    <w:p>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根据鹿医保字【2022】6号文件区领导批示精神，为更好的贯彻落实打击欺诈骗保行为，提高人民群众的幸福感、获得感。共需检查费用</w:t>
      </w:r>
      <w:r>
        <w:rPr>
          <w:rFonts w:hint="eastAsia" w:ascii="仿宋_GB2312" w:hAnsi="仿宋_GB2312" w:eastAsia="仿宋_GB2312" w:cs="仿宋_GB2312"/>
          <w:sz w:val="32"/>
          <w:szCs w:val="32"/>
          <w:lang w:val="en-US" w:eastAsia="zh-CN"/>
        </w:rPr>
        <w:t>7</w:t>
      </w:r>
      <w:r>
        <w:rPr>
          <w:rFonts w:hint="default" w:ascii="仿宋_GB2312" w:hAnsi="仿宋_GB2312" w:eastAsia="仿宋_GB2312" w:cs="仿宋_GB2312"/>
          <w:sz w:val="32"/>
          <w:szCs w:val="32"/>
          <w:lang w:val="en-US" w:eastAsia="zh-CN"/>
        </w:rPr>
        <w:t>万元。</w:t>
      </w:r>
    </w:p>
    <w:p>
      <w:pPr>
        <w:spacing w:line="600" w:lineRule="exact"/>
        <w:ind w:firstLine="640" w:firstLineChars="200"/>
        <w:rPr>
          <w:rFonts w:hint="eastAsia"/>
          <w:b w:val="0"/>
          <w:bCs/>
          <w:sz w:val="32"/>
          <w:szCs w:val="32"/>
        </w:rPr>
      </w:pPr>
      <w:r>
        <w:rPr>
          <w:rFonts w:hint="eastAsia" w:ascii="仿宋_GB2312" w:hAnsi="仿宋_GB2312" w:eastAsia="仿宋_GB2312" w:cs="仿宋_GB2312"/>
          <w:sz w:val="32"/>
          <w:szCs w:val="32"/>
          <w:lang w:val="en-US" w:eastAsia="zh-CN"/>
        </w:rPr>
        <w:t>4、</w:t>
      </w:r>
      <w:r>
        <w:rPr>
          <w:rFonts w:hint="eastAsia"/>
          <w:b w:val="0"/>
          <w:bCs/>
          <w:sz w:val="32"/>
          <w:szCs w:val="32"/>
          <w:lang w:eastAsia="zh-CN"/>
        </w:rPr>
        <w:t>医疗救助补助资金</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该项目用于</w:t>
      </w:r>
      <w:r>
        <w:rPr>
          <w:rFonts w:hint="eastAsia" w:ascii="仿宋_GB2312" w:hAnsi="仿宋_GB2312" w:eastAsia="仿宋_GB2312" w:cs="仿宋_GB2312"/>
          <w:sz w:val="32"/>
          <w:szCs w:val="32"/>
          <w:lang w:eastAsia="zh-CN"/>
        </w:rPr>
        <w:t>资助符合条件的贫困人口参加城乡居民医疗保险以及城乡困难群众医疗救助、重特大疾病医疗救助等方面的支出</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eastAsia="zh-CN"/>
        </w:rPr>
        <w:t>共计</w:t>
      </w:r>
      <w:r>
        <w:rPr>
          <w:rFonts w:hint="eastAsia" w:ascii="仿宋_GB2312" w:hAnsi="仿宋_GB2312" w:eastAsia="仿宋_GB2312" w:cs="仿宋_GB2312"/>
          <w:sz w:val="32"/>
          <w:szCs w:val="32"/>
          <w:lang w:val="en-US" w:eastAsia="zh-CN"/>
        </w:rPr>
        <w:t>421.1</w:t>
      </w:r>
      <w:r>
        <w:rPr>
          <w:rFonts w:hint="eastAsia" w:ascii="仿宋_GB2312" w:hAnsi="仿宋_GB2312" w:eastAsia="仿宋_GB2312" w:cs="仿宋_GB2312"/>
          <w:sz w:val="32"/>
          <w:szCs w:val="32"/>
        </w:rPr>
        <w:t>万元。</w:t>
      </w:r>
    </w:p>
    <w:p>
      <w:pPr>
        <w:numPr>
          <w:ilvl w:val="0"/>
          <w:numId w:val="1"/>
        </w:numPr>
        <w:spacing w:line="60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中央财政对医疗能力提升的补助</w:t>
      </w:r>
    </w:p>
    <w:p>
      <w:pPr>
        <w:numPr>
          <w:ilvl w:val="0"/>
          <w:numId w:val="0"/>
        </w:numPr>
        <w:spacing w:line="600" w:lineRule="exact"/>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按照冀财社文件精神，下达本区医疗服务与保障能力提升专项补助资金共计23万元。能力提升补助资金主要用于定点医药机构监督检查、系统运用及宣传政策方面，全年资金完成率100%。</w:t>
      </w:r>
    </w:p>
    <w:p>
      <w:pPr>
        <w:spacing w:line="600" w:lineRule="exact"/>
        <w:ind w:firstLine="640" w:firstLineChars="200"/>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6</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eastAsia="zh-CN"/>
        </w:rPr>
        <w:t>长期护理险财政补助资金</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根据石政办函【2018】211号文件规定，长期护理险的筹资方式按照责任共担原则，通过个人缴费、医保统筹基金划转、财政补助等多渠道筹集资金。其中本级财政补助为每人每年10元，共需资金</w:t>
      </w:r>
      <w:r>
        <w:rPr>
          <w:rFonts w:hint="eastAsia" w:ascii="仿宋_GB2312" w:hAnsi="仿宋_GB2312" w:eastAsia="仿宋_GB2312" w:cs="仿宋_GB2312"/>
          <w:b w:val="0"/>
          <w:bCs/>
          <w:sz w:val="32"/>
          <w:szCs w:val="32"/>
          <w:lang w:val="en-US" w:eastAsia="zh-CN"/>
        </w:rPr>
        <w:t>338.13</w:t>
      </w:r>
      <w:r>
        <w:rPr>
          <w:rFonts w:hint="eastAsia" w:ascii="仿宋_GB2312" w:hAnsi="仿宋_GB2312" w:eastAsia="仿宋_GB2312" w:cs="仿宋_GB2312"/>
          <w:b w:val="0"/>
          <w:bCs/>
          <w:sz w:val="32"/>
          <w:szCs w:val="32"/>
        </w:rPr>
        <w:t>万元。</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b w:val="0"/>
          <w:bCs/>
          <w:sz w:val="32"/>
          <w:szCs w:val="32"/>
          <w:lang w:eastAsia="zh-CN"/>
        </w:rPr>
      </w:pPr>
      <w:r>
        <w:rPr>
          <w:rFonts w:hint="eastAsia" w:ascii="仿宋_GB2312" w:hAnsi="仿宋_GB2312" w:eastAsia="仿宋_GB2312" w:cs="仿宋_GB2312"/>
          <w:b w:val="0"/>
          <w:bCs/>
          <w:sz w:val="32"/>
          <w:szCs w:val="32"/>
          <w:lang w:val="en-US" w:eastAsia="zh-CN"/>
        </w:rPr>
        <w:t>7、</w:t>
      </w:r>
      <w:r>
        <w:rPr>
          <w:rFonts w:hint="eastAsia" w:ascii="仿宋_GB2312" w:hAnsi="仿宋_GB2312" w:eastAsia="仿宋_GB2312" w:cs="仿宋_GB2312"/>
          <w:b w:val="0"/>
          <w:bCs/>
          <w:sz w:val="32"/>
          <w:szCs w:val="32"/>
        </w:rPr>
        <w:t>城乡居民医疗</w:t>
      </w:r>
      <w:r>
        <w:rPr>
          <w:rFonts w:hint="eastAsia" w:ascii="仿宋_GB2312" w:hAnsi="仿宋_GB2312" w:eastAsia="仿宋_GB2312" w:cs="仿宋_GB2312"/>
          <w:b w:val="0"/>
          <w:bCs/>
          <w:sz w:val="32"/>
          <w:szCs w:val="32"/>
          <w:lang w:eastAsia="zh-CN"/>
        </w:rPr>
        <w:t>保险区级</w:t>
      </w:r>
      <w:r>
        <w:rPr>
          <w:rFonts w:hint="eastAsia" w:ascii="仿宋_GB2312" w:hAnsi="仿宋_GB2312" w:eastAsia="仿宋_GB2312" w:cs="仿宋_GB2312"/>
          <w:b w:val="0"/>
          <w:bCs/>
          <w:sz w:val="32"/>
          <w:szCs w:val="32"/>
        </w:rPr>
        <w:t>补助</w:t>
      </w:r>
      <w:r>
        <w:rPr>
          <w:rFonts w:hint="eastAsia" w:ascii="仿宋_GB2312" w:hAnsi="仿宋_GB2312" w:eastAsia="仿宋_GB2312" w:cs="仿宋_GB2312"/>
          <w:b w:val="0"/>
          <w:bCs/>
          <w:sz w:val="32"/>
          <w:szCs w:val="32"/>
          <w:lang w:eastAsia="zh-CN"/>
        </w:rPr>
        <w:t>资金</w:t>
      </w:r>
    </w:p>
    <w:p>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据《石家庄市城镇居民基本医疗保险实施细则》（石政办发[2016]2号）的有关规定，居民基本医保费由个人或家庭缴费和政府补助资金构成，政府补助资金标准按有关规定，由同级财政负责安排。预计2023年城乡居民本级医疗补助为128元/人，参保人数预计为38万人，另有五保重残、贫困人口等医疗救助资金共计</w:t>
      </w:r>
      <w:r>
        <w:rPr>
          <w:rFonts w:hint="eastAsia" w:ascii="仿宋_GB2312" w:hAnsi="仿宋_GB2312" w:eastAsia="仿宋_GB2312" w:cs="仿宋_GB2312"/>
          <w:sz w:val="32"/>
          <w:szCs w:val="32"/>
          <w:lang w:val="en-US" w:eastAsia="zh-CN"/>
        </w:rPr>
        <w:t>4328.06</w:t>
      </w:r>
      <w:r>
        <w:rPr>
          <w:rFonts w:hint="eastAsia" w:ascii="仿宋_GB2312" w:hAnsi="仿宋_GB2312" w:eastAsia="仿宋_GB2312" w:cs="仿宋_GB2312"/>
          <w:sz w:val="32"/>
          <w:szCs w:val="32"/>
        </w:rPr>
        <w:t>万元。</w:t>
      </w:r>
    </w:p>
    <w:p>
      <w:pPr>
        <w:widowControl w:val="0"/>
        <w:numPr>
          <w:ilvl w:val="0"/>
          <w:numId w:val="2"/>
        </w:numPr>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医保中心离休及伤残军人医药费</w:t>
      </w:r>
    </w:p>
    <w:p>
      <w:pPr>
        <w:widowControl w:val="0"/>
        <w:numPr>
          <w:ilvl w:val="0"/>
          <w:numId w:val="0"/>
        </w:numPr>
        <w:wordWrap/>
        <w:spacing w:line="560" w:lineRule="exact"/>
        <w:ind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石办字【2004】60号文有关规定，所需资金列入财政预算，以保障离残人员医药费的及时报销。全年药费在</w:t>
      </w:r>
      <w:r>
        <w:rPr>
          <w:rFonts w:hint="eastAsia" w:ascii="仿宋_GB2312" w:hAnsi="仿宋_GB2312" w:eastAsia="仿宋_GB2312" w:cs="仿宋_GB2312"/>
          <w:sz w:val="32"/>
          <w:szCs w:val="32"/>
          <w:lang w:val="en-US" w:eastAsia="zh-CN"/>
        </w:rPr>
        <w:t>500</w:t>
      </w:r>
      <w:r>
        <w:rPr>
          <w:rFonts w:hint="eastAsia" w:ascii="仿宋_GB2312" w:hAnsi="仿宋_GB2312" w:eastAsia="仿宋_GB2312" w:cs="仿宋_GB2312"/>
          <w:sz w:val="32"/>
          <w:szCs w:val="32"/>
        </w:rPr>
        <w:t>万左右。</w:t>
      </w:r>
    </w:p>
    <w:p>
      <w:pPr>
        <w:widowControl w:val="0"/>
        <w:numPr>
          <w:ilvl w:val="0"/>
          <w:numId w:val="0"/>
        </w:numPr>
        <w:wordWrap/>
        <w:spacing w:line="560" w:lineRule="exact"/>
        <w:ind w:left="640" w:leftChars="0" w:right="0" w:rightChars="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9、医保中心退役军人公益性岗位</w:t>
      </w:r>
      <w:bookmarkStart w:id="0" w:name="_GoBack"/>
      <w:bookmarkEnd w:id="0"/>
      <w:r>
        <w:rPr>
          <w:rFonts w:hint="eastAsia" w:ascii="仿宋_GB2312" w:hAnsi="仿宋_GB2312" w:eastAsia="仿宋_GB2312" w:cs="仿宋_GB2312"/>
          <w:sz w:val="32"/>
          <w:szCs w:val="32"/>
          <w:lang w:val="en-US" w:eastAsia="zh-CN"/>
        </w:rPr>
        <w:t>工资补贴</w:t>
      </w:r>
    </w:p>
    <w:p>
      <w:pPr>
        <w:widowControl w:val="0"/>
        <w:numPr>
          <w:ilvl w:val="0"/>
          <w:numId w:val="0"/>
        </w:numPr>
        <w:wordWrap/>
        <w:spacing w:line="560" w:lineRule="exact"/>
        <w:ind w:right="0" w:rightChars="0" w:firstLine="640" w:firstLineChars="200"/>
        <w:textAlignment w:val="auto"/>
        <w:outlineLvl w:val="9"/>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根据《鹿泉区关于进一步做好部分军队退役人员帮扶救助的若干措施》鹿文办【2017】31号文件第二条第一款“实行公益岗托底安置”我单位共有2名退役军人，</w:t>
      </w:r>
      <w:r>
        <w:rPr>
          <w:rFonts w:hint="eastAsia" w:ascii="仿宋_GB2312" w:hAnsi="仿宋_GB2312" w:eastAsia="仿宋_GB2312" w:cs="仿宋_GB2312"/>
          <w:sz w:val="32"/>
          <w:szCs w:val="32"/>
          <w:lang w:val="en-US" w:eastAsia="zh-CN"/>
        </w:rPr>
        <w:t>资金需求</w:t>
      </w:r>
      <w:r>
        <w:rPr>
          <w:rFonts w:hint="default" w:ascii="仿宋_GB2312" w:hAnsi="仿宋_GB2312" w:eastAsia="仿宋_GB2312" w:cs="仿宋_GB2312"/>
          <w:sz w:val="32"/>
          <w:szCs w:val="32"/>
          <w:lang w:val="en-US" w:eastAsia="zh-CN"/>
        </w:rPr>
        <w:t>共计</w:t>
      </w:r>
      <w:r>
        <w:rPr>
          <w:rFonts w:hint="eastAsia" w:ascii="仿宋_GB2312" w:hAnsi="仿宋_GB2312" w:eastAsia="仿宋_GB2312" w:cs="仿宋_GB2312"/>
          <w:sz w:val="32"/>
          <w:szCs w:val="32"/>
          <w:lang w:val="en-US" w:eastAsia="zh-CN"/>
        </w:rPr>
        <w:t>12</w:t>
      </w:r>
      <w:r>
        <w:rPr>
          <w:rFonts w:hint="default" w:ascii="仿宋_GB2312" w:hAnsi="仿宋_GB2312" w:eastAsia="仿宋_GB2312" w:cs="仿宋_GB2312"/>
          <w:sz w:val="32"/>
          <w:szCs w:val="32"/>
          <w:lang w:val="en-US" w:eastAsia="zh-CN"/>
        </w:rPr>
        <w:t>万元。</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三、绩效评价工作情况</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（一）评价目的</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评价通过客观公正地核查项目经费使用情况及预期目标实现程度，考评资金支出效率和综合效果，及时总结经验，分析存在的问题及原因，进一步推进财政资金科学化、精细化管理，不断提高财政专项资金管理水平和使用效率。</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（二）评价原则、评价指标体系、评价方法</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（三）评价工作过程</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本次绩效评价自评价工作分为三个阶段：</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第一阶段：成立评价工作小组，制定项目绩效评价具体实施方案。</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第二阶段：按照区财政局要求，进行自查。</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第三阶段：由评价工作小组对项目进行抽样核查，总结评价结论，最终形成自评价报告，报区财政局。</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四、绩效评价指标分析情况</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项目评价指标体系总分实行百分制，90分以上为优秀、80分以上为良好、70分以上为一般、60分以上为及格。</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1、产出指标（50分）。我办各项目资金的使用能在规定时限内完成，节约适用成本，项目实施达到预期目标值。评估为满分。</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2、效益指标（40分）。经评估，项目实施社会效益好，可持续影响力强，群众满意度高，整个项目效果好，评估为满分。</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3、满意度指标（10分）。经评估，群众满意度高，评估为满分。</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五、综合评价情况及评价结论</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1、资金到位，使用合规。资金拨付程序从申请、审核、审查、审批到最后发放都按照中央、省、市相关财政政策实施，使用符合财务管理规定。</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2、管理规范，监督有效。为进一步规范财务管理，我室制定并印发《市委政研室（改革办）财务管理规定》，严格资金使用程序，健全资金管理制度，定期对资金使用情况进行检查，严格确保项目质量。</w:t>
      </w:r>
    </w:p>
    <w:p>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年度我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项目经费投入合理、资金落实到位、使用规范透明、监督及时有效。从总体上看，我</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专项资金绩效评价总体得分为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分，为优秀等次。</w:t>
      </w:r>
    </w:p>
    <w:p>
      <w:pPr>
        <w:adjustRightInd w:val="0"/>
        <w:snapToGrid w:val="0"/>
        <w:spacing w:line="560" w:lineRule="exact"/>
        <w:ind w:firstLine="640" w:firstLineChars="200"/>
        <w:rPr>
          <w:rFonts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3EC2C"/>
    <w:multiLevelType w:val="singleLevel"/>
    <w:tmpl w:val="0D83EC2C"/>
    <w:lvl w:ilvl="0" w:tentative="0">
      <w:start w:val="8"/>
      <w:numFmt w:val="decimal"/>
      <w:suff w:val="nothing"/>
      <w:lvlText w:val="%1、"/>
      <w:lvlJc w:val="left"/>
    </w:lvl>
  </w:abstractNum>
  <w:abstractNum w:abstractNumId="1">
    <w:nsid w:val="2B549D86"/>
    <w:multiLevelType w:val="singleLevel"/>
    <w:tmpl w:val="2B549D86"/>
    <w:lvl w:ilvl="0" w:tentative="0">
      <w:start w:val="5"/>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TI5Y2I4YjI2Y2RhZWY2M2JjNzAzNDNhZTYwNTM2YWI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4DB4804"/>
    <w:rsid w:val="05A9692E"/>
    <w:rsid w:val="07956271"/>
    <w:rsid w:val="09721397"/>
    <w:rsid w:val="0BB63BED"/>
    <w:rsid w:val="0EB97A43"/>
    <w:rsid w:val="0EBD2122"/>
    <w:rsid w:val="0F214EAE"/>
    <w:rsid w:val="11B71E6A"/>
    <w:rsid w:val="1AAF0063"/>
    <w:rsid w:val="1BE140DE"/>
    <w:rsid w:val="248C197D"/>
    <w:rsid w:val="252959AF"/>
    <w:rsid w:val="26063F46"/>
    <w:rsid w:val="277A6671"/>
    <w:rsid w:val="292D35B7"/>
    <w:rsid w:val="29915AB6"/>
    <w:rsid w:val="32817910"/>
    <w:rsid w:val="33EB6CFF"/>
    <w:rsid w:val="35A12947"/>
    <w:rsid w:val="37387040"/>
    <w:rsid w:val="3B625C0A"/>
    <w:rsid w:val="3CEE1963"/>
    <w:rsid w:val="4308361B"/>
    <w:rsid w:val="436B78D3"/>
    <w:rsid w:val="4C9C27FE"/>
    <w:rsid w:val="512260B4"/>
    <w:rsid w:val="52BD6ACB"/>
    <w:rsid w:val="53841AA0"/>
    <w:rsid w:val="55537534"/>
    <w:rsid w:val="561A74F1"/>
    <w:rsid w:val="597244E8"/>
    <w:rsid w:val="5EB71C30"/>
    <w:rsid w:val="66AF0CE5"/>
    <w:rsid w:val="6A33347C"/>
    <w:rsid w:val="6AC537CF"/>
    <w:rsid w:val="6E5B14A6"/>
    <w:rsid w:val="7041488E"/>
    <w:rsid w:val="711B255E"/>
    <w:rsid w:val="71E1208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364</TotalTime>
  <ScaleCrop>false</ScaleCrop>
  <LinksUpToDate>false</LinksUpToDate>
  <CharactersWithSpaces>669</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123</cp:lastModifiedBy>
  <cp:lastPrinted>2024-04-19T01:04:00Z</cp:lastPrinted>
  <dcterms:modified xsi:type="dcterms:W3CDTF">2025-04-28T02:25:46Z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96934721B1514D3FBAA28020338CE855_12</vt:lpwstr>
  </property>
</Properties>
</file>