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鹿泉区上庄镇人民政府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w:t>
      </w:r>
      <w:r>
        <w:rPr>
          <w:rFonts w:hint="eastAsia" w:ascii="Times New Roman" w:hAnsi="Times New Roman" w:eastAsia="仿宋" w:cs="Times New Roman"/>
          <w:sz w:val="32"/>
          <w:szCs w:val="32"/>
          <w:lang w:eastAsia="zh-CN"/>
        </w:rPr>
        <w:t>河北省省</w:t>
      </w:r>
      <w:r>
        <w:rPr>
          <w:rFonts w:hint="eastAsia" w:ascii="Times New Roman" w:hAnsi="Times New Roman" w:eastAsia="仿宋" w:cs="Times New Roman"/>
          <w:sz w:val="32"/>
          <w:szCs w:val="32"/>
        </w:rPr>
        <w:t>级预算公开办法》规定，现将</w:t>
      </w:r>
      <w:r>
        <w:rPr>
          <w:rFonts w:hint="eastAsia" w:ascii="Times New Roman" w:hAnsi="Times New Roman" w:eastAsia="仿宋" w:cs="Times New Roman"/>
          <w:sz w:val="32"/>
          <w:szCs w:val="32"/>
          <w:lang w:eastAsia="zh-CN"/>
        </w:rPr>
        <w:t>鹿泉区上庄镇人民政府</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ascii="Times New Roman" w:hAnsi="Times New Roman" w:eastAsia="仿宋" w:cs="Times New Roman"/>
          <w:b w:val="0"/>
          <w:bCs/>
          <w:sz w:val="32"/>
          <w:szCs w:val="32"/>
        </w:rPr>
      </w:pPr>
      <w:r>
        <w:rPr>
          <w:rFonts w:hint="eastAsia" w:ascii="仿宋" w:hAnsi="仿宋" w:eastAsia="仿宋" w:cs="Times New Roman"/>
          <w:b w:val="0"/>
          <w:bCs/>
          <w:sz w:val="32"/>
          <w:szCs w:val="32"/>
        </w:rPr>
        <w:t>根据《石家庄市鹿泉区上庄镇人民政府职能配置、内设机构和人员编制规定》， 鹿泉区上庄镇人民政府的主要职责是：</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eastAsia="zh-CN"/>
        </w:rPr>
        <w:t>（一）</w:t>
      </w:r>
      <w:r>
        <w:rPr>
          <w:rFonts w:hint="eastAsia" w:ascii="仿宋" w:hAnsi="仿宋" w:eastAsia="仿宋" w:cs="Times New Roman"/>
          <w:sz w:val="32"/>
          <w:szCs w:val="32"/>
        </w:rPr>
        <w:t>宣传、贯彻、执行党的路线、方针政策和国家的法律、法规、执行本级人民代表大会的决议和上级国家行政机关的决定和命令。</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eastAsia="zh-CN"/>
        </w:rPr>
        <w:t>（二）</w:t>
      </w:r>
      <w:r>
        <w:rPr>
          <w:rFonts w:hint="eastAsia" w:ascii="仿宋" w:hAnsi="仿宋" w:eastAsia="仿宋" w:cs="Times New Roman"/>
          <w:sz w:val="32"/>
          <w:szCs w:val="32"/>
        </w:rPr>
        <w:t>搞好本镇产业发展规划，引导农民立足自身资源和区位条件，发挥优势，大力发展区域特色经济。为农民提供政策、信息等服务，促进农民脱贫致富；加强工业经济管理，为招商引资营造良好环境。配合民政、商务等部门，培育和发展农村经济合作组织，做好农业技术推广和服务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eastAsia="zh-CN"/>
        </w:rPr>
        <w:t>（三）</w:t>
      </w:r>
      <w:r>
        <w:rPr>
          <w:rFonts w:hint="eastAsia" w:ascii="仿宋" w:hAnsi="仿宋" w:eastAsia="仿宋" w:cs="Times New Roman"/>
          <w:sz w:val="32"/>
          <w:szCs w:val="32"/>
        </w:rPr>
        <w:t>加强镇村财政资金监督管理、农村合同管理及农民减负工作，做好乡镇统计、审计等工作；做好人口和计划生育管理工作及计划生育协会工作。加强流动人口和计划生育服务等工作；推进农村民主政治建设和村民自治，加强农村基层组织建设，为实现公民在选举、决策、管理等方面的民主权利创造条件；加强农村精神文明和生态文明村建设，制定构建和谐社会的具体措施，并抓好组织实施；配合城建、国土资源部门做好村建设规划、保护耕地工作；配合安全生产监督管理部门做好安全生产监督管理工作；配合武装部做好征兵及民兵工作；配合环保部门做好保护环境、改善生态环境工作，提高资源利用率。</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eastAsia="zh-CN"/>
        </w:rPr>
        <w:t>（四）</w:t>
      </w:r>
      <w:r>
        <w:rPr>
          <w:rFonts w:hint="eastAsia" w:ascii="仿宋" w:hAnsi="仿宋" w:eastAsia="仿宋" w:cs="Times New Roman"/>
          <w:sz w:val="32"/>
          <w:szCs w:val="32"/>
        </w:rPr>
        <w:t>量力组织镇村公共基础设施建设，配合教育、科技、文体、卫生等部门搞好九年义务教育，普及推广科学技术，丰富农村文化生活，开展全民健身运动，推行和完善新型合作医疗制度，提高参保率；配合农口部门做好农业技术服务和技术推广工作，加强农田水利基本建设，增强农业抗御自然灾害的能力；配合广播电视、电力、电信等部门，做好普及有线电视、电网改造工作，扩大通讯网络在农村的覆盖面；配合民政、残联部门做好农村扶贫和低保工作及特困户救助和残疾人服务工作。配合劳动部门做好农村劳动力职业培训、劳动就业和社会保障工作。</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eastAsia="zh-CN"/>
        </w:rPr>
        <w:t>（五）</w:t>
      </w:r>
      <w:r>
        <w:rPr>
          <w:rFonts w:hint="eastAsia" w:ascii="仿宋" w:hAnsi="仿宋" w:eastAsia="仿宋" w:cs="Times New Roman"/>
          <w:sz w:val="32"/>
          <w:szCs w:val="32"/>
        </w:rPr>
        <w:t>做好社会治安综合治理工作；宣传贯彻国家法律法规和政策，增强农民法律意识；做好司法、宗教工作，打击邪教；做好群众来信来访、法律咨询、搞好农村矛盾排查调处；妥善处理突发性、群体性事件，维护社会稳定；协助司法机关打击各类刑事犯罪活动。</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石家庄市鹿泉区上庄镇人民政府</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rPr>
              <w:t>正</w:t>
            </w:r>
            <w:r>
              <w:rPr>
                <w:rFonts w:hint="eastAsia" w:ascii="方正书宋_GBK" w:eastAsia="方正书宋_GBK"/>
                <w:lang w:eastAsia="zh-CN"/>
              </w:rPr>
              <w:t>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鹿泉区上庄镇人民政府</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7054.38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6754.38</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300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highlight w:val="none"/>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石家庄市鹿泉区上庄镇人民政府</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7054.38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2227.58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1123.34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1104.24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4826.8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highlight w:val="none"/>
        </w:rPr>
        <w:t>主要为</w:t>
      </w:r>
      <w:r>
        <w:rPr>
          <w:rFonts w:hint="eastAsia" w:ascii="Times New Roman" w:hAnsi="Times New Roman" w:eastAsia="仿宋" w:cs="Times New Roman"/>
          <w:sz w:val="32"/>
          <w:szCs w:val="32"/>
          <w:highlight w:val="none"/>
          <w:lang w:eastAsia="zh-CN"/>
        </w:rPr>
        <w:t>环境卫生整治支出</w:t>
      </w:r>
      <w:r>
        <w:rPr>
          <w:rFonts w:hint="eastAsia" w:ascii="Times New Roman" w:hAnsi="Times New Roman" w:eastAsia="仿宋" w:cs="Times New Roman"/>
          <w:sz w:val="32"/>
          <w:szCs w:val="32"/>
          <w:highlight w:val="none"/>
          <w:lang w:val="en-US" w:eastAsia="zh-CN"/>
        </w:rPr>
        <w:t>1557.5</w:t>
      </w:r>
      <w:r>
        <w:rPr>
          <w:rFonts w:hint="eastAsia" w:ascii="Times New Roman" w:hAnsi="Times New Roman" w:eastAsia="仿宋" w:cs="Times New Roman"/>
          <w:sz w:val="32"/>
          <w:szCs w:val="32"/>
          <w:highlight w:val="none"/>
        </w:rPr>
        <w:t>万元，</w:t>
      </w:r>
      <w:r>
        <w:rPr>
          <w:rFonts w:hint="eastAsia" w:ascii="Times New Roman" w:hAnsi="Times New Roman" w:eastAsia="仿宋" w:cs="Times New Roman"/>
          <w:sz w:val="32"/>
          <w:szCs w:val="32"/>
          <w:highlight w:val="none"/>
          <w:lang w:eastAsia="zh-CN"/>
        </w:rPr>
        <w:t>基础设施建设及城乡社区规划</w:t>
      </w:r>
      <w:r>
        <w:rPr>
          <w:rFonts w:hint="eastAsia" w:ascii="Times New Roman" w:hAnsi="Times New Roman" w:eastAsia="仿宋" w:cs="Times New Roman"/>
          <w:sz w:val="32"/>
          <w:szCs w:val="32"/>
          <w:highlight w:val="none"/>
        </w:rPr>
        <w:t>支出</w:t>
      </w:r>
      <w:r>
        <w:rPr>
          <w:rFonts w:hint="eastAsia" w:ascii="Times New Roman" w:hAnsi="Times New Roman" w:eastAsia="仿宋" w:cs="Times New Roman"/>
          <w:sz w:val="32"/>
          <w:szCs w:val="32"/>
          <w:highlight w:val="none"/>
          <w:lang w:val="en-US" w:eastAsia="zh-CN"/>
        </w:rPr>
        <w:t>1488</w:t>
      </w:r>
      <w:r>
        <w:rPr>
          <w:rFonts w:hint="eastAsia" w:ascii="Times New Roman" w:hAnsi="Times New Roman" w:eastAsia="仿宋" w:cs="Times New Roman"/>
          <w:sz w:val="32"/>
          <w:szCs w:val="32"/>
          <w:highlight w:val="none"/>
        </w:rPr>
        <w:t>万元，</w:t>
      </w:r>
      <w:r>
        <w:rPr>
          <w:rFonts w:hint="eastAsia" w:ascii="Times New Roman" w:hAnsi="Times New Roman" w:eastAsia="仿宋" w:cs="Times New Roman"/>
          <w:sz w:val="32"/>
          <w:szCs w:val="32"/>
          <w:highlight w:val="none"/>
          <w:lang w:eastAsia="zh-CN"/>
        </w:rPr>
        <w:t>法制建设经费</w:t>
      </w:r>
      <w:r>
        <w:rPr>
          <w:rFonts w:hint="eastAsia" w:ascii="Times New Roman" w:hAnsi="Times New Roman" w:eastAsia="仿宋" w:cs="Times New Roman"/>
          <w:sz w:val="32"/>
          <w:szCs w:val="32"/>
          <w:highlight w:val="none"/>
        </w:rPr>
        <w:t>支出</w:t>
      </w:r>
      <w:r>
        <w:rPr>
          <w:rFonts w:hint="eastAsia" w:ascii="Times New Roman" w:hAnsi="Times New Roman" w:eastAsia="仿宋" w:cs="Times New Roman"/>
          <w:sz w:val="32"/>
          <w:szCs w:val="32"/>
          <w:highlight w:val="none"/>
          <w:lang w:val="en-US" w:eastAsia="zh-CN"/>
        </w:rPr>
        <w:t>289.46</w:t>
      </w:r>
      <w:r>
        <w:rPr>
          <w:rFonts w:hint="eastAsia" w:ascii="Times New Roman" w:hAnsi="Times New Roman" w:eastAsia="仿宋" w:cs="Times New Roman"/>
          <w:sz w:val="32"/>
          <w:szCs w:val="32"/>
          <w:highlight w:val="none"/>
        </w:rPr>
        <w:t>万元，</w:t>
      </w:r>
      <w:r>
        <w:rPr>
          <w:rFonts w:hint="eastAsia" w:ascii="Times New Roman" w:hAnsi="Times New Roman" w:eastAsia="仿宋" w:cs="Times New Roman"/>
          <w:sz w:val="32"/>
          <w:szCs w:val="32"/>
          <w:highlight w:val="none"/>
          <w:lang w:eastAsia="zh-CN"/>
        </w:rPr>
        <w:t>对个人和家庭补助</w:t>
      </w:r>
      <w:r>
        <w:rPr>
          <w:rFonts w:hint="eastAsia" w:ascii="Times New Roman" w:hAnsi="Times New Roman" w:eastAsia="仿宋" w:cs="Times New Roman"/>
          <w:sz w:val="32"/>
          <w:szCs w:val="32"/>
          <w:highlight w:val="none"/>
        </w:rPr>
        <w:t>支出</w:t>
      </w:r>
      <w:r>
        <w:rPr>
          <w:rFonts w:hint="eastAsia" w:ascii="Times New Roman" w:hAnsi="Times New Roman" w:eastAsia="仿宋" w:cs="Times New Roman"/>
          <w:sz w:val="32"/>
          <w:szCs w:val="32"/>
          <w:highlight w:val="none"/>
          <w:lang w:val="en-US" w:eastAsia="zh-CN"/>
        </w:rPr>
        <w:t>374.84</w:t>
      </w:r>
      <w:r>
        <w:rPr>
          <w:rFonts w:hint="eastAsia" w:ascii="Times New Roman" w:hAnsi="Times New Roman" w:eastAsia="仿宋" w:cs="Times New Roman"/>
          <w:sz w:val="32"/>
          <w:szCs w:val="32"/>
          <w:highlight w:val="none"/>
        </w:rPr>
        <w:t>万元，</w:t>
      </w:r>
      <w:r>
        <w:rPr>
          <w:rFonts w:hint="eastAsia" w:ascii="Times New Roman" w:hAnsi="Times New Roman" w:eastAsia="仿宋" w:cs="Times New Roman"/>
          <w:sz w:val="32"/>
          <w:szCs w:val="32"/>
          <w:highlight w:val="none"/>
          <w:lang w:eastAsia="zh-CN"/>
        </w:rPr>
        <w:t>绿化等公益事业支出</w:t>
      </w:r>
      <w:r>
        <w:rPr>
          <w:rFonts w:hint="eastAsia" w:ascii="Times New Roman" w:hAnsi="Times New Roman" w:eastAsia="仿宋" w:cs="Times New Roman"/>
          <w:sz w:val="32"/>
          <w:szCs w:val="32"/>
          <w:highlight w:val="none"/>
          <w:lang w:val="en-US" w:eastAsia="zh-CN"/>
        </w:rPr>
        <w:t>996</w:t>
      </w:r>
      <w:r>
        <w:rPr>
          <w:rFonts w:hint="eastAsia" w:ascii="Times New Roman" w:hAnsi="Times New Roman" w:eastAsia="仿宋" w:cs="Times New Roman"/>
          <w:sz w:val="32"/>
          <w:szCs w:val="32"/>
          <w:highlight w:val="none"/>
        </w:rPr>
        <w:t>万元</w:t>
      </w:r>
      <w:r>
        <w:rPr>
          <w:rFonts w:hint="eastAsia" w:ascii="Times New Roman" w:hAnsi="Times New Roman" w:eastAsia="仿宋" w:cs="Times New Roman"/>
          <w:sz w:val="32"/>
          <w:szCs w:val="32"/>
          <w:highlight w:val="none"/>
          <w:lang w:eastAsia="zh-CN"/>
        </w:rPr>
        <w:t>，镇各部门专项业务支出</w:t>
      </w:r>
      <w:r>
        <w:rPr>
          <w:rFonts w:hint="eastAsia" w:ascii="Times New Roman" w:hAnsi="Times New Roman" w:eastAsia="仿宋" w:cs="Times New Roman"/>
          <w:sz w:val="32"/>
          <w:szCs w:val="32"/>
          <w:highlight w:val="none"/>
          <w:lang w:val="en-US" w:eastAsia="zh-CN"/>
        </w:rPr>
        <w:t>121</w:t>
      </w:r>
      <w:r>
        <w:rPr>
          <w:rFonts w:hint="eastAsia" w:ascii="Times New Roman" w:hAnsi="Times New Roman" w:eastAsia="仿宋" w:cs="Times New Roman"/>
          <w:sz w:val="32"/>
          <w:szCs w:val="32"/>
          <w:highlight w:val="none"/>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7054.38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2502.64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460.76</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2963.4</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减少农村环境保护和基础设施建设支出</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w:t>
      </w:r>
      <w:r>
        <w:rPr>
          <w:rFonts w:hint="eastAsia" w:ascii="Times New Roman" w:hAnsi="Times New Roman" w:eastAsia="仿宋" w:cs="Times New Roman"/>
          <w:sz w:val="32"/>
          <w:szCs w:val="32"/>
          <w:lang w:eastAsia="zh-CN"/>
        </w:rPr>
        <w:t>鹿泉区上庄镇人民政府</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1104.24</w:t>
      </w:r>
      <w:r>
        <w:rPr>
          <w:rFonts w:hint="eastAsia" w:ascii="Times New Roman" w:hAnsi="Times New Roman" w:eastAsia="仿宋" w:cs="Times New Roman"/>
          <w:sz w:val="32"/>
          <w:szCs w:val="32"/>
        </w:rPr>
        <w:t>万元，主要用于保证机关正常运转的办公及印刷费、邮电费、差旅费、福利费、专用材料及一般设备购置费、办公用房水电费、办公用房取暖费、日常维修费、公务车运行维护费等支出。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w:t>
      </w:r>
      <w:r>
        <w:rPr>
          <w:rFonts w:hint="eastAsia" w:ascii="Times New Roman" w:hAnsi="Times New Roman" w:eastAsia="仿宋" w:cs="Times New Roman"/>
          <w:sz w:val="32"/>
          <w:szCs w:val="32"/>
          <w:lang w:eastAsia="zh-CN"/>
        </w:rPr>
        <w:t>鹿泉区上庄镇人民政府</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8.1</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8.1</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8.1</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w:t>
      </w:r>
      <w:r>
        <w:rPr>
          <w:rFonts w:hint="eastAsia" w:ascii="Times New Roman" w:hAnsi="Times New Roman" w:eastAsia="仿宋" w:cs="Times New Roman"/>
          <w:sz w:val="32"/>
          <w:szCs w:val="32"/>
          <w:lang w:eastAsia="zh-CN"/>
        </w:rPr>
        <w:t>相比减少</w:t>
      </w:r>
      <w:r>
        <w:rPr>
          <w:rFonts w:hint="eastAsia" w:ascii="Times New Roman" w:hAnsi="Times New Roman" w:eastAsia="仿宋" w:cs="Times New Roman"/>
          <w:sz w:val="32"/>
          <w:szCs w:val="32"/>
          <w:lang w:val="en-US" w:eastAsia="zh-CN"/>
        </w:rPr>
        <w:t>4.5万元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减少的原因是：公务接待费减少</w:t>
      </w:r>
      <w:r>
        <w:rPr>
          <w:rFonts w:hint="eastAsia" w:ascii="Times New Roman" w:hAnsi="Times New Roman" w:eastAsia="仿宋" w:cs="Times New Roman"/>
          <w:sz w:val="32"/>
          <w:szCs w:val="32"/>
          <w:lang w:val="en-US" w:eastAsia="zh-CN"/>
        </w:rPr>
        <w:t>4.5万元，主要是本年度无公务接待事项</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认真落实国家政策方针，充分发挥经济管理职能，加强本乡镇全体民众的政策引导，为全镇人民提供公共服务，主动维护社会稳定，积极构建和谐社会，防范安全生产事故，营造安全氛围，改善生态环境，新增绿化面积4500亩，提升环境容貌，加大对我镇裕华路、中山路、南二环西延三条重点道路环境整治，预计清理垃圾400000平方，扬尘覆盖200000万平方。按照区委、区政府等上级机关对乡镇的各项安排部署，保障便民服务中心、城乡环境综合治理、信访、安全维稳、安全生产、党代会、人代会、纪检监察、党建、服务群众等各项工作的顺利开展，按时、按质、按量完成各项工作任务，及时保障政府机关人员、村干部经费的发放，确保上庄镇社会安全、安定、道路畅通、环境干净优美、村民办事方便快捷。</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农村生态环境项目</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绩效目标：改善生态环境，新增绿化面积，护林防火工作到位。</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指标：我镇双龙山、西山等山区新增绿化面积3500亩，山前大道、获铜路两侧新增绿化面积1000亩，森林绿化覆盖率高于90%。山场村设置的护林防火岗位人员不少于90个，工资标准700元/人/月，按照实际考核发放工资。按计划应每天巡查次数不少于3次，每天巡查时间不少于8小时，储备防火物资，抓好森林火灾防控措施的落实，确保不发生</w:t>
      </w:r>
      <w:r>
        <w:rPr>
          <w:rFonts w:hint="eastAsia" w:ascii="仿宋" w:hAnsi="仿宋" w:eastAsia="仿宋" w:cs="仿宋"/>
          <w:b w:val="0"/>
          <w:bCs/>
          <w:sz w:val="32"/>
          <w:szCs w:val="32"/>
          <w:lang w:eastAsia="zh-CN"/>
        </w:rPr>
        <w:t>重特大</w:t>
      </w:r>
      <w:r>
        <w:rPr>
          <w:rFonts w:hint="eastAsia" w:ascii="仿宋" w:hAnsi="仿宋" w:eastAsia="仿宋" w:cs="仿宋"/>
          <w:b w:val="0"/>
          <w:bCs/>
          <w:sz w:val="32"/>
          <w:szCs w:val="32"/>
        </w:rPr>
        <w:t>森林火灾和群死群伤事故，年度森林火灾受害率不高于0.01%。</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环境卫生整治项目</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绩效目标：镇域、村容环境整齐清洁，提升环境质量。</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指标：镇域内卫生整治的村落数16个，我镇城管队员人数65名，每月每人工资标准2450元，预计2020年度内全镇范围内清运垃圾数量400000平方，扬尘覆盖面积200000平方，环境整洁韩静、无乱堆乱放，绿化、草坪养护良好，草坪内无垃圾杂物，村容环境达到考核标准。</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整体规划设计及违建拆除项目</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绩效目标：按需缴纳路灯电费，保障居民夜间出行安全，拆除我镇域范围内违建，提高我镇品味，有效化解各种矛盾。</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指标：严格按卫片要求彻底拆除地上违法建筑物，2020年度新增违法建筑卫片不大于1个，在时间要求范围内拆除违建，违法占地图斑上建筑物拆除情况按照规划标准落实，吉溪庄园地上建筑物亩数拆除32亩，拆迁评估款发放标准按照评估公司出具的评估报告据实发放，评估标准为1300元/平方米。按照规划标准落实，恢复基本农田，达到西部山前区规划标准，实现人与自然的和谐，通过给予拆除补偿款，促进社会稳定。缴纳裕华路、南二环西延、山前大道、中山路等路灯电费及时，避免影响群众出行，根据上庄镇城乡社区规划，保护城乡土地合法使用。</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专项业务活动项目</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绩效目标：提高职员工作积极性，保障单位宣传、安全生产、信访等各部门工作顺利开展，取得良好的社会效益</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rPr>
        <w:t>绩效指标：举办如“六一节”贫困儿童慰问活动、春节走访活动等，宣传文明城、卫生城和社会主义核心价值观，镇域内新增牌匾及宣传标语24处，通过宣传、团委、妇联等部门项目建设，带动我镇宣传文化事业发展的效果。加强企业安全生产排查，保证全镇64家企业消除安全隐患，全年不出现安全生产事故。信访案件2020年度解决10宗，接待上访群众不少于500批次，通过接待上访人员、对其进行合法合理补助后社会逐步稳定。</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完善制度建设。制定完善预算绩效管理制度、资金管理办法、工作保障制度等，为全年预算绩效目标的实现奠定制度基础。</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加强支出管理。通过优化支出结构、编细编实预算、加快履行政府采购手续、尽快启动项目、及时支付资金、按规定及时下达资金等多种措施，确保支出进度达标。</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加强绩效运行监控。按要求开展绩效运行监控，发现问题及时采取措施，确保绩效目标如期保质实现。</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sz w:val="32"/>
          <w:szCs w:val="32"/>
        </w:rPr>
        <w:t>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6.</w:t>
      </w:r>
      <w:r>
        <w:rPr>
          <w:rFonts w:hint="eastAsia" w:ascii="仿宋" w:hAnsi="仿宋" w:eastAsia="仿宋" w:cs="仿宋"/>
          <w:b w:val="0"/>
          <w:bCs/>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7.</w:t>
      </w:r>
      <w:r>
        <w:rPr>
          <w:rFonts w:hint="eastAsia" w:ascii="仿宋" w:hAnsi="仿宋" w:eastAsia="仿宋" w:cs="仿宋"/>
          <w:b w:val="0"/>
          <w:bCs/>
          <w:sz w:val="32"/>
          <w:szCs w:val="32"/>
        </w:rPr>
        <w:t>加强宣传培训调研等。加强人员培训，提高本部门职工业务素质；加强调研，提出优化财政资金配置、提高资金使用效益的意见；加大宣传力度，强化预算绩效管理意识，促进预算绩效管理水平进一步提升。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方正仿宋_GBK" w:cs="Times New Roman"/>
          <w:b w:val="0"/>
          <w:bCs/>
          <w:sz w:val="32"/>
          <w:szCs w:val="32"/>
        </w:rPr>
      </w:pPr>
      <w:r>
        <w:rPr>
          <w:rFonts w:hint="eastAsia" w:ascii="Times New Roman" w:hAnsi="Times New Roman" w:eastAsia="方正仿宋_GBK" w:cs="Times New Roman"/>
          <w:b w:val="0"/>
          <w:bCs/>
          <w:sz w:val="32"/>
          <w:szCs w:val="32"/>
        </w:rPr>
        <w:t>第二部分  预算项目绩效目标</w:t>
      </w:r>
    </w:p>
    <w:p>
      <w:pPr>
        <w:spacing w:line="14" w:lineRule="exact"/>
        <w:ind w:firstLine="420" w:firstLineChars="200"/>
        <w:jc w:val="center"/>
        <w:rPr>
          <w:rFonts w:ascii="Times New Roman" w:hAnsi="宋体"/>
        </w:rPr>
      </w:pPr>
      <w:r>
        <w:rPr>
          <w:rFonts w:ascii="方正书宋_GBK" w:eastAsia="方正书宋_GBK"/>
        </w:rPr>
        <w:t xml:space="preserve"> </w:t>
      </w:r>
    </w:p>
    <w:p>
      <w:pPr>
        <w:ind w:firstLine="560" w:firstLineChars="200"/>
        <w:jc w:val="left"/>
        <w:outlineLvl w:val="1"/>
        <w:rPr>
          <w:rFonts w:ascii="Times New Roman" w:hAnsi="宋体"/>
          <w:b/>
          <w:sz w:val="28"/>
        </w:rPr>
      </w:pPr>
      <w:r>
        <w:rPr>
          <w:rFonts w:hint="eastAsia" w:ascii="方正仿宋_GBK" w:eastAsia="方正仿宋_GBK"/>
          <w:b/>
          <w:sz w:val="28"/>
        </w:rPr>
        <w:t>1、环境整治、拆除项目绩效目标表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25119"/>
      <w:r>
        <w:rPr>
          <w:rFonts w:hint="eastAsia" w:ascii="方正仿宋_GBK" w:eastAsia="方正仿宋_GBK"/>
          <w:b/>
          <w:sz w:val="28"/>
        </w:rPr>
        <w:instrText xml:space="preserve">1、环境整治、拆除项目绩效目标表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、按时对张振勤及吉溪庄园发放补偿款，在</w:t>
            </w:r>
            <w:r>
              <w:rPr>
                <w:rFonts w:ascii="方正书宋_GBK" w:eastAsia="方正书宋_GBK"/>
              </w:rPr>
              <w:t>2020</w:t>
            </w:r>
            <w:r>
              <w:rPr>
                <w:rFonts w:hint="eastAsia" w:ascii="方正书宋_GBK" w:eastAsia="方正书宋_GBK"/>
              </w:rPr>
              <w:t>年底全部付清，违法占地图斑上的建筑物全部拆除完毕，达到石家庄市西部山前区规划标准。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、消除不稳定因素，维护社会和谐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违法占地图斑上建筑物拆除情况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实际拆除的地上建筑物占按照规划应拆除的地上建筑物的比重</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工作计划及石家庄市西部山前区规划要求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吉溪庄园地上建筑物拆除亩数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按照规划应拆除地上建筑物亩数</w:t>
            </w:r>
          </w:p>
        </w:tc>
        <w:tc>
          <w:tcPr>
            <w:tcW w:w="1276" w:type="dxa"/>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拆除补偿款发放标准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按照评估公司出具的评估金额补偿</w:t>
            </w:r>
          </w:p>
        </w:tc>
        <w:tc>
          <w:tcPr>
            <w:tcW w:w="1276" w:type="dxa"/>
            <w:vAlign w:val="center"/>
          </w:tcPr>
          <w:p>
            <w:pPr>
              <w:spacing w:line="300" w:lineRule="exact"/>
              <w:jc w:val="left"/>
              <w:rPr>
                <w:rFonts w:ascii="方正书宋_GBK" w:eastAsia="方正书宋_GBK"/>
              </w:rPr>
            </w:pPr>
            <w:r>
              <w:rPr>
                <w:rFonts w:ascii="方正书宋_GBK" w:eastAsia="方正书宋_GBK"/>
              </w:rPr>
              <w:t>1300</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违法占地图斑上建筑物拆除时效性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在规定时限内拆除违法占地图斑</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工作计划及石家庄市西部山前区规划要求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发放拆除补偿款及时率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按照工作计划要求及时发放补偿款</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工作计划及政策批示要求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达到石家庄市西部山前区规划标准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按照规划标准落实，保障基本农田，实现人与自然的和谐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恢复基本农田，达到西部山前区规划标准</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工作计划及石家庄市西部山前区规划要求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通过给予拆除补偿款，促进社会稳定</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无针对此事的上访事件，社会稳定</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工作计划及石家庄市西部山前区规划要求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群众对补偿款发放情况的满意程度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群众对当年整治不符合规划项目的整体满意度</w:t>
            </w:r>
          </w:p>
          <w:p>
            <w:pPr>
              <w:spacing w:line="300" w:lineRule="exact"/>
              <w:jc w:val="left"/>
              <w:rPr>
                <w:rFonts w:ascii="方正书宋_GBK" w:eastAsia="方正书宋_GBK"/>
              </w:rPr>
            </w:pP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p>
            <w:pPr>
              <w:spacing w:line="300" w:lineRule="exact"/>
              <w:jc w:val="left"/>
              <w:rPr>
                <w:rFonts w:hint="eastAsia"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jc w:val="left"/>
        <w:outlineLvl w:val="1"/>
        <w:rPr>
          <w:rFonts w:ascii="Times New Roman" w:hAnsi="宋体"/>
          <w:b/>
          <w:sz w:val="28"/>
        </w:rPr>
      </w:pPr>
      <w:r>
        <w:rPr>
          <w:rFonts w:hint="eastAsia" w:ascii="方正仿宋_GBK" w:eastAsia="方正仿宋_GBK"/>
          <w:b/>
          <w:sz w:val="28"/>
        </w:rPr>
        <w:t xml:space="preserve">  </w:t>
      </w:r>
      <w:r>
        <w:rPr>
          <w:rFonts w:hint="eastAsia" w:ascii="方正仿宋_GBK" w:eastAsia="方正仿宋_GBK"/>
          <w:b/>
          <w:sz w:val="28"/>
          <w:lang w:val="en-US" w:eastAsia="zh-CN"/>
        </w:rPr>
        <w:t xml:space="preserve">   </w:t>
      </w:r>
      <w:r>
        <w:rPr>
          <w:rFonts w:hint="eastAsia" w:ascii="方正仿宋_GBK" w:eastAsia="方正仿宋_GBK"/>
          <w:b/>
          <w:sz w:val="28"/>
        </w:rPr>
        <w:t>2、农村文化建设专项资金绩效目标表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、建设文化宣传栏、活动场地，举办文化活动，丰富群众精神文化生活，保障农村文化活动持续开展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文化活动广场建设面积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镇域内农村文化活动广场建设面积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上庄镇党政联席会议要求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宣传栏建设个数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镇域内农村宣传栏建设个数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上庄镇党政联席会议要求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农村文化建设专项资金金额</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年农村文化建设专项资金金额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政策要求及年初工作计划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农村文化建设资金拨付及时率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农村文化建设资金拨付到村及时率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政策要求及年初工作计划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受益村庄数量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通过实施农村文化建设项目，受益的村庄数量</w:t>
            </w:r>
          </w:p>
        </w:tc>
        <w:tc>
          <w:tcPr>
            <w:tcW w:w="1276" w:type="dxa"/>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上庄镇党政联席会议要求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受益人口数量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通过实施农村文化建设项目，受益的人口数量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上庄镇党政联席会议要求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开展文化活动场次</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年预计开展文化活动场次</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上庄镇党政联席会议要求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村民对村综合文化服务中心使用情况的满意度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通过调查问卷，村民对当年文化建设活动满意程度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调查问卷</w:t>
            </w:r>
          </w:p>
          <w:p>
            <w:pPr>
              <w:spacing w:line="300" w:lineRule="exact"/>
              <w:jc w:val="left"/>
              <w:rPr>
                <w:rFonts w:hint="eastAsia" w:ascii="方正书宋_GBK" w:eastAsia="方正书宋_GBK"/>
              </w:rPr>
            </w:pPr>
          </w:p>
        </w:tc>
      </w:tr>
    </w:tbl>
    <w:p>
      <w:pPr>
        <w:spacing w:line="300" w:lineRule="exact"/>
        <w:ind w:firstLine="420" w:firstLineChars="200"/>
        <w:jc w:val="left"/>
      </w:pPr>
    </w:p>
    <w:p>
      <w:pPr>
        <w:spacing w:line="14" w:lineRule="exact"/>
        <w:ind w:firstLine="420" w:firstLineChars="200"/>
        <w:jc w:val="center"/>
        <w:rPr>
          <w:rFonts w:ascii="Times New Roman" w:hAnsi="宋体"/>
        </w:rPr>
      </w:pPr>
      <w:r>
        <w:rPr>
          <w:rFonts w:ascii="方正书宋_GBK" w:eastAsia="方正书宋_GBK"/>
        </w:rPr>
        <w:t xml:space="preserve"> </w:t>
      </w:r>
    </w:p>
    <w:p>
      <w:pPr>
        <w:ind w:firstLine="560" w:firstLineChars="200"/>
        <w:jc w:val="left"/>
        <w:outlineLvl w:val="1"/>
        <w:rPr>
          <w:rFonts w:ascii="Times New Roman" w:hAnsi="宋体"/>
          <w:b/>
          <w:sz w:val="28"/>
        </w:rPr>
      </w:pPr>
      <w:r>
        <w:rPr>
          <w:rFonts w:hint="eastAsia" w:ascii="方正仿宋_GBK" w:eastAsia="方正仿宋_GBK"/>
          <w:b/>
          <w:sz w:val="28"/>
        </w:rPr>
        <w:t>3、涉军</w:t>
      </w:r>
      <w:r>
        <w:rPr>
          <w:rFonts w:hint="eastAsia" w:ascii="方正仿宋_GBK" w:eastAsia="方正仿宋_GBK"/>
          <w:b/>
          <w:sz w:val="28"/>
          <w:lang w:eastAsia="zh-CN"/>
        </w:rPr>
        <w:t>公益性岗位</w:t>
      </w:r>
      <w:r>
        <w:rPr>
          <w:rFonts w:hint="eastAsia" w:ascii="方正仿宋_GBK" w:eastAsia="方正仿宋_GBK"/>
          <w:b/>
          <w:sz w:val="28"/>
        </w:rPr>
        <w:t>人员工资绩效目标表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25121"/>
      <w:r>
        <w:rPr>
          <w:rFonts w:hint="eastAsia" w:ascii="方正仿宋_GBK" w:eastAsia="方正仿宋_GBK"/>
          <w:b/>
          <w:sz w:val="28"/>
        </w:rPr>
        <w:instrText xml:space="preserve">3、涉军公益岗位人员工资绩效目标表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、按时按月足额发放</w:t>
            </w:r>
            <w:r>
              <w:rPr>
                <w:rFonts w:ascii="方正书宋_GBK" w:eastAsia="方正书宋_GBK"/>
              </w:rPr>
              <w:t>2020</w:t>
            </w:r>
            <w:r>
              <w:rPr>
                <w:rFonts w:hint="eastAsia" w:ascii="方正书宋_GBK" w:eastAsia="方正书宋_GBK"/>
              </w:rPr>
              <w:t>年度涉军</w:t>
            </w:r>
            <w:r>
              <w:rPr>
                <w:rFonts w:hint="eastAsia" w:ascii="方正书宋_GBK" w:eastAsia="方正书宋_GBK"/>
                <w:lang w:eastAsia="zh-CN"/>
              </w:rPr>
              <w:t>公益性岗位</w:t>
            </w:r>
            <w:r>
              <w:rPr>
                <w:rFonts w:hint="eastAsia" w:ascii="方正书宋_GBK" w:eastAsia="方正书宋_GBK"/>
              </w:rPr>
              <w:t>人员工资共</w:t>
            </w:r>
            <w:r>
              <w:rPr>
                <w:rFonts w:ascii="方正书宋_GBK" w:eastAsia="方正书宋_GBK"/>
              </w:rPr>
              <w:t>52.28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w:t>
            </w:r>
            <w:r>
              <w:rPr>
                <w:rFonts w:ascii="方正书宋_GBK" w:eastAsia="方正书宋_GBK"/>
              </w:rPr>
              <w:t>21</w:t>
            </w:r>
            <w:r>
              <w:rPr>
                <w:rFonts w:hint="eastAsia" w:ascii="方正书宋_GBK" w:eastAsia="方正书宋_GBK"/>
              </w:rPr>
              <w:t>名退役士兵就业安置工作，促进退役士兵自主就业，切实维护广大退役士兵的合法权益。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发放退役军人补助人数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实际按照政策应发放工资及取暖补助人数</w:t>
            </w:r>
          </w:p>
        </w:tc>
        <w:tc>
          <w:tcPr>
            <w:tcW w:w="1276" w:type="dxa"/>
            <w:vAlign w:val="center"/>
          </w:tcPr>
          <w:p>
            <w:pPr>
              <w:spacing w:line="300" w:lineRule="exact"/>
              <w:jc w:val="left"/>
              <w:rPr>
                <w:rFonts w:ascii="方正书宋_GBK" w:eastAsia="方正书宋_GBK"/>
              </w:rPr>
            </w:pPr>
            <w:r>
              <w:rPr>
                <w:rFonts w:ascii="方正书宋_GBK" w:eastAsia="方正书宋_GBK"/>
              </w:rPr>
              <w:t>21</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经费及时发放率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是否每月按时足额发放工资和取暖补贴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经费发放标准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是否按照政策中要求的标准发放涉军</w:t>
            </w:r>
            <w:r>
              <w:rPr>
                <w:rFonts w:hint="eastAsia" w:ascii="方正书宋_GBK" w:eastAsia="方正书宋_GBK"/>
                <w:lang w:eastAsia="zh-CN"/>
              </w:rPr>
              <w:t>公益性岗位</w:t>
            </w:r>
            <w:r>
              <w:rPr>
                <w:rFonts w:hint="eastAsia" w:ascii="方正书宋_GBK" w:eastAsia="方正书宋_GBK"/>
              </w:rPr>
              <w:t>人员工资和取暖补贴</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按标准发放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通过实施退役士兵托底安置政策促进社会稳定水平逐步提高</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无涉军访，促进社会和谐稳定</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退役士兵就业安置人数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涉军公益岗人员数量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21</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满意和较满意的涉军</w:t>
            </w:r>
            <w:r>
              <w:rPr>
                <w:rFonts w:hint="eastAsia" w:ascii="方正书宋_GBK" w:eastAsia="方正书宋_GBK"/>
                <w:lang w:eastAsia="zh-CN"/>
              </w:rPr>
              <w:t>公益性岗位</w:t>
            </w:r>
            <w:bookmarkStart w:id="19" w:name="_GoBack"/>
            <w:bookmarkEnd w:id="19"/>
            <w:r>
              <w:rPr>
                <w:rFonts w:hint="eastAsia" w:ascii="方正书宋_GBK" w:eastAsia="方正书宋_GBK"/>
              </w:rPr>
              <w:t>人员占被调查人数的比例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numPr>
          <w:ilvl w:val="0"/>
          <w:numId w:val="1"/>
        </w:numPr>
        <w:ind w:firstLine="560" w:firstLineChars="200"/>
        <w:jc w:val="left"/>
        <w:outlineLvl w:val="1"/>
        <w:rPr>
          <w:rFonts w:hint="eastAsia" w:ascii="方正仿宋_GBK" w:eastAsia="方正仿宋_GBK"/>
          <w:b/>
          <w:sz w:val="28"/>
        </w:rPr>
      </w:pPr>
      <w:r>
        <w:rPr>
          <w:rFonts w:hint="eastAsia" w:ascii="方正仿宋_GBK" w:eastAsia="方正仿宋_GBK"/>
          <w:b/>
          <w:sz w:val="28"/>
        </w:rPr>
        <w:t>涉军劳务派遣人员工资绩效目标表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、按时按月发放涉军劳务派遣人员工资，每人每月工资</w:t>
            </w:r>
            <w:r>
              <w:rPr>
                <w:rFonts w:ascii="方正书宋_GBK" w:eastAsia="方正书宋_GBK"/>
              </w:rPr>
              <w:t>3300</w:t>
            </w:r>
            <w:r>
              <w:rPr>
                <w:rFonts w:hint="eastAsia" w:ascii="方正书宋_GBK" w:eastAsia="方正书宋_GBK"/>
              </w:rPr>
              <w:t>元、社会保险</w:t>
            </w:r>
            <w:r>
              <w:rPr>
                <w:rFonts w:ascii="方正书宋_GBK" w:eastAsia="方正书宋_GBK"/>
              </w:rPr>
              <w:t>961</w:t>
            </w:r>
            <w:r>
              <w:rPr>
                <w:rFonts w:hint="eastAsia" w:ascii="方正书宋_GBK" w:eastAsia="方正书宋_GBK"/>
              </w:rPr>
              <w:t>元，合计每人每月</w:t>
            </w:r>
            <w:r>
              <w:rPr>
                <w:rFonts w:ascii="方正书宋_GBK" w:eastAsia="方正书宋_GBK"/>
              </w:rPr>
              <w:t>4261</w:t>
            </w:r>
            <w:r>
              <w:rPr>
                <w:rFonts w:hint="eastAsia" w:ascii="方正书宋_GBK" w:eastAsia="方正书宋_GBK"/>
              </w:rPr>
              <w:t>元。取暖补贴每人</w:t>
            </w:r>
            <w:r>
              <w:rPr>
                <w:rFonts w:ascii="方正书宋_GBK" w:eastAsia="方正书宋_GBK"/>
              </w:rPr>
              <w:t>1900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、做好退役士兵就业安置工作，切实维护广大退役士兵的合法权益，维护社会和谐稳定。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涉军劳务派遣人数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应发放涉军劳务派遣人员工资的人数</w:t>
            </w:r>
          </w:p>
        </w:tc>
        <w:tc>
          <w:tcPr>
            <w:tcW w:w="1276"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涉军劳务派遣工资标准达标率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实际发放的工资占按照政策要求发放涉军劳务派遣人员工资的比率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涉军劳务派遣工资及时发放率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按月按时足额发放涉军劳务派遣人员工资</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涉军劳务派遣工资发放标准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按照政策中要求的标准发放涉军劳务派遣人员工资</w:t>
            </w:r>
          </w:p>
        </w:tc>
        <w:tc>
          <w:tcPr>
            <w:tcW w:w="1276" w:type="dxa"/>
            <w:vAlign w:val="center"/>
          </w:tcPr>
          <w:p>
            <w:pPr>
              <w:spacing w:line="300" w:lineRule="exact"/>
              <w:jc w:val="left"/>
              <w:rPr>
                <w:rFonts w:ascii="方正书宋_GBK" w:eastAsia="方正书宋_GBK"/>
              </w:rPr>
            </w:pPr>
            <w:r>
              <w:rPr>
                <w:rFonts w:ascii="方正书宋_GBK" w:eastAsia="方正书宋_GBK"/>
              </w:rPr>
              <w:t>3300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通过实施退役士兵托底安置政策促进社会稳定水平逐步提高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无涉军访</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从业人员数量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反映涉军劳务派遣人员安置政策带动社会就业情况</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年度工作计划及鹿办文【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涉军劳务派遣人员对工资发放情况的满意度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jc w:val="left"/>
        <w:outlineLvl w:val="1"/>
        <w:rPr>
          <w:rFonts w:hint="eastAsia" w:ascii="方正仿宋_GBK" w:eastAsia="方正仿宋_GBK"/>
          <w:b/>
          <w:sz w:val="28"/>
        </w:rPr>
      </w:pPr>
    </w:p>
    <w:p>
      <w:pPr>
        <w:keepNext w:val="0"/>
        <w:keepLines w:val="0"/>
        <w:pageBreakBefore w:val="0"/>
        <w:widowControl w:val="0"/>
        <w:kinsoku/>
        <w:wordWrap/>
        <w:overflowPunct/>
        <w:topLinePunct w:val="0"/>
        <w:autoSpaceDE/>
        <w:autoSpaceDN/>
        <w:bidi w:val="0"/>
        <w:adjustRightInd/>
        <w:snapToGrid/>
        <w:ind w:firstLine="560" w:firstLineChars="200"/>
        <w:jc w:val="left"/>
        <w:textAlignment w:val="auto"/>
        <w:outlineLvl w:val="1"/>
        <w:rPr>
          <w:rFonts w:hint="eastAsia" w:ascii="方正仿宋_GBK" w:eastAsia="方正仿宋_GBK"/>
          <w:b/>
          <w:sz w:val="28"/>
        </w:rPr>
      </w:pPr>
      <w:r>
        <w:rPr>
          <w:rFonts w:hint="eastAsia" w:ascii="方正仿宋_GBK" w:eastAsia="方正仿宋_GBK"/>
          <w:b/>
          <w:sz w:val="28"/>
        </w:rPr>
        <w:t>5、镇法制建设经费支出绩效目标表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025123"/>
      <w:r>
        <w:rPr>
          <w:rFonts w:hint="eastAsia" w:ascii="方正仿宋_GBK" w:eastAsia="方正仿宋_GBK"/>
          <w:b/>
          <w:sz w:val="28"/>
        </w:rPr>
        <w:instrText xml:space="preserve">5、镇法制建设经费支出绩效目标表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、按月足额发放工资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、营造</w:t>
            </w:r>
            <w:r>
              <w:rPr>
                <w:rFonts w:hint="cs" w:ascii="方正书宋_GBK" w:eastAsia="方正书宋_GBK"/>
                <w:cs/>
              </w:rPr>
              <w:t>“</w:t>
            </w:r>
            <w:r>
              <w:rPr>
                <w:rFonts w:hint="eastAsia" w:ascii="方正书宋_GBK" w:eastAsia="方正书宋_GBK"/>
              </w:rPr>
              <w:t>学法、懂法、用法、守法</w:t>
            </w:r>
            <w:r>
              <w:rPr>
                <w:rFonts w:hint="cs" w:ascii="方正书宋_GBK" w:eastAsia="方正书宋_GBK"/>
                <w:cs/>
              </w:rPr>
              <w:t>”</w:t>
            </w:r>
            <w:r>
              <w:rPr>
                <w:rFonts w:hint="eastAsia" w:ascii="方正书宋_GBK" w:eastAsia="方正书宋_GBK"/>
              </w:rPr>
              <w:t>的社会氛围，营造良好的法治环境。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上庄巡防队员工资发放标准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每月应发放的工资金额</w:t>
            </w:r>
          </w:p>
        </w:tc>
        <w:tc>
          <w:tcPr>
            <w:tcW w:w="1276" w:type="dxa"/>
            <w:vAlign w:val="center"/>
          </w:tcPr>
          <w:p>
            <w:pPr>
              <w:spacing w:line="300" w:lineRule="exact"/>
              <w:jc w:val="left"/>
              <w:rPr>
                <w:rFonts w:ascii="方正书宋_GBK" w:eastAsia="方正书宋_GBK"/>
              </w:rPr>
            </w:pPr>
            <w:r>
              <w:rPr>
                <w:rFonts w:ascii="方正书宋_GBK" w:eastAsia="方正书宋_GBK"/>
              </w:rPr>
              <w:t>2460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上庄巡防队员人数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上庄巡防队员人数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上庄刑警中队协警人数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上庄刑警中队协警人数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上庄刑警中队工资发放标准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每月应发放的工资金额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上庄交警中队协警人数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上庄交警中队协警人数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上庄交警中队工资发放标准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每月应发放的工资金额</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综合治理法制建设人员工资发放及时率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每月发放</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法制建设程度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宣传法治社会要求，营造良好的法治环境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良好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党政联席会议要求及工作计划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从事综合治理和法制建设工作的人员满意度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从事综合治理和法制建设工作的人员对工资及劳务费发放工作的满意度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群众对当年综合治理法制建设工作的整体满意度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widowControl w:val="0"/>
        <w:numPr>
          <w:ilvl w:val="0"/>
          <w:numId w:val="0"/>
        </w:numPr>
        <w:ind w:leftChars="200"/>
        <w:jc w:val="left"/>
        <w:outlineLvl w:val="1"/>
        <w:rPr>
          <w:rFonts w:hint="eastAsia" w:ascii="方正仿宋_GBK" w:eastAsia="方正仿宋_GBK"/>
          <w:b/>
          <w:sz w:val="28"/>
          <w:lang w:val="en-US" w:eastAsia="zh-CN"/>
        </w:rPr>
      </w:pPr>
    </w:p>
    <w:p>
      <w:pPr>
        <w:widowControl w:val="0"/>
        <w:numPr>
          <w:ilvl w:val="0"/>
          <w:numId w:val="0"/>
        </w:numPr>
        <w:ind w:leftChars="200"/>
        <w:jc w:val="left"/>
        <w:outlineLvl w:val="1"/>
        <w:rPr>
          <w:rFonts w:hint="eastAsia" w:ascii="方正仿宋_GBK" w:eastAsia="方正仿宋_GBK"/>
          <w:b/>
          <w:sz w:val="28"/>
        </w:rPr>
      </w:pPr>
      <w:r>
        <w:rPr>
          <w:rFonts w:hint="eastAsia" w:ascii="方正仿宋_GBK" w:eastAsia="方正仿宋_GBK"/>
          <w:b/>
          <w:sz w:val="28"/>
          <w:lang w:val="en-US" w:eastAsia="zh-CN"/>
        </w:rPr>
        <w:t>6.</w:t>
      </w:r>
      <w:r>
        <w:rPr>
          <w:rFonts w:hint="eastAsia" w:ascii="方正仿宋_GBK" w:eastAsia="方正仿宋_GBK"/>
          <w:b/>
          <w:sz w:val="28"/>
        </w:rPr>
        <w:t>镇护林防火员工资绩效目标表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、按时足额发放护林防火员工资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、储备防火物资，抓好森林火灾防控措施的落实，确保不发生</w:t>
            </w:r>
            <w:r>
              <w:rPr>
                <w:rFonts w:hint="eastAsia" w:ascii="方正书宋_GBK" w:eastAsia="方正书宋_GBK"/>
                <w:lang w:eastAsia="zh-CN"/>
              </w:rPr>
              <w:t>重特大</w:t>
            </w:r>
            <w:r>
              <w:rPr>
                <w:rFonts w:hint="eastAsia" w:ascii="方正书宋_GBK" w:eastAsia="方正书宋_GBK"/>
              </w:rPr>
              <w:t>森林火灾和群死群伤事故</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护林防火员岗位数量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设置的护林防火岗位人员数量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工作计划、党政联席会议、防火员考核管理办法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日常巡查次数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按计划应每天巡查次数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工作计划、党政联席会议、防火员考核管理办法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护林防火员补助资金发放及时率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每半年发放一次补助</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护林防火员补助标准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护林防火员应发放补助金额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700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 xml:space="preserve"> </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工作计划、党政联席会议、防火员考核管理办法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护林防火员在岗时间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每天护林防火员在岗时间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小时</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工作计划、党政联席会议、防火员考核管理办法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森林防火时间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每年森林防火时间</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3-5</w:t>
            </w:r>
            <w:r>
              <w:rPr>
                <w:rFonts w:hint="eastAsia" w:ascii="方正书宋_GBK" w:eastAsia="方正书宋_GBK"/>
              </w:rPr>
              <w:t>月、</w:t>
            </w:r>
            <w:r>
              <w:rPr>
                <w:rFonts w:ascii="方正书宋_GBK" w:eastAsia="方正书宋_GBK"/>
              </w:rPr>
              <w:t>10-12</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年度内森林火灾受害率</w:t>
            </w:r>
          </w:p>
        </w:tc>
        <w:tc>
          <w:tcPr>
            <w:tcW w:w="1276" w:type="dxa"/>
            <w:vAlign w:val="center"/>
          </w:tcPr>
          <w:p>
            <w:pPr>
              <w:spacing w:line="300" w:lineRule="exact"/>
              <w:jc w:val="left"/>
              <w:rPr>
                <w:rFonts w:ascii="方正书宋_GBK" w:eastAsia="方正书宋_GBK"/>
              </w:rPr>
            </w:pPr>
            <w:r>
              <w:rPr>
                <w:rFonts w:ascii="方正书宋_GBK" w:eastAsia="方正书宋_GBK"/>
              </w:rPr>
              <w:t>&lt;0.01%</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对年度内防火工作满意程度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widowControl w:val="0"/>
        <w:numPr>
          <w:ilvl w:val="0"/>
          <w:numId w:val="0"/>
        </w:numPr>
        <w:jc w:val="left"/>
        <w:outlineLvl w:val="1"/>
        <w:rPr>
          <w:rFonts w:hint="eastAsia" w:ascii="方正仿宋_GBK" w:eastAsia="方正仿宋_GBK"/>
          <w:b/>
          <w:sz w:val="28"/>
        </w:rPr>
        <w:sectPr>
          <w:footerReference r:id="rId3" w:type="default"/>
          <w:pgSz w:w="11907" w:h="16839" w:orient="landscape"/>
          <w:pgMar w:top="1984" w:right="1304" w:bottom="1134" w:left="1304" w:header="851" w:footer="992" w:gutter="0"/>
          <w:cols w:space="720" w:num="1"/>
          <w:docGrid w:type="lines" w:linePitch="312" w:charSpace="0"/>
        </w:sectPr>
      </w:pPr>
    </w:p>
    <w:p>
      <w:pPr>
        <w:ind w:firstLine="560" w:firstLineChars="200"/>
        <w:jc w:val="left"/>
        <w:outlineLvl w:val="1"/>
        <w:rPr>
          <w:rFonts w:ascii="Times New Roman" w:hAnsi="宋体"/>
          <w:b/>
          <w:sz w:val="28"/>
        </w:rPr>
      </w:pPr>
      <w:r>
        <w:rPr>
          <w:rFonts w:hint="eastAsia" w:ascii="方正仿宋_GBK" w:eastAsia="方正仿宋_GBK"/>
          <w:b/>
          <w:sz w:val="28"/>
        </w:rPr>
        <w:t>7、镇计划生育家庭独生子女奖励绩效目标表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025125"/>
      <w:r>
        <w:rPr>
          <w:rFonts w:hint="eastAsia" w:ascii="方正仿宋_GBK" w:eastAsia="方正仿宋_GBK"/>
          <w:b/>
          <w:sz w:val="28"/>
        </w:rPr>
        <w:instrText xml:space="preserve">7、镇计划生育家庭独生子女奖励绩效目标表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、按照标准按季度足额发放计划生育家庭奖励金和孕前优生补助款，计划生育家庭一次性奖励金预计每年</w:t>
            </w:r>
            <w:r>
              <w:rPr>
                <w:rFonts w:ascii="方正书宋_GBK" w:eastAsia="方正书宋_GBK"/>
              </w:rPr>
              <w:t>6</w:t>
            </w:r>
            <w:r>
              <w:rPr>
                <w:rFonts w:hint="eastAsia" w:ascii="方正书宋_GBK" w:eastAsia="方正书宋_GBK"/>
              </w:rPr>
              <w:t>月底发放。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、提高计划生育家庭生活和生产质量，改善计划生育家庭生存现状。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计划生育家庭奖励金发放标准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计划生育家庭奖励金标准</w:t>
            </w:r>
          </w:p>
        </w:tc>
        <w:tc>
          <w:tcPr>
            <w:tcW w:w="1276"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计划生育家庭人数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享受计划生育家庭奖励金政策的人数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18</w:t>
            </w:r>
            <w:r>
              <w:rPr>
                <w:rFonts w:hint="eastAsia" w:ascii="方正书宋_GBK" w:eastAsia="方正书宋_GBK"/>
              </w:rPr>
              <w:t>周岁计划生育家庭和孕前优生人数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年度内享受</w:t>
            </w:r>
            <w:r>
              <w:rPr>
                <w:rFonts w:ascii="方正书宋_GBK" w:eastAsia="方正书宋_GBK"/>
              </w:rPr>
              <w:t>18</w:t>
            </w:r>
            <w:r>
              <w:rPr>
                <w:rFonts w:hint="eastAsia" w:ascii="方正书宋_GBK" w:eastAsia="方正书宋_GBK"/>
              </w:rPr>
              <w:t>周岁计划生育家庭一次性奖励和孕前优生补助政策的人数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计划生育家庭奖励金、一次性奖励金发放及时率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按照要求和计划发放的各项奖励金在立项项目中的比例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家庭发展能力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通过实施计划生育扶助政策促进计划生育家庭发展能力逐步提高</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逐步提高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通过实施计划生育扶助政策促进社会稳定水平逐步提高</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社会稳定和谐</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享受计划生育奖励金政策及孕前优生补助的群众对补助发放的满意程度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ind w:firstLine="560" w:firstLineChars="200"/>
        <w:jc w:val="left"/>
        <w:outlineLvl w:val="1"/>
        <w:rPr>
          <w:rFonts w:ascii="Times New Roman" w:hAnsi="宋体"/>
          <w:b/>
          <w:sz w:val="28"/>
        </w:rPr>
      </w:pPr>
      <w:r>
        <w:rPr>
          <w:rFonts w:hint="eastAsia" w:ascii="方正仿宋_GBK" w:eastAsia="方正仿宋_GBK"/>
          <w:b/>
          <w:sz w:val="28"/>
        </w:rPr>
        <w:t>8、镇接访人员差旅及上访人员生活补助绩效目标表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025126"/>
      <w:r>
        <w:rPr>
          <w:rFonts w:hint="eastAsia" w:ascii="方正仿宋_GBK" w:eastAsia="方正仿宋_GBK"/>
          <w:b/>
          <w:sz w:val="28"/>
        </w:rPr>
        <w:instrText xml:space="preserve">8、镇接访人员差旅及上访人员生活补助绩效目标表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、及时发放接访人员差旅费及上访人员救助费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、推动群众合法诉求依据法律和程序得到合理合法的结果，阳光信访、责任信访，促进积案化解。</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差旅费、救助费发放及时率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及时按需发放差旅费和救助费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预计解决信访案件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预计解决的信访案件数量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接待上访人员</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接待上访人员数量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批次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驻京信访接待员人数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驻京接待信访人员的数量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驻京信访人员差旅费标准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驻京人员差旅费金额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工作计划、党政联席会要求及鹿财字【</w:t>
            </w:r>
            <w:r>
              <w:rPr>
                <w:rFonts w:ascii="方正书宋_GBK" w:eastAsia="方正书宋_GBK"/>
              </w:rPr>
              <w:t>2016</w:t>
            </w:r>
            <w:r>
              <w:rPr>
                <w:rFonts w:hint="eastAsia" w:ascii="方正书宋_GBK" w:eastAsia="方正书宋_GBK"/>
              </w:rPr>
              <w:t>】</w:t>
            </w:r>
            <w:r>
              <w:rPr>
                <w:rFonts w:ascii="方正书宋_GBK" w:eastAsia="方正书宋_GBK"/>
              </w:rPr>
              <w:t>39</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驻京信访接待员在京天数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年度内驻京信访接待员在京天数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上访人员救助费金额</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发放上访人员救济费金额标准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根据区信访局出具的《息诉罢访书》金额补偿</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区信访局《息诉罢访书》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解决完的信访案件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解决完成的信访数量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通过接待上访人员、对其进行合法合理补助后社会逐步稳定</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稳定</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群众对当年信访问题解决程度的整体满意度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ind w:firstLine="560" w:firstLineChars="200"/>
        <w:jc w:val="left"/>
        <w:outlineLvl w:val="1"/>
        <w:rPr>
          <w:rFonts w:ascii="Times New Roman" w:hAnsi="宋体"/>
          <w:b/>
          <w:sz w:val="28"/>
        </w:rPr>
      </w:pPr>
      <w:r>
        <w:rPr>
          <w:rFonts w:hint="eastAsia" w:ascii="方正仿宋_GBK" w:eastAsia="方正仿宋_GBK"/>
          <w:b/>
          <w:sz w:val="28"/>
        </w:rPr>
        <w:t>9、镇绿化等农村公益事业支出绩效目标表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3025127"/>
      <w:r>
        <w:rPr>
          <w:rFonts w:hint="eastAsia" w:ascii="方正仿宋_GBK" w:eastAsia="方正仿宋_GBK"/>
          <w:b/>
          <w:sz w:val="28"/>
        </w:rPr>
        <w:instrText xml:space="preserve">9、镇绿化等农村公益事业支出绩效目标表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、提供群众文化体育场所，增强居民体质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、农村社会事业的发展和乡风文明水平的提高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农村公益事业资金达标率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对年初计划的公益事业项目及时拨付资金率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年度内绿化面积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验收合格的绿化工程量占全年绿化工程的比重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冬季取暖补贴发放及时率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冬季取暖补贴发放及时情况</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冬季取暖补贴村、小区数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需要冬季取暖补贴的小区及村数量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26</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群众文化体育场所面积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镇域内群众文化场所的面积数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在镇域内实施的公益事业项目产生的重要影响，得到广大受众的充分认可。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群众认可</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群众文化服务水平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反映为镇域群众提供基本文化体育服务的能力和效果</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群众认可</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群众对当年农村公益事业项目的整体满意度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560" w:firstLineChars="200"/>
        <w:jc w:val="left"/>
        <w:rPr>
          <w:rFonts w:hint="eastAsia" w:ascii="方正仿宋_GBK" w:eastAsia="方正仿宋_GBK"/>
          <w:b/>
          <w:sz w:val="28"/>
        </w:rPr>
      </w:pPr>
    </w:p>
    <w:p>
      <w:pPr>
        <w:numPr>
          <w:ilvl w:val="0"/>
          <w:numId w:val="2"/>
        </w:numPr>
        <w:spacing w:line="300" w:lineRule="exact"/>
        <w:ind w:firstLine="560" w:firstLineChars="200"/>
        <w:jc w:val="left"/>
        <w:rPr>
          <w:rFonts w:hint="eastAsia" w:ascii="方正仿宋_GBK" w:eastAsia="方正仿宋_GBK"/>
          <w:b/>
          <w:sz w:val="28"/>
        </w:rPr>
      </w:pPr>
      <w:r>
        <w:rPr>
          <w:rFonts w:hint="eastAsia" w:ascii="方正仿宋_GBK" w:eastAsia="方正仿宋_GBK"/>
          <w:b/>
          <w:sz w:val="28"/>
        </w:rPr>
        <w:t>镇农村80周岁以上老人及老党员补贴绩效目标表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、按统计人数每季度足额发放生活补贴，按实际情况发放救济费、丧葬费、鲜花及生日蛋糕款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、保障农村高龄老人人群的基本生活</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、让农村高龄老人感受到政府温暖，促进社会和谐进步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高龄补助发放标准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根据政策要求的标准发放生活补贴</w:t>
            </w:r>
          </w:p>
        </w:tc>
        <w:tc>
          <w:tcPr>
            <w:tcW w:w="1276" w:type="dxa"/>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元</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高龄老人人数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民政部门统计出符合标准的人数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1280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高龄补贴发放及时率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每季度发放生活补贴及时，丧葬费等按需及时发放</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改善农村老人生活水平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保障农村老人基本生活</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通过实施高龄老人补贴等政策促进社会稳定水平逐步提高</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社会稳定和谐</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享受老龄补贴、救济费、丧葬费的群众满意程度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jc w:val="left"/>
        <w:rPr>
          <w:rFonts w:hint="eastAsia" w:ascii="方正仿宋_GBK" w:eastAsia="方正仿宋_GBK"/>
          <w:b/>
          <w:sz w:val="28"/>
        </w:rPr>
      </w:pPr>
    </w:p>
    <w:p>
      <w:pPr>
        <w:numPr>
          <w:ilvl w:val="0"/>
          <w:numId w:val="2"/>
        </w:numPr>
        <w:spacing w:line="300" w:lineRule="exact"/>
        <w:ind w:left="0" w:leftChars="0" w:firstLine="560" w:firstLineChars="200"/>
        <w:jc w:val="left"/>
        <w:rPr>
          <w:rFonts w:hint="eastAsia" w:ascii="方正仿宋_GBK" w:eastAsia="方正仿宋_GBK"/>
          <w:b/>
          <w:sz w:val="28"/>
        </w:rPr>
      </w:pPr>
      <w:r>
        <w:rPr>
          <w:rFonts w:hint="eastAsia" w:ascii="方正仿宋_GBK" w:eastAsia="方正仿宋_GBK"/>
          <w:b/>
          <w:sz w:val="28"/>
        </w:rPr>
        <w:t>镇农村环境卫生整治专项支出绩效目标表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、按时按标准发放城管队员工资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、镇域、村容环境整齐清洁，提升环境质量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人居环境整治个数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镇域内卫生整治的村落数</w:t>
            </w:r>
          </w:p>
        </w:tc>
        <w:tc>
          <w:tcPr>
            <w:tcW w:w="1276" w:type="dxa"/>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垃圾清运完成率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实际清运垃圾平方数占实际发现平方数的比重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按月发放城管工资</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城管队员人数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我镇城管队员人数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城管队员工资标准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每月城管队员发放的工资金额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2450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农村垃圾清运量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年度内清运垃圾数量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400000</w:t>
            </w:r>
            <w:r>
              <w:rPr>
                <w:rFonts w:hint="eastAsia" w:ascii="方正书宋_GBK" w:eastAsia="方正书宋_GBK"/>
              </w:rPr>
              <w:t>平方</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扬尘覆盖面积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年度内扬尘覆盖面积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镇域、村容环境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村容环境是否达到考核标准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环境整洁韩静、无乱堆乱放，绿化、草坪养护良好，草坪内无垃圾杂物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对镇域内环境卫生工作的满意程度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numPr>
          <w:ilvl w:val="0"/>
          <w:numId w:val="2"/>
        </w:numPr>
        <w:spacing w:line="300" w:lineRule="exact"/>
        <w:ind w:left="0" w:leftChars="0" w:firstLine="560" w:firstLineChars="200"/>
        <w:jc w:val="left"/>
        <w:rPr>
          <w:rFonts w:hint="eastAsia" w:ascii="方正仿宋_GBK" w:eastAsia="方正仿宋_GBK"/>
          <w:b/>
          <w:sz w:val="28"/>
        </w:rPr>
      </w:pPr>
      <w:r>
        <w:rPr>
          <w:rFonts w:hint="eastAsia" w:ascii="方正仿宋_GBK" w:eastAsia="方正仿宋_GBK"/>
          <w:b/>
          <w:sz w:val="28"/>
        </w:rPr>
        <w:t>镇人才库建设资金绩效目标表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、将人才库打造成推动青年农民创新创业的平台，切实打造一支作用突出的青年人才力量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人才库资金标准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人才库建设资金标准</w:t>
            </w:r>
          </w:p>
        </w:tc>
        <w:tc>
          <w:tcPr>
            <w:tcW w:w="1276"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万元</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开展技能培训</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本年度对青年人才开展技能培训的次数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人才库人员数量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我镇人才库人员数量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名</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建立人才库档案资料完成率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制定严格的认定程序，建立完整人才库档案资料。</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培训、交流人次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对青年人才开展技能培训、线下平台交流人次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建立人才库档案资料及时率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在时间要求范围内建立好人才库档案资料</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就业人员数量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反映人才库建设带动社会就业情况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名</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承诺任务完成率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青年人才实际完成的重点工作占承诺完成的重点工作的比例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工作计划及区政府【</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接受人才库建设服务的人群对所提供服务的满意程度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13、镇上庄镇前大街改造工程绩效目标表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3025131"/>
      <w:r>
        <w:rPr>
          <w:rFonts w:hint="eastAsia" w:ascii="方正仿宋_GBK" w:eastAsia="方正仿宋_GBK"/>
          <w:b/>
          <w:sz w:val="28"/>
        </w:rPr>
        <w:instrText xml:space="preserve">13、镇上庄镇前大街改造工程绩效目标表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、按季度拨付镇前大街改造剩余工程款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、镇域内交通环境改善，有效管理公路养护</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镇前大街改造工程完成率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镇前大街改造工程完成情况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镇前大街改造工程验收合格率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镇前大街改造工程验收通过的工程量占完工的比重</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镇前大街路面拓宽面积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镇前大街拓宽路面面积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镇前大街人行道块料铺设面积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镇前大街人行道块料铺设面积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227654</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保障道路通畅</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镇前大街改造后道路通畅情况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通畅</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增加车道数量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由原来双向四车道增至六车道</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车道</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群众对镇前大街改造工程的整体满意度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14、镇上庄镇线路改造、裕华路容貌提升等基础设施建设项目绩效目标表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3025132"/>
      <w:r>
        <w:rPr>
          <w:rFonts w:hint="eastAsia" w:ascii="方正仿宋_GBK" w:eastAsia="方正仿宋_GBK"/>
          <w:b/>
          <w:sz w:val="28"/>
        </w:rPr>
        <w:instrText xml:space="preserve">14、镇上庄镇线路改造、裕华路容貌提升等基础设施建设项目绩效目标表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、通过对镇域内道路更换便道砖、增设护栏，设置停车位、维修路灯等项目建设，改善镇域经济环境，提高居民生活质量。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便道砖、护栏增设喷漆工程验收合格率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便道砖维修、护栏增设喷漆等项目达到验收标准的比率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工作计划及党政联席会议要求、结算报告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便道砖、护栏增设喷漆工程完成及时率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便道砖维修、护栏增设喷漆等项目按照合同要求时间完成的比率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新增增设和喷漆的护栏长度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镇域内护栏增设和喷漆的长度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公里</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划停车线、交通标线个数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镇域内停车线和交通标线的个数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建设的项目让镇域内居民受益的人数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在镇域内的重要影响，得到广大受众的充分认可。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群众对当年我镇基础设施建设项目满意程度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15、镇上庄镇整体规划设计费及其他事务支出绩效目标表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3025133"/>
      <w:r>
        <w:rPr>
          <w:rFonts w:hint="eastAsia" w:ascii="方正仿宋_GBK" w:eastAsia="方正仿宋_GBK"/>
          <w:b/>
          <w:sz w:val="28"/>
        </w:rPr>
        <w:instrText xml:space="preserve">15、镇上庄镇整体规划设计费及其他事务支出绩效目标表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、按需缴纳路灯电费，保障居民夜间出行安全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、按季度拨付上庄镇整体规划设计费，年底付清</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、拆除我镇域范围内违建，提高我镇品味，有效化解各种矛盾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违建行为数量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年度内新增违建行为数量</w:t>
            </w:r>
          </w:p>
        </w:tc>
        <w:tc>
          <w:tcPr>
            <w:tcW w:w="1276" w:type="dxa"/>
            <w:vAlign w:val="center"/>
          </w:tcPr>
          <w:p>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违建拆除工程合格率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严格按卫片要求彻底拆除地上违法建筑物</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违建拆除工程及时率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在时间要求范围内拆除违建</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电费缴纳及时率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缴纳电费及时，避免影响群众出行</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规划费拨付及时率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按计划拨付上庄镇整体规划设计费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按季度年底付清</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保护城乡土地合法使用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保护城乡土地合法使用</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效益明显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群众对我镇年度整体规划项目的满意程度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16、镇退役士兵生活补助绩效目标表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025134"/>
      <w:r>
        <w:rPr>
          <w:rFonts w:hint="eastAsia" w:ascii="方正仿宋_GBK" w:eastAsia="方正仿宋_GBK"/>
          <w:b/>
          <w:sz w:val="28"/>
        </w:rPr>
        <w:instrText xml:space="preserve">16、镇退役士兵生活补助绩效目标表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、按照残疾军人抚恤金标准按月足额发放抚恤金，并据实报销其医疗费用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、做好伤残军人抚恤金发放工作，促进社会稳定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退伍伤残士兵人数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享受伤残军人抚恤金政策人数</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工作计划、党政联席会议及政策要求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退役士兵抚恤金发放标准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按照伤残军人抚恤金标准表里的金额发放抚恤金</w:t>
            </w:r>
          </w:p>
        </w:tc>
        <w:tc>
          <w:tcPr>
            <w:tcW w:w="1276" w:type="dxa"/>
            <w:vAlign w:val="center"/>
          </w:tcPr>
          <w:p>
            <w:pPr>
              <w:spacing w:line="300" w:lineRule="exact"/>
              <w:jc w:val="left"/>
              <w:rPr>
                <w:rFonts w:ascii="方正书宋_GBK" w:eastAsia="方正书宋_GBK"/>
              </w:rPr>
            </w:pPr>
            <w:r>
              <w:rPr>
                <w:rFonts w:ascii="方正书宋_GBK" w:eastAsia="方正书宋_GBK"/>
              </w:rPr>
              <w:t>6283.3</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工作计划及伤残军人抚恤金标准表要求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退役士兵医疗费发放标准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按照医院开具的诊断证明及票据据实报销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根据医院开具票据据实报销</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工作计划、党政联席会议要求、医院开具诊断证明及票据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退役士兵抚恤金、医疗费发放及时率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及时按月、据实发放抚恤金和医疗费</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工作计划、党政联席会议要求、伤残军人抚恤金标准表要求及医院开具诊断证明和票据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通过对伤残军人进行补助，促进社会稳定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无涉军访</w:t>
            </w:r>
          </w:p>
          <w:p>
            <w:pPr>
              <w:spacing w:line="300" w:lineRule="exact"/>
              <w:jc w:val="left"/>
              <w:rPr>
                <w:rFonts w:ascii="方正书宋_GBK" w:eastAsia="方正书宋_GBK"/>
              </w:rPr>
            </w:pP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伤残军人对退役士兵抚恤金、医疗费发放情况的满意度</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17、镇乡镇卫生院整修补助金绩效目标表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3025135"/>
      <w:r>
        <w:rPr>
          <w:rFonts w:hint="eastAsia" w:ascii="方正仿宋_GBK" w:eastAsia="方正仿宋_GBK"/>
          <w:b/>
          <w:sz w:val="28"/>
        </w:rPr>
        <w:instrText xml:space="preserve">17、镇乡镇卫生院整修补助金绩效目标表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、按装修进度拨付卫生院整修补助金，保障卫生院装修工程顺利开展。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、装修后的上庄镇卫生院符合标准化卫生院建设标准。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、提高我镇医疗救助水平，提供群众满意的医疗和公共卫生服务。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乡镇卫生院装修面积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上庄镇卫生院装修面积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乡镇卫生院验收合格率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按标准卫生院建设标准对卫生院整修工程进行验收合格比率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乡镇卫生院整修办公室数量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上庄镇卫生院整修的办公室数量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LED</w:t>
            </w:r>
            <w:r>
              <w:rPr>
                <w:rFonts w:hint="eastAsia" w:ascii="方正书宋_GBK" w:eastAsia="方正书宋_GBK"/>
              </w:rPr>
              <w:t>显示屏数量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新增</w:t>
            </w:r>
            <w:r>
              <w:rPr>
                <w:rFonts w:ascii="方正书宋_GBK" w:eastAsia="方正书宋_GBK"/>
              </w:rPr>
              <w:t>LED</w:t>
            </w:r>
            <w:r>
              <w:rPr>
                <w:rFonts w:hint="eastAsia" w:ascii="方正书宋_GBK" w:eastAsia="方正书宋_GBK"/>
              </w:rPr>
              <w:t>显示屏数量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提升医院救治能力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救治能力提升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卫生院使用年限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整修后卫生院使用年限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群众对当年卫生院医疗服务整体满意度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18、镇专项业务活动经费支出绩效目标表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3025136"/>
      <w:r>
        <w:rPr>
          <w:rFonts w:hint="eastAsia" w:ascii="方正仿宋_GBK" w:eastAsia="方正仿宋_GBK"/>
          <w:b/>
          <w:sz w:val="28"/>
        </w:rPr>
        <w:instrText xml:space="preserve">18、镇专项业务活动经费支出绩效目标表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、及时发放税务工资及两会期间误工补贴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、提高职员工作积极性，各部门工作顺利开展，取得良好的社会效益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税务人数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税务工资发放人数</w:t>
            </w:r>
          </w:p>
        </w:tc>
        <w:tc>
          <w:tcPr>
            <w:tcW w:w="1276" w:type="dxa"/>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税务人员工资标准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税务人员工资发放标准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各部门资金支出比例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各部门预算支出金额占实际支出金额的比例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举办慰问、走访活动场次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全年各部门举办慰问、走访活动的次数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场次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慰问、走访群众数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慰问、走访活动中覆盖的群众数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镇人大代表人数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我镇人大代表人数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74</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人代会误工补贴标准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发放误工补贴的金额</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对我镇宣传文化事业发展的促进推动作用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通过宣传、团委、妇联等部门项目建设，带动我镇宣传文化事业发展的效果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考核达到良等级</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各部门的项目在我镇产生的重要影响，得到广大受众的充分认可。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充分认可</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工作计划及党政联席会议要求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群众对当年专项活动的整体满意度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numPr>
          <w:ilvl w:val="0"/>
          <w:numId w:val="0"/>
        </w:numPr>
        <w:spacing w:line="300" w:lineRule="exact"/>
        <w:ind w:leftChars="200"/>
        <w:jc w:val="left"/>
        <w:rPr>
          <w:rFonts w:hint="eastAsia" w:ascii="方正仿宋_GBK" w:eastAsia="方正仿宋_GBK"/>
          <w:b/>
          <w:sz w:val="28"/>
        </w:rPr>
      </w:pPr>
    </w:p>
    <w:p>
      <w:pPr>
        <w:spacing w:line="14" w:lineRule="exact"/>
        <w:ind w:firstLine="420" w:firstLineChars="200"/>
        <w:jc w:val="center"/>
        <w:rPr>
          <w:rFonts w:ascii="Times New Roman" w:hAnsi="宋体"/>
        </w:rPr>
      </w:pPr>
      <w:r>
        <w:rPr>
          <w:rFonts w:ascii="方正书宋_GBK" w:eastAsia="方正书宋_GBK"/>
        </w:rPr>
        <w:t xml:space="preserve"> </w:t>
      </w:r>
    </w:p>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lang w:eastAsia="zh-CN"/>
        </w:rPr>
        <w:t>鹿泉区上庄镇人民政府</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5</w:t>
      </w:r>
      <w:r>
        <w:rPr>
          <w:rFonts w:ascii="Times New Roman" w:hAnsi="Times New Roman" w:eastAsia="仿宋" w:cs="Times New Roman"/>
          <w:sz w:val="32"/>
          <w:szCs w:val="24"/>
        </w:rPr>
        <w:t>万元。具体内容见下表。</w:t>
      </w:r>
      <w:bookmarkEnd w:id="17"/>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8" w:name="_Toc28848395"/>
      <w:r>
        <w:rPr>
          <w:rFonts w:hint="eastAsia" w:ascii="方正小标宋_GBK" w:eastAsia="方正小标宋_GBK"/>
          <w:sz w:val="32"/>
        </w:rPr>
        <w:instrText xml:space="preserve">部门政府采购预算</w:instrText>
      </w:r>
      <w:bookmarkEnd w:id="1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val="en-US" w:eastAsia="zh-CN"/>
              </w:rPr>
            </w:pPr>
            <w:r>
              <w:rPr>
                <w:rFonts w:hint="eastAsia" w:ascii="方正小标宋_GBK" w:eastAsia="方正小标宋_GBK"/>
                <w:sz w:val="24"/>
                <w:lang w:val="en-US" w:eastAsia="zh-CN"/>
              </w:rPr>
              <w:t>817石家庄市鹿泉区上庄镇人民政府</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hint="eastAsia" w:ascii="方正书宋_GBK" w:hAnsi="宋体" w:eastAsia="方正书宋_GBK" w:cs="宋体"/>
                <w:b/>
                <w:bCs/>
                <w:color w:val="000000"/>
                <w:szCs w:val="21"/>
                <w:lang w:eastAsia="zh-CN"/>
              </w:rPr>
            </w:pPr>
            <w:r>
              <w:rPr>
                <w:rFonts w:hint="eastAsia" w:ascii="方正书宋_GBK" w:eastAsia="方正书宋_GBK"/>
                <w:b/>
                <w:bCs/>
                <w:color w:val="000000"/>
                <w:szCs w:val="21"/>
                <w:lang w:eastAsia="zh-CN"/>
              </w:rPr>
              <w:t>5</w:t>
            </w:r>
          </w:p>
        </w:tc>
        <w:tc>
          <w:tcPr>
            <w:tcW w:w="992" w:type="dxa"/>
            <w:vAlign w:val="center"/>
          </w:tcPr>
          <w:p>
            <w:pPr>
              <w:adjustRightInd w:val="0"/>
              <w:snapToGrid w:val="0"/>
              <w:jc w:val="right"/>
              <w:rPr>
                <w:rFonts w:hint="eastAsia" w:ascii="方正书宋_GBK" w:hAnsi="宋体" w:eastAsia="方正书宋_GBK" w:cs="宋体"/>
                <w:b/>
                <w:bCs/>
                <w:color w:val="000000"/>
                <w:szCs w:val="21"/>
                <w:lang w:eastAsia="zh-CN"/>
              </w:rPr>
            </w:pPr>
            <w:r>
              <w:rPr>
                <w:rFonts w:hint="eastAsia" w:ascii="方正书宋_GBK" w:eastAsia="方正书宋_GBK"/>
                <w:b/>
                <w:bCs/>
                <w:color w:val="000000"/>
                <w:szCs w:val="21"/>
                <w:lang w:val="en-US" w:eastAsia="zh-CN"/>
              </w:rPr>
              <w:t>5</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lang w:eastAsia="zh-CN"/>
              </w:rPr>
              <w:t>石家庄市鹿泉区上庄镇人民政府</w:t>
            </w:r>
            <w:r>
              <w:rPr>
                <w:rFonts w:hint="eastAsia" w:ascii="方正书宋_GBK" w:eastAsia="方正书宋_GBK"/>
                <w:b/>
              </w:rPr>
              <w:t>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5</w:t>
            </w:r>
          </w:p>
        </w:tc>
        <w:tc>
          <w:tcPr>
            <w:tcW w:w="992"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5</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1104.24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计算机设备零部件</w:t>
            </w:r>
          </w:p>
        </w:tc>
        <w:tc>
          <w:tcPr>
            <w:tcW w:w="1417" w:type="dxa"/>
            <w:vAlign w:val="center"/>
          </w:tcPr>
          <w:p>
            <w:pPr>
              <w:spacing w:line="300" w:lineRule="exact"/>
              <w:jc w:val="left"/>
              <w:rPr>
                <w:rFonts w:ascii="方正书宋_GBK" w:eastAsia="方正书宋_GBK"/>
              </w:rPr>
            </w:pPr>
            <w:r>
              <w:rPr>
                <w:rFonts w:ascii="方正书宋_GBK" w:eastAsia="方正书宋_GBK"/>
              </w:rPr>
              <w:t>A020109</w:t>
            </w:r>
          </w:p>
        </w:tc>
        <w:tc>
          <w:tcPr>
            <w:tcW w:w="709"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851" w:type="dxa"/>
            <w:vAlign w:val="center"/>
          </w:tcPr>
          <w:p>
            <w:pPr>
              <w:spacing w:line="300" w:lineRule="exact"/>
              <w:jc w:val="right"/>
              <w:rPr>
                <w:rFonts w:ascii="方正书宋_GBK" w:eastAsia="方正书宋_GBK"/>
              </w:rPr>
            </w:pPr>
            <w:r>
              <w:rPr>
                <w:rFonts w:ascii="方正书宋_GBK" w:eastAsia="方正书宋_GBK"/>
              </w:rPr>
              <w:t>1.00</w:t>
            </w:r>
          </w:p>
        </w:tc>
        <w:tc>
          <w:tcPr>
            <w:tcW w:w="992" w:type="dxa"/>
            <w:vAlign w:val="center"/>
          </w:tcPr>
          <w:p>
            <w:pPr>
              <w:spacing w:line="300" w:lineRule="exact"/>
              <w:jc w:val="right"/>
              <w:rPr>
                <w:rFonts w:ascii="方正书宋_GBK" w:eastAsia="方正书宋_GBK"/>
              </w:rPr>
            </w:pPr>
            <w:r>
              <w:rPr>
                <w:rFonts w:ascii="方正书宋_GBK" w:eastAsia="方正书宋_GBK"/>
              </w:rPr>
              <w:t>0.25</w:t>
            </w:r>
          </w:p>
        </w:tc>
        <w:tc>
          <w:tcPr>
            <w:tcW w:w="992" w:type="dxa"/>
            <w:vAlign w:val="center"/>
          </w:tcPr>
          <w:p>
            <w:pPr>
              <w:spacing w:line="300" w:lineRule="exact"/>
              <w:jc w:val="right"/>
              <w:rPr>
                <w:rFonts w:ascii="方正书宋_GBK" w:eastAsia="方正书宋_GBK"/>
              </w:rPr>
            </w:pPr>
            <w:r>
              <w:rPr>
                <w:rFonts w:ascii="方正书宋_GBK" w:eastAsia="方正书宋_GBK"/>
              </w:rPr>
              <w:t>0.25</w:t>
            </w:r>
          </w:p>
        </w:tc>
        <w:tc>
          <w:tcPr>
            <w:tcW w:w="992" w:type="dxa"/>
            <w:vAlign w:val="center"/>
          </w:tcPr>
          <w:p>
            <w:pPr>
              <w:spacing w:line="300" w:lineRule="exact"/>
              <w:jc w:val="right"/>
              <w:rPr>
                <w:rFonts w:ascii="方正书宋_GBK" w:eastAsia="方正书宋_GBK"/>
              </w:rPr>
            </w:pPr>
            <w:r>
              <w:rPr>
                <w:rFonts w:ascii="方正书宋_GBK" w:eastAsia="方正书宋_GBK"/>
              </w:rPr>
              <w:t>0.25</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1104.24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激光打印机</w:t>
            </w:r>
          </w:p>
        </w:tc>
        <w:tc>
          <w:tcPr>
            <w:tcW w:w="1417" w:type="dxa"/>
            <w:vAlign w:val="center"/>
          </w:tcPr>
          <w:p>
            <w:pPr>
              <w:spacing w:line="300" w:lineRule="exact"/>
              <w:jc w:val="left"/>
              <w:rPr>
                <w:rFonts w:ascii="方正书宋_GBK" w:eastAsia="方正书宋_GBK"/>
              </w:rPr>
            </w:pPr>
            <w:r>
              <w:rPr>
                <w:rFonts w:ascii="方正书宋_GBK" w:eastAsia="方正书宋_GBK"/>
              </w:rPr>
              <w:t>A0201060102</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台</w:t>
            </w:r>
          </w:p>
        </w:tc>
        <w:tc>
          <w:tcPr>
            <w:tcW w:w="851" w:type="dxa"/>
            <w:vAlign w:val="center"/>
          </w:tcPr>
          <w:p>
            <w:pPr>
              <w:spacing w:line="300" w:lineRule="exact"/>
              <w:jc w:val="right"/>
              <w:rPr>
                <w:rFonts w:ascii="方正书宋_GBK" w:eastAsia="方正书宋_GBK"/>
              </w:rPr>
            </w:pPr>
            <w:r>
              <w:rPr>
                <w:rFonts w:ascii="方正书宋_GBK" w:eastAsia="方正书宋_GBK"/>
              </w:rPr>
              <w:t>5.00</w:t>
            </w:r>
          </w:p>
        </w:tc>
        <w:tc>
          <w:tcPr>
            <w:tcW w:w="992" w:type="dxa"/>
            <w:vAlign w:val="center"/>
          </w:tcPr>
          <w:p>
            <w:pPr>
              <w:spacing w:line="300" w:lineRule="exact"/>
              <w:jc w:val="right"/>
              <w:rPr>
                <w:rFonts w:ascii="方正书宋_GBK" w:eastAsia="方正书宋_GBK"/>
              </w:rPr>
            </w:pPr>
            <w:r>
              <w:rPr>
                <w:rFonts w:ascii="方正书宋_GBK" w:eastAsia="方正书宋_GBK"/>
              </w:rPr>
              <w:t>0.15</w:t>
            </w:r>
          </w:p>
        </w:tc>
        <w:tc>
          <w:tcPr>
            <w:tcW w:w="992" w:type="dxa"/>
            <w:vAlign w:val="center"/>
          </w:tcPr>
          <w:p>
            <w:pPr>
              <w:spacing w:line="300" w:lineRule="exact"/>
              <w:jc w:val="right"/>
              <w:rPr>
                <w:rFonts w:ascii="方正书宋_GBK" w:eastAsia="方正书宋_GBK"/>
              </w:rPr>
            </w:pPr>
            <w:r>
              <w:rPr>
                <w:rFonts w:ascii="方正书宋_GBK" w:eastAsia="方正书宋_GBK"/>
              </w:rPr>
              <w:t>0.75</w:t>
            </w:r>
          </w:p>
        </w:tc>
        <w:tc>
          <w:tcPr>
            <w:tcW w:w="992" w:type="dxa"/>
            <w:vAlign w:val="center"/>
          </w:tcPr>
          <w:p>
            <w:pPr>
              <w:spacing w:line="300" w:lineRule="exact"/>
              <w:jc w:val="right"/>
              <w:rPr>
                <w:rFonts w:ascii="方正书宋_GBK" w:eastAsia="方正书宋_GBK"/>
              </w:rPr>
            </w:pPr>
            <w:r>
              <w:rPr>
                <w:rFonts w:ascii="方正书宋_GBK" w:eastAsia="方正书宋_GBK"/>
              </w:rPr>
              <w:t>0.75</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1104.24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417" w:type="dxa"/>
            <w:vAlign w:val="center"/>
          </w:tcPr>
          <w:p>
            <w:pPr>
              <w:spacing w:line="300" w:lineRule="exact"/>
              <w:jc w:val="left"/>
              <w:rPr>
                <w:rFonts w:ascii="方正书宋_GBK" w:eastAsia="方正书宋_GBK"/>
              </w:rPr>
            </w:pPr>
            <w:r>
              <w:rPr>
                <w:rFonts w:ascii="方正书宋_GBK" w:eastAsia="方正书宋_GBK"/>
              </w:rPr>
              <w:t>A02010104</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台</w:t>
            </w:r>
          </w:p>
        </w:tc>
        <w:tc>
          <w:tcPr>
            <w:tcW w:w="851" w:type="dxa"/>
            <w:vAlign w:val="center"/>
          </w:tcPr>
          <w:p>
            <w:pPr>
              <w:spacing w:line="300" w:lineRule="exact"/>
              <w:jc w:val="right"/>
              <w:rPr>
                <w:rFonts w:ascii="方正书宋_GBK" w:eastAsia="方正书宋_GBK"/>
              </w:rPr>
            </w:pPr>
            <w:r>
              <w:rPr>
                <w:rFonts w:ascii="方正书宋_GBK" w:eastAsia="方正书宋_GBK"/>
              </w:rPr>
              <w:t>8.00</w:t>
            </w:r>
          </w:p>
        </w:tc>
        <w:tc>
          <w:tcPr>
            <w:tcW w:w="992" w:type="dxa"/>
            <w:vAlign w:val="center"/>
          </w:tcPr>
          <w:p>
            <w:pPr>
              <w:spacing w:line="300" w:lineRule="exact"/>
              <w:jc w:val="right"/>
              <w:rPr>
                <w:rFonts w:ascii="方正书宋_GBK" w:eastAsia="方正书宋_GBK"/>
              </w:rPr>
            </w:pPr>
            <w:r>
              <w:rPr>
                <w:rFonts w:ascii="方正书宋_GBK" w:eastAsia="方正书宋_GBK"/>
              </w:rPr>
              <w:t>0.50</w:t>
            </w:r>
          </w:p>
        </w:tc>
        <w:tc>
          <w:tcPr>
            <w:tcW w:w="992" w:type="dxa"/>
            <w:vAlign w:val="center"/>
          </w:tcPr>
          <w:p>
            <w:pPr>
              <w:spacing w:line="300" w:lineRule="exact"/>
              <w:jc w:val="right"/>
              <w:rPr>
                <w:rFonts w:ascii="方正书宋_GBK" w:eastAsia="方正书宋_GBK"/>
              </w:rPr>
            </w:pPr>
            <w:r>
              <w:rPr>
                <w:rFonts w:ascii="方正书宋_GBK" w:eastAsia="方正书宋_GBK"/>
              </w:rPr>
              <w:t>4.00</w:t>
            </w:r>
          </w:p>
        </w:tc>
        <w:tc>
          <w:tcPr>
            <w:tcW w:w="992" w:type="dxa"/>
            <w:vAlign w:val="center"/>
          </w:tcPr>
          <w:p>
            <w:pPr>
              <w:spacing w:line="300" w:lineRule="exact"/>
              <w:jc w:val="right"/>
              <w:rPr>
                <w:rFonts w:ascii="方正书宋_GBK" w:eastAsia="方正书宋_GBK"/>
              </w:rPr>
            </w:pPr>
            <w:r>
              <w:rPr>
                <w:rFonts w:ascii="方正书宋_GBK" w:eastAsia="方正书宋_GBK"/>
              </w:rPr>
              <w:t>4.00</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石家庄市鹿泉区上庄镇人民政府</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597.58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5</w:t>
      </w:r>
      <w:r>
        <w:rPr>
          <w:rFonts w:ascii="Times New Roman" w:hAnsi="Times New Roman" w:eastAsia="仿宋" w:cs="Times New Roman"/>
          <w:color w:val="000000"/>
          <w:sz w:val="32"/>
          <w:szCs w:val="32"/>
        </w:rPr>
        <w:t>万元，主要为计算机、一体机</w:t>
      </w:r>
      <w:r>
        <w:rPr>
          <w:rFonts w:hint="eastAsia" w:ascii="Times New Roman" w:hAnsi="Times New Roman" w:eastAsia="仿宋" w:cs="Times New Roman"/>
          <w:color w:val="000000"/>
          <w:sz w:val="32"/>
          <w:szCs w:val="32"/>
          <w:lang w:eastAsia="zh-CN"/>
        </w:rPr>
        <w:t>、</w:t>
      </w:r>
      <w:r>
        <w:rPr>
          <w:rFonts w:ascii="Times New Roman" w:hAnsi="Times New Roman" w:eastAsia="仿宋" w:cs="Times New Roman"/>
          <w:color w:val="000000"/>
          <w:sz w:val="32"/>
          <w:szCs w:val="32"/>
        </w:rPr>
        <w:t>打印机等，已列入政府采购预算表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鹿泉区上庄镇人民政府</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石家庄市鹿泉区上庄镇人民政府</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597.58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5215.92</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204.73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4398.48</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103.67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5</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88.96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303.89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5122AA"/>
    <w:multiLevelType w:val="singleLevel"/>
    <w:tmpl w:val="925122AA"/>
    <w:lvl w:ilvl="0" w:tentative="0">
      <w:start w:val="10"/>
      <w:numFmt w:val="decimal"/>
      <w:suff w:val="nothing"/>
      <w:lvlText w:val="%1、"/>
      <w:lvlJc w:val="left"/>
    </w:lvl>
  </w:abstractNum>
  <w:abstractNum w:abstractNumId="1">
    <w:nsid w:val="6A4A5303"/>
    <w:multiLevelType w:val="singleLevel"/>
    <w:tmpl w:val="6A4A5303"/>
    <w:lvl w:ilvl="0" w:tentative="0">
      <w:start w:val="4"/>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50D4971"/>
    <w:rsid w:val="056D17C0"/>
    <w:rsid w:val="0E3B45A6"/>
    <w:rsid w:val="26187D53"/>
    <w:rsid w:val="271036E8"/>
    <w:rsid w:val="3095600C"/>
    <w:rsid w:val="30C5419A"/>
    <w:rsid w:val="363D6A2B"/>
    <w:rsid w:val="36E230AB"/>
    <w:rsid w:val="383E2C5D"/>
    <w:rsid w:val="391F3A84"/>
    <w:rsid w:val="462856C0"/>
    <w:rsid w:val="496C2E69"/>
    <w:rsid w:val="4B0A7CC8"/>
    <w:rsid w:val="53172FEB"/>
    <w:rsid w:val="53A83734"/>
    <w:rsid w:val="5CB00D00"/>
    <w:rsid w:val="5D442E4A"/>
    <w:rsid w:val="6CBE3E60"/>
    <w:rsid w:val="717271B0"/>
    <w:rsid w:val="73B041E3"/>
    <w:rsid w:val="742016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semiHidden/>
    <w:unhideWhenUsed/>
    <w:qFormat/>
    <w:uiPriority w:val="99"/>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12</TotalTime>
  <ScaleCrop>false</ScaleCrop>
  <LinksUpToDate>false</LinksUpToDate>
  <CharactersWithSpaces>8841</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2025-04-28T08:59:12Z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577057B8903346F29EF9895564CD8125</vt:lpwstr>
  </property>
</Properties>
</file>