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right="0" w:rightChars="0"/>
        <w:jc w:val="both"/>
        <w:textAlignment w:val="auto"/>
        <w:outlineLvl w:val="9"/>
        <w:rPr>
          <w:rFonts w:hint="eastAsia" w:ascii="黑体" w:hAnsi="黑体" w:eastAsia="黑体" w:cs="黑体"/>
          <w:b w:val="0"/>
          <w:bCs w:val="0"/>
          <w:sz w:val="32"/>
          <w:szCs w:val="32"/>
          <w:lang w:val="en-US" w:eastAsia="zh-CN"/>
        </w:rPr>
      </w:pPr>
    </w:p>
    <w:p>
      <w:pPr>
        <w:spacing w:line="360" w:lineRule="auto"/>
        <w:ind w:left="0" w:leftChars="0" w:right="0" w:rightChars="0" w:firstLine="0" w:firstLineChars="0"/>
        <w:jc w:val="center"/>
        <w:rPr>
          <w:rFonts w:hint="eastAsia" w:ascii="华文楷体" w:eastAsia="华文楷体"/>
          <w:sz w:val="32"/>
          <w:szCs w:val="32"/>
          <w:lang w:eastAsia="zh-CN"/>
        </w:rPr>
      </w:pPr>
      <w:r>
        <w:rPr>
          <w:rFonts w:hint="eastAsia" w:asciiTheme="majorEastAsia" w:hAnsiTheme="majorEastAsia" w:eastAsiaTheme="majorEastAsia" w:cstheme="majorEastAsia"/>
          <w:b/>
          <w:bCs/>
          <w:sz w:val="36"/>
          <w:szCs w:val="36"/>
          <w:lang w:eastAsia="zh-CN"/>
        </w:rPr>
        <w:t>涉军公益性岗位人员工资项目</w:t>
      </w:r>
      <w:r>
        <w:rPr>
          <w:rFonts w:hint="eastAsia" w:asciiTheme="majorEastAsia" w:hAnsiTheme="majorEastAsia" w:eastAsiaTheme="majorEastAsia" w:cstheme="majorEastAsia"/>
          <w:b/>
          <w:bCs/>
          <w:sz w:val="36"/>
          <w:szCs w:val="36"/>
        </w:rPr>
        <w:t>绩</w:t>
      </w:r>
      <w:r>
        <w:rPr>
          <w:rFonts w:hint="eastAsia" w:ascii="宋体"/>
          <w:b/>
          <w:bCs/>
          <w:sz w:val="36"/>
          <w:szCs w:val="32"/>
        </w:rPr>
        <w:t>效评价报告</w:t>
      </w:r>
    </w:p>
    <w:p>
      <w:pPr>
        <w:spacing w:line="360" w:lineRule="auto"/>
        <w:ind w:left="0" w:leftChars="0" w:right="0" w:rightChars="0" w:firstLine="0" w:firstLineChars="0"/>
        <w:jc w:val="center"/>
        <w:rPr>
          <w:rFonts w:hint="eastAsia" w:ascii="仿宋" w:hAnsi="仿宋" w:eastAsia="仿宋" w:cs="仿宋"/>
          <w:sz w:val="32"/>
          <w:szCs w:val="32"/>
          <w:lang w:eastAsia="zh-CN"/>
        </w:rPr>
      </w:pPr>
    </w:p>
    <w:p>
      <w:pPr>
        <w:spacing w:line="360" w:lineRule="auto"/>
        <w:ind w:left="0" w:leftChars="0" w:right="0" w:rightChars="0" w:firstLine="0" w:firstLineChars="0"/>
        <w:jc w:val="center"/>
        <w:rPr>
          <w:rFonts w:hint="eastAsia" w:ascii="华文楷体" w:eastAsia="华文楷体"/>
          <w:sz w:val="32"/>
          <w:szCs w:val="32"/>
          <w:lang w:eastAsia="zh-CN"/>
        </w:rPr>
      </w:pPr>
    </w:p>
    <w:p>
      <w:pPr>
        <w:adjustRightInd w:val="0"/>
        <w:snapToGrid w:val="0"/>
        <w:spacing w:line="360" w:lineRule="auto"/>
        <w:ind w:firstLine="640" w:firstLineChars="200"/>
        <w:rPr>
          <w:rFonts w:hint="eastAsia" w:ascii="仿宋_GB2312" w:eastAsia="仿宋_GB2312"/>
          <w:sz w:val="32"/>
          <w:szCs w:val="32"/>
        </w:rPr>
      </w:pPr>
      <w:r>
        <w:rPr>
          <w:rFonts w:hint="eastAsia" w:ascii="仿宋_GB2312" w:eastAsia="仿宋_GB2312"/>
          <w:sz w:val="32"/>
          <w:szCs w:val="32"/>
        </w:rPr>
        <w:t>根据《</w:t>
      </w:r>
      <w:r>
        <w:rPr>
          <w:rFonts w:hint="eastAsia" w:ascii="仿宋_GB2312" w:eastAsia="仿宋_GB2312"/>
          <w:sz w:val="32"/>
          <w:szCs w:val="32"/>
          <w:lang w:eastAsia="zh-CN"/>
        </w:rPr>
        <w:t>石家庄市鹿泉区区级部门预算绩效管理办法</w:t>
      </w:r>
      <w:r>
        <w:rPr>
          <w:rFonts w:hint="eastAsia" w:ascii="仿宋_GB2312" w:eastAsia="仿宋_GB2312"/>
          <w:sz w:val="32"/>
          <w:szCs w:val="32"/>
        </w:rPr>
        <w:t>》</w:t>
      </w:r>
      <w:r>
        <w:rPr>
          <w:rFonts w:hint="eastAsia" w:ascii="仿宋_GB2312" w:eastAsia="仿宋_GB2312"/>
          <w:sz w:val="32"/>
          <w:szCs w:val="32"/>
          <w:lang w:eastAsia="zh-CN"/>
        </w:rPr>
        <w:t>（鹿</w:t>
      </w:r>
      <w:r>
        <w:rPr>
          <w:rFonts w:hint="eastAsia" w:ascii="仿宋_GB2312" w:eastAsia="仿宋_GB2312"/>
          <w:sz w:val="32"/>
          <w:szCs w:val="32"/>
          <w:lang w:val="en-US" w:eastAsia="zh-CN"/>
        </w:rPr>
        <w:t>财字[2019]65号）</w:t>
      </w:r>
      <w:r>
        <w:rPr>
          <w:rFonts w:hint="eastAsia" w:ascii="仿宋_GB2312" w:eastAsia="仿宋_GB2312"/>
          <w:sz w:val="32"/>
          <w:szCs w:val="32"/>
        </w:rPr>
        <w:t>，遵循“科学性、规范性、客观性和公正性”的原则，对</w:t>
      </w:r>
      <w:r>
        <w:rPr>
          <w:rFonts w:hint="eastAsia" w:ascii="仿宋_GB2312" w:eastAsia="仿宋_GB2312"/>
          <w:sz w:val="32"/>
          <w:szCs w:val="32"/>
          <w:lang w:eastAsia="zh-CN"/>
        </w:rPr>
        <w:t>涉军公益性岗位人员工资项目</w:t>
      </w:r>
      <w:r>
        <w:rPr>
          <w:rFonts w:hint="eastAsia" w:ascii="仿宋_GB2312" w:eastAsia="仿宋_GB2312"/>
          <w:sz w:val="32"/>
          <w:szCs w:val="32"/>
        </w:rPr>
        <w:t>实施了</w:t>
      </w:r>
      <w:r>
        <w:rPr>
          <w:rFonts w:hint="eastAsia" w:ascii="仿宋_GB2312" w:eastAsia="仿宋_GB2312"/>
          <w:sz w:val="32"/>
          <w:szCs w:val="32"/>
          <w:lang w:eastAsia="zh-CN"/>
        </w:rPr>
        <w:t>绩效</w:t>
      </w:r>
      <w:r>
        <w:rPr>
          <w:rFonts w:hint="eastAsia" w:ascii="仿宋_GB2312" w:eastAsia="仿宋_GB2312"/>
          <w:sz w:val="32"/>
          <w:szCs w:val="32"/>
        </w:rPr>
        <w:t>评价，形成本评价报告。</w:t>
      </w:r>
    </w:p>
    <w:p>
      <w:pPr>
        <w:adjustRightInd w:val="0"/>
        <w:snapToGrid w:val="0"/>
        <w:spacing w:line="360" w:lineRule="auto"/>
        <w:rPr>
          <w:rFonts w:hint="eastAsia" w:ascii="黑体" w:eastAsia="黑体"/>
          <w:b/>
          <w:bCs/>
          <w:sz w:val="32"/>
          <w:szCs w:val="36"/>
        </w:rPr>
      </w:pPr>
      <w:r>
        <w:rPr>
          <w:rFonts w:hint="eastAsia" w:ascii="黑体" w:eastAsia="黑体"/>
          <w:sz w:val="32"/>
          <w:szCs w:val="32"/>
          <w:lang w:val="en-US" w:eastAsia="zh-CN"/>
        </w:rPr>
        <w:t xml:space="preserve">    </w:t>
      </w:r>
      <w:r>
        <w:rPr>
          <w:rFonts w:hint="eastAsia" w:ascii="黑体" w:eastAsia="黑体"/>
          <w:b w:val="0"/>
          <w:bCs w:val="0"/>
          <w:sz w:val="32"/>
          <w:szCs w:val="32"/>
        </w:rPr>
        <w:t>一、</w:t>
      </w:r>
      <w:r>
        <w:rPr>
          <w:rFonts w:hint="eastAsia" w:ascii="黑体" w:eastAsia="黑体"/>
          <w:b w:val="0"/>
          <w:bCs w:val="0"/>
          <w:sz w:val="32"/>
          <w:szCs w:val="32"/>
          <w:lang w:eastAsia="zh-CN"/>
        </w:rPr>
        <w:t>项目</w:t>
      </w:r>
      <w:r>
        <w:rPr>
          <w:rFonts w:hint="eastAsia" w:ascii="黑体" w:eastAsia="黑体"/>
          <w:b w:val="0"/>
          <w:bCs w:val="0"/>
          <w:sz w:val="32"/>
          <w:szCs w:val="36"/>
        </w:rPr>
        <w:t>基本情况</w:t>
      </w:r>
    </w:p>
    <w:p>
      <w:pPr>
        <w:adjustRightInd w:val="0"/>
        <w:snapToGrid w:val="0"/>
        <w:spacing w:line="360" w:lineRule="auto"/>
        <w:ind w:firstLine="640" w:firstLineChars="200"/>
        <w:rPr>
          <w:rFonts w:hint="eastAsia" w:ascii="楷体_GB2312" w:hAnsi="楷体_GB2312" w:eastAsia="楷体_GB2312" w:cs="楷体_GB2312"/>
          <w:b w:val="0"/>
          <w:bCs w:val="0"/>
          <w:sz w:val="32"/>
          <w:szCs w:val="32"/>
        </w:rPr>
      </w:pPr>
      <w:r>
        <w:rPr>
          <w:rFonts w:hint="eastAsia" w:ascii="楷体_GB2312" w:hAnsi="楷体_GB2312" w:eastAsia="楷体_GB2312" w:cs="楷体_GB2312"/>
          <w:b w:val="0"/>
          <w:bCs w:val="0"/>
          <w:sz w:val="32"/>
          <w:szCs w:val="32"/>
        </w:rPr>
        <w:t>（一）项目概况</w:t>
      </w:r>
    </w:p>
    <w:p>
      <w:pPr>
        <w:adjustRightInd w:val="0"/>
        <w:snapToGrid w:val="0"/>
        <w:spacing w:line="360" w:lineRule="auto"/>
        <w:ind w:firstLine="640" w:firstLineChars="200"/>
        <w:rPr>
          <w:rFonts w:hint="eastAsia" w:ascii="仿宋_GB2312" w:eastAsia="仿宋_GB2312"/>
          <w:sz w:val="32"/>
          <w:szCs w:val="32"/>
          <w:lang w:eastAsia="zh-CN"/>
        </w:rPr>
      </w:pPr>
      <w:r>
        <w:rPr>
          <w:rFonts w:hint="eastAsia" w:ascii="仿宋_GB2312" w:eastAsia="仿宋_GB2312"/>
          <w:sz w:val="32"/>
          <w:szCs w:val="32"/>
          <w:lang w:val="en-US" w:eastAsia="zh-CN"/>
        </w:rPr>
        <w:t xml:space="preserve"> </w:t>
      </w:r>
      <w:r>
        <w:rPr>
          <w:rFonts w:hint="eastAsia" w:ascii="仿宋_GB2312" w:eastAsia="仿宋_GB2312"/>
          <w:sz w:val="32"/>
          <w:szCs w:val="32"/>
        </w:rPr>
        <w:t>1</w:t>
      </w:r>
      <w:r>
        <w:rPr>
          <w:rFonts w:hint="eastAsia" w:ascii="仿宋_GB2312" w:eastAsia="仿宋_GB2312"/>
          <w:sz w:val="32"/>
          <w:szCs w:val="32"/>
          <w:lang w:val="en-US" w:eastAsia="zh-CN"/>
        </w:rPr>
        <w:t>.</w:t>
      </w:r>
      <w:r>
        <w:rPr>
          <w:rFonts w:hint="eastAsia" w:ascii="仿宋_GB2312" w:eastAsia="仿宋_GB2312"/>
          <w:sz w:val="32"/>
          <w:szCs w:val="32"/>
          <w:lang w:eastAsia="zh-CN"/>
        </w:rPr>
        <w:t>项目实施单位及项目立项等基本情况；</w:t>
      </w:r>
    </w:p>
    <w:p>
      <w:pPr>
        <w:adjustRightInd w:val="0"/>
        <w:snapToGrid w:val="0"/>
        <w:spacing w:line="360" w:lineRule="auto"/>
        <w:ind w:firstLine="640" w:firstLineChars="200"/>
        <w:rPr>
          <w:rFonts w:hint="eastAsia" w:ascii="仿宋_GB2312" w:eastAsia="仿宋_GB2312"/>
          <w:sz w:val="32"/>
          <w:szCs w:val="32"/>
          <w:lang w:eastAsia="zh-CN"/>
        </w:rPr>
      </w:pPr>
      <w:r>
        <w:rPr>
          <w:rFonts w:hint="eastAsia" w:ascii="仿宋_GB2312" w:eastAsia="仿宋_GB2312"/>
          <w:sz w:val="32"/>
          <w:szCs w:val="32"/>
          <w:lang w:eastAsia="zh-CN"/>
        </w:rPr>
        <w:t>涉军公益性岗位人员工资项目实施单位为鹿泉区上庄镇人民政府，依照《鹿泉区关于进一步做好部分军队退役人员帮扶救助的若干措施》（鹿办文【2017】31号）文件第二条第一款“试行公益性岗位托底安置”，做好我镇退役义务兵、复原士官、转业士官的接收安置和管理工作。</w:t>
      </w:r>
    </w:p>
    <w:p>
      <w:pPr>
        <w:adjustRightInd w:val="0"/>
        <w:snapToGrid w:val="0"/>
        <w:spacing w:line="360" w:lineRule="auto"/>
        <w:ind w:firstLine="640" w:firstLineChars="200"/>
        <w:rPr>
          <w:rFonts w:hint="eastAsia" w:ascii="仿宋_GB2312" w:eastAsia="仿宋_GB2312"/>
          <w:sz w:val="32"/>
          <w:szCs w:val="32"/>
          <w:lang w:eastAsia="zh-CN"/>
        </w:rPr>
      </w:pPr>
      <w:r>
        <w:rPr>
          <w:rFonts w:hint="eastAsia" w:ascii="仿宋_GB2312" w:eastAsia="仿宋_GB2312"/>
          <w:sz w:val="32"/>
          <w:szCs w:val="32"/>
          <w:lang w:eastAsia="zh-CN"/>
        </w:rPr>
        <w:t>（1）上庄镇人民政府根据鹿泉区关于进一步做好部分军队退役人员帮扶救助的若干措施》（鹿办文【2017】31号）文件第二条第一款“试行公益性岗位托底安置”，做好我镇退役义务兵、复原士官、转业士官的接收安置和管理工作。</w:t>
      </w:r>
    </w:p>
    <w:p>
      <w:pPr>
        <w:adjustRightInd w:val="0"/>
        <w:snapToGrid w:val="0"/>
        <w:spacing w:line="360" w:lineRule="auto"/>
        <w:ind w:firstLine="640" w:firstLineChars="200"/>
        <w:rPr>
          <w:rFonts w:hint="eastAsia" w:ascii="仿宋_GB2312" w:eastAsia="仿宋_GB2312"/>
          <w:sz w:val="32"/>
          <w:szCs w:val="32"/>
          <w:lang w:eastAsia="zh-CN"/>
        </w:rPr>
      </w:pPr>
      <w:r>
        <w:rPr>
          <w:rFonts w:hint="eastAsia" w:ascii="仿宋_GB2312" w:eastAsia="仿宋_GB2312"/>
          <w:sz w:val="32"/>
          <w:szCs w:val="32"/>
          <w:lang w:eastAsia="zh-CN"/>
        </w:rPr>
        <w:t>（2）该项目具有紧迫性，落实国家优抚政策，及时规范发放退役士兵工资，维护社会和谐稳定。</w:t>
      </w:r>
    </w:p>
    <w:p>
      <w:pPr>
        <w:adjustRightInd w:val="0"/>
        <w:snapToGrid w:val="0"/>
        <w:spacing w:line="360" w:lineRule="auto"/>
        <w:ind w:firstLine="640" w:firstLineChars="200"/>
        <w:rPr>
          <w:rFonts w:hint="eastAsia" w:ascii="仿宋_GB2312" w:eastAsia="仿宋_GB2312"/>
          <w:sz w:val="32"/>
          <w:szCs w:val="32"/>
          <w:lang w:eastAsia="zh-CN"/>
        </w:rPr>
      </w:pPr>
      <w:r>
        <w:rPr>
          <w:rFonts w:hint="eastAsia" w:ascii="仿宋_GB2312" w:eastAsia="仿宋_GB2312"/>
          <w:sz w:val="32"/>
          <w:szCs w:val="32"/>
          <w:lang w:eastAsia="zh-CN"/>
        </w:rPr>
        <w:t>（3）该项目具有迫切性和现实需要。加大对符合条件的退役士兵实行就业援助，确保我镇安置工作顺利进行，为巩固军政军民团结，促进社会和谐有重大意义，此项目经济效益较高，且具有很高的社会效益。</w:t>
      </w:r>
    </w:p>
    <w:p>
      <w:pPr>
        <w:adjustRightInd w:val="0"/>
        <w:snapToGrid w:val="0"/>
        <w:spacing w:line="360" w:lineRule="auto"/>
        <w:ind w:firstLine="640" w:firstLineChars="200"/>
        <w:rPr>
          <w:rFonts w:hint="eastAsia" w:ascii="仿宋_GB2312" w:eastAsia="仿宋_GB2312"/>
          <w:sz w:val="32"/>
          <w:szCs w:val="32"/>
          <w:lang w:eastAsia="zh-CN"/>
        </w:rPr>
      </w:pPr>
      <w:r>
        <w:rPr>
          <w:rFonts w:hint="eastAsia" w:ascii="仿宋_GB2312" w:eastAsia="仿宋_GB2312"/>
          <w:sz w:val="32"/>
          <w:szCs w:val="32"/>
          <w:lang w:eastAsia="zh-CN"/>
        </w:rPr>
        <w:t xml:space="preserve"> （4）项目属于财政支持范围，且经过相关部门充分调研论证，按照立项、勘察各个环节分步实施。对项目立项规范性、绩效目标合理性和绩效指标明确性等情况进行分析后，根据指标体系评分标准计算分值。</w:t>
      </w:r>
    </w:p>
    <w:p>
      <w:pPr>
        <w:numPr>
          <w:ilvl w:val="0"/>
          <w:numId w:val="1"/>
        </w:numPr>
        <w:adjustRightInd w:val="0"/>
        <w:snapToGrid w:val="0"/>
        <w:spacing w:line="360" w:lineRule="auto"/>
        <w:ind w:left="800" w:leftChars="0" w:firstLine="0" w:firstLineChars="0"/>
        <w:rPr>
          <w:rFonts w:hint="eastAsia" w:ascii="仿宋_GB2312" w:eastAsia="仿宋_GB2312"/>
          <w:sz w:val="32"/>
          <w:szCs w:val="32"/>
          <w:lang w:val="en-US" w:eastAsia="zh-CN"/>
        </w:rPr>
      </w:pPr>
      <w:r>
        <w:rPr>
          <w:rFonts w:hint="eastAsia" w:ascii="仿宋_GB2312" w:eastAsia="仿宋_GB2312"/>
          <w:sz w:val="32"/>
          <w:szCs w:val="32"/>
          <w:lang w:val="en-US" w:eastAsia="zh-CN"/>
        </w:rPr>
        <w:t>项目主要实施内容和范围；</w:t>
      </w:r>
    </w:p>
    <w:p>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left="0" w:leftChars="0" w:firstLine="640" w:firstLineChars="200"/>
        <w:textAlignment w:val="auto"/>
        <w:outlineLvl w:val="9"/>
        <w:rPr>
          <w:rFonts w:hint="eastAsia" w:ascii="仿宋_GB2312" w:eastAsia="仿宋_GB2312"/>
          <w:sz w:val="32"/>
          <w:szCs w:val="32"/>
          <w:lang w:val="en-US" w:eastAsia="zh-CN"/>
        </w:rPr>
      </w:pPr>
      <w:r>
        <w:rPr>
          <w:rFonts w:hint="eastAsia" w:ascii="仿宋_GB2312" w:eastAsia="仿宋_GB2312"/>
          <w:sz w:val="32"/>
          <w:szCs w:val="32"/>
          <w:lang w:val="en-US" w:eastAsia="zh-CN"/>
        </w:rPr>
        <w:t>我镇现有涉军公益性岗位人员21名，财政局负担公益性岗位工资660元/人/月，退役人员岗位补贴900元/人/月，2018年8月增发工资150元/人/月，其中10人军龄补贴为600元/人/月，工资每月小计2310元/人，11人军龄补贴150元/人/月，工资每月小计1860元/人。取暖补贴每人1900元。</w:t>
      </w:r>
    </w:p>
    <w:p>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left="0" w:leftChars="0" w:firstLine="640" w:firstLineChars="200"/>
        <w:textAlignment w:val="auto"/>
        <w:outlineLvl w:val="9"/>
        <w:rPr>
          <w:rFonts w:hint="eastAsia" w:ascii="仿宋_GB2312" w:eastAsia="仿宋_GB2312"/>
          <w:sz w:val="32"/>
          <w:szCs w:val="32"/>
          <w:lang w:val="en-US" w:eastAsia="zh-CN"/>
        </w:rPr>
      </w:pPr>
      <w:r>
        <w:rPr>
          <w:rFonts w:hint="eastAsia" w:ascii="仿宋_GB2312" w:eastAsia="仿宋_GB2312"/>
          <w:sz w:val="32"/>
          <w:szCs w:val="32"/>
          <w:lang w:val="en-US" w:eastAsia="zh-CN"/>
        </w:rPr>
        <w:t>我镇现有涉军劳务派遣人员两名，分别是戎鹏飞和郝国学，财政局负担工资部分为1650元/月/人，退役人员岗位补贴900元/月/人，军龄补贴600元/月/人，2018年8月后增发工资150元/月/人，实发工资每人每月3300元。社会保险部分：养老保险456元/月/人，医疗生育保险450元/月/人，工伤保险35元/月/人，失业保险20元/月/人，小计961元/月/人。取暖补贴1900元/人。</w:t>
      </w:r>
    </w:p>
    <w:p>
      <w:pPr>
        <w:numPr>
          <w:ilvl w:val="0"/>
          <w:numId w:val="1"/>
        </w:numPr>
        <w:adjustRightInd w:val="0"/>
        <w:snapToGrid w:val="0"/>
        <w:spacing w:line="360" w:lineRule="auto"/>
        <w:ind w:left="800" w:leftChars="0" w:firstLine="0" w:firstLineChars="0"/>
        <w:rPr>
          <w:rFonts w:hint="eastAsia" w:ascii="仿宋_GB2312" w:eastAsia="仿宋_GB2312"/>
          <w:sz w:val="32"/>
          <w:szCs w:val="32"/>
          <w:lang w:val="en-US" w:eastAsia="zh-CN"/>
        </w:rPr>
      </w:pPr>
      <w:r>
        <w:rPr>
          <w:rFonts w:hint="eastAsia" w:ascii="仿宋_GB2312" w:eastAsia="仿宋_GB2312"/>
          <w:sz w:val="32"/>
          <w:szCs w:val="32"/>
          <w:lang w:val="en-US" w:eastAsia="zh-CN"/>
        </w:rPr>
        <w:t>项目资金投入情况</w:t>
      </w:r>
    </w:p>
    <w:p>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left="0" w:leftChars="0" w:firstLine="640" w:firstLineChars="200"/>
        <w:textAlignment w:val="auto"/>
        <w:outlineLvl w:val="9"/>
        <w:rPr>
          <w:rFonts w:hint="eastAsia" w:ascii="仿宋_GB2312" w:eastAsia="仿宋_GB2312"/>
          <w:sz w:val="32"/>
          <w:szCs w:val="32"/>
          <w:lang w:val="en-US" w:eastAsia="zh-CN"/>
        </w:rPr>
      </w:pPr>
      <w:r>
        <w:rPr>
          <w:rFonts w:hint="eastAsia" w:ascii="仿宋_GB2312" w:eastAsia="仿宋_GB2312"/>
          <w:sz w:val="32"/>
          <w:szCs w:val="32"/>
          <w:lang w:val="en-US" w:eastAsia="zh-CN"/>
        </w:rPr>
        <w:t>我镇全年需支付涉军公益性岗位人员工资623475.92元，资金来源为区财政出资。</w:t>
      </w:r>
    </w:p>
    <w:p>
      <w:pPr>
        <w:adjustRightInd w:val="0"/>
        <w:snapToGrid w:val="0"/>
        <w:spacing w:line="360" w:lineRule="auto"/>
        <w:ind w:firstLine="640" w:firstLineChars="200"/>
        <w:rPr>
          <w:rFonts w:hint="eastAsia" w:ascii="楷体_GB2312" w:hAnsi="楷体_GB2312" w:eastAsia="楷体_GB2312" w:cs="楷体_GB2312"/>
          <w:b/>
          <w:bCs/>
          <w:sz w:val="32"/>
          <w:szCs w:val="32"/>
        </w:rPr>
      </w:pPr>
      <w:r>
        <w:rPr>
          <w:rFonts w:hint="eastAsia" w:ascii="楷体_GB2312" w:hAnsi="楷体_GB2312" w:eastAsia="楷体_GB2312" w:cs="楷体_GB2312"/>
          <w:b w:val="0"/>
          <w:bCs w:val="0"/>
          <w:sz w:val="32"/>
          <w:szCs w:val="32"/>
        </w:rPr>
        <w:t>（二）项目</w:t>
      </w:r>
      <w:r>
        <w:rPr>
          <w:rFonts w:hint="eastAsia" w:ascii="楷体_GB2312" w:hAnsi="楷体_GB2312" w:eastAsia="楷体_GB2312" w:cs="楷体_GB2312"/>
          <w:b w:val="0"/>
          <w:bCs w:val="0"/>
          <w:sz w:val="32"/>
          <w:szCs w:val="32"/>
          <w:lang w:eastAsia="zh-CN"/>
        </w:rPr>
        <w:t>预期</w:t>
      </w:r>
      <w:r>
        <w:rPr>
          <w:rFonts w:hint="eastAsia" w:ascii="楷体_GB2312" w:hAnsi="楷体_GB2312" w:eastAsia="楷体_GB2312" w:cs="楷体_GB2312"/>
          <w:b w:val="0"/>
          <w:bCs w:val="0"/>
          <w:sz w:val="32"/>
          <w:szCs w:val="32"/>
        </w:rPr>
        <w:t>绩效目标</w:t>
      </w:r>
    </w:p>
    <w:p>
      <w:pPr>
        <w:keepNext w:val="0"/>
        <w:keepLines w:val="0"/>
        <w:pageBreakBefore w:val="0"/>
        <w:widowControl w:val="0"/>
        <w:kinsoku/>
        <w:wordWrap/>
        <w:overflowPunct/>
        <w:topLinePunct w:val="0"/>
        <w:autoSpaceDE/>
        <w:autoSpaceDN/>
        <w:bidi w:val="0"/>
        <w:adjustRightInd w:val="0"/>
        <w:snapToGrid w:val="0"/>
        <w:spacing w:line="360" w:lineRule="auto"/>
        <w:ind w:firstLine="640" w:firstLineChars="200"/>
        <w:jc w:val="left"/>
        <w:textAlignment w:val="auto"/>
        <w:outlineLvl w:val="9"/>
        <w:rPr>
          <w:rFonts w:hint="eastAsia" w:ascii="黑体" w:hAnsi="黑体" w:eastAsia="黑体" w:cs="黑体"/>
          <w:b/>
          <w:bCs/>
          <w:sz w:val="32"/>
          <w:szCs w:val="32"/>
          <w:lang w:eastAsia="zh-CN"/>
        </w:rPr>
      </w:pPr>
      <w:r>
        <w:rPr>
          <w:rFonts w:hint="eastAsia" w:ascii="仿宋_GB2312" w:hAnsi="仿宋_GB2312" w:eastAsia="仿宋_GB2312" w:cs="仿宋_GB2312"/>
          <w:b w:val="0"/>
          <w:bCs w:val="0"/>
          <w:sz w:val="32"/>
          <w:szCs w:val="32"/>
          <w:lang w:eastAsia="zh-CN"/>
        </w:rPr>
        <w:t>退役士兵公益性岗位人员工资每月需按照实有人数和政策标准通过银行代发的形式及时兑现到涉军人员手中，加大对符合条件的退役士兵实行就业援助，确保我镇安置工作顺利进行，为巩固军政军民团结，促进社会和谐，维护社会稳定作出贡献。</w:t>
      </w:r>
      <w:r>
        <w:rPr>
          <w:rFonts w:hint="eastAsia" w:ascii="仿宋_GB2312" w:hAnsi="仿宋_GB2312" w:eastAsia="仿宋_GB2312" w:cs="仿宋_GB2312"/>
          <w:b w:val="0"/>
          <w:bCs w:val="0"/>
          <w:sz w:val="32"/>
          <w:szCs w:val="32"/>
          <w:lang w:val="en-US" w:eastAsia="zh-CN"/>
        </w:rPr>
        <w:t xml:space="preserve">                     </w:t>
      </w:r>
      <w:r>
        <w:rPr>
          <w:rFonts w:hint="eastAsia" w:ascii="黑体" w:hAnsi="黑体" w:eastAsia="黑体" w:cs="黑体"/>
          <w:b/>
          <w:bCs/>
          <w:sz w:val="32"/>
          <w:szCs w:val="32"/>
          <w:lang w:eastAsia="zh-CN"/>
        </w:rPr>
        <w:t>二、绩效评价工作情况</w:t>
      </w:r>
    </w:p>
    <w:p>
      <w:pPr>
        <w:ind w:left="0" w:leftChars="0" w:right="0" w:rightChars="0" w:firstLine="0" w:firstLineChars="0"/>
        <w:jc w:val="both"/>
        <w:rPr>
          <w:rFonts w:hint="eastAsia" w:ascii="楷体_GB2312" w:hAnsi="楷体_GB2312" w:eastAsia="楷体_GB2312" w:cs="楷体_GB2312"/>
          <w:sz w:val="32"/>
          <w:szCs w:val="32"/>
          <w:lang w:val="en-US" w:eastAsia="zh-CN"/>
        </w:rPr>
      </w:pPr>
      <w:r>
        <w:rPr>
          <w:rFonts w:hint="eastAsia" w:ascii="仿宋_GB2312" w:eastAsia="仿宋_GB2312"/>
          <w:sz w:val="32"/>
          <w:szCs w:val="32"/>
          <w:lang w:val="en-US" w:eastAsia="zh-CN"/>
        </w:rPr>
        <w:t xml:space="preserve">   </w:t>
      </w:r>
      <w:r>
        <w:rPr>
          <w:rFonts w:hint="eastAsia" w:ascii="楷体_GB2312" w:hAnsi="楷体_GB2312" w:eastAsia="楷体_GB2312" w:cs="楷体_GB2312"/>
          <w:b w:val="0"/>
          <w:bCs w:val="0"/>
          <w:sz w:val="32"/>
          <w:szCs w:val="32"/>
          <w:lang w:val="en-US" w:eastAsia="zh-CN"/>
        </w:rPr>
        <w:t>（一）绩效评价的组织工作</w:t>
      </w:r>
    </w:p>
    <w:p>
      <w:pPr>
        <w:numPr>
          <w:ilvl w:val="0"/>
          <w:numId w:val="0"/>
        </w:numPr>
        <w:rPr>
          <w:rFonts w:hint="eastAsia" w:ascii="仿宋_GB2312" w:eastAsia="仿宋_GB2312"/>
          <w:sz w:val="32"/>
          <w:szCs w:val="32"/>
          <w:lang w:val="en-US"/>
        </w:rPr>
      </w:pPr>
      <w:r>
        <w:rPr>
          <w:rFonts w:hint="eastAsia" w:ascii="仿宋_GB2312" w:eastAsia="仿宋_GB2312"/>
          <w:sz w:val="32"/>
          <w:szCs w:val="32"/>
          <w:lang w:val="en-US" w:eastAsia="zh-CN"/>
        </w:rPr>
        <w:t xml:space="preserve">   通过全面评价2019年退役士兵公益性岗位人员工资，形成真实、准确、清晰的绩效评价结论，为后期强化预算绩效管理提供重要依据。一方面考核项目绩效目标的完成程度，增强项目实施单位对财政资金使用的责任感，规范资金管理，确保资金安全与高效使用。另一方面考核评价项目管理工作的运行绩效，分析资金使用后对退役士兵优抚事业发展的影响。第三通过对预算资金的产出和结果进行评价，发现预算执行、资金使用管理中存在的问题，优化资金资源，提高资金使用效率，为下一年预算安排提供参考依据。</w:t>
      </w:r>
    </w:p>
    <w:p>
      <w:pPr>
        <w:numPr>
          <w:ilvl w:val="0"/>
          <w:numId w:val="2"/>
        </w:numPr>
        <w:ind w:left="481" w:leftChars="0" w:right="0" w:rightChars="0" w:firstLine="0" w:firstLineChars="0"/>
        <w:jc w:val="both"/>
        <w:rPr>
          <w:rFonts w:hint="eastAsia" w:ascii="楷体_GB2312" w:hAnsi="楷体_GB2312" w:eastAsia="楷体_GB2312" w:cs="楷体_GB2312"/>
          <w:b w:val="0"/>
          <w:bCs w:val="0"/>
          <w:sz w:val="32"/>
          <w:szCs w:val="32"/>
          <w:lang w:val="en-US" w:eastAsia="zh-CN"/>
        </w:rPr>
      </w:pPr>
      <w:r>
        <w:rPr>
          <w:rFonts w:hint="eastAsia" w:ascii="楷体_GB2312" w:hAnsi="楷体_GB2312" w:eastAsia="楷体_GB2312" w:cs="楷体_GB2312"/>
          <w:b w:val="0"/>
          <w:bCs w:val="0"/>
          <w:sz w:val="32"/>
          <w:szCs w:val="32"/>
          <w:lang w:val="en-US" w:eastAsia="zh-CN"/>
        </w:rPr>
        <w:t>绩效评价的方法和过程</w:t>
      </w:r>
    </w:p>
    <w:p>
      <w:pPr>
        <w:numPr>
          <w:ilvl w:val="0"/>
          <w:numId w:val="3"/>
        </w:numPr>
        <w:ind w:left="481" w:leftChars="0" w:right="0" w:rightChars="0"/>
        <w:jc w:val="both"/>
        <w:rPr>
          <w:rFonts w:hint="eastAsia" w:ascii="楷体_GB2312" w:hAnsi="楷体_GB2312" w:eastAsia="楷体_GB2312" w:cs="楷体_GB2312"/>
          <w:b w:val="0"/>
          <w:bCs w:val="0"/>
          <w:sz w:val="32"/>
          <w:szCs w:val="32"/>
          <w:lang w:val="en-US" w:eastAsia="zh-CN"/>
        </w:rPr>
      </w:pPr>
      <w:r>
        <w:rPr>
          <w:rFonts w:hint="eastAsia" w:ascii="楷体_GB2312" w:hAnsi="楷体_GB2312" w:eastAsia="楷体_GB2312" w:cs="楷体_GB2312"/>
          <w:b w:val="0"/>
          <w:bCs w:val="0"/>
          <w:sz w:val="32"/>
          <w:szCs w:val="32"/>
          <w:lang w:val="en-US" w:eastAsia="zh-CN"/>
        </w:rPr>
        <w:t>评价方法</w:t>
      </w:r>
    </w:p>
    <w:p>
      <w:pPr>
        <w:keepNext w:val="0"/>
        <w:keepLines w:val="0"/>
        <w:pageBreakBefore w:val="0"/>
        <w:widowControl w:val="0"/>
        <w:numPr>
          <w:ilvl w:val="0"/>
          <w:numId w:val="0"/>
        </w:numPr>
        <w:kinsoku/>
        <w:wordWrap/>
        <w:overflowPunct/>
        <w:topLinePunct w:val="0"/>
        <w:autoSpaceDE/>
        <w:autoSpaceDN/>
        <w:bidi w:val="0"/>
        <w:adjustRightInd/>
        <w:snapToGrid/>
        <w:ind w:right="0" w:rightChars="0" w:firstLine="640" w:firstLineChars="200"/>
        <w:jc w:val="both"/>
        <w:textAlignment w:val="auto"/>
        <w:outlineLvl w:val="9"/>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val="0"/>
          <w:bCs w:val="0"/>
          <w:sz w:val="32"/>
          <w:szCs w:val="32"/>
          <w:lang w:val="en-US" w:eastAsia="zh-CN"/>
        </w:rPr>
        <w:t>本项目从实际情况出发，采取以下方法，同时在运用具体评价方法时，采用定量与定性相结合的技术进行综合评价。</w:t>
      </w:r>
    </w:p>
    <w:p>
      <w:pPr>
        <w:keepNext w:val="0"/>
        <w:keepLines w:val="0"/>
        <w:pageBreakBefore w:val="0"/>
        <w:widowControl w:val="0"/>
        <w:numPr>
          <w:ilvl w:val="0"/>
          <w:numId w:val="4"/>
        </w:numPr>
        <w:kinsoku/>
        <w:wordWrap/>
        <w:overflowPunct/>
        <w:topLinePunct w:val="0"/>
        <w:autoSpaceDE/>
        <w:autoSpaceDN/>
        <w:bidi w:val="0"/>
        <w:adjustRightInd/>
        <w:snapToGrid/>
        <w:ind w:right="0" w:rightChars="0" w:firstLine="640" w:firstLineChars="200"/>
        <w:jc w:val="both"/>
        <w:textAlignment w:val="auto"/>
        <w:outlineLvl w:val="9"/>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val="0"/>
          <w:bCs w:val="0"/>
          <w:sz w:val="32"/>
          <w:szCs w:val="32"/>
          <w:lang w:val="en-US" w:eastAsia="zh-CN"/>
        </w:rPr>
        <w:t>比较法：通过对绩效目标与实施效果比较，综合分析绩效目标的实现程度；</w:t>
      </w:r>
    </w:p>
    <w:p>
      <w:pPr>
        <w:keepNext w:val="0"/>
        <w:keepLines w:val="0"/>
        <w:pageBreakBefore w:val="0"/>
        <w:widowControl w:val="0"/>
        <w:numPr>
          <w:ilvl w:val="0"/>
          <w:numId w:val="4"/>
        </w:numPr>
        <w:kinsoku/>
        <w:wordWrap/>
        <w:overflowPunct/>
        <w:topLinePunct w:val="0"/>
        <w:autoSpaceDE/>
        <w:autoSpaceDN/>
        <w:bidi w:val="0"/>
        <w:adjustRightInd/>
        <w:snapToGrid/>
        <w:ind w:right="0" w:rightChars="0" w:firstLine="640" w:firstLineChars="200"/>
        <w:jc w:val="both"/>
        <w:textAlignment w:val="auto"/>
        <w:outlineLvl w:val="9"/>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val="0"/>
          <w:bCs w:val="0"/>
          <w:sz w:val="32"/>
          <w:szCs w:val="32"/>
          <w:lang w:val="en-US" w:eastAsia="zh-CN"/>
        </w:rPr>
        <w:t>因素分析法：通过综合分析影响绩效目标实现、实施效果的内外因素，评价绩效目标的实现程度；</w:t>
      </w:r>
    </w:p>
    <w:p>
      <w:pPr>
        <w:keepNext w:val="0"/>
        <w:keepLines w:val="0"/>
        <w:pageBreakBefore w:val="0"/>
        <w:widowControl w:val="0"/>
        <w:numPr>
          <w:ilvl w:val="0"/>
          <w:numId w:val="4"/>
        </w:numPr>
        <w:kinsoku/>
        <w:wordWrap/>
        <w:overflowPunct/>
        <w:topLinePunct w:val="0"/>
        <w:autoSpaceDE/>
        <w:autoSpaceDN/>
        <w:bidi w:val="0"/>
        <w:adjustRightInd/>
        <w:snapToGrid/>
        <w:ind w:right="0" w:rightChars="0" w:firstLine="640" w:firstLineChars="200"/>
        <w:jc w:val="both"/>
        <w:textAlignment w:val="auto"/>
        <w:outlineLvl w:val="9"/>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val="0"/>
          <w:bCs w:val="0"/>
          <w:sz w:val="32"/>
          <w:szCs w:val="32"/>
          <w:lang w:val="en-US" w:eastAsia="zh-CN"/>
        </w:rPr>
        <w:t>项目效益分析法：通过项目支出与项目效益进行对比分析，评价绩效目标的实现程度；</w:t>
      </w:r>
    </w:p>
    <w:p>
      <w:pPr>
        <w:keepNext w:val="0"/>
        <w:keepLines w:val="0"/>
        <w:pageBreakBefore w:val="0"/>
        <w:widowControl w:val="0"/>
        <w:numPr>
          <w:ilvl w:val="0"/>
          <w:numId w:val="4"/>
        </w:numPr>
        <w:kinsoku/>
        <w:wordWrap/>
        <w:overflowPunct/>
        <w:topLinePunct w:val="0"/>
        <w:autoSpaceDE/>
        <w:autoSpaceDN/>
        <w:bidi w:val="0"/>
        <w:adjustRightInd/>
        <w:snapToGrid/>
        <w:ind w:right="0" w:rightChars="0" w:firstLine="640" w:firstLineChars="200"/>
        <w:jc w:val="both"/>
        <w:textAlignment w:val="auto"/>
        <w:outlineLvl w:val="9"/>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val="0"/>
          <w:bCs w:val="0"/>
          <w:sz w:val="32"/>
          <w:szCs w:val="32"/>
          <w:lang w:val="en-US" w:eastAsia="zh-CN"/>
        </w:rPr>
        <w:t>公众评价法：通过问卷调查对项目支出效果进行评价目标的实现程度。</w:t>
      </w:r>
    </w:p>
    <w:p>
      <w:pPr>
        <w:keepNext w:val="0"/>
        <w:keepLines w:val="0"/>
        <w:pageBreakBefore w:val="0"/>
        <w:widowControl w:val="0"/>
        <w:numPr>
          <w:ilvl w:val="0"/>
          <w:numId w:val="3"/>
        </w:numPr>
        <w:tabs>
          <w:tab w:val="clear" w:pos="312"/>
        </w:tabs>
        <w:kinsoku/>
        <w:wordWrap/>
        <w:overflowPunct/>
        <w:topLinePunct w:val="0"/>
        <w:autoSpaceDE/>
        <w:autoSpaceDN/>
        <w:bidi w:val="0"/>
        <w:adjustRightInd/>
        <w:snapToGrid/>
        <w:ind w:left="481" w:leftChars="0" w:right="0" w:rightChars="0" w:firstLine="0" w:firstLineChars="0"/>
        <w:jc w:val="both"/>
        <w:textAlignment w:val="auto"/>
        <w:outlineLvl w:val="9"/>
        <w:rPr>
          <w:rFonts w:hint="eastAsia" w:ascii="楷体_GB2312" w:hAnsi="楷体_GB2312" w:eastAsia="楷体_GB2312" w:cs="楷体_GB2312"/>
          <w:b w:val="0"/>
          <w:bCs w:val="0"/>
          <w:sz w:val="32"/>
          <w:szCs w:val="32"/>
          <w:lang w:val="en-US" w:eastAsia="zh-CN"/>
        </w:rPr>
      </w:pPr>
      <w:r>
        <w:rPr>
          <w:rFonts w:hint="eastAsia" w:ascii="楷体_GB2312" w:hAnsi="楷体_GB2312" w:eastAsia="楷体_GB2312" w:cs="楷体_GB2312"/>
          <w:b w:val="0"/>
          <w:bCs w:val="0"/>
          <w:sz w:val="32"/>
          <w:szCs w:val="32"/>
          <w:lang w:val="en-US" w:eastAsia="zh-CN"/>
        </w:rPr>
        <w:t>评价过程</w:t>
      </w:r>
    </w:p>
    <w:p>
      <w:pPr>
        <w:keepNext w:val="0"/>
        <w:keepLines w:val="0"/>
        <w:pageBreakBefore w:val="0"/>
        <w:widowControl w:val="0"/>
        <w:numPr>
          <w:ilvl w:val="0"/>
          <w:numId w:val="0"/>
        </w:numPr>
        <w:kinsoku/>
        <w:wordWrap/>
        <w:overflowPunct/>
        <w:topLinePunct w:val="0"/>
        <w:autoSpaceDE/>
        <w:autoSpaceDN/>
        <w:bidi w:val="0"/>
        <w:adjustRightInd/>
        <w:snapToGrid/>
        <w:ind w:left="0" w:leftChars="0" w:right="0" w:rightChars="0" w:firstLine="640" w:firstLineChars="200"/>
        <w:jc w:val="both"/>
        <w:textAlignment w:val="auto"/>
        <w:outlineLvl w:val="9"/>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val="0"/>
          <w:bCs w:val="0"/>
          <w:sz w:val="32"/>
          <w:szCs w:val="32"/>
          <w:lang w:val="en-US" w:eastAsia="zh-CN"/>
        </w:rPr>
        <w:t>绩效评价组通过财政部门和资金使用部门收集相关资料对项目深入研究、反复研讨，针对项目的特性设计相关表格进行统计、分析、核实。评价小组进行实地考察，听取项目情况介绍，了解项目的开展、执行及管控，并进行问卷调查，以获取绩效评价业务需要的基础资料。</w:t>
      </w:r>
    </w:p>
    <w:p>
      <w:pPr>
        <w:numPr>
          <w:ilvl w:val="0"/>
          <w:numId w:val="0"/>
        </w:numPr>
        <w:ind w:leftChars="0" w:right="0" w:rightChars="0"/>
        <w:jc w:val="both"/>
        <w:rPr>
          <w:rFonts w:hint="eastAsia" w:ascii="仿宋_GB2312" w:eastAsia="仿宋_GB2312"/>
          <w:b w:val="0"/>
          <w:bCs w:val="0"/>
          <w:sz w:val="32"/>
          <w:szCs w:val="32"/>
          <w:lang w:val="en-US" w:eastAsia="zh-CN"/>
        </w:rPr>
      </w:pPr>
      <w:r>
        <w:rPr>
          <w:rFonts w:hint="eastAsia" w:ascii="楷体_GB2312" w:hAnsi="楷体_GB2312" w:eastAsia="楷体_GB2312" w:cs="楷体_GB2312"/>
          <w:b/>
          <w:bCs/>
          <w:sz w:val="32"/>
          <w:szCs w:val="32"/>
          <w:lang w:val="en-US" w:eastAsia="zh-CN"/>
        </w:rPr>
        <w:t xml:space="preserve">   </w:t>
      </w:r>
      <w:r>
        <w:rPr>
          <w:rFonts w:hint="eastAsia" w:ascii="楷体_GB2312" w:hAnsi="楷体_GB2312" w:eastAsia="楷体_GB2312" w:cs="楷体_GB2312"/>
          <w:b w:val="0"/>
          <w:bCs w:val="0"/>
          <w:sz w:val="32"/>
          <w:szCs w:val="32"/>
          <w:lang w:val="en-US" w:eastAsia="zh-CN"/>
        </w:rPr>
        <w:t>（三）建立绩效评价指标体系</w:t>
      </w:r>
    </w:p>
    <w:p>
      <w:pPr>
        <w:ind w:firstLine="640" w:firstLineChars="200"/>
        <w:jc w:val="both"/>
        <w:rPr>
          <w:rFonts w:hint="eastAsia" w:ascii="仿宋_GB2312" w:eastAsia="仿宋_GB2312"/>
          <w:sz w:val="32"/>
          <w:szCs w:val="32"/>
          <w:lang w:val="en-US" w:eastAsia="zh-CN"/>
        </w:rPr>
      </w:pPr>
      <w:r>
        <w:rPr>
          <w:rFonts w:hint="eastAsia" w:ascii="仿宋_GB2312" w:eastAsia="仿宋_GB2312"/>
          <w:b w:val="0"/>
          <w:bCs w:val="0"/>
          <w:sz w:val="32"/>
          <w:szCs w:val="32"/>
          <w:lang w:val="en-US" w:eastAsia="zh-CN"/>
        </w:rPr>
        <w:t>在开展预算绩效评价工作时，针对具体绩效评价对象的特点，设计具体的绩效评价指标体系。</w:t>
      </w:r>
      <w:r>
        <w:rPr>
          <w:rFonts w:hint="eastAsia" w:ascii="仿宋_GB2312" w:eastAsia="仿宋_GB2312"/>
          <w:sz w:val="32"/>
          <w:szCs w:val="32"/>
          <w:lang w:val="en-US" w:eastAsia="zh-CN"/>
        </w:rPr>
        <w:t>除共性指标外，必须设置能够体现项目特点和绩效的个性指标；项目产出指标与项目效果指标设置数量在8个（含）以上，分值权重占总体的65%以上。具体为：</w:t>
      </w:r>
    </w:p>
    <w:p>
      <w:pPr>
        <w:ind w:firstLine="640" w:firstLineChars="200"/>
        <w:jc w:val="both"/>
        <w:rPr>
          <w:rFonts w:hint="eastAsia" w:ascii="仿宋_GB2312" w:eastAsia="仿宋_GB2312"/>
          <w:sz w:val="32"/>
          <w:szCs w:val="32"/>
          <w:lang w:val="en-US" w:eastAsia="zh-CN"/>
        </w:rPr>
      </w:pPr>
      <w:r>
        <w:rPr>
          <w:rFonts w:hint="eastAsia" w:ascii="仿宋_GB2312" w:eastAsia="仿宋_GB2312"/>
          <w:sz w:val="32"/>
          <w:szCs w:val="32"/>
          <w:lang w:val="en-US" w:eastAsia="zh-CN"/>
        </w:rPr>
        <w:t>投入的分值30分，包括项目立项15分、资金落实情况15分；</w:t>
      </w:r>
    </w:p>
    <w:p>
      <w:pPr>
        <w:ind w:firstLine="640" w:firstLineChars="200"/>
        <w:jc w:val="both"/>
        <w:rPr>
          <w:rFonts w:hint="eastAsia" w:ascii="仿宋_GB2312" w:eastAsia="仿宋_GB2312"/>
          <w:sz w:val="32"/>
          <w:szCs w:val="32"/>
          <w:lang w:val="en-US" w:eastAsia="zh-CN"/>
        </w:rPr>
      </w:pPr>
      <w:r>
        <w:rPr>
          <w:rFonts w:hint="eastAsia" w:ascii="仿宋_GB2312" w:eastAsia="仿宋_GB2312"/>
          <w:sz w:val="32"/>
          <w:szCs w:val="32"/>
          <w:lang w:val="en-US" w:eastAsia="zh-CN"/>
        </w:rPr>
        <w:t>项目实施过程分值30分，包括业务管理15分、财务管理分值15分；</w:t>
      </w:r>
    </w:p>
    <w:p>
      <w:pPr>
        <w:ind w:firstLine="640" w:firstLineChars="200"/>
        <w:jc w:val="both"/>
        <w:rPr>
          <w:rFonts w:hint="eastAsia" w:ascii="仿宋_GB2312" w:eastAsia="仿宋_GB2312"/>
          <w:sz w:val="32"/>
          <w:szCs w:val="32"/>
          <w:lang w:val="en-US" w:eastAsia="zh-CN"/>
        </w:rPr>
      </w:pPr>
      <w:r>
        <w:rPr>
          <w:rFonts w:hint="eastAsia" w:ascii="仿宋_GB2312" w:eastAsia="仿宋_GB2312"/>
          <w:sz w:val="32"/>
          <w:szCs w:val="32"/>
          <w:lang w:val="en-US" w:eastAsia="zh-CN"/>
        </w:rPr>
        <w:t>产出与效益分值40分，包括产出数量8分、产出质量12分、项目效益20分。</w:t>
      </w:r>
    </w:p>
    <w:p>
      <w:pPr>
        <w:rPr>
          <w:rFonts w:hint="eastAsia" w:ascii="黑体" w:hAnsi="黑体" w:eastAsia="黑体" w:cs="黑体"/>
          <w:b/>
          <w:bCs/>
          <w:sz w:val="32"/>
          <w:szCs w:val="32"/>
          <w:lang w:eastAsia="zh-CN"/>
        </w:rPr>
      </w:pPr>
      <w:r>
        <w:rPr>
          <w:rFonts w:hint="eastAsia" w:ascii="仿宋_GB2312" w:eastAsia="仿宋_GB2312"/>
          <w:b/>
          <w:bCs/>
          <w:sz w:val="32"/>
          <w:szCs w:val="32"/>
          <w:lang w:val="en-US" w:eastAsia="zh-CN"/>
        </w:rPr>
        <w:t xml:space="preserve">    </w:t>
      </w:r>
      <w:r>
        <w:rPr>
          <w:rFonts w:hint="eastAsia" w:ascii="黑体" w:hAnsi="黑体" w:eastAsia="黑体" w:cs="黑体"/>
          <w:b w:val="0"/>
          <w:bCs w:val="0"/>
          <w:sz w:val="32"/>
          <w:szCs w:val="32"/>
          <w:lang w:val="en-US" w:eastAsia="zh-CN"/>
        </w:rPr>
        <w:t>三、</w:t>
      </w:r>
      <w:r>
        <w:rPr>
          <w:rFonts w:hint="eastAsia" w:ascii="黑体" w:hAnsi="黑体" w:eastAsia="黑体" w:cs="黑体"/>
          <w:b w:val="0"/>
          <w:bCs w:val="0"/>
          <w:sz w:val="32"/>
          <w:szCs w:val="32"/>
          <w:lang w:eastAsia="zh-CN"/>
        </w:rPr>
        <w:t>项目执行及绩效实现情况</w:t>
      </w:r>
    </w:p>
    <w:p>
      <w:pPr>
        <w:rPr>
          <w:rFonts w:hint="eastAsia" w:ascii="楷体_GB2312" w:hAnsi="楷体_GB2312" w:eastAsia="楷体_GB2312" w:cs="楷体_GB2312"/>
          <w:b w:val="0"/>
          <w:bCs w:val="0"/>
          <w:sz w:val="32"/>
          <w:szCs w:val="32"/>
          <w:lang w:val="en-US" w:eastAsia="zh-CN"/>
        </w:rPr>
      </w:pPr>
      <w:r>
        <w:rPr>
          <w:rFonts w:hint="eastAsia" w:ascii="楷体_GB2312" w:hAnsi="楷体_GB2312" w:eastAsia="楷体_GB2312" w:cs="楷体_GB2312"/>
          <w:b w:val="0"/>
          <w:bCs w:val="0"/>
          <w:sz w:val="32"/>
          <w:szCs w:val="32"/>
          <w:lang w:val="en-US" w:eastAsia="zh-CN"/>
        </w:rPr>
        <w:t xml:space="preserve">   （一）项目投入</w:t>
      </w:r>
    </w:p>
    <w:p>
      <w:pPr>
        <w:ind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1.</w:t>
      </w:r>
      <w:r>
        <w:rPr>
          <w:rFonts w:hint="default" w:ascii="仿宋_GB2312" w:eastAsia="仿宋_GB2312"/>
          <w:b w:val="0"/>
          <w:bCs w:val="0"/>
          <w:sz w:val="32"/>
          <w:szCs w:val="32"/>
          <w:lang w:val="en-US" w:eastAsia="zh-CN"/>
        </w:rPr>
        <w:t>项目</w:t>
      </w:r>
      <w:r>
        <w:rPr>
          <w:rFonts w:hint="eastAsia" w:ascii="仿宋_GB2312" w:eastAsia="仿宋_GB2312"/>
          <w:b w:val="0"/>
          <w:bCs w:val="0"/>
          <w:sz w:val="32"/>
          <w:szCs w:val="32"/>
          <w:lang w:val="en-US" w:eastAsia="zh-CN"/>
        </w:rPr>
        <w:t>立项情况分析。</w:t>
      </w:r>
    </w:p>
    <w:p>
      <w:pPr>
        <w:spacing w:line="360" w:lineRule="auto"/>
        <w:ind w:firstLine="640" w:firstLineChars="200"/>
        <w:contextualSpacing/>
        <w:rPr>
          <w:rFonts w:ascii="仿宋_GB2312" w:hAnsi="楷体" w:eastAsia="仿宋_GB2312"/>
          <w:sz w:val="32"/>
          <w:szCs w:val="32"/>
        </w:rPr>
      </w:pPr>
      <w:r>
        <w:rPr>
          <w:rFonts w:hint="eastAsia" w:ascii="仿宋_GB2312" w:hAnsi="楷体" w:eastAsia="仿宋_GB2312"/>
          <w:sz w:val="32"/>
          <w:szCs w:val="32"/>
        </w:rPr>
        <w:t>项目立项得分</w:t>
      </w:r>
      <w:r>
        <w:rPr>
          <w:rFonts w:hint="eastAsia" w:ascii="仿宋_GB2312" w:hAnsi="楷体" w:eastAsia="仿宋_GB2312"/>
          <w:sz w:val="32"/>
          <w:szCs w:val="32"/>
          <w:lang w:val="en-US" w:eastAsia="zh-CN"/>
        </w:rPr>
        <w:t>15</w:t>
      </w:r>
      <w:r>
        <w:rPr>
          <w:rFonts w:hint="eastAsia" w:ascii="仿宋_GB2312" w:hAnsi="楷体" w:eastAsia="仿宋_GB2312"/>
          <w:sz w:val="32"/>
          <w:szCs w:val="32"/>
        </w:rPr>
        <w:t>分</w:t>
      </w:r>
      <w:r>
        <w:rPr>
          <w:rFonts w:ascii="仿宋_GB2312" w:hAnsi="楷体" w:eastAsia="仿宋_GB2312"/>
          <w:sz w:val="32"/>
          <w:szCs w:val="32"/>
        </w:rPr>
        <w:t>(</w:t>
      </w:r>
      <w:r>
        <w:rPr>
          <w:rFonts w:hint="eastAsia" w:ascii="仿宋_GB2312" w:hAnsi="楷体" w:eastAsia="仿宋_GB2312"/>
          <w:sz w:val="32"/>
          <w:szCs w:val="32"/>
        </w:rPr>
        <w:t>分值</w:t>
      </w:r>
      <w:r>
        <w:rPr>
          <w:rFonts w:hint="eastAsia" w:ascii="仿宋_GB2312" w:hAnsi="楷体" w:eastAsia="仿宋_GB2312"/>
          <w:sz w:val="32"/>
          <w:szCs w:val="32"/>
          <w:lang w:val="en-US" w:eastAsia="zh-CN"/>
        </w:rPr>
        <w:t>15</w:t>
      </w:r>
      <w:r>
        <w:rPr>
          <w:rFonts w:hint="eastAsia" w:ascii="仿宋_GB2312" w:hAnsi="楷体" w:eastAsia="仿宋_GB2312"/>
          <w:sz w:val="32"/>
          <w:szCs w:val="32"/>
        </w:rPr>
        <w:t>分</w:t>
      </w:r>
      <w:r>
        <w:rPr>
          <w:rFonts w:ascii="仿宋_GB2312" w:hAnsi="楷体" w:eastAsia="仿宋_GB2312"/>
          <w:sz w:val="32"/>
          <w:szCs w:val="32"/>
        </w:rPr>
        <w:t xml:space="preserve">) </w:t>
      </w:r>
    </w:p>
    <w:p>
      <w:pPr>
        <w:spacing w:line="360" w:lineRule="auto"/>
        <w:ind w:firstLine="640" w:firstLineChars="200"/>
        <w:contextualSpacing/>
        <w:rPr>
          <w:rFonts w:ascii="仿宋_GB2312" w:hAnsi="楷体" w:eastAsia="仿宋_GB2312"/>
          <w:sz w:val="32"/>
          <w:szCs w:val="32"/>
        </w:rPr>
      </w:pPr>
      <w:r>
        <w:rPr>
          <w:rFonts w:hint="eastAsia" w:ascii="仿宋_GB2312" w:hAnsi="楷体" w:eastAsia="仿宋_GB2312"/>
          <w:sz w:val="32"/>
          <w:szCs w:val="32"/>
        </w:rPr>
        <w:t>（</w:t>
      </w:r>
      <w:r>
        <w:rPr>
          <w:rFonts w:ascii="仿宋_GB2312" w:hAnsi="楷体" w:eastAsia="仿宋_GB2312"/>
          <w:sz w:val="32"/>
          <w:szCs w:val="32"/>
        </w:rPr>
        <w:t>1</w:t>
      </w:r>
      <w:r>
        <w:rPr>
          <w:rFonts w:hint="eastAsia" w:ascii="仿宋_GB2312" w:hAnsi="楷体" w:eastAsia="仿宋_GB2312"/>
          <w:sz w:val="32"/>
          <w:szCs w:val="32"/>
        </w:rPr>
        <w:t>）绩效目标合理性指标分值</w:t>
      </w:r>
      <w:r>
        <w:rPr>
          <w:rFonts w:hint="eastAsia" w:ascii="仿宋_GB2312" w:hAnsi="楷体" w:eastAsia="仿宋_GB2312"/>
          <w:sz w:val="32"/>
          <w:szCs w:val="32"/>
          <w:lang w:val="en-US" w:eastAsia="zh-CN"/>
        </w:rPr>
        <w:t>5</w:t>
      </w:r>
      <w:r>
        <w:rPr>
          <w:rFonts w:hint="eastAsia" w:ascii="仿宋_GB2312" w:hAnsi="楷体" w:eastAsia="仿宋_GB2312"/>
          <w:sz w:val="32"/>
          <w:szCs w:val="32"/>
        </w:rPr>
        <w:t>分，得分</w:t>
      </w:r>
      <w:r>
        <w:rPr>
          <w:rFonts w:hint="eastAsia" w:ascii="仿宋_GB2312" w:hAnsi="楷体" w:eastAsia="仿宋_GB2312"/>
          <w:sz w:val="32"/>
          <w:szCs w:val="32"/>
          <w:lang w:val="en-US" w:eastAsia="zh-CN"/>
        </w:rPr>
        <w:t>5</w:t>
      </w:r>
      <w:r>
        <w:rPr>
          <w:rFonts w:hint="eastAsia" w:ascii="仿宋_GB2312" w:hAnsi="楷体" w:eastAsia="仿宋_GB2312"/>
          <w:sz w:val="32"/>
          <w:szCs w:val="32"/>
        </w:rPr>
        <w:t>分：</w:t>
      </w:r>
      <w:r>
        <w:rPr>
          <w:rFonts w:hint="eastAsia" w:ascii="仿宋_GB2312" w:hAnsi="楷体" w:eastAsia="仿宋_GB2312"/>
          <w:sz w:val="32"/>
          <w:szCs w:val="32"/>
          <w:lang w:eastAsia="zh-CN"/>
        </w:rPr>
        <w:t>上庄镇</w:t>
      </w:r>
      <w:r>
        <w:rPr>
          <w:rFonts w:hint="eastAsia" w:ascii="仿宋_GB2312" w:hAnsi="楷体" w:eastAsia="仿宋_GB2312"/>
          <w:sz w:val="32"/>
          <w:szCs w:val="32"/>
        </w:rPr>
        <w:t>绩效目标基本能与项目年度任务数相对应的，能与预算确定的资金量相匹配，得满分。</w:t>
      </w:r>
    </w:p>
    <w:p>
      <w:pPr>
        <w:spacing w:line="360" w:lineRule="auto"/>
        <w:ind w:firstLine="640" w:firstLineChars="200"/>
        <w:contextualSpacing/>
        <w:rPr>
          <w:rFonts w:ascii="仿宋_GB2312" w:hAnsi="楷体" w:eastAsia="仿宋_GB2312"/>
          <w:sz w:val="32"/>
          <w:szCs w:val="32"/>
        </w:rPr>
      </w:pPr>
      <w:r>
        <w:rPr>
          <w:rFonts w:hint="eastAsia" w:ascii="仿宋_GB2312" w:hAnsi="楷体" w:eastAsia="仿宋_GB2312"/>
          <w:sz w:val="32"/>
          <w:szCs w:val="32"/>
        </w:rPr>
        <w:t>（</w:t>
      </w:r>
      <w:r>
        <w:rPr>
          <w:rFonts w:ascii="仿宋_GB2312" w:hAnsi="楷体" w:eastAsia="仿宋_GB2312"/>
          <w:sz w:val="32"/>
          <w:szCs w:val="32"/>
        </w:rPr>
        <w:t>2</w:t>
      </w:r>
      <w:r>
        <w:rPr>
          <w:rFonts w:hint="eastAsia" w:ascii="仿宋_GB2312" w:hAnsi="楷体" w:eastAsia="仿宋_GB2312"/>
          <w:sz w:val="32"/>
          <w:szCs w:val="32"/>
        </w:rPr>
        <w:t>）绩效指标明确性指标分值</w:t>
      </w:r>
      <w:r>
        <w:rPr>
          <w:rFonts w:hint="eastAsia" w:ascii="仿宋_GB2312" w:hAnsi="楷体" w:eastAsia="仿宋_GB2312"/>
          <w:sz w:val="32"/>
          <w:szCs w:val="32"/>
          <w:lang w:val="en-US" w:eastAsia="zh-CN"/>
        </w:rPr>
        <w:t>5</w:t>
      </w:r>
      <w:r>
        <w:rPr>
          <w:rFonts w:hint="eastAsia" w:ascii="仿宋_GB2312" w:hAnsi="楷体" w:eastAsia="仿宋_GB2312"/>
          <w:sz w:val="32"/>
          <w:szCs w:val="32"/>
        </w:rPr>
        <w:t>分，得分</w:t>
      </w:r>
      <w:r>
        <w:rPr>
          <w:rFonts w:hint="eastAsia" w:ascii="仿宋_GB2312" w:hAnsi="楷体" w:eastAsia="仿宋_GB2312"/>
          <w:sz w:val="32"/>
          <w:szCs w:val="32"/>
          <w:lang w:val="en-US" w:eastAsia="zh-CN"/>
        </w:rPr>
        <w:t>5</w:t>
      </w:r>
      <w:r>
        <w:rPr>
          <w:rFonts w:hint="eastAsia" w:ascii="仿宋_GB2312" w:hAnsi="楷体" w:eastAsia="仿宋_GB2312"/>
          <w:sz w:val="32"/>
          <w:szCs w:val="32"/>
        </w:rPr>
        <w:t>分：能将项目绩效目标细化分解为具体的绩效指标，项目绩效指标清晰、可衡量，得满分。</w:t>
      </w:r>
    </w:p>
    <w:p>
      <w:pPr>
        <w:ind w:firstLine="640" w:firstLineChars="200"/>
        <w:rPr>
          <w:rFonts w:hint="eastAsia" w:ascii="仿宋_GB2312" w:hAnsi="楷体" w:eastAsia="仿宋_GB2312"/>
          <w:sz w:val="32"/>
          <w:szCs w:val="32"/>
        </w:rPr>
      </w:pPr>
      <w:r>
        <w:rPr>
          <w:rFonts w:hint="eastAsia" w:ascii="仿宋_GB2312" w:hAnsi="楷体" w:eastAsia="仿宋_GB2312"/>
          <w:sz w:val="32"/>
          <w:szCs w:val="32"/>
        </w:rPr>
        <w:t>（</w:t>
      </w:r>
      <w:r>
        <w:rPr>
          <w:rFonts w:ascii="仿宋_GB2312" w:hAnsi="楷体" w:eastAsia="仿宋_GB2312"/>
          <w:sz w:val="32"/>
          <w:szCs w:val="32"/>
        </w:rPr>
        <w:t>3</w:t>
      </w:r>
      <w:r>
        <w:rPr>
          <w:rFonts w:hint="eastAsia" w:ascii="仿宋_GB2312" w:hAnsi="楷体" w:eastAsia="仿宋_GB2312"/>
          <w:sz w:val="32"/>
          <w:szCs w:val="32"/>
        </w:rPr>
        <w:t>）项目立项规范性指标分值</w:t>
      </w:r>
      <w:r>
        <w:rPr>
          <w:rFonts w:hint="eastAsia" w:ascii="仿宋_GB2312" w:hAnsi="楷体" w:eastAsia="仿宋_GB2312"/>
          <w:sz w:val="32"/>
          <w:szCs w:val="32"/>
          <w:lang w:val="en-US" w:eastAsia="zh-CN"/>
        </w:rPr>
        <w:t>5</w:t>
      </w:r>
      <w:r>
        <w:rPr>
          <w:rFonts w:hint="eastAsia" w:ascii="仿宋_GB2312" w:hAnsi="楷体" w:eastAsia="仿宋_GB2312"/>
          <w:sz w:val="32"/>
          <w:szCs w:val="32"/>
        </w:rPr>
        <w:t>分，得分</w:t>
      </w:r>
      <w:r>
        <w:rPr>
          <w:rFonts w:hint="eastAsia" w:ascii="仿宋_GB2312" w:hAnsi="楷体" w:eastAsia="仿宋_GB2312"/>
          <w:sz w:val="32"/>
          <w:szCs w:val="32"/>
          <w:lang w:val="en-US" w:eastAsia="zh-CN"/>
        </w:rPr>
        <w:t>5</w:t>
      </w:r>
      <w:r>
        <w:rPr>
          <w:rFonts w:hint="eastAsia" w:ascii="仿宋_GB2312" w:hAnsi="楷体" w:eastAsia="仿宋_GB2312"/>
          <w:sz w:val="32"/>
          <w:szCs w:val="32"/>
        </w:rPr>
        <w:t>分：项目立项程序规范，所提交的材料、文件符合相关要求，得满分。</w:t>
      </w:r>
    </w:p>
    <w:p>
      <w:pPr>
        <w:ind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2.资金落实情况分析。</w:t>
      </w:r>
    </w:p>
    <w:p>
      <w:pPr>
        <w:ind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资金落实得分15分（分值15分）</w:t>
      </w:r>
    </w:p>
    <w:p>
      <w:pPr>
        <w:ind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 xml:space="preserve">（1）资金到位率指标分值5分，得分5分：2019年项目资金计划投入623475.92元，实际到位资金总额为623475.92元，资金到位率100%，得满分。  </w:t>
      </w:r>
    </w:p>
    <w:p>
      <w:pPr>
        <w:ind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（2）资金到位及时率指标分值5分，得分5分：项目资金及时足额下达，得5分。</w:t>
      </w:r>
    </w:p>
    <w:p>
      <w:pPr>
        <w:ind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（3）资金使用率指标分值5分，得分5分：截止2019年底，项目实施单位实际使用资金总额623475.92元，实际到位资金总额623475.92元，资金使用率为100%，得5分。</w:t>
      </w:r>
    </w:p>
    <w:p>
      <w:pPr>
        <w:rPr>
          <w:rFonts w:hint="eastAsia" w:ascii="楷体_GB2312" w:hAnsi="楷体_GB2312" w:eastAsia="楷体_GB2312" w:cs="楷体_GB2312"/>
          <w:b w:val="0"/>
          <w:bCs w:val="0"/>
          <w:sz w:val="32"/>
          <w:szCs w:val="32"/>
          <w:lang w:val="en-US" w:eastAsia="zh-CN"/>
        </w:rPr>
      </w:pPr>
      <w:r>
        <w:rPr>
          <w:rFonts w:hint="eastAsia" w:ascii="仿宋_GB2312" w:eastAsia="仿宋_GB2312"/>
          <w:b w:val="0"/>
          <w:bCs w:val="0"/>
          <w:sz w:val="32"/>
          <w:szCs w:val="32"/>
          <w:lang w:val="en-US" w:eastAsia="zh-CN"/>
        </w:rPr>
        <w:t xml:space="preserve">   </w:t>
      </w:r>
      <w:r>
        <w:rPr>
          <w:rFonts w:hint="eastAsia" w:ascii="楷体_GB2312" w:hAnsi="楷体_GB2312" w:eastAsia="楷体_GB2312" w:cs="楷体_GB2312"/>
          <w:b w:val="0"/>
          <w:bCs w:val="0"/>
          <w:sz w:val="32"/>
          <w:szCs w:val="32"/>
          <w:lang w:val="en-US" w:eastAsia="zh-CN"/>
        </w:rPr>
        <w:t>（二）项目实施过程</w:t>
      </w:r>
    </w:p>
    <w:p>
      <w:pPr>
        <w:spacing w:line="360" w:lineRule="auto"/>
        <w:ind w:firstLine="640"/>
        <w:contextualSpacing/>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1.业务管理情况分析。</w:t>
      </w:r>
    </w:p>
    <w:p>
      <w:pPr>
        <w:spacing w:line="360" w:lineRule="auto"/>
        <w:ind w:firstLine="640"/>
        <w:contextualSpacing/>
        <w:rPr>
          <w:rFonts w:ascii="仿宋_GB2312" w:hAnsi="楷体" w:eastAsia="仿宋_GB2312"/>
          <w:sz w:val="32"/>
          <w:szCs w:val="32"/>
        </w:rPr>
      </w:pPr>
      <w:r>
        <w:rPr>
          <w:rFonts w:hint="eastAsia" w:ascii="仿宋_GB2312" w:hAnsi="楷体" w:eastAsia="仿宋_GB2312"/>
          <w:sz w:val="32"/>
          <w:szCs w:val="32"/>
        </w:rPr>
        <w:t>业务管理得分</w:t>
      </w:r>
      <w:r>
        <w:rPr>
          <w:rFonts w:hint="eastAsia" w:ascii="仿宋_GB2312" w:hAnsi="楷体" w:eastAsia="仿宋_GB2312"/>
          <w:sz w:val="32"/>
          <w:szCs w:val="32"/>
          <w:lang w:val="en-US" w:eastAsia="zh-CN"/>
        </w:rPr>
        <w:t>13</w:t>
      </w:r>
      <w:r>
        <w:rPr>
          <w:rFonts w:hint="eastAsia" w:ascii="仿宋_GB2312" w:hAnsi="楷体" w:eastAsia="仿宋_GB2312"/>
          <w:sz w:val="32"/>
          <w:szCs w:val="32"/>
        </w:rPr>
        <w:t>分</w:t>
      </w:r>
      <w:r>
        <w:rPr>
          <w:rFonts w:ascii="仿宋_GB2312" w:hAnsi="楷体" w:eastAsia="仿宋_GB2312"/>
          <w:sz w:val="32"/>
          <w:szCs w:val="32"/>
        </w:rPr>
        <w:t>(</w:t>
      </w:r>
      <w:r>
        <w:rPr>
          <w:rFonts w:hint="eastAsia" w:ascii="仿宋_GB2312" w:hAnsi="楷体" w:eastAsia="仿宋_GB2312"/>
          <w:sz w:val="32"/>
          <w:szCs w:val="32"/>
          <w:lang w:eastAsia="zh-CN"/>
        </w:rPr>
        <w:t>分值</w:t>
      </w:r>
      <w:r>
        <w:rPr>
          <w:rFonts w:hint="eastAsia" w:ascii="仿宋_GB2312" w:hAnsi="楷体" w:eastAsia="仿宋_GB2312"/>
          <w:sz w:val="32"/>
          <w:szCs w:val="32"/>
          <w:lang w:val="en-US" w:eastAsia="zh-CN"/>
        </w:rPr>
        <w:t>15</w:t>
      </w:r>
      <w:r>
        <w:rPr>
          <w:rFonts w:hint="eastAsia" w:ascii="仿宋_GB2312" w:hAnsi="楷体" w:eastAsia="仿宋_GB2312"/>
          <w:sz w:val="32"/>
          <w:szCs w:val="32"/>
        </w:rPr>
        <w:t>分</w:t>
      </w:r>
      <w:r>
        <w:rPr>
          <w:rFonts w:ascii="仿宋_GB2312" w:hAnsi="楷体" w:eastAsia="仿宋_GB2312"/>
          <w:sz w:val="32"/>
          <w:szCs w:val="32"/>
        </w:rPr>
        <w:t>)</w:t>
      </w:r>
      <w:r>
        <w:rPr>
          <w:rFonts w:hint="eastAsia" w:ascii="仿宋_GB2312" w:hAnsi="楷体" w:eastAsia="仿宋_GB2312"/>
          <w:sz w:val="32"/>
          <w:szCs w:val="32"/>
        </w:rPr>
        <w:t>。</w:t>
      </w:r>
    </w:p>
    <w:p>
      <w:pPr>
        <w:ind w:firstLine="640"/>
        <w:rPr>
          <w:rFonts w:ascii="仿宋_GB2312" w:hAnsi="楷体" w:eastAsia="仿宋_GB2312"/>
          <w:sz w:val="32"/>
          <w:szCs w:val="32"/>
        </w:rPr>
      </w:pPr>
      <w:r>
        <w:rPr>
          <w:rFonts w:hint="eastAsia" w:ascii="仿宋_GB2312" w:hAnsi="楷体" w:eastAsia="仿宋_GB2312"/>
          <w:sz w:val="32"/>
          <w:szCs w:val="32"/>
        </w:rPr>
        <w:t>（</w:t>
      </w:r>
      <w:r>
        <w:rPr>
          <w:rFonts w:ascii="仿宋_GB2312" w:hAnsi="楷体" w:eastAsia="仿宋_GB2312"/>
          <w:sz w:val="32"/>
          <w:szCs w:val="32"/>
        </w:rPr>
        <w:t>1</w:t>
      </w:r>
      <w:r>
        <w:rPr>
          <w:rFonts w:hint="eastAsia" w:ascii="仿宋_GB2312" w:hAnsi="楷体" w:eastAsia="仿宋_GB2312"/>
          <w:sz w:val="32"/>
          <w:szCs w:val="32"/>
        </w:rPr>
        <w:t>）组织建设指标分值</w:t>
      </w:r>
      <w:r>
        <w:rPr>
          <w:rFonts w:hint="eastAsia" w:ascii="仿宋_GB2312" w:hAnsi="楷体" w:eastAsia="仿宋_GB2312"/>
          <w:sz w:val="32"/>
          <w:szCs w:val="32"/>
          <w:lang w:val="en-US" w:eastAsia="zh-CN"/>
        </w:rPr>
        <w:t>8</w:t>
      </w:r>
      <w:r>
        <w:rPr>
          <w:rFonts w:hint="eastAsia" w:ascii="仿宋_GB2312" w:hAnsi="楷体" w:eastAsia="仿宋_GB2312"/>
          <w:sz w:val="32"/>
          <w:szCs w:val="32"/>
        </w:rPr>
        <w:t>分，得分</w:t>
      </w:r>
      <w:r>
        <w:rPr>
          <w:rFonts w:hint="eastAsia" w:ascii="仿宋_GB2312" w:hAnsi="楷体" w:eastAsia="仿宋_GB2312"/>
          <w:sz w:val="32"/>
          <w:szCs w:val="32"/>
          <w:lang w:val="en-US" w:eastAsia="zh-CN"/>
        </w:rPr>
        <w:t>8</w:t>
      </w:r>
      <w:r>
        <w:rPr>
          <w:rFonts w:hint="eastAsia" w:ascii="仿宋_GB2312" w:hAnsi="楷体" w:eastAsia="仿宋_GB2312"/>
          <w:sz w:val="32"/>
          <w:szCs w:val="32"/>
        </w:rPr>
        <w:t>分。</w:t>
      </w:r>
      <w:r>
        <w:rPr>
          <w:rFonts w:hint="eastAsia" w:ascii="仿宋_GB2312" w:hAnsi="楷体" w:eastAsia="仿宋_GB2312"/>
          <w:sz w:val="32"/>
          <w:szCs w:val="32"/>
          <w:lang w:eastAsia="zh-CN"/>
        </w:rPr>
        <w:t>上庄镇退役军人服务中心</w:t>
      </w:r>
      <w:r>
        <w:rPr>
          <w:rFonts w:hint="eastAsia" w:ascii="仿宋_GB2312" w:hAnsi="楷体" w:eastAsia="仿宋_GB2312"/>
          <w:sz w:val="32"/>
          <w:szCs w:val="32"/>
        </w:rPr>
        <w:t>对</w:t>
      </w:r>
      <w:r>
        <w:rPr>
          <w:rFonts w:hint="eastAsia" w:ascii="仿宋_GB2312" w:hAnsi="楷体" w:eastAsia="仿宋_GB2312"/>
          <w:sz w:val="32"/>
          <w:szCs w:val="32"/>
          <w:lang w:eastAsia="zh-CN"/>
        </w:rPr>
        <w:t>退役士兵</w:t>
      </w:r>
      <w:r>
        <w:rPr>
          <w:rFonts w:hint="eastAsia" w:ascii="仿宋_GB2312" w:hAnsi="楷体" w:eastAsia="仿宋_GB2312"/>
          <w:sz w:val="32"/>
          <w:szCs w:val="32"/>
        </w:rPr>
        <w:t>人员情况进行审核，满分。</w:t>
      </w:r>
    </w:p>
    <w:p>
      <w:pPr>
        <w:ind w:firstLine="640"/>
        <w:rPr>
          <w:rFonts w:ascii="仿宋_GB2312" w:hAnsi="楷体" w:eastAsia="仿宋_GB2312"/>
          <w:sz w:val="32"/>
          <w:szCs w:val="32"/>
        </w:rPr>
      </w:pPr>
      <w:r>
        <w:rPr>
          <w:rFonts w:hint="eastAsia" w:ascii="仿宋_GB2312" w:hAnsi="楷体" w:eastAsia="仿宋_GB2312"/>
          <w:sz w:val="32"/>
          <w:szCs w:val="32"/>
        </w:rPr>
        <w:t>（</w:t>
      </w:r>
      <w:r>
        <w:rPr>
          <w:rFonts w:ascii="仿宋_GB2312" w:hAnsi="楷体" w:eastAsia="仿宋_GB2312"/>
          <w:sz w:val="32"/>
          <w:szCs w:val="32"/>
        </w:rPr>
        <w:t>2</w:t>
      </w:r>
      <w:r>
        <w:rPr>
          <w:rFonts w:hint="eastAsia" w:ascii="仿宋_GB2312" w:hAnsi="楷体" w:eastAsia="仿宋_GB2312"/>
          <w:sz w:val="32"/>
          <w:szCs w:val="32"/>
        </w:rPr>
        <w:t>）监督管理指标分值</w:t>
      </w:r>
      <w:r>
        <w:rPr>
          <w:rFonts w:hint="eastAsia" w:ascii="仿宋_GB2312" w:hAnsi="楷体" w:eastAsia="仿宋_GB2312"/>
          <w:sz w:val="32"/>
          <w:szCs w:val="32"/>
          <w:lang w:val="en-US" w:eastAsia="zh-CN"/>
        </w:rPr>
        <w:t>7</w:t>
      </w:r>
      <w:r>
        <w:rPr>
          <w:rFonts w:hint="eastAsia" w:ascii="仿宋_GB2312" w:hAnsi="楷体" w:eastAsia="仿宋_GB2312"/>
          <w:sz w:val="32"/>
          <w:szCs w:val="32"/>
        </w:rPr>
        <w:t>分，得分</w:t>
      </w:r>
      <w:r>
        <w:rPr>
          <w:rFonts w:hint="eastAsia" w:ascii="仿宋_GB2312" w:hAnsi="楷体" w:eastAsia="仿宋_GB2312"/>
          <w:sz w:val="32"/>
          <w:szCs w:val="32"/>
          <w:lang w:val="en-US" w:eastAsia="zh-CN"/>
        </w:rPr>
        <w:t>5</w:t>
      </w:r>
      <w:r>
        <w:rPr>
          <w:rFonts w:hint="eastAsia" w:ascii="仿宋_GB2312" w:hAnsi="楷体" w:eastAsia="仿宋_GB2312"/>
          <w:sz w:val="32"/>
          <w:szCs w:val="32"/>
        </w:rPr>
        <w:t>分。</w:t>
      </w:r>
      <w:r>
        <w:rPr>
          <w:rFonts w:hint="eastAsia" w:ascii="仿宋_GB2312" w:hAnsi="楷体" w:eastAsia="仿宋_GB2312"/>
          <w:sz w:val="32"/>
          <w:szCs w:val="32"/>
          <w:lang w:eastAsia="zh-CN"/>
        </w:rPr>
        <w:t>上庄镇定期对退役士兵人员出勤情况进行考核</w:t>
      </w:r>
      <w:r>
        <w:rPr>
          <w:rFonts w:hint="eastAsia" w:ascii="仿宋_GB2312" w:hAnsi="楷体" w:eastAsia="仿宋_GB2312"/>
          <w:sz w:val="32"/>
          <w:szCs w:val="32"/>
        </w:rPr>
        <w:t>，得分</w:t>
      </w:r>
      <w:r>
        <w:rPr>
          <w:rFonts w:hint="eastAsia" w:ascii="仿宋_GB2312" w:hAnsi="楷体" w:eastAsia="仿宋_GB2312"/>
          <w:sz w:val="32"/>
          <w:szCs w:val="32"/>
          <w:lang w:val="en-US" w:eastAsia="zh-CN"/>
        </w:rPr>
        <w:t>5</w:t>
      </w:r>
      <w:r>
        <w:rPr>
          <w:rFonts w:hint="eastAsia" w:ascii="仿宋_GB2312" w:hAnsi="楷体" w:eastAsia="仿宋_GB2312"/>
          <w:sz w:val="32"/>
          <w:szCs w:val="32"/>
        </w:rPr>
        <w:t>分；但未定期对项目资金进行专项审计，得</w:t>
      </w:r>
      <w:r>
        <w:rPr>
          <w:rFonts w:ascii="仿宋_GB2312" w:hAnsi="楷体" w:eastAsia="仿宋_GB2312"/>
          <w:sz w:val="32"/>
          <w:szCs w:val="32"/>
        </w:rPr>
        <w:t>0</w:t>
      </w:r>
      <w:r>
        <w:rPr>
          <w:rFonts w:hint="eastAsia" w:ascii="仿宋_GB2312" w:hAnsi="楷体" w:eastAsia="仿宋_GB2312"/>
          <w:sz w:val="32"/>
          <w:szCs w:val="32"/>
        </w:rPr>
        <w:t>分。</w:t>
      </w:r>
    </w:p>
    <w:p>
      <w:pPr>
        <w:numPr>
          <w:ilvl w:val="0"/>
          <w:numId w:val="0"/>
        </w:numPr>
        <w:ind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2.财务管理。</w:t>
      </w:r>
    </w:p>
    <w:p>
      <w:pPr>
        <w:numPr>
          <w:ilvl w:val="0"/>
          <w:numId w:val="0"/>
        </w:numPr>
        <w:ind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财务管理得分15分（分值15分）</w:t>
      </w:r>
    </w:p>
    <w:p>
      <w:pPr>
        <w:spacing w:line="360" w:lineRule="auto"/>
        <w:ind w:firstLine="640" w:firstLineChars="200"/>
        <w:contextualSpacing/>
        <w:rPr>
          <w:rFonts w:ascii="仿宋_GB2312" w:hAnsi="楷体" w:eastAsia="仿宋_GB2312"/>
          <w:sz w:val="32"/>
          <w:szCs w:val="32"/>
        </w:rPr>
      </w:pPr>
      <w:r>
        <w:rPr>
          <w:rFonts w:hint="eastAsia" w:ascii="仿宋_GB2312" w:hAnsi="楷体" w:eastAsia="仿宋_GB2312"/>
          <w:sz w:val="32"/>
          <w:szCs w:val="32"/>
        </w:rPr>
        <w:t>（</w:t>
      </w:r>
      <w:r>
        <w:rPr>
          <w:rFonts w:ascii="仿宋_GB2312" w:hAnsi="楷体" w:eastAsia="仿宋_GB2312"/>
          <w:sz w:val="32"/>
          <w:szCs w:val="32"/>
        </w:rPr>
        <w:t>1</w:t>
      </w:r>
      <w:r>
        <w:rPr>
          <w:rFonts w:hint="eastAsia" w:ascii="仿宋_GB2312" w:hAnsi="楷体" w:eastAsia="仿宋_GB2312"/>
          <w:sz w:val="32"/>
          <w:szCs w:val="32"/>
        </w:rPr>
        <w:t>）财务管理制度健全性指标分值</w:t>
      </w:r>
      <w:r>
        <w:rPr>
          <w:rFonts w:hint="eastAsia" w:ascii="仿宋_GB2312" w:hAnsi="楷体" w:eastAsia="仿宋_GB2312"/>
          <w:sz w:val="32"/>
          <w:szCs w:val="32"/>
          <w:lang w:val="en-US" w:eastAsia="zh-CN"/>
        </w:rPr>
        <w:t>4</w:t>
      </w:r>
      <w:r>
        <w:rPr>
          <w:rFonts w:hint="eastAsia" w:ascii="仿宋_GB2312" w:hAnsi="楷体" w:eastAsia="仿宋_GB2312"/>
          <w:sz w:val="32"/>
          <w:szCs w:val="32"/>
        </w:rPr>
        <w:t>分，得分</w:t>
      </w:r>
      <w:r>
        <w:rPr>
          <w:rFonts w:hint="eastAsia" w:ascii="仿宋_GB2312" w:hAnsi="楷体" w:eastAsia="仿宋_GB2312"/>
          <w:sz w:val="32"/>
          <w:szCs w:val="32"/>
          <w:lang w:val="en-US" w:eastAsia="zh-CN"/>
        </w:rPr>
        <w:t>4</w:t>
      </w:r>
      <w:r>
        <w:rPr>
          <w:rFonts w:hint="eastAsia" w:ascii="仿宋_GB2312" w:hAnsi="楷体" w:eastAsia="仿宋_GB2312"/>
          <w:sz w:val="32"/>
          <w:szCs w:val="32"/>
        </w:rPr>
        <w:t>分。</w:t>
      </w:r>
      <w:r>
        <w:rPr>
          <w:rFonts w:hint="eastAsia" w:ascii="仿宋_GB2312" w:hAnsi="楷体" w:eastAsia="仿宋_GB2312"/>
          <w:sz w:val="32"/>
          <w:szCs w:val="32"/>
          <w:lang w:eastAsia="zh-CN"/>
        </w:rPr>
        <w:t>上庄镇建立退役士兵人员考核</w:t>
      </w:r>
      <w:r>
        <w:rPr>
          <w:rFonts w:hint="eastAsia" w:ascii="仿宋_GB2312" w:hAnsi="楷体" w:eastAsia="仿宋_GB2312"/>
          <w:sz w:val="32"/>
          <w:szCs w:val="32"/>
        </w:rPr>
        <w:t>制度，形成</w:t>
      </w:r>
      <w:r>
        <w:rPr>
          <w:rFonts w:hint="eastAsia" w:ascii="仿宋_GB2312" w:hAnsi="楷体" w:eastAsia="仿宋_GB2312"/>
          <w:sz w:val="32"/>
          <w:szCs w:val="32"/>
          <w:lang w:eastAsia="zh-CN"/>
        </w:rPr>
        <w:t>退役军人服务中心、</w:t>
      </w:r>
      <w:r>
        <w:rPr>
          <w:rFonts w:hint="eastAsia" w:ascii="仿宋_GB2312" w:hAnsi="楷体" w:eastAsia="仿宋_GB2312"/>
          <w:sz w:val="32"/>
          <w:szCs w:val="32"/>
        </w:rPr>
        <w:t>财政之间的联通联动机制，对资金发放实现全程监管。</w:t>
      </w:r>
    </w:p>
    <w:p>
      <w:pPr>
        <w:spacing w:line="360" w:lineRule="auto"/>
        <w:ind w:firstLine="640" w:firstLineChars="200"/>
        <w:contextualSpacing/>
        <w:rPr>
          <w:rFonts w:ascii="仿宋_GB2312" w:hAnsi="楷体" w:eastAsia="仿宋_GB2312"/>
          <w:sz w:val="32"/>
          <w:szCs w:val="32"/>
        </w:rPr>
      </w:pPr>
      <w:r>
        <w:rPr>
          <w:rFonts w:hint="eastAsia" w:ascii="仿宋_GB2312" w:hAnsi="楷体" w:eastAsia="仿宋_GB2312"/>
          <w:sz w:val="32"/>
          <w:szCs w:val="32"/>
        </w:rPr>
        <w:t>（</w:t>
      </w:r>
      <w:r>
        <w:rPr>
          <w:rFonts w:ascii="仿宋_GB2312" w:hAnsi="楷体" w:eastAsia="仿宋_GB2312"/>
          <w:sz w:val="32"/>
          <w:szCs w:val="32"/>
        </w:rPr>
        <w:t>2</w:t>
      </w:r>
      <w:r>
        <w:rPr>
          <w:rFonts w:hint="eastAsia" w:ascii="仿宋_GB2312" w:hAnsi="楷体" w:eastAsia="仿宋_GB2312"/>
          <w:sz w:val="32"/>
          <w:szCs w:val="32"/>
        </w:rPr>
        <w:t>）资金使用合规性指标分值</w:t>
      </w:r>
      <w:r>
        <w:rPr>
          <w:rFonts w:hint="eastAsia" w:ascii="仿宋_GB2312" w:hAnsi="楷体" w:eastAsia="仿宋_GB2312"/>
          <w:sz w:val="32"/>
          <w:szCs w:val="32"/>
          <w:lang w:val="en-US" w:eastAsia="zh-CN"/>
        </w:rPr>
        <w:t>6</w:t>
      </w:r>
      <w:r>
        <w:rPr>
          <w:rFonts w:hint="eastAsia" w:ascii="仿宋_GB2312" w:hAnsi="楷体" w:eastAsia="仿宋_GB2312"/>
          <w:sz w:val="32"/>
          <w:szCs w:val="32"/>
        </w:rPr>
        <w:t>分，得分</w:t>
      </w:r>
      <w:r>
        <w:rPr>
          <w:rFonts w:hint="eastAsia" w:ascii="仿宋_GB2312" w:hAnsi="楷体" w:eastAsia="仿宋_GB2312"/>
          <w:sz w:val="32"/>
          <w:szCs w:val="32"/>
          <w:lang w:val="en-US" w:eastAsia="zh-CN"/>
        </w:rPr>
        <w:t>6</w:t>
      </w:r>
      <w:r>
        <w:rPr>
          <w:rFonts w:hint="eastAsia" w:ascii="仿宋_GB2312" w:hAnsi="楷体" w:eastAsia="仿宋_GB2312"/>
          <w:sz w:val="32"/>
          <w:szCs w:val="32"/>
        </w:rPr>
        <w:t>分。项目资金严格按照</w:t>
      </w:r>
      <w:r>
        <w:rPr>
          <w:rFonts w:hint="eastAsia" w:ascii="仿宋_GB2312" w:hAnsi="楷体" w:eastAsia="仿宋_GB2312"/>
          <w:sz w:val="32"/>
          <w:szCs w:val="32"/>
          <w:lang w:eastAsia="zh-CN"/>
        </w:rPr>
        <w:t>退役军人公益性岗位工资发放标准</w:t>
      </w:r>
      <w:r>
        <w:rPr>
          <w:rFonts w:hint="eastAsia" w:ascii="仿宋_GB2312" w:hAnsi="楷体" w:eastAsia="仿宋_GB2312"/>
          <w:sz w:val="32"/>
          <w:szCs w:val="32"/>
        </w:rPr>
        <w:t>实行，资金拨付手续完整。</w:t>
      </w:r>
    </w:p>
    <w:p>
      <w:pPr>
        <w:spacing w:line="360" w:lineRule="auto"/>
        <w:ind w:firstLine="640" w:firstLineChars="200"/>
        <w:contextualSpacing/>
        <w:rPr>
          <w:rFonts w:ascii="仿宋_GB2312" w:hAnsi="楷体" w:eastAsia="仿宋_GB2312"/>
          <w:sz w:val="32"/>
          <w:szCs w:val="32"/>
        </w:rPr>
      </w:pPr>
      <w:r>
        <w:rPr>
          <w:rFonts w:hint="eastAsia" w:ascii="仿宋_GB2312" w:hAnsi="楷体" w:eastAsia="仿宋_GB2312"/>
          <w:sz w:val="32"/>
          <w:szCs w:val="32"/>
        </w:rPr>
        <w:t>（</w:t>
      </w:r>
      <w:r>
        <w:rPr>
          <w:rFonts w:ascii="仿宋_GB2312" w:hAnsi="楷体" w:eastAsia="仿宋_GB2312"/>
          <w:sz w:val="32"/>
          <w:szCs w:val="32"/>
        </w:rPr>
        <w:t>3</w:t>
      </w:r>
      <w:r>
        <w:rPr>
          <w:rFonts w:hint="eastAsia" w:ascii="仿宋_GB2312" w:hAnsi="楷体" w:eastAsia="仿宋_GB2312"/>
          <w:sz w:val="32"/>
          <w:szCs w:val="32"/>
        </w:rPr>
        <w:t>）资金安全性指标分值</w:t>
      </w:r>
      <w:r>
        <w:rPr>
          <w:rFonts w:hint="eastAsia" w:ascii="仿宋_GB2312" w:hAnsi="楷体" w:eastAsia="仿宋_GB2312"/>
          <w:sz w:val="32"/>
          <w:szCs w:val="32"/>
          <w:lang w:val="en-US" w:eastAsia="zh-CN"/>
        </w:rPr>
        <w:t>5</w:t>
      </w:r>
      <w:r>
        <w:rPr>
          <w:rFonts w:hint="eastAsia" w:ascii="仿宋_GB2312" w:hAnsi="楷体" w:eastAsia="仿宋_GB2312"/>
          <w:sz w:val="32"/>
          <w:szCs w:val="32"/>
        </w:rPr>
        <w:t>分，得分</w:t>
      </w:r>
      <w:r>
        <w:rPr>
          <w:rFonts w:hint="eastAsia" w:ascii="仿宋_GB2312" w:hAnsi="楷体" w:eastAsia="仿宋_GB2312"/>
          <w:sz w:val="32"/>
          <w:szCs w:val="32"/>
          <w:lang w:val="en-US" w:eastAsia="zh-CN"/>
        </w:rPr>
        <w:t>5</w:t>
      </w:r>
      <w:r>
        <w:rPr>
          <w:rFonts w:hint="eastAsia" w:ascii="仿宋_GB2312" w:hAnsi="楷体" w:eastAsia="仿宋_GB2312"/>
          <w:sz w:val="32"/>
          <w:szCs w:val="32"/>
        </w:rPr>
        <w:t>分。项目资金实际支出专款专用并实行社会化发放，实现</w:t>
      </w:r>
      <w:r>
        <w:rPr>
          <w:rFonts w:hint="eastAsia" w:ascii="仿宋_GB2312" w:hAnsi="楷体" w:eastAsia="仿宋_GB2312"/>
          <w:sz w:val="32"/>
          <w:szCs w:val="32"/>
          <w:lang w:eastAsia="zh-CN"/>
        </w:rPr>
        <w:t>工资发放</w:t>
      </w:r>
      <w:r>
        <w:rPr>
          <w:rFonts w:hint="eastAsia" w:ascii="仿宋_GB2312" w:hAnsi="楷体" w:eastAsia="仿宋_GB2312"/>
          <w:sz w:val="32"/>
          <w:szCs w:val="32"/>
        </w:rPr>
        <w:t>对象一人一卡，资金发放直接到卡。</w:t>
      </w:r>
    </w:p>
    <w:p>
      <w:pPr>
        <w:numPr>
          <w:ilvl w:val="0"/>
          <w:numId w:val="0"/>
        </w:numPr>
        <w:rPr>
          <w:rFonts w:hint="eastAsia" w:ascii="楷体_GB2312" w:hAnsi="楷体_GB2312" w:eastAsia="楷体_GB2312" w:cs="楷体_GB2312"/>
          <w:b w:val="0"/>
          <w:bCs w:val="0"/>
          <w:sz w:val="32"/>
          <w:szCs w:val="32"/>
          <w:lang w:val="en-US" w:eastAsia="zh-CN"/>
        </w:rPr>
      </w:pPr>
      <w:r>
        <w:rPr>
          <w:rFonts w:hint="eastAsia" w:ascii="仿宋_GB2312" w:eastAsia="仿宋_GB2312"/>
          <w:b/>
          <w:bCs/>
          <w:sz w:val="32"/>
          <w:szCs w:val="32"/>
          <w:lang w:val="en-US" w:eastAsia="zh-CN"/>
        </w:rPr>
        <w:t xml:space="preserve">   </w:t>
      </w:r>
      <w:r>
        <w:rPr>
          <w:rFonts w:hint="eastAsia" w:ascii="楷体_GB2312" w:hAnsi="楷体_GB2312" w:eastAsia="楷体_GB2312" w:cs="楷体_GB2312"/>
          <w:b w:val="0"/>
          <w:bCs w:val="0"/>
          <w:sz w:val="32"/>
          <w:szCs w:val="32"/>
          <w:lang w:val="en-US" w:eastAsia="zh-CN"/>
        </w:rPr>
        <w:t>（三）项目产出</w:t>
      </w:r>
    </w:p>
    <w:p>
      <w:pPr>
        <w:keepNext w:val="0"/>
        <w:keepLines w:val="0"/>
        <w:pageBreakBefore w:val="0"/>
        <w:widowControl w:val="0"/>
        <w:numPr>
          <w:ilvl w:val="0"/>
          <w:numId w:val="0"/>
        </w:numPr>
        <w:kinsoku/>
        <w:wordWrap/>
        <w:overflowPunct/>
        <w:topLinePunct w:val="0"/>
        <w:autoSpaceDE/>
        <w:autoSpaceDN/>
        <w:bidi w:val="0"/>
        <w:adjustRightInd/>
        <w:snapToGrid/>
        <w:ind w:firstLine="640" w:firstLineChars="200"/>
        <w:textAlignment w:val="auto"/>
        <w:outlineLvl w:val="9"/>
        <w:rPr>
          <w:rFonts w:hint="eastAsia" w:ascii="楷体_GB2312" w:hAnsi="楷体_GB2312" w:eastAsia="楷体_GB2312" w:cs="楷体_GB2312"/>
          <w:b w:val="0"/>
          <w:bCs w:val="0"/>
          <w:sz w:val="32"/>
          <w:szCs w:val="32"/>
          <w:lang w:val="en-US" w:eastAsia="zh-CN"/>
        </w:rPr>
      </w:pPr>
      <w:r>
        <w:rPr>
          <w:rFonts w:hint="eastAsia" w:ascii="楷体_GB2312" w:hAnsi="楷体_GB2312" w:eastAsia="楷体_GB2312" w:cs="楷体_GB2312"/>
          <w:b w:val="0"/>
          <w:bCs w:val="0"/>
          <w:sz w:val="32"/>
          <w:szCs w:val="32"/>
          <w:lang w:val="en-US" w:eastAsia="zh-CN"/>
        </w:rPr>
        <w:t>项目产出得分20分（分值20分）</w:t>
      </w:r>
    </w:p>
    <w:p>
      <w:pPr>
        <w:keepNext w:val="0"/>
        <w:keepLines w:val="0"/>
        <w:pageBreakBefore w:val="0"/>
        <w:widowControl w:val="0"/>
        <w:numPr>
          <w:ilvl w:val="0"/>
          <w:numId w:val="5"/>
        </w:numPr>
        <w:kinsoku/>
        <w:wordWrap/>
        <w:overflowPunct/>
        <w:topLinePunct w:val="0"/>
        <w:autoSpaceDE/>
        <w:autoSpaceDN/>
        <w:bidi w:val="0"/>
        <w:adjustRightInd/>
        <w:snapToGrid/>
        <w:ind w:firstLine="640" w:firstLineChars="200"/>
        <w:textAlignment w:val="auto"/>
        <w:outlineLvl w:val="9"/>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val="0"/>
          <w:bCs w:val="0"/>
          <w:sz w:val="32"/>
          <w:szCs w:val="32"/>
          <w:lang w:val="en-US" w:eastAsia="zh-CN"/>
        </w:rPr>
        <w:t>项目实际完成率分值10分，得分10分。项目实际发放工资率100%</w:t>
      </w:r>
    </w:p>
    <w:p>
      <w:pPr>
        <w:keepNext w:val="0"/>
        <w:keepLines w:val="0"/>
        <w:pageBreakBefore w:val="0"/>
        <w:widowControl w:val="0"/>
        <w:numPr>
          <w:ilvl w:val="0"/>
          <w:numId w:val="5"/>
        </w:numPr>
        <w:kinsoku/>
        <w:wordWrap/>
        <w:overflowPunct/>
        <w:topLinePunct w:val="0"/>
        <w:autoSpaceDE/>
        <w:autoSpaceDN/>
        <w:bidi w:val="0"/>
        <w:adjustRightInd/>
        <w:snapToGrid/>
        <w:ind w:firstLine="640" w:firstLineChars="200"/>
        <w:textAlignment w:val="auto"/>
        <w:outlineLvl w:val="9"/>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val="0"/>
          <w:bCs w:val="0"/>
          <w:sz w:val="32"/>
          <w:szCs w:val="32"/>
          <w:lang w:val="en-US" w:eastAsia="zh-CN"/>
        </w:rPr>
        <w:t>项目资金发放及时率分值5分，得分5分。退役士兵公益性岗位工资每月到帐后立刻按月及时发放。</w:t>
      </w:r>
    </w:p>
    <w:p>
      <w:pPr>
        <w:keepNext w:val="0"/>
        <w:keepLines w:val="0"/>
        <w:pageBreakBefore w:val="0"/>
        <w:widowControl w:val="0"/>
        <w:numPr>
          <w:ilvl w:val="0"/>
          <w:numId w:val="5"/>
        </w:numPr>
        <w:kinsoku/>
        <w:wordWrap/>
        <w:overflowPunct/>
        <w:topLinePunct w:val="0"/>
        <w:autoSpaceDE/>
        <w:autoSpaceDN/>
        <w:bidi w:val="0"/>
        <w:adjustRightInd/>
        <w:snapToGrid/>
        <w:ind w:firstLine="640" w:firstLineChars="200"/>
        <w:textAlignment w:val="auto"/>
        <w:outlineLvl w:val="9"/>
        <w:rPr>
          <w:rFonts w:hint="eastAsia" w:ascii="仿宋_GB2312" w:eastAsia="仿宋_GB2312"/>
          <w:b w:val="0"/>
          <w:bCs w:val="0"/>
          <w:sz w:val="32"/>
          <w:szCs w:val="32"/>
          <w:lang w:val="en-US" w:eastAsia="zh-CN"/>
        </w:rPr>
      </w:pPr>
      <w:r>
        <w:rPr>
          <w:rFonts w:hint="eastAsia" w:ascii="仿宋_GB2312" w:hAnsi="仿宋_GB2312" w:eastAsia="仿宋_GB2312" w:cs="仿宋_GB2312"/>
          <w:b w:val="0"/>
          <w:bCs w:val="0"/>
          <w:sz w:val="32"/>
          <w:szCs w:val="32"/>
          <w:lang w:val="en-US" w:eastAsia="zh-CN"/>
        </w:rPr>
        <w:t>项目质量达标率分值5分，得分5分。退役士兵公益性岗位人员工资每月足额到账并发放。</w:t>
      </w:r>
    </w:p>
    <w:p>
      <w:pPr>
        <w:numPr>
          <w:ilvl w:val="0"/>
          <w:numId w:val="2"/>
        </w:numPr>
        <w:ind w:left="481" w:leftChars="0" w:firstLine="0" w:firstLineChars="0"/>
        <w:rPr>
          <w:rFonts w:hint="eastAsia" w:ascii="楷体_GB2312" w:hAnsi="楷体_GB2312" w:eastAsia="楷体_GB2312" w:cs="楷体_GB2312"/>
          <w:b w:val="0"/>
          <w:bCs w:val="0"/>
          <w:sz w:val="32"/>
          <w:szCs w:val="32"/>
          <w:lang w:val="en-US" w:eastAsia="zh-CN"/>
        </w:rPr>
      </w:pPr>
      <w:r>
        <w:rPr>
          <w:rFonts w:hint="eastAsia" w:ascii="楷体_GB2312" w:hAnsi="楷体_GB2312" w:eastAsia="楷体_GB2312" w:cs="楷体_GB2312"/>
          <w:b w:val="0"/>
          <w:bCs w:val="0"/>
          <w:sz w:val="32"/>
          <w:szCs w:val="32"/>
          <w:lang w:val="en-US" w:eastAsia="zh-CN"/>
        </w:rPr>
        <w:t>项目效果</w:t>
      </w:r>
    </w:p>
    <w:p>
      <w:pPr>
        <w:numPr>
          <w:ilvl w:val="0"/>
          <w:numId w:val="0"/>
        </w:numPr>
        <w:ind w:left="481" w:leftChars="0"/>
        <w:rPr>
          <w:rFonts w:hint="eastAsia" w:ascii="楷体_GB2312" w:hAnsi="楷体_GB2312" w:eastAsia="楷体_GB2312" w:cs="楷体_GB2312"/>
          <w:b w:val="0"/>
          <w:bCs w:val="0"/>
          <w:sz w:val="32"/>
          <w:szCs w:val="32"/>
          <w:lang w:val="en-US" w:eastAsia="zh-CN"/>
        </w:rPr>
      </w:pPr>
      <w:r>
        <w:rPr>
          <w:rFonts w:hint="eastAsia" w:ascii="楷体_GB2312" w:hAnsi="楷体_GB2312" w:eastAsia="楷体_GB2312" w:cs="楷体_GB2312"/>
          <w:b w:val="0"/>
          <w:bCs w:val="0"/>
          <w:sz w:val="32"/>
          <w:szCs w:val="32"/>
          <w:lang w:val="en-US" w:eastAsia="zh-CN"/>
        </w:rPr>
        <w:t>项目效益得分16分（分值20分）</w:t>
      </w:r>
    </w:p>
    <w:p>
      <w:pPr>
        <w:numPr>
          <w:ilvl w:val="0"/>
          <w:numId w:val="0"/>
        </w:numPr>
        <w:ind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（1）社会效益指标分值10分，得分10分。结合问卷调查显示通过项目的实施对改善退役士兵人员生活，维护社会和谐稳定有着积极的意义；效果显著，满分。</w:t>
      </w:r>
    </w:p>
    <w:p>
      <w:pPr>
        <w:numPr>
          <w:ilvl w:val="0"/>
          <w:numId w:val="0"/>
        </w:numPr>
        <w:ind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2）社会公众或服务对象满意度指标分值10分，得分6分。对项目实施而受到影响的部门（单位）、群体或个人，进行满意度调查，采取问卷的方式，调查结果显示，服务对象满意度较高，满意度为92.5%，得分6分。</w:t>
      </w:r>
    </w:p>
    <w:p>
      <w:pPr>
        <w:numPr>
          <w:ilvl w:val="0"/>
          <w:numId w:val="0"/>
        </w:numPr>
        <w:ind w:firstLine="640" w:firstLineChars="200"/>
        <w:rPr>
          <w:rFonts w:hint="eastAsia" w:ascii="黑体" w:hAnsi="黑体" w:eastAsia="黑体"/>
          <w:b w:val="0"/>
          <w:bCs w:val="0"/>
          <w:sz w:val="32"/>
          <w:szCs w:val="32"/>
          <w:lang w:val="en-US" w:eastAsia="zh-CN"/>
        </w:rPr>
      </w:pPr>
      <w:r>
        <w:rPr>
          <w:rFonts w:hint="eastAsia" w:ascii="黑体" w:hAnsi="黑体" w:eastAsia="黑体"/>
          <w:b w:val="0"/>
          <w:bCs w:val="0"/>
          <w:sz w:val="32"/>
          <w:szCs w:val="32"/>
          <w:lang w:val="en-US" w:eastAsia="zh-CN"/>
        </w:rPr>
        <w:t>四、项目综合评价结论和评价等级</w:t>
      </w:r>
    </w:p>
    <w:p>
      <w:pPr>
        <w:numPr>
          <w:ilvl w:val="0"/>
          <w:numId w:val="0"/>
        </w:numPr>
        <w:ind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根据项目执行情况和项目绩效情况，给出总得分，</w:t>
      </w:r>
      <w:r>
        <w:rPr>
          <w:rFonts w:hint="eastAsia" w:ascii="仿宋_GB2312" w:eastAsia="仿宋_GB2312"/>
          <w:sz w:val="32"/>
          <w:szCs w:val="32"/>
        </w:rPr>
        <w:t>指标体系设定满分100分，</w:t>
      </w:r>
      <w:r>
        <w:rPr>
          <w:rFonts w:hint="eastAsia" w:ascii="仿宋_GB2312" w:eastAsia="仿宋_GB2312"/>
          <w:b w:val="0"/>
          <w:bCs w:val="0"/>
          <w:sz w:val="32"/>
          <w:szCs w:val="32"/>
          <w:lang w:val="en-US" w:eastAsia="zh-CN"/>
        </w:rPr>
        <w:t>得出综合评价结论和项目综合绩效评价等级。项目综合绩效评价分为4个等级：</w:t>
      </w:r>
      <w:r>
        <w:rPr>
          <w:rFonts w:hint="eastAsia" w:ascii="仿宋_GB2312" w:eastAsia="仿宋_GB2312"/>
          <w:sz w:val="32"/>
          <w:szCs w:val="32"/>
        </w:rPr>
        <w:t>得分</w:t>
      </w:r>
      <w:r>
        <w:rPr>
          <w:rFonts w:hint="default" w:ascii="Arial" w:hAnsi="Arial" w:eastAsia="仿宋_GB2312" w:cs="Arial"/>
          <w:sz w:val="32"/>
          <w:szCs w:val="32"/>
        </w:rPr>
        <w:t>≥</w:t>
      </w:r>
      <w:r>
        <w:rPr>
          <w:rFonts w:hint="eastAsia" w:ascii="仿宋_GB2312" w:eastAsia="仿宋_GB2312"/>
          <w:sz w:val="32"/>
          <w:szCs w:val="32"/>
        </w:rPr>
        <w:t>85分为优秀；75</w:t>
      </w:r>
      <w:r>
        <w:rPr>
          <w:rFonts w:hint="default" w:ascii="Arial" w:hAnsi="Arial" w:eastAsia="仿宋_GB2312" w:cs="Arial"/>
          <w:sz w:val="32"/>
          <w:szCs w:val="32"/>
        </w:rPr>
        <w:t>≤</w:t>
      </w:r>
      <w:r>
        <w:rPr>
          <w:rFonts w:hint="eastAsia" w:ascii="仿宋_GB2312" w:eastAsia="仿宋_GB2312"/>
          <w:sz w:val="32"/>
          <w:szCs w:val="32"/>
          <w:lang w:eastAsia="zh-CN"/>
        </w:rPr>
        <w:t>得分</w:t>
      </w:r>
      <w:r>
        <w:rPr>
          <w:rFonts w:hint="eastAsia" w:ascii="仿宋_GB2312" w:hAnsi="仿宋_GB2312" w:eastAsia="仿宋_GB2312"/>
          <w:sz w:val="32"/>
          <w:szCs w:val="32"/>
          <w:lang w:eastAsia="zh-CN"/>
        </w:rPr>
        <w:t>＜</w:t>
      </w:r>
      <w:r>
        <w:rPr>
          <w:rFonts w:hint="eastAsia" w:ascii="仿宋_GB2312" w:eastAsia="仿宋_GB2312"/>
          <w:sz w:val="32"/>
          <w:szCs w:val="32"/>
        </w:rPr>
        <w:t>8</w:t>
      </w:r>
      <w:r>
        <w:rPr>
          <w:rFonts w:hint="eastAsia" w:ascii="仿宋_GB2312" w:eastAsia="仿宋_GB2312"/>
          <w:sz w:val="32"/>
          <w:szCs w:val="32"/>
          <w:lang w:val="en-US" w:eastAsia="zh-CN"/>
        </w:rPr>
        <w:t>5</w:t>
      </w:r>
      <w:r>
        <w:rPr>
          <w:rFonts w:hint="eastAsia" w:ascii="仿宋_GB2312" w:eastAsia="仿宋_GB2312"/>
          <w:sz w:val="32"/>
          <w:szCs w:val="32"/>
        </w:rPr>
        <w:t>分为良好；60</w:t>
      </w:r>
      <w:r>
        <w:rPr>
          <w:rFonts w:hint="default" w:ascii="Arial" w:hAnsi="Arial" w:eastAsia="仿宋_GB2312" w:cs="Arial"/>
          <w:sz w:val="32"/>
          <w:szCs w:val="32"/>
        </w:rPr>
        <w:t>≤</w:t>
      </w:r>
      <w:r>
        <w:rPr>
          <w:rFonts w:hint="eastAsia" w:ascii="仿宋_GB2312" w:eastAsia="仿宋_GB2312"/>
          <w:sz w:val="32"/>
          <w:szCs w:val="32"/>
          <w:lang w:eastAsia="zh-CN"/>
        </w:rPr>
        <w:t>得分</w:t>
      </w:r>
      <w:r>
        <w:rPr>
          <w:rFonts w:hint="eastAsia" w:ascii="仿宋_GB2312" w:hAnsi="仿宋_GB2312" w:eastAsia="仿宋_GB2312"/>
          <w:sz w:val="32"/>
          <w:szCs w:val="32"/>
          <w:lang w:eastAsia="zh-CN"/>
        </w:rPr>
        <w:t>＜</w:t>
      </w:r>
      <w:r>
        <w:rPr>
          <w:rFonts w:hint="eastAsia" w:ascii="仿宋_GB2312" w:eastAsia="仿宋_GB2312"/>
          <w:sz w:val="32"/>
          <w:szCs w:val="32"/>
        </w:rPr>
        <w:t>7</w:t>
      </w:r>
      <w:r>
        <w:rPr>
          <w:rFonts w:hint="eastAsia" w:ascii="仿宋_GB2312" w:eastAsia="仿宋_GB2312"/>
          <w:sz w:val="32"/>
          <w:szCs w:val="32"/>
          <w:lang w:val="en-US" w:eastAsia="zh-CN"/>
        </w:rPr>
        <w:t>5</w:t>
      </w:r>
      <w:r>
        <w:rPr>
          <w:rFonts w:hint="eastAsia" w:ascii="仿宋_GB2312" w:eastAsia="仿宋_GB2312"/>
          <w:sz w:val="32"/>
          <w:szCs w:val="32"/>
        </w:rPr>
        <w:t>分为一般；</w:t>
      </w:r>
      <w:r>
        <w:rPr>
          <w:rFonts w:hint="eastAsia" w:ascii="仿宋_GB2312" w:eastAsia="仿宋_GB2312"/>
          <w:sz w:val="32"/>
          <w:szCs w:val="32"/>
          <w:lang w:eastAsia="zh-CN"/>
        </w:rPr>
        <w:t>得分</w:t>
      </w:r>
      <w:r>
        <w:rPr>
          <w:rFonts w:hint="eastAsia" w:ascii="仿宋_GB2312" w:hAnsi="仿宋_GB2312" w:eastAsia="仿宋_GB2312"/>
          <w:sz w:val="32"/>
          <w:szCs w:val="32"/>
          <w:lang w:eastAsia="zh-CN"/>
        </w:rPr>
        <w:t>＜</w:t>
      </w:r>
      <w:r>
        <w:rPr>
          <w:rFonts w:hint="eastAsia" w:ascii="仿宋_GB2312" w:eastAsia="仿宋_GB2312"/>
          <w:sz w:val="32"/>
          <w:szCs w:val="32"/>
        </w:rPr>
        <w:t>60分为较差。</w:t>
      </w:r>
      <w:r>
        <w:rPr>
          <w:rFonts w:hint="eastAsia" w:ascii="仿宋_GB2312" w:eastAsia="仿宋_GB2312"/>
          <w:sz w:val="32"/>
          <w:szCs w:val="32"/>
          <w:lang w:eastAsia="zh-CN"/>
        </w:rPr>
        <w:t>上庄镇退役士兵公益性岗位</w:t>
      </w:r>
      <w:bookmarkStart w:id="0" w:name="_GoBack"/>
      <w:bookmarkEnd w:id="0"/>
      <w:r>
        <w:rPr>
          <w:rFonts w:hint="eastAsia" w:ascii="仿宋_GB2312" w:eastAsia="仿宋_GB2312"/>
          <w:sz w:val="32"/>
          <w:szCs w:val="32"/>
          <w:lang w:eastAsia="zh-CN"/>
        </w:rPr>
        <w:t>人员工资项目最终得分</w:t>
      </w:r>
      <w:r>
        <w:rPr>
          <w:rFonts w:hint="eastAsia" w:ascii="仿宋_GB2312" w:eastAsia="仿宋_GB2312"/>
          <w:sz w:val="32"/>
          <w:szCs w:val="32"/>
          <w:lang w:val="en-US" w:eastAsia="zh-CN"/>
        </w:rPr>
        <w:t>94分，等级为优秀。</w:t>
      </w:r>
    </w:p>
    <w:p>
      <w:pPr>
        <w:numPr>
          <w:ilvl w:val="0"/>
          <w:numId w:val="0"/>
        </w:numPr>
        <w:ind w:firstLine="640" w:firstLineChars="200"/>
        <w:rPr>
          <w:rFonts w:hint="eastAsia" w:ascii="仿宋_GB2312" w:eastAsia="仿宋_GB2312"/>
          <w:b w:val="0"/>
          <w:bCs w:val="0"/>
          <w:sz w:val="32"/>
          <w:szCs w:val="32"/>
          <w:lang w:val="en-US" w:eastAsia="zh-CN"/>
        </w:rPr>
      </w:pPr>
      <w:r>
        <w:rPr>
          <w:rFonts w:hint="eastAsia" w:ascii="黑体" w:hAnsi="黑体" w:eastAsia="黑体"/>
          <w:b w:val="0"/>
          <w:bCs w:val="0"/>
          <w:sz w:val="32"/>
          <w:szCs w:val="32"/>
          <w:lang w:val="en-US" w:eastAsia="zh-CN"/>
        </w:rPr>
        <w:t>五、存在的问题及改进措施</w:t>
      </w:r>
    </w:p>
    <w:p>
      <w:pPr>
        <w:numPr>
          <w:ilvl w:val="0"/>
          <w:numId w:val="0"/>
        </w:numPr>
        <w:rPr>
          <w:rFonts w:hint="eastAsia" w:ascii="楷体_GB2312" w:hAnsi="楷体_GB2312" w:eastAsia="楷体_GB2312"/>
          <w:b w:val="0"/>
          <w:bCs w:val="0"/>
          <w:sz w:val="32"/>
          <w:szCs w:val="32"/>
          <w:lang w:val="en-US" w:eastAsia="zh-CN"/>
        </w:rPr>
      </w:pPr>
      <w:r>
        <w:rPr>
          <w:rFonts w:hint="eastAsia" w:ascii="楷体_GB2312" w:hAnsi="楷体_GB2312" w:eastAsia="楷体_GB2312"/>
          <w:b/>
          <w:bCs/>
          <w:sz w:val="32"/>
          <w:szCs w:val="32"/>
          <w:lang w:val="en-US" w:eastAsia="zh-CN"/>
        </w:rPr>
        <w:t xml:space="preserve">   </w:t>
      </w:r>
      <w:r>
        <w:rPr>
          <w:rFonts w:hint="eastAsia" w:ascii="楷体_GB2312" w:hAnsi="楷体_GB2312" w:eastAsia="楷体_GB2312"/>
          <w:b w:val="0"/>
          <w:bCs w:val="0"/>
          <w:sz w:val="32"/>
          <w:szCs w:val="32"/>
          <w:lang w:val="en-US" w:eastAsia="zh-CN"/>
        </w:rPr>
        <w:t>（一）项目存在的主要问题</w:t>
      </w:r>
    </w:p>
    <w:p>
      <w:pPr>
        <w:keepNext w:val="0"/>
        <w:keepLines w:val="0"/>
        <w:pageBreakBefore w:val="0"/>
        <w:widowControl w:val="0"/>
        <w:numPr>
          <w:ilvl w:val="0"/>
          <w:numId w:val="0"/>
        </w:numPr>
        <w:kinsoku/>
        <w:wordWrap/>
        <w:overflowPunct/>
        <w:topLinePunct w:val="0"/>
        <w:autoSpaceDE/>
        <w:autoSpaceDN/>
        <w:bidi w:val="0"/>
        <w:adjustRightInd/>
        <w:snapToGrid/>
        <w:ind w:firstLine="640" w:firstLineChars="200"/>
        <w:textAlignment w:val="auto"/>
        <w:outlineLvl w:val="9"/>
        <w:rPr>
          <w:rFonts w:hint="eastAsia" w:ascii="楷体_GB2312" w:hAnsi="楷体_GB2312" w:eastAsia="楷体_GB2312"/>
          <w:b w:val="0"/>
          <w:bCs w:val="0"/>
          <w:sz w:val="32"/>
          <w:szCs w:val="32"/>
          <w:lang w:val="en-US" w:eastAsia="zh-CN"/>
        </w:rPr>
      </w:pPr>
      <w:r>
        <w:rPr>
          <w:rFonts w:hint="eastAsia" w:ascii="楷体_GB2312" w:hAnsi="楷体_GB2312" w:eastAsia="楷体_GB2312"/>
          <w:b w:val="0"/>
          <w:bCs w:val="0"/>
          <w:sz w:val="32"/>
          <w:szCs w:val="32"/>
          <w:lang w:val="en-US" w:eastAsia="zh-CN"/>
        </w:rPr>
        <w:t>无</w:t>
      </w:r>
    </w:p>
    <w:p>
      <w:pPr>
        <w:numPr>
          <w:ilvl w:val="0"/>
          <w:numId w:val="6"/>
        </w:numPr>
        <w:ind w:left="480" w:leftChars="0" w:firstLine="0" w:firstLineChars="0"/>
        <w:rPr>
          <w:rFonts w:hint="eastAsia" w:ascii="楷体_GB2312" w:hAnsi="楷体_GB2312" w:eastAsia="楷体_GB2312"/>
          <w:b w:val="0"/>
          <w:bCs w:val="0"/>
          <w:sz w:val="32"/>
          <w:szCs w:val="32"/>
          <w:lang w:val="en-US" w:eastAsia="zh-CN"/>
        </w:rPr>
      </w:pPr>
      <w:r>
        <w:rPr>
          <w:rFonts w:hint="eastAsia" w:ascii="楷体_GB2312" w:hAnsi="楷体_GB2312" w:eastAsia="楷体_GB2312"/>
          <w:b w:val="0"/>
          <w:bCs w:val="0"/>
          <w:sz w:val="32"/>
          <w:szCs w:val="32"/>
          <w:lang w:val="en-US" w:eastAsia="zh-CN"/>
        </w:rPr>
        <w:t>针对问题提出具体的改进措施或建议</w:t>
      </w:r>
    </w:p>
    <w:p>
      <w:pPr>
        <w:keepNext w:val="0"/>
        <w:keepLines w:val="0"/>
        <w:pageBreakBefore w:val="0"/>
        <w:widowControl w:val="0"/>
        <w:numPr>
          <w:ilvl w:val="0"/>
          <w:numId w:val="0"/>
        </w:numPr>
        <w:kinsoku/>
        <w:wordWrap/>
        <w:overflowPunct/>
        <w:topLinePunct w:val="0"/>
        <w:autoSpaceDE/>
        <w:autoSpaceDN/>
        <w:bidi w:val="0"/>
        <w:adjustRightInd/>
        <w:snapToGrid/>
        <w:ind w:left="0" w:leftChars="0" w:firstLine="640" w:firstLineChars="200"/>
        <w:textAlignment w:val="auto"/>
        <w:outlineLvl w:val="9"/>
        <w:rPr>
          <w:rFonts w:hint="eastAsia" w:ascii="楷体_GB2312" w:hAnsi="楷体_GB2312" w:eastAsia="楷体_GB2312"/>
          <w:b w:val="0"/>
          <w:bCs w:val="0"/>
          <w:sz w:val="32"/>
          <w:szCs w:val="32"/>
          <w:lang w:val="en-US" w:eastAsia="zh-CN"/>
        </w:rPr>
      </w:pPr>
      <w:r>
        <w:rPr>
          <w:rFonts w:hint="eastAsia" w:ascii="楷体_GB2312" w:hAnsi="楷体_GB2312" w:eastAsia="楷体_GB2312"/>
          <w:b w:val="0"/>
          <w:bCs w:val="0"/>
          <w:sz w:val="32"/>
          <w:szCs w:val="32"/>
          <w:lang w:val="en-US" w:eastAsia="zh-CN"/>
        </w:rPr>
        <w:t>无</w:t>
      </w:r>
    </w:p>
    <w:p>
      <w:pPr>
        <w:numPr>
          <w:ilvl w:val="0"/>
          <w:numId w:val="7"/>
        </w:numPr>
        <w:adjustRightInd w:val="0"/>
        <w:snapToGrid w:val="0"/>
        <w:spacing w:line="360" w:lineRule="auto"/>
        <w:ind w:firstLine="640" w:firstLineChars="200"/>
        <w:rPr>
          <w:rFonts w:hint="eastAsia" w:ascii="黑体" w:eastAsia="黑体"/>
          <w:b w:val="0"/>
          <w:bCs w:val="0"/>
          <w:sz w:val="32"/>
          <w:szCs w:val="32"/>
        </w:rPr>
      </w:pPr>
      <w:r>
        <w:rPr>
          <w:rFonts w:hint="eastAsia" w:ascii="黑体" w:eastAsia="黑体"/>
          <w:b w:val="0"/>
          <w:bCs w:val="0"/>
          <w:sz w:val="32"/>
          <w:szCs w:val="32"/>
        </w:rPr>
        <w:t>评价工作组人员名单及签字</w:t>
      </w:r>
    </w:p>
    <w:p>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firstLine="640" w:firstLineChars="200"/>
        <w:textAlignment w:val="auto"/>
        <w:outlineLvl w:val="9"/>
        <w:rPr>
          <w:rFonts w:hint="eastAsia" w:ascii="仿宋_GB2312" w:hAnsi="仿宋_GB2312" w:eastAsia="仿宋_GB2312" w:cs="仿宋_GB2312"/>
          <w:b w:val="0"/>
          <w:bCs w:val="0"/>
          <w:sz w:val="32"/>
          <w:szCs w:val="32"/>
          <w:lang w:eastAsia="zh-CN"/>
        </w:rPr>
      </w:pPr>
      <w:r>
        <w:rPr>
          <w:rFonts w:hint="eastAsia" w:ascii="仿宋_GB2312" w:hAnsi="仿宋_GB2312" w:eastAsia="仿宋_GB2312" w:cs="仿宋_GB2312"/>
          <w:b w:val="0"/>
          <w:bCs w:val="0"/>
          <w:sz w:val="32"/>
          <w:szCs w:val="32"/>
          <w:lang w:eastAsia="zh-CN"/>
        </w:rPr>
        <w:t>解秀龙，上庄镇副书记</w:t>
      </w:r>
    </w:p>
    <w:p>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firstLine="640" w:firstLineChars="200"/>
        <w:textAlignment w:val="auto"/>
        <w:outlineLvl w:val="9"/>
        <w:rPr>
          <w:rFonts w:hint="eastAsia" w:ascii="仿宋_GB2312" w:hAnsi="仿宋_GB2312" w:eastAsia="仿宋_GB2312" w:cs="仿宋_GB2312"/>
          <w:b w:val="0"/>
          <w:bCs w:val="0"/>
          <w:sz w:val="32"/>
          <w:szCs w:val="32"/>
          <w:lang w:eastAsia="zh-CN"/>
        </w:rPr>
      </w:pPr>
      <w:r>
        <w:rPr>
          <w:rFonts w:hint="eastAsia" w:ascii="仿宋_GB2312" w:hAnsi="仿宋_GB2312" w:eastAsia="仿宋_GB2312" w:cs="仿宋_GB2312"/>
          <w:b w:val="0"/>
          <w:bCs w:val="0"/>
          <w:sz w:val="32"/>
          <w:szCs w:val="32"/>
          <w:lang w:eastAsia="zh-CN"/>
        </w:rPr>
        <w:t>贾</w:t>
      </w:r>
      <w:r>
        <w:rPr>
          <w:rFonts w:hint="eastAsia" w:ascii="仿宋_GB2312" w:hAnsi="仿宋_GB2312" w:eastAsia="仿宋_GB2312" w:cs="仿宋_GB2312"/>
          <w:b w:val="0"/>
          <w:bCs w:val="0"/>
          <w:sz w:val="32"/>
          <w:szCs w:val="32"/>
          <w:lang w:val="en-US" w:eastAsia="zh-CN"/>
        </w:rPr>
        <w:t xml:space="preserve">  </w:t>
      </w:r>
      <w:r>
        <w:rPr>
          <w:rFonts w:hint="eastAsia" w:ascii="仿宋_GB2312" w:hAnsi="仿宋_GB2312" w:eastAsia="仿宋_GB2312" w:cs="仿宋_GB2312"/>
          <w:b w:val="0"/>
          <w:bCs w:val="0"/>
          <w:sz w:val="32"/>
          <w:szCs w:val="32"/>
          <w:lang w:eastAsia="zh-CN"/>
        </w:rPr>
        <w:t>兰，上庄镇退役军人服务中心主任</w:t>
      </w:r>
    </w:p>
    <w:p>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firstLine="640" w:firstLineChars="200"/>
        <w:textAlignment w:val="auto"/>
        <w:outlineLvl w:val="9"/>
        <w:rPr>
          <w:rFonts w:hint="eastAsia" w:ascii="仿宋_GB2312" w:hAnsi="仿宋_GB2312" w:eastAsia="仿宋_GB2312" w:cs="仿宋_GB2312"/>
          <w:b w:val="0"/>
          <w:bCs w:val="0"/>
          <w:sz w:val="32"/>
          <w:szCs w:val="32"/>
          <w:lang w:eastAsia="zh-CN"/>
        </w:rPr>
      </w:pPr>
      <w:r>
        <w:rPr>
          <w:rFonts w:hint="eastAsia" w:ascii="仿宋_GB2312" w:hAnsi="仿宋_GB2312" w:eastAsia="仿宋_GB2312" w:cs="仿宋_GB2312"/>
          <w:b w:val="0"/>
          <w:bCs w:val="0"/>
          <w:sz w:val="32"/>
          <w:szCs w:val="32"/>
          <w:lang w:eastAsia="zh-CN"/>
        </w:rPr>
        <w:t>于春辉，上庄镇财政所副所长</w:t>
      </w:r>
    </w:p>
    <w:p>
      <w:pPr>
        <w:numPr>
          <w:ilvl w:val="0"/>
          <w:numId w:val="0"/>
        </w:numPr>
        <w:adjustRightInd w:val="0"/>
        <w:snapToGrid w:val="0"/>
        <w:spacing w:line="360" w:lineRule="auto"/>
        <w:rPr>
          <w:rFonts w:hint="eastAsia" w:ascii="黑体" w:eastAsia="黑体"/>
          <w:b w:val="0"/>
          <w:bCs w:val="0"/>
          <w:sz w:val="32"/>
          <w:szCs w:val="32"/>
          <w:lang w:eastAsia="zh-CN"/>
        </w:rPr>
      </w:pPr>
    </w:p>
    <w:p>
      <w:pPr>
        <w:rPr>
          <w:rFonts w:hint="eastAsia" w:ascii="仿宋_GB2312" w:eastAsia="仿宋_GB2312"/>
          <w:sz w:val="32"/>
          <w:szCs w:val="32"/>
          <w:lang w:val="en-US" w:eastAsia="zh-CN"/>
        </w:rPr>
      </w:pPr>
    </w:p>
    <w:p>
      <w:pPr>
        <w:rPr>
          <w:rFonts w:hint="eastAsia" w:ascii="仿宋_GB2312" w:eastAsia="仿宋_GB2312"/>
          <w:sz w:val="32"/>
          <w:szCs w:val="32"/>
          <w:lang w:val="en-US" w:eastAsia="zh-CN"/>
        </w:rPr>
      </w:pPr>
    </w:p>
    <w:p>
      <w:pPr>
        <w:rPr>
          <w:rFonts w:hint="eastAsia" w:ascii="仿宋_GB2312" w:eastAsia="仿宋_GB2312"/>
          <w:sz w:val="32"/>
          <w:szCs w:val="32"/>
          <w:lang w:val="en-US" w:eastAsia="zh-CN"/>
        </w:rPr>
      </w:pPr>
    </w:p>
    <w:p>
      <w:pPr>
        <w:rPr>
          <w:rFonts w:hint="eastAsia" w:ascii="仿宋_GB2312" w:eastAsia="仿宋_GB2312"/>
          <w:sz w:val="32"/>
          <w:szCs w:val="32"/>
          <w:lang w:val="en-US" w:eastAsia="zh-CN"/>
        </w:rPr>
      </w:pPr>
    </w:p>
    <w:p>
      <w:pPr>
        <w:rPr>
          <w:rFonts w:hint="eastAsia" w:ascii="仿宋_GB2312"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r>
        <w:rPr>
          <w:rFonts w:hint="eastAsia" w:ascii="仿宋_GB2312" w:hAnsi="宋体" w:eastAsia="仿宋_GB2312"/>
          <w:sz w:val="32"/>
          <w:szCs w:val="32"/>
          <w:lang w:val="en-US" w:eastAsia="zh-CN"/>
        </w:rPr>
        <w:t>附件：</w:t>
      </w:r>
      <w:r>
        <w:rPr>
          <w:rFonts w:hint="default" w:ascii="仿宋_GB2312" w:hAnsi="宋体" w:eastAsia="仿宋_GB2312"/>
          <w:sz w:val="32"/>
          <w:szCs w:val="32"/>
          <w:lang w:val="en-US" w:eastAsia="zh-CN"/>
        </w:rPr>
        <w:t>项目支出绩效评价共性指标体系框架</w:t>
      </w: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right="0" w:rightChars="0"/>
        <w:jc w:val="both"/>
        <w:textAlignment w:val="auto"/>
        <w:outlineLvl w:val="9"/>
        <w:rPr>
          <w:rFonts w:hint="eastAsia" w:ascii="仿宋_GB2312" w:hAnsi="宋体" w:eastAsia="仿宋_GB2312"/>
          <w:sz w:val="32"/>
          <w:szCs w:val="32"/>
          <w:lang w:val="en-US" w:eastAsia="zh-CN"/>
        </w:rPr>
      </w:pPr>
      <w:r>
        <w:rPr>
          <w:rFonts w:hint="eastAsia" w:ascii="黑体" w:hAnsi="黑体" w:eastAsia="黑体" w:cs="黑体"/>
          <w:sz w:val="32"/>
          <w:szCs w:val="32"/>
          <w:lang w:val="en-US" w:eastAsia="zh-CN"/>
        </w:rPr>
        <w:t>附件</w:t>
      </w: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right="0" w:rightChars="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3" w:firstLineChars="200"/>
        <w:jc w:val="both"/>
        <w:textAlignment w:val="auto"/>
        <w:outlineLvl w:val="9"/>
        <w:rPr>
          <w:rFonts w:hint="eastAsia" w:ascii="宋体" w:hAnsi="宋体" w:eastAsia="宋体"/>
          <w:b/>
          <w:i w:val="0"/>
          <w:snapToGrid/>
          <w:color w:val="000000"/>
          <w:sz w:val="32"/>
          <w:u w:val="none"/>
          <w:shd w:val="clear" w:color="auto" w:fill="FFFFFF"/>
          <w:lang w:val="en-US" w:eastAsia="zh-CN"/>
        </w:rPr>
      </w:pPr>
      <w:r>
        <w:rPr>
          <w:rFonts w:hint="eastAsia" w:ascii="宋体" w:hAnsi="宋体"/>
          <w:b/>
          <w:i w:val="0"/>
          <w:snapToGrid/>
          <w:color w:val="000000"/>
          <w:sz w:val="32"/>
          <w:u w:val="none"/>
          <w:shd w:val="clear" w:color="auto" w:fill="FFFFFF"/>
          <w:lang w:val="en-US" w:eastAsia="zh-CN"/>
        </w:rPr>
        <w:t xml:space="preserve">      </w:t>
      </w:r>
      <w:r>
        <w:rPr>
          <w:rFonts w:hint="default" w:ascii="宋体" w:hAnsi="宋体" w:eastAsia="宋体"/>
          <w:b/>
          <w:i w:val="0"/>
          <w:snapToGrid/>
          <w:color w:val="000000"/>
          <w:sz w:val="32"/>
          <w:u w:val="none"/>
          <w:shd w:val="clear" w:color="auto" w:fill="FFFFFF"/>
          <w:lang w:eastAsia="zh-CN"/>
        </w:rPr>
        <w:t>项目支出绩效评价共性指标体系框架</w:t>
      </w:r>
    </w:p>
    <w:tbl>
      <w:tblPr>
        <w:tblStyle w:val="4"/>
        <w:tblW w:w="8646"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742"/>
        <w:gridCol w:w="778"/>
        <w:gridCol w:w="818"/>
        <w:gridCol w:w="2414"/>
        <w:gridCol w:w="3894"/>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5" w:hRule="atLeast"/>
          <w:tblHeader/>
        </w:trPr>
        <w:tc>
          <w:tcPr>
            <w:tcW w:w="742"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i w:val="0"/>
                <w:snapToGrid/>
                <w:color w:val="000000"/>
                <w:sz w:val="24"/>
                <w:szCs w:val="28"/>
                <w:u w:val="none"/>
                <w:shd w:val="clear" w:color="auto" w:fill="FFFFFF"/>
                <w:lang w:eastAsia="zh-CN"/>
              </w:rPr>
            </w:pPr>
            <w:r>
              <w:rPr>
                <w:rFonts w:hint="default" w:ascii="楷体_GB2312" w:hAnsi="楷体_GB2312" w:eastAsia="楷体_GB2312"/>
                <w:b/>
                <w:i w:val="0"/>
                <w:snapToGrid/>
                <w:color w:val="000000"/>
                <w:sz w:val="24"/>
                <w:szCs w:val="28"/>
                <w:u w:val="none"/>
                <w:shd w:val="clear" w:color="auto" w:fill="FFFFFF"/>
                <w:lang w:eastAsia="zh-CN"/>
              </w:rPr>
              <w:t>一级</w:t>
            </w:r>
            <w:r>
              <w:rPr>
                <w:rFonts w:hint="default" w:ascii="楷体_GB2312" w:hAnsi="楷体_GB2312" w:eastAsia="楷体_GB2312"/>
                <w:b/>
                <w:i w:val="0"/>
                <w:snapToGrid/>
                <w:color w:val="000000"/>
                <w:sz w:val="24"/>
                <w:szCs w:val="28"/>
                <w:u w:val="none"/>
                <w:shd w:val="clear" w:color="auto" w:fill="FFFFFF"/>
                <w:lang w:eastAsia="zh-CN"/>
              </w:rPr>
              <w:br w:type="textWrapping"/>
            </w:r>
            <w:r>
              <w:rPr>
                <w:rFonts w:hint="default" w:ascii="楷体_GB2312" w:hAnsi="楷体_GB2312" w:eastAsia="楷体_GB2312"/>
                <w:b/>
                <w:i w:val="0"/>
                <w:snapToGrid/>
                <w:color w:val="000000"/>
                <w:sz w:val="24"/>
                <w:szCs w:val="28"/>
                <w:u w:val="none"/>
                <w:shd w:val="clear" w:color="auto" w:fill="FFFFFF"/>
                <w:lang w:eastAsia="zh-CN"/>
              </w:rPr>
              <w:t>指标</w:t>
            </w:r>
          </w:p>
        </w:tc>
        <w:tc>
          <w:tcPr>
            <w:tcW w:w="77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i w:val="0"/>
                <w:snapToGrid/>
                <w:color w:val="000000"/>
                <w:sz w:val="24"/>
                <w:szCs w:val="28"/>
                <w:u w:val="none"/>
                <w:shd w:val="clear" w:color="auto" w:fill="FFFFFF"/>
                <w:lang w:eastAsia="zh-CN"/>
              </w:rPr>
            </w:pPr>
            <w:r>
              <w:rPr>
                <w:rFonts w:hint="default" w:ascii="楷体_GB2312" w:hAnsi="楷体_GB2312" w:eastAsia="楷体_GB2312"/>
                <w:b/>
                <w:i w:val="0"/>
                <w:snapToGrid/>
                <w:color w:val="000000"/>
                <w:sz w:val="24"/>
                <w:szCs w:val="28"/>
                <w:u w:val="none"/>
                <w:shd w:val="clear" w:color="auto" w:fill="FFFFFF"/>
                <w:lang w:eastAsia="zh-CN"/>
              </w:rPr>
              <w:t>二级</w:t>
            </w:r>
            <w:r>
              <w:rPr>
                <w:rFonts w:hint="default" w:ascii="楷体_GB2312" w:hAnsi="楷体_GB2312" w:eastAsia="楷体_GB2312"/>
                <w:b/>
                <w:i w:val="0"/>
                <w:snapToGrid/>
                <w:color w:val="000000"/>
                <w:sz w:val="24"/>
                <w:szCs w:val="28"/>
                <w:u w:val="none"/>
                <w:shd w:val="clear" w:color="auto" w:fill="FFFFFF"/>
                <w:lang w:eastAsia="zh-CN"/>
              </w:rPr>
              <w:br w:type="textWrapping"/>
            </w:r>
            <w:r>
              <w:rPr>
                <w:rFonts w:hint="default" w:ascii="楷体_GB2312" w:hAnsi="楷体_GB2312" w:eastAsia="楷体_GB2312"/>
                <w:b/>
                <w:i w:val="0"/>
                <w:snapToGrid/>
                <w:color w:val="000000"/>
                <w:sz w:val="24"/>
                <w:szCs w:val="28"/>
                <w:u w:val="none"/>
                <w:shd w:val="clear" w:color="auto" w:fill="FFFFFF"/>
                <w:lang w:eastAsia="zh-CN"/>
              </w:rPr>
              <w:t>指标</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i w:val="0"/>
                <w:snapToGrid/>
                <w:color w:val="000000"/>
                <w:sz w:val="24"/>
                <w:szCs w:val="28"/>
                <w:u w:val="none"/>
                <w:shd w:val="clear" w:color="auto" w:fill="FFFFFF"/>
                <w:lang w:eastAsia="zh-CN"/>
              </w:rPr>
            </w:pPr>
            <w:r>
              <w:rPr>
                <w:rFonts w:hint="default" w:ascii="楷体_GB2312" w:hAnsi="楷体_GB2312" w:eastAsia="楷体_GB2312"/>
                <w:b/>
                <w:i w:val="0"/>
                <w:snapToGrid/>
                <w:color w:val="000000"/>
                <w:sz w:val="24"/>
                <w:szCs w:val="28"/>
                <w:u w:val="none"/>
                <w:shd w:val="clear" w:color="auto" w:fill="FFFFFF"/>
                <w:lang w:eastAsia="zh-CN"/>
              </w:rPr>
              <w:t>三级指标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i w:val="0"/>
                <w:snapToGrid/>
                <w:color w:val="000000"/>
                <w:sz w:val="24"/>
                <w:szCs w:val="28"/>
                <w:u w:val="none"/>
                <w:shd w:val="clear" w:color="auto" w:fill="FFFFFF"/>
                <w:lang w:eastAsia="zh-CN"/>
              </w:rPr>
            </w:pPr>
            <w:r>
              <w:rPr>
                <w:rFonts w:hint="default" w:ascii="楷体_GB2312" w:hAnsi="楷体_GB2312" w:eastAsia="楷体_GB2312"/>
                <w:b/>
                <w:i w:val="0"/>
                <w:snapToGrid/>
                <w:color w:val="000000"/>
                <w:sz w:val="24"/>
                <w:szCs w:val="28"/>
                <w:u w:val="none"/>
                <w:shd w:val="clear" w:color="auto" w:fill="FFFFFF"/>
                <w:lang w:eastAsia="zh-CN"/>
              </w:rPr>
              <w:t>指标解释</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i w:val="0"/>
                <w:snapToGrid/>
                <w:color w:val="000000"/>
                <w:sz w:val="24"/>
                <w:szCs w:val="28"/>
                <w:u w:val="none"/>
                <w:shd w:val="clear" w:color="auto" w:fill="FFFFFF"/>
                <w:lang w:eastAsia="zh-CN"/>
              </w:rPr>
            </w:pPr>
            <w:r>
              <w:rPr>
                <w:rFonts w:hint="default" w:ascii="楷体_GB2312" w:hAnsi="楷体_GB2312" w:eastAsia="楷体_GB2312"/>
                <w:b/>
                <w:i w:val="0"/>
                <w:snapToGrid/>
                <w:color w:val="000000"/>
                <w:sz w:val="24"/>
                <w:szCs w:val="28"/>
                <w:u w:val="none"/>
                <w:shd w:val="clear" w:color="auto" w:fill="FFFFFF"/>
                <w:lang w:eastAsia="zh-CN"/>
              </w:rPr>
              <w:t>指标说明</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80" w:hRule="atLeast"/>
        </w:trPr>
        <w:tc>
          <w:tcPr>
            <w:tcW w:w="742"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投   入</w:t>
            </w:r>
          </w:p>
        </w:tc>
        <w:tc>
          <w:tcPr>
            <w:tcW w:w="778"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立项</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项目立项规范性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项目的申请、设立过程是否符合相关要求，用以反映和考核项目立项的规范情况。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①项目是否按照规定的程序申请设立；</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②所提交的文件、材料是否符合相关要求；</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③事前是否已经过必要的可行性研究、专家论证、风险评估、集体决策等。</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085" w:hRule="atLeast"/>
        </w:trPr>
        <w:tc>
          <w:tcPr>
            <w:tcW w:w="742"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绩效目标合理性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项目所设定的绩效目标是否依据充分，是否符合客观实际，用以反映和考核项目绩效目标与项目实施的相符情况。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①是否符合国家相关法律法规、国民经济发展规划和党委政府决策；</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②是否与项目实施单位或委托单位职责密切相关；</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③项目是否为促进事业发展所必需；</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④项目预期产出效益和效果是否符合正常的业绩水平。</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950" w:hRule="atLeast"/>
        </w:trPr>
        <w:tc>
          <w:tcPr>
            <w:tcW w:w="742"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绩效指标明确性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依据绩效目标设定的绩效指标是否清晰、细化、可衡量等，用以反映和考核项目绩效目标的明细化情况。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①是否将项目绩效目标细化分解为具体的绩效指标；</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②是否通过清晰、可衡量的指标值予以体现；</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③是否与项目年度任务数或计划数相对应；</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④是否与预算确定的项目投资额或资金量相匹配。</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575" w:hRule="atLeast"/>
        </w:trPr>
        <w:tc>
          <w:tcPr>
            <w:tcW w:w="742"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778"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资金</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落实</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资金到位率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实际到位资金与计划投入资金的比率，用以反映和考核资金落实情况对项目实施的总体保障程度。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资金到位率=（实际到位资金/计划投入资金）×100%。</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实际到位资金：一定时期（本年度或项目期）内实际落实到具体项目的资金。</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计划投入资金：一定时期（本年度或项目期）内计划投入到具体项目的资金。</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37" w:hRule="atLeast"/>
        </w:trPr>
        <w:tc>
          <w:tcPr>
            <w:tcW w:w="742" w:type="dxa"/>
            <w:vMerge w:val="continue"/>
            <w:tcBorders>
              <w:top w:val="single" w:color="000000"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到位及时率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及时到位资金与应到位资金的比率，用以反映和考核项目资金落实的及时性程度。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到位及时率=（及时到位资金/应到位资金）×100%。</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及时到位资金：截至规定时点实际落实到具体项目的资金。</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应到位资金：按照合同或项目进度要求截至规定时点应落实到具体项目的资金。</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695" w:hRule="atLeast"/>
        </w:trPr>
        <w:tc>
          <w:tcPr>
            <w:tcW w:w="742" w:type="dxa"/>
            <w:vMerge w:val="restart"/>
            <w:tcBorders>
              <w:top w:val="single" w:color="auto" w:sz="4" w:space="0"/>
              <w:left w:val="single" w:color="auto" w:sz="4" w:space="0"/>
              <w:bottom w:val="single" w:color="auto" w:sz="4" w:space="0"/>
              <w:right w:val="single" w:color="auto"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过   程</w:t>
            </w:r>
          </w:p>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p>
        </w:tc>
        <w:tc>
          <w:tcPr>
            <w:tcW w:w="778" w:type="dxa"/>
            <w:vMerge w:val="restart"/>
            <w:tcBorders>
              <w:top w:val="single" w:color="000000" w:sz="4" w:space="0"/>
              <w:left w:val="single" w:color="auto"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业务</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管理</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管理制度健全性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项目实施单位的业务管理制度是否健全，用以反映和考核业务管理制度对项目顺利实施的保障情况。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①是否已制定或具有相应的业务管理制度；</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②业务管理制度是否合法、合规、完整。</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70" w:hRule="atLeast"/>
        </w:trPr>
        <w:tc>
          <w:tcPr>
            <w:tcW w:w="742" w:type="dxa"/>
            <w:vMerge w:val="continue"/>
            <w:tcBorders>
              <w:top w:val="single" w:color="auto" w:sz="4" w:space="0"/>
              <w:left w:val="single" w:color="auto" w:sz="4" w:space="0"/>
              <w:bottom w:val="single" w:color="auto" w:sz="4" w:space="0"/>
              <w:right w:val="single" w:color="auto" w:sz="4" w:space="0"/>
            </w:tcBorders>
            <w:shd w:val="solid" w:color="FFFFFF" w:fill="auto"/>
            <w:vAlign w:val="center"/>
          </w:tcPr>
          <w:p>
            <w:pPr>
              <w:rPr>
                <w:rFonts w:hint="default"/>
                <w:sz w:val="22"/>
              </w:rPr>
            </w:pPr>
          </w:p>
        </w:tc>
        <w:tc>
          <w:tcPr>
            <w:tcW w:w="778" w:type="dxa"/>
            <w:vMerge w:val="continue"/>
            <w:tcBorders>
              <w:top w:val="single" w:color="000000" w:sz="4" w:space="0"/>
              <w:left w:val="single" w:color="auto"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制度执行有效性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项目实施是否符合相关业务管理规定，用以反映和考核业务管理制度的有效执行情况。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①是否遵守相关法律法规和业务管理规定；</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②项目调整及支出调整手续是否完备；</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③项目合同书、验收报告、技术鉴定等资料是否齐全并及时归档；</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④项目实施的人员条件、场地设备、信息支撑等是否落实到位。</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980" w:hRule="atLeast"/>
        </w:trPr>
        <w:tc>
          <w:tcPr>
            <w:tcW w:w="742" w:type="dxa"/>
            <w:vMerge w:val="continue"/>
            <w:tcBorders>
              <w:top w:val="single" w:color="auto" w:sz="4" w:space="0"/>
              <w:left w:val="single" w:color="auto" w:sz="4" w:space="0"/>
              <w:bottom w:val="single" w:color="auto" w:sz="4" w:space="0"/>
              <w:right w:val="single" w:color="auto" w:sz="4" w:space="0"/>
            </w:tcBorders>
            <w:shd w:val="solid" w:color="FFFFFF" w:fill="auto"/>
            <w:vAlign w:val="center"/>
          </w:tcPr>
          <w:p>
            <w:pPr>
              <w:rPr>
                <w:rFonts w:hint="default"/>
                <w:sz w:val="22"/>
              </w:rPr>
            </w:pPr>
          </w:p>
        </w:tc>
        <w:tc>
          <w:tcPr>
            <w:tcW w:w="778" w:type="dxa"/>
            <w:vMerge w:val="continue"/>
            <w:tcBorders>
              <w:top w:val="single" w:color="000000" w:sz="4" w:space="0"/>
              <w:left w:val="single" w:color="auto"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项目质量可控性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项目实施单位是否为达到项目质量要求而采取了必需的措施,用以反映和考核项目实施单位对项目质量的控制情况。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①是否已制定或具有相应的项目质量要求或标准；</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②是否采取了相应的项目质量检查、验收等必需的控制措施或手段。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95" w:hRule="atLeast"/>
        </w:trPr>
        <w:tc>
          <w:tcPr>
            <w:tcW w:w="742" w:type="dxa"/>
            <w:vMerge w:val="continue"/>
            <w:tcBorders>
              <w:top w:val="single" w:color="auto" w:sz="4" w:space="0"/>
              <w:left w:val="single" w:color="auto" w:sz="4" w:space="0"/>
              <w:bottom w:val="single" w:color="auto" w:sz="4" w:space="0"/>
              <w:right w:val="single" w:color="auto"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p>
        </w:tc>
        <w:tc>
          <w:tcPr>
            <w:tcW w:w="778" w:type="dxa"/>
            <w:vMerge w:val="restart"/>
            <w:tcBorders>
              <w:top w:val="single" w:color="000000" w:sz="4" w:space="0"/>
              <w:left w:val="single" w:color="auto"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财务</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管理</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管理制度健全性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项目实施单位的财务制度是否健全，用以反映和考核财务管理制度对资金规范、安全运行的保障情况。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①是否已制定或具有相应的项目资金管理办法；</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②项目资金管理办法是否符合相关财务会计制度的规定。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680" w:hRule="atLeast"/>
        </w:trPr>
        <w:tc>
          <w:tcPr>
            <w:tcW w:w="742" w:type="dxa"/>
            <w:vMerge w:val="continue"/>
            <w:tcBorders>
              <w:top w:val="single" w:color="auto" w:sz="4" w:space="0"/>
              <w:left w:val="single" w:color="auto" w:sz="4" w:space="0"/>
              <w:bottom w:val="single" w:color="auto" w:sz="4" w:space="0"/>
              <w:right w:val="single" w:color="auto" w:sz="4" w:space="0"/>
            </w:tcBorders>
            <w:shd w:val="solid" w:color="FFFFFF" w:fill="auto"/>
            <w:vAlign w:val="center"/>
          </w:tcPr>
          <w:p>
            <w:pPr>
              <w:rPr>
                <w:rFonts w:hint="default"/>
                <w:sz w:val="22"/>
              </w:rPr>
            </w:pPr>
          </w:p>
        </w:tc>
        <w:tc>
          <w:tcPr>
            <w:tcW w:w="778" w:type="dxa"/>
            <w:vMerge w:val="continue"/>
            <w:tcBorders>
              <w:top w:val="single" w:color="000000" w:sz="4" w:space="0"/>
              <w:left w:val="single" w:color="auto"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资金使用合规性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项目资金使用是否符合相关的财务管理制度规定，用以反映和考核项目资金的规范运行情况。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①是否符合国家财经法规和财务管理制度以及有关专项资金管理办法的规定；</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②资金的拨付是否有完整的审批程序和手续；</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③项目的重大开支是否经过评估认证；</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④是否符合项目预算批复或合同规定的用途；</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⑤是否存在截留、挤占、挪用、虚列支出等情况。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95" w:hRule="atLeast"/>
        </w:trPr>
        <w:tc>
          <w:tcPr>
            <w:tcW w:w="742" w:type="dxa"/>
            <w:vMerge w:val="continue"/>
            <w:tcBorders>
              <w:top w:val="single" w:color="auto" w:sz="4" w:space="0"/>
              <w:left w:val="single" w:color="auto" w:sz="4" w:space="0"/>
              <w:bottom w:val="single" w:color="auto" w:sz="4" w:space="0"/>
              <w:right w:val="single" w:color="auto" w:sz="4" w:space="0"/>
            </w:tcBorders>
            <w:shd w:val="solid" w:color="FFFFFF" w:fill="auto"/>
            <w:vAlign w:val="center"/>
          </w:tcPr>
          <w:p>
            <w:pPr>
              <w:rPr>
                <w:rFonts w:hint="default"/>
                <w:sz w:val="22"/>
              </w:rPr>
            </w:pPr>
          </w:p>
        </w:tc>
        <w:tc>
          <w:tcPr>
            <w:tcW w:w="778" w:type="dxa"/>
            <w:vMerge w:val="continue"/>
            <w:tcBorders>
              <w:top w:val="single" w:color="000000" w:sz="4" w:space="0"/>
              <w:left w:val="single" w:color="auto"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财务监控有效性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项目实施单位是否为保障资金的安全、规范运行而采取了必要的监控措施，用以反映和考核项目实施单位对资金运行的控制情况。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①是否已制定或具有相应的监控机制；</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②是否采取了相应的财务检查等必要的监控措施或手段。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14" w:hRule="atLeast"/>
        </w:trPr>
        <w:tc>
          <w:tcPr>
            <w:tcW w:w="742" w:type="dxa"/>
            <w:vMerge w:val="restart"/>
            <w:tcBorders>
              <w:top w:val="single" w:color="auto" w:sz="4" w:space="0"/>
              <w:left w:val="single" w:color="000000" w:sz="4" w:space="0"/>
              <w:bottom w:val="single" w:color="auto"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产   出</w:t>
            </w:r>
          </w:p>
        </w:tc>
        <w:tc>
          <w:tcPr>
            <w:tcW w:w="778"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产出</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实际完成率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项目实施的实际产出数与计划产出数的比率，用以反映和考核项目产出数量目标的实现程度。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实际完成率=（实际产出数/计划产出数）×100%。</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实际产出数：一定时期（本年度或项目期）内项目实际产出的产品或提供的服务数量。</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计划产出数：项目绩效目标确定的在一定时期（本年度或项目期）内计划产出的产品或提供的服务数量。</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55"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完成及时率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项目实际提前完成时间与计划完成时间的比率，用以反映和考核项目产出时效目标的实现程度。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完成及时率=[（计划完成时间-实际完成时间）/计划完成时间]×100%。</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实际完成时间：项目实施单位完成该项目实际所耗用的时间。</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计划完成时间：按照项目实施计划或相关规定完成该项目所需的时间。</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19"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质量达标率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项目完成的质量达标产出数与实际产出数的比率，用以反映和考核项目产出质量目标的实现程度。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质量达标率=（质量达标产出数/实际产出数）×100%。</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质量达标产出数：一定时期（本年度或项目期）内实际达到既定质量标准的产品或服务数量。</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既定质量标准是指项目实施单位设立绩效目标时依据计划标准、行业标准、历史标准或其他标准而设定的绩效指标值。</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996"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成本节约率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完成项目计划工作目标的实际节约成本与计划成本的比率，用以反映和考核项目的成本节约程度。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成本节约率=[（计划成本-实际成本）/计划成本]×100%。</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实际成本：项目实施单位如期、保质、保量完成既定工作目标实际所耗费的支出。</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计划成本：项目实施单位为完成工作目标计划安排的支出，一般以项目预算为参考。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821" w:hRule="atLeast"/>
        </w:trPr>
        <w:tc>
          <w:tcPr>
            <w:tcW w:w="742" w:type="dxa"/>
            <w:vMerge w:val="restart"/>
            <w:tcBorders>
              <w:top w:val="single" w:color="auto" w:sz="4" w:space="0"/>
              <w:left w:val="single" w:color="000000" w:sz="4" w:space="0"/>
              <w:bottom w:val="single" w:color="auto"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效   果</w:t>
            </w:r>
          </w:p>
        </w:tc>
        <w:tc>
          <w:tcPr>
            <w:tcW w:w="778"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效益</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经济效益</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项目实施对经济发展所带来的直接或间接影响情况。</w:t>
            </w:r>
          </w:p>
        </w:tc>
        <w:tc>
          <w:tcPr>
            <w:tcW w:w="3894"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此四项指标为设置项目支出绩效评价指标时必须考虑的共性要素，可根据项目实际并结合绩效目标设立情况有选择的进行设置，并将其细化为相应的个性化指标。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684"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社会效益</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项目实施对社会发展所带来的直接或间接影响情况。</w:t>
            </w:r>
          </w:p>
        </w:tc>
        <w:tc>
          <w:tcPr>
            <w:tcW w:w="3894"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kinsoku/>
              <w:autoSpaceDE/>
              <w:autoSpaceDN w:val="0"/>
              <w:textAlignment w:val="auto"/>
              <w:rPr>
                <w:rFonts w:hint="default"/>
                <w:snapToGrid/>
                <w:sz w:val="22"/>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35"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生态效益</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项目实施对生态环境所带来的直接或间接影响情况。</w:t>
            </w:r>
          </w:p>
        </w:tc>
        <w:tc>
          <w:tcPr>
            <w:tcW w:w="3894"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kinsoku/>
              <w:autoSpaceDE/>
              <w:autoSpaceDN w:val="0"/>
              <w:textAlignment w:val="auto"/>
              <w:rPr>
                <w:rFonts w:hint="default"/>
                <w:snapToGrid/>
                <w:sz w:val="22"/>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94"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可持续影响</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项目后续运行及成效发挥的可持续影响情况。</w:t>
            </w:r>
          </w:p>
        </w:tc>
        <w:tc>
          <w:tcPr>
            <w:tcW w:w="3894"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kinsoku/>
              <w:autoSpaceDE/>
              <w:autoSpaceDN w:val="0"/>
              <w:textAlignment w:val="auto"/>
              <w:rPr>
                <w:rFonts w:hint="default"/>
                <w:snapToGrid/>
                <w:sz w:val="22"/>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554"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社会公众或服务对象满意度</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社会公众或服务对象对项目实施效果的满意程度。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社会公众或服务对象是指因该项目实施而受到影响的部门（单位）、群体或个人。一般采取社会调查的方式。</w:t>
            </w:r>
          </w:p>
        </w:tc>
      </w:tr>
    </w:tbl>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right="0" w:rightChars="0"/>
        <w:jc w:val="both"/>
        <w:textAlignment w:val="auto"/>
        <w:outlineLvl w:val="9"/>
        <w:rPr>
          <w:rFonts w:hint="eastAsia" w:ascii="仿宋_GB2312" w:hAnsi="宋体" w:eastAsia="仿宋_GB2312"/>
          <w:sz w:val="32"/>
          <w:szCs w:val="32"/>
          <w:lang w:val="en-US" w:eastAsia="zh-CN"/>
        </w:rPr>
      </w:pPr>
    </w:p>
    <w:p/>
    <w:sectPr>
      <w:headerReference r:id="rId3" w:type="first"/>
      <w:footerReference r:id="rId6" w:type="first"/>
      <w:footerReference r:id="rId4" w:type="default"/>
      <w:footerReference r:id="rId5" w:type="even"/>
      <w:pgSz w:w="11906" w:h="16838"/>
      <w:pgMar w:top="1361" w:right="1644" w:bottom="1361" w:left="1644" w:header="851" w:footer="992" w:gutter="0"/>
      <w:pgNumType w:fmt="decimal"/>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华文楷体">
    <w:altName w:val="楷体_GB2312"/>
    <w:panose1 w:val="02010600040101010101"/>
    <w:charset w:val="86"/>
    <w:family w:val="auto"/>
    <w:pitch w:val="default"/>
    <w:sig w:usb0="00000000" w:usb1="00000000" w:usb2="00000000" w:usb3="00000000" w:csb0="0004009F" w:csb1="DFD70000"/>
  </w:font>
  <w:font w:name="仿宋">
    <w:panose1 w:val="02010609060101010101"/>
    <w:charset w:val="86"/>
    <w:family w:val="auto"/>
    <w:pitch w:val="default"/>
    <w:sig w:usb0="800002BF" w:usb1="38CF7CFA" w:usb2="00000016" w:usb3="00000000" w:csb0="00040001" w:csb1="00000000"/>
  </w:font>
  <w:font w:name="仿宋_GB2312">
    <w:panose1 w:val="02010609030101010101"/>
    <w:charset w:val="86"/>
    <w:family w:val="modern"/>
    <w:pitch w:val="default"/>
    <w:sig w:usb0="00000001" w:usb1="080E0000" w:usb2="00000000" w:usb3="00000000" w:csb0="00040000" w:csb1="00000000"/>
  </w:font>
  <w:font w:name="楷体_GB2312">
    <w:panose1 w:val="02010609030101010101"/>
    <w:charset w:val="86"/>
    <w:family w:val="auto"/>
    <w:pitch w:val="default"/>
    <w:sig w:usb0="00000001" w:usb1="080E0000" w:usb2="00000000" w:usb3="00000000" w:csb0="00040000" w:csb1="00000000"/>
  </w:font>
  <w:font w:name="楷体">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framePr w:wrap="around" w:vAnchor="text" w:hAnchor="margin" w:xAlign="right" w:y="1"/>
      <w:rPr>
        <w:rStyle w:val="7"/>
      </w:rPr>
    </w:pPr>
    <w:r>
      <w:fldChar w:fldCharType="begin"/>
    </w:r>
    <w:r>
      <w:rPr>
        <w:rStyle w:val="7"/>
      </w:rPr>
      <w:instrText xml:space="preserve">PAGE  </w:instrText>
    </w:r>
    <w:r>
      <w:fldChar w:fldCharType="separate"/>
    </w:r>
    <w:r>
      <w:rPr>
        <w:rStyle w:val="7"/>
      </w:rPr>
      <w:t>4</w:t>
    </w:r>
    <w:r>
      <w:fldChar w:fldCharType="end"/>
    </w:r>
  </w:p>
  <w:p>
    <w:pPr>
      <w:pStyle w:val="2"/>
      <w:ind w:right="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B3AD511F"/>
    <w:multiLevelType w:val="singleLevel"/>
    <w:tmpl w:val="B3AD511F"/>
    <w:lvl w:ilvl="0" w:tentative="0">
      <w:start w:val="2"/>
      <w:numFmt w:val="chineseCounting"/>
      <w:suff w:val="nothing"/>
      <w:lvlText w:val="（%1）"/>
      <w:lvlJc w:val="left"/>
      <w:pPr>
        <w:ind w:left="481" w:leftChars="0" w:firstLine="0" w:firstLineChars="0"/>
      </w:pPr>
      <w:rPr>
        <w:rFonts w:hint="eastAsia"/>
      </w:rPr>
    </w:lvl>
  </w:abstractNum>
  <w:abstractNum w:abstractNumId="1">
    <w:nsid w:val="C05C8829"/>
    <w:multiLevelType w:val="singleLevel"/>
    <w:tmpl w:val="C05C8829"/>
    <w:lvl w:ilvl="0" w:tentative="0">
      <w:start w:val="2"/>
      <w:numFmt w:val="decimal"/>
      <w:lvlText w:val="%1."/>
      <w:lvlJc w:val="left"/>
      <w:pPr>
        <w:tabs>
          <w:tab w:val="left" w:pos="312"/>
        </w:tabs>
        <w:ind w:left="800" w:leftChars="0" w:firstLine="0" w:firstLineChars="0"/>
      </w:pPr>
    </w:lvl>
  </w:abstractNum>
  <w:abstractNum w:abstractNumId="2">
    <w:nsid w:val="C4956B9C"/>
    <w:multiLevelType w:val="singleLevel"/>
    <w:tmpl w:val="C4956B9C"/>
    <w:lvl w:ilvl="0" w:tentative="0">
      <w:start w:val="1"/>
      <w:numFmt w:val="decimal"/>
      <w:suff w:val="nothing"/>
      <w:lvlText w:val="（%1）"/>
      <w:lvlJc w:val="left"/>
    </w:lvl>
  </w:abstractNum>
  <w:abstractNum w:abstractNumId="3">
    <w:nsid w:val="F9C70CC5"/>
    <w:multiLevelType w:val="singleLevel"/>
    <w:tmpl w:val="F9C70CC5"/>
    <w:lvl w:ilvl="0" w:tentative="0">
      <w:start w:val="6"/>
      <w:numFmt w:val="chineseCounting"/>
      <w:suff w:val="nothing"/>
      <w:lvlText w:val="%1、"/>
      <w:lvlJc w:val="left"/>
      <w:rPr>
        <w:rFonts w:hint="eastAsia"/>
      </w:rPr>
    </w:lvl>
  </w:abstractNum>
  <w:abstractNum w:abstractNumId="4">
    <w:nsid w:val="3229C35A"/>
    <w:multiLevelType w:val="singleLevel"/>
    <w:tmpl w:val="3229C35A"/>
    <w:lvl w:ilvl="0" w:tentative="0">
      <w:start w:val="2"/>
      <w:numFmt w:val="chineseCounting"/>
      <w:suff w:val="nothing"/>
      <w:lvlText w:val="（%1）"/>
      <w:lvlJc w:val="left"/>
      <w:pPr>
        <w:ind w:left="480" w:leftChars="0" w:firstLine="0" w:firstLineChars="0"/>
      </w:pPr>
      <w:rPr>
        <w:rFonts w:hint="eastAsia"/>
      </w:rPr>
    </w:lvl>
  </w:abstractNum>
  <w:abstractNum w:abstractNumId="5">
    <w:nsid w:val="6CC05E52"/>
    <w:multiLevelType w:val="singleLevel"/>
    <w:tmpl w:val="6CC05E52"/>
    <w:lvl w:ilvl="0" w:tentative="0">
      <w:start w:val="1"/>
      <w:numFmt w:val="decimal"/>
      <w:suff w:val="nothing"/>
      <w:lvlText w:val="（%1）"/>
      <w:lvlJc w:val="left"/>
    </w:lvl>
  </w:abstractNum>
  <w:abstractNum w:abstractNumId="6">
    <w:nsid w:val="77311A35"/>
    <w:multiLevelType w:val="singleLevel"/>
    <w:tmpl w:val="77311A35"/>
    <w:lvl w:ilvl="0" w:tentative="0">
      <w:start w:val="1"/>
      <w:numFmt w:val="decimal"/>
      <w:lvlText w:val="%1."/>
      <w:lvlJc w:val="left"/>
      <w:pPr>
        <w:tabs>
          <w:tab w:val="left" w:pos="312"/>
        </w:tabs>
      </w:pPr>
    </w:lvl>
  </w:abstractNum>
  <w:num w:numId="1">
    <w:abstractNumId w:val="1"/>
  </w:num>
  <w:num w:numId="2">
    <w:abstractNumId w:val="0"/>
  </w:num>
  <w:num w:numId="3">
    <w:abstractNumId w:val="6"/>
  </w:num>
  <w:num w:numId="4">
    <w:abstractNumId w:val="5"/>
  </w:num>
  <w:num w:numId="5">
    <w:abstractNumId w:val="2"/>
  </w:num>
  <w:num w:numId="6">
    <w:abstractNumId w:val="4"/>
  </w:num>
  <w:num w:numId="7">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2A2941B7"/>
    <w:rsid w:val="0C1A293E"/>
    <w:rsid w:val="1088012D"/>
    <w:rsid w:val="147129C8"/>
    <w:rsid w:val="1D351607"/>
    <w:rsid w:val="25F74D25"/>
    <w:rsid w:val="28784DAB"/>
    <w:rsid w:val="28D02EA0"/>
    <w:rsid w:val="2A2941B7"/>
    <w:rsid w:val="2AE90B4E"/>
    <w:rsid w:val="31E0225C"/>
    <w:rsid w:val="360E7CDE"/>
    <w:rsid w:val="3C636A9B"/>
    <w:rsid w:val="3D773E54"/>
    <w:rsid w:val="425523F3"/>
    <w:rsid w:val="54BC2432"/>
    <w:rsid w:val="5CD717B9"/>
    <w:rsid w:val="60DB2987"/>
    <w:rsid w:val="622759F2"/>
    <w:rsid w:val="6F090462"/>
    <w:rsid w:val="702B0322"/>
    <w:rsid w:val="72F62DB2"/>
    <w:rsid w:val="757D56A8"/>
    <w:rsid w:val="7FD34C79"/>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eastAsia="宋体" w:asciiTheme="minorHAnsi" w:hAnsiTheme="minorHAnsi" w:cstheme="minorBidi"/>
      <w:kern w:val="2"/>
      <w:sz w:val="21"/>
      <w:szCs w:val="24"/>
      <w:lang w:val="en-US" w:eastAsia="zh-CN" w:bidi="ar-SA"/>
    </w:rPr>
  </w:style>
  <w:style w:type="character" w:default="1" w:styleId="5">
    <w:name w:val="Default Paragraph Font"/>
    <w:link w:val="6"/>
    <w:semiHidden/>
    <w:qFormat/>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szCs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rFonts w:ascii="Times New Roman" w:hAnsi="Times New Roman"/>
      <w:sz w:val="18"/>
    </w:rPr>
  </w:style>
  <w:style w:type="paragraph" w:customStyle="1" w:styleId="6">
    <w:name w:val="默认段落字体 Para Char Char Char Char Char Char Char"/>
    <w:basedOn w:val="1"/>
    <w:link w:val="5"/>
    <w:qFormat/>
    <w:uiPriority w:val="0"/>
  </w:style>
  <w:style w:type="character" w:styleId="7">
    <w:name w:val="page number"/>
    <w:basedOn w:val="5"/>
    <w:qFormat/>
    <w:uiPriority w:val="0"/>
  </w:style>
  <w:style w:type="paragraph" w:customStyle="1" w:styleId="8">
    <w:name w:val="List Paragraph"/>
    <w:basedOn w:val="1"/>
    <w:qFormat/>
    <w:uiPriority w:val="99"/>
    <w:pPr>
      <w:ind w:firstLine="420" w:firstLineChars="200"/>
    </w:p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numbering" Target="numbering.xml"/><Relationship Id="rId7" Type="http://schemas.openxmlformats.org/officeDocument/2006/relationships/theme" Target="theme/theme1.xml"/><Relationship Id="rId6" Type="http://schemas.openxmlformats.org/officeDocument/2006/relationships/footer" Target="footer3.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12</TotalTime>
  <ScaleCrop>false</ScaleCrop>
  <LinksUpToDate>false</LinksUpToDate>
  <CharactersWithSpaces>0</CharactersWithSpaces>
  <Application>WPS Office_11.8.2.12118_F1E327BC-269C-435d-A152-05C5408002CA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2020-01-02T08:14:00Z</dcterms:created>
  <dc:creator>838</dc:creator>
  <cp:lastModifiedBy>Administrator</cp:lastModifiedBy>
  <cp:lastPrinted>2020-01-07T04:31:00Z</cp:lastPrinted>
  <dcterms:modified xsi:type="dcterms:W3CDTF">2025-04-28T09:13:57Z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2052-11.8.2.12118</vt:lpwstr>
  </property>
  <property fmtid="{D5CDD505-2E9C-101B-9397-08002B2CF9AE}" pid="3" name="ICV">
    <vt:lpwstr>A4566975EEA944CFAA1F35790C0F1149</vt:lpwstr>
  </property>
</Properties>
</file>