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EC92F8C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7805071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鹿泉区计划生育协会</w:t>
      </w:r>
    </w:p>
    <w:p w14:paraId="155D6B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2023年度整体支出绩效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自评报告</w:t>
      </w:r>
    </w:p>
    <w:p w14:paraId="1589E38F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7F85CF51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石家庄市鹿泉区人民政府《关于全面实施预算绩效管理的实施意见》（鹿发</w:t>
      </w:r>
      <w:r>
        <w:rPr>
          <w:rFonts w:hint="eastAsia" w:ascii="仿宋_GB2312" w:hAnsi="仿宋_GB2312" w:eastAsia="仿宋_GB2312" w:cs="仿宋_GB2312"/>
          <w:sz w:val="32"/>
          <w:szCs w:val="32"/>
        </w:rPr>
        <w:t>〔20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19</w:t>
      </w:r>
      <w:r>
        <w:rPr>
          <w:rFonts w:hint="eastAsia" w:ascii="仿宋_GB2312" w:hAnsi="仿宋_GB2312" w:eastAsia="仿宋_GB2312" w:cs="仿宋_GB2312"/>
          <w:sz w:val="32"/>
          <w:szCs w:val="32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8号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" w:hAnsi="仿宋" w:eastAsia="仿宋"/>
          <w:sz w:val="32"/>
          <w:szCs w:val="32"/>
        </w:rPr>
        <w:t>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鹿泉区计划生育协会</w:t>
      </w: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 w14:paraId="341B1C04"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7ED22375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 w14:paraId="0DE9AEC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eastAsia="仿宋_GB231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>20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23</w:t>
      </w:r>
      <w:r>
        <w:rPr>
          <w:rFonts w:hint="eastAsia" w:ascii="仿宋_GB2312" w:eastAsia="仿宋_GB2312"/>
          <w:sz w:val="32"/>
          <w:szCs w:val="32"/>
        </w:rPr>
        <w:t>年末，本单位核定编制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8</w:t>
      </w:r>
      <w:r>
        <w:rPr>
          <w:rFonts w:hint="eastAsia" w:ascii="仿宋_GB2312" w:eastAsia="仿宋_GB2312"/>
          <w:sz w:val="32"/>
          <w:szCs w:val="32"/>
        </w:rPr>
        <w:t>人，实际在职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7</w:t>
      </w:r>
      <w:r>
        <w:rPr>
          <w:rFonts w:hint="eastAsia" w:ascii="仿宋_GB2312" w:eastAsia="仿宋_GB2312"/>
          <w:sz w:val="32"/>
          <w:szCs w:val="32"/>
        </w:rPr>
        <w:t>人，退休</w:t>
      </w:r>
      <w:r>
        <w:rPr>
          <w:rFonts w:hint="eastAsia" w:ascii="仿宋_GB2312" w:eastAsia="仿宋_GB2312"/>
          <w:sz w:val="32"/>
          <w:szCs w:val="32"/>
          <w:lang w:eastAsia="zh-CN"/>
        </w:rPr>
        <w:t>人员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2人。主要职责：</w:t>
      </w:r>
    </w:p>
    <w:p w14:paraId="0593820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坚持党的领导，加强政治引领，贯彻落实党中央和省委、市委关于计划生育方面的方针政策和决策部署。协助政府贯彻落实国家、省、市、区有关计划生育与家庭发展的法律、法规和政策，引导群众负责任、有计划地生育。</w:t>
      </w:r>
    </w:p>
    <w:p w14:paraId="7136C1C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2.参与全区计划生育与家庭发展重大问题的政策与动态研究，为区委、区政府提供相关决策意见和建议。</w:t>
      </w:r>
    </w:p>
    <w:p w14:paraId="586D618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.承担宣传教育、生殖健康咨询服务、优生优育指导、计划生育家庭帮扶、权益维护和流动人口服务等工作。引导群众广泛开展计划生育自我管理、自我服务、自我教育、自我监督。关怀帮扶计划生育特殊家庭、困难家庭，帮助解决他们的生活照料、精神慰藉等问题。推进计划生育与乡村振兴相结合，开展有关项目工作。</w:t>
      </w:r>
    </w:p>
    <w:p w14:paraId="5DDE5AD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4.指导各乡（镇、区）计划生育协会的组织建设、队伍建设、阵地建设和业务工作。</w:t>
      </w:r>
    </w:p>
    <w:p w14:paraId="59F9B39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5.在政府领导下开展计划生育与家庭发展的国内、国际交流与合作工作。</w:t>
      </w:r>
    </w:p>
    <w:p w14:paraId="7AF0F0D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黑体" w:eastAsia="黑体" w:cs="黑体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6.完成区委、区政府交办的其它任务。</w:t>
      </w:r>
    </w:p>
    <w:p w14:paraId="03987CB0">
      <w:p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（二）部门收支预决算情况</w:t>
      </w:r>
    </w:p>
    <w:p w14:paraId="63F199CA">
      <w:pPr>
        <w:pStyle w:val="3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</w:pPr>
      <w:r>
        <w:rPr>
          <w:rFonts w:hint="eastAsia" w:ascii="仿宋_GB2312" w:hAnsi="Times New Roman" w:eastAsia="仿宋_GB2312" w:cs="仿宋_GB2312"/>
          <w:sz w:val="32"/>
          <w:szCs w:val="32"/>
        </w:rPr>
        <w:t>本</w:t>
      </w:r>
      <w:r>
        <w:rPr>
          <w:rFonts w:hint="eastAsia" w:ascii="仿宋_GB2312" w:hAnsi="Times New Roman" w:eastAsia="仿宋_GB2312" w:cs="仿宋_GB2312"/>
          <w:sz w:val="32"/>
          <w:szCs w:val="32"/>
          <w:lang w:eastAsia="zh-CN"/>
        </w:rPr>
        <w:t>单位</w:t>
      </w:r>
      <w:r>
        <w:rPr>
          <w:rFonts w:ascii="仿宋_GB2312" w:hAnsi="Times New Roman" w:eastAsia="仿宋_GB2312" w:cs="仿宋_GB2312"/>
          <w:sz w:val="32"/>
          <w:szCs w:val="32"/>
        </w:rPr>
        <w:t>202</w:t>
      </w:r>
      <w:r>
        <w:rPr>
          <w:rFonts w:hint="eastAsia" w:asci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Times New Roman" w:eastAsia="仿宋_GB2312" w:cs="仿宋_GB2312"/>
          <w:sz w:val="32"/>
          <w:szCs w:val="32"/>
        </w:rPr>
        <w:t>年度财政拨款本年收入</w:t>
      </w:r>
      <w:r>
        <w:rPr>
          <w:rFonts w:hint="eastAsia" w:ascii="仿宋_GB2312" w:eastAsia="仿宋_GB2312" w:cs="仿宋_GB2312"/>
          <w:sz w:val="32"/>
          <w:szCs w:val="32"/>
          <w:lang w:val="en-US" w:eastAsia="zh-CN"/>
        </w:rPr>
        <w:t>214.40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万元，完成年初预算的</w:t>
      </w:r>
      <w:r>
        <w:rPr>
          <w:rFonts w:hint="eastAsia" w:ascii="仿宋_GB2312" w:eastAsia="仿宋_GB2312" w:cs="仿宋_GB2312"/>
          <w:sz w:val="32"/>
          <w:szCs w:val="32"/>
          <w:lang w:val="en-US" w:eastAsia="zh-CN"/>
        </w:rPr>
        <w:t>1.11</w:t>
      </w:r>
      <w:r>
        <w:rPr>
          <w:rFonts w:ascii="仿宋_GB2312" w:hAnsi="Times New Roman" w:eastAsia="仿宋_GB2312" w:cs="仿宋_GB2312"/>
          <w:sz w:val="32"/>
          <w:szCs w:val="32"/>
        </w:rPr>
        <w:t>%,</w:t>
      </w:r>
      <w:r>
        <w:rPr>
          <w:rFonts w:hint="eastAsia" w:ascii="仿宋_GB2312" w:hAnsi="Times New Roman" w:eastAsia="仿宋_GB2312" w:cs="仿宋_GB2312"/>
          <w:sz w:val="32"/>
          <w:szCs w:val="32"/>
        </w:rPr>
        <w:t>比年初预算增加</w:t>
      </w:r>
      <w:r>
        <w:rPr>
          <w:rFonts w:hint="eastAsia" w:ascii="仿宋_GB2312" w:eastAsia="仿宋_GB2312" w:cs="仿宋_GB2312"/>
          <w:sz w:val="32"/>
          <w:szCs w:val="32"/>
          <w:lang w:val="en-US" w:eastAsia="zh-CN"/>
        </w:rPr>
        <w:t>22.36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万元，决算数大于预算数主要原因是</w:t>
      </w:r>
      <w:r>
        <w:rPr>
          <w:rFonts w:hint="eastAsia" w:ascii="仿宋_GB2312" w:eastAsia="仿宋_GB2312" w:cs="仿宋_GB2312"/>
          <w:sz w:val="32"/>
          <w:szCs w:val="32"/>
          <w:lang w:eastAsia="zh-CN"/>
        </w:rPr>
        <w:t>单位新增两名选调生，人员经费增加</w:t>
      </w:r>
      <w:r>
        <w:rPr>
          <w:rFonts w:hint="eastAsia" w:ascii="仿宋_GB2312" w:hAnsi="Times New Roman" w:eastAsia="仿宋_GB2312" w:cs="仿宋_GB2312"/>
          <w:sz w:val="32"/>
          <w:szCs w:val="32"/>
        </w:rPr>
        <w:t>；本年支出</w:t>
      </w:r>
      <w:r>
        <w:rPr>
          <w:rFonts w:hint="eastAsia" w:ascii="仿宋_GB2312" w:eastAsia="仿宋_GB2312" w:cs="仿宋_GB2312"/>
          <w:sz w:val="32"/>
          <w:szCs w:val="32"/>
          <w:lang w:val="en-US" w:eastAsia="zh-CN"/>
        </w:rPr>
        <w:t>214.40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万元，完成年初预算的</w:t>
      </w:r>
      <w:r>
        <w:rPr>
          <w:rFonts w:hint="eastAsia" w:ascii="仿宋_GB2312" w:eastAsia="仿宋_GB2312" w:cs="仿宋_GB2312"/>
          <w:sz w:val="32"/>
          <w:szCs w:val="32"/>
          <w:lang w:val="en-US" w:eastAsia="zh-CN"/>
        </w:rPr>
        <w:t>1.11</w:t>
      </w:r>
      <w:r>
        <w:rPr>
          <w:rFonts w:ascii="仿宋_GB2312" w:hAnsi="Times New Roman" w:eastAsia="仿宋_GB2312" w:cs="仿宋_GB2312"/>
          <w:sz w:val="32"/>
          <w:szCs w:val="32"/>
        </w:rPr>
        <w:t>%,</w:t>
      </w:r>
      <w:r>
        <w:rPr>
          <w:rFonts w:hint="eastAsia" w:ascii="仿宋_GB2312" w:hAnsi="Times New Roman" w:eastAsia="仿宋_GB2312" w:cs="仿宋_GB2312"/>
          <w:sz w:val="32"/>
          <w:szCs w:val="32"/>
        </w:rPr>
        <w:t>比年初预算增加</w:t>
      </w:r>
      <w:r>
        <w:rPr>
          <w:rFonts w:hint="eastAsia" w:ascii="仿宋_GB2312" w:eastAsia="仿宋_GB2312" w:cs="仿宋_GB2312"/>
          <w:sz w:val="32"/>
          <w:szCs w:val="32"/>
          <w:lang w:val="en-US" w:eastAsia="zh-CN"/>
        </w:rPr>
        <w:t>22.36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万元，决算数大于预算数主要原因是</w:t>
      </w:r>
      <w:r>
        <w:rPr>
          <w:rFonts w:hint="eastAsia" w:ascii="仿宋_GB2312" w:eastAsia="仿宋_GB2312" w:cs="仿宋_GB2312"/>
          <w:sz w:val="32"/>
          <w:szCs w:val="32"/>
          <w:lang w:eastAsia="zh-CN"/>
        </w:rPr>
        <w:t>单位新增两名选调生，人员经费增加</w:t>
      </w:r>
      <w:r>
        <w:rPr>
          <w:rFonts w:hint="eastAsia" w:ascii="仿宋_GB2312" w:hAnsi="Times New Roman" w:eastAsia="仿宋_GB2312" w:cs="仿宋_GB2312"/>
          <w:sz w:val="32"/>
          <w:szCs w:val="32"/>
        </w:rPr>
        <w:t>。</w:t>
      </w:r>
    </w:p>
    <w:p w14:paraId="566A4CB1"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部门整体支出绩效目标、指标</w:t>
      </w:r>
    </w:p>
    <w:p w14:paraId="4D758D6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根据预算绩效管理要求，本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2"/>
          <w:szCs w:val="32"/>
        </w:rPr>
        <w:t>组织对</w:t>
      </w:r>
      <w:r>
        <w:rPr>
          <w:rFonts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年度一般公共预算项目支出全面开展绩效自评，其中，一级项目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个，共涉及资金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61.07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万元，占一般公共预算项目支出总额的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31.8</w:t>
      </w:r>
      <w:r>
        <w:rPr>
          <w:rFonts w:ascii="仿宋_GB2312" w:hAnsi="仿宋_GB2312" w:eastAsia="仿宋_GB2312" w:cs="仿宋_GB2312"/>
          <w:sz w:val="32"/>
          <w:szCs w:val="32"/>
        </w:rPr>
        <w:t>%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 w14:paraId="3F23823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</w:pPr>
      <w:r>
        <w:rPr>
          <w:rFonts w:hint="eastAsia" w:ascii="仿宋_GB2312" w:hAnsi="仿宋_GB2312" w:eastAsia="仿宋_GB2312" w:cs="仿宋_GB2312"/>
          <w:sz w:val="32"/>
          <w:szCs w:val="32"/>
        </w:rPr>
        <w:t>组织对“计划生育系列保险、亲情关爱、生育关怀、暖心家园、健康鹿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泉、</w:t>
      </w:r>
      <w:r>
        <w:rPr>
          <w:rFonts w:hint="eastAsia" w:ascii="仿宋_GB2312" w:hAnsi="仿宋_GB2312" w:eastAsia="仿宋_GB2312" w:cs="仿宋_GB2312"/>
          <w:sz w:val="32"/>
          <w:szCs w:val="32"/>
        </w:rPr>
        <w:t>计生集中宣传服务活动日、流动人口宣传教育、青春健康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”</w:t>
      </w:r>
      <w:r>
        <w:rPr>
          <w:rFonts w:hint="eastAsia" w:ascii="仿宋_GB2312" w:hAnsi="仿宋_GB2312" w:eastAsia="仿宋_GB2312" w:cs="仿宋_GB2312"/>
          <w:sz w:val="32"/>
          <w:szCs w:val="32"/>
        </w:rPr>
        <w:t>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个一级项目开展了重点评价，涉及一般公共预算支出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61.07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万元。从评价情况来看，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从评价情况来看，根据年初设定的绩效目标，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按时间节点完成各项活动，支付项目资金，项目完成良好。</w:t>
      </w:r>
    </w:p>
    <w:p w14:paraId="6236F32C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7288E6B7"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 w14:paraId="45024BE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根据</w:t>
      </w:r>
      <w:r>
        <w:rPr>
          <w:rFonts w:hint="eastAsia" w:ascii="仿宋" w:hAnsi="仿宋" w:eastAsia="仿宋"/>
          <w:sz w:val="32"/>
          <w:szCs w:val="32"/>
          <w:lang w:eastAsia="zh-CN"/>
        </w:rPr>
        <w:t>《关于全面实施预算绩效管理的实施意见》（鹿发﹝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2019</w:t>
      </w:r>
      <w:r>
        <w:rPr>
          <w:rFonts w:hint="eastAsia" w:ascii="仿宋" w:hAnsi="仿宋" w:eastAsia="仿宋"/>
          <w:sz w:val="32"/>
          <w:szCs w:val="32"/>
          <w:lang w:eastAsia="zh-CN"/>
        </w:rPr>
        <w:t>﹞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8号</w:t>
      </w:r>
      <w:r>
        <w:rPr>
          <w:rFonts w:hint="eastAsia" w:ascii="仿宋" w:hAnsi="仿宋" w:eastAsia="仿宋"/>
          <w:sz w:val="32"/>
          <w:szCs w:val="32"/>
          <w:lang w:eastAsia="zh-CN"/>
        </w:rPr>
        <w:t>）</w:t>
      </w:r>
      <w:r>
        <w:rPr>
          <w:rFonts w:hint="eastAsia" w:ascii="仿宋_GB2312" w:eastAsia="仿宋_GB2312"/>
          <w:sz w:val="32"/>
          <w:szCs w:val="32"/>
        </w:rPr>
        <w:t>文件要求，对自评工作进行研究和部署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</w:p>
    <w:p w14:paraId="45DA052B">
      <w:pPr>
        <w:numPr>
          <w:ilvl w:val="0"/>
          <w:numId w:val="2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 w14:paraId="22BD489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对照各实施项目的内容逐条逐项自评。部门整体支出绩效数据采集的主要依据有：年度预算报告、决算报表、金财系统综合业务数据、单位年终考核汇编等资料。</w:t>
      </w:r>
    </w:p>
    <w:p w14:paraId="7D79805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三、部门整体支出绩效目标实现情况及指标分析</w:t>
      </w:r>
    </w:p>
    <w:p w14:paraId="469F6F42">
      <w:pPr>
        <w:numPr>
          <w:ilvl w:val="0"/>
          <w:numId w:val="3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 w14:paraId="402C1964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鹿泉区计生协围绕省、市、区各级计生协中心工作，结合《中共中央 国务院关于优化生育政策促进人口长期均衡发展的决定》，广泛开展宣传教育活动，做好重点内容、重要时期的意识形态和宣传教育工作，使全区育龄群众都能掌握党和国家的计划生育方针政策。</w:t>
      </w:r>
    </w:p>
    <w:p w14:paraId="7E50327A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深入推进计生系列保险；开展“亲情关爱”七项帮扶措施；开展生育关怀、暖心家园活动，向日葵亲子小屋建设，健康鹿泉活动。</w:t>
      </w:r>
    </w:p>
    <w:p w14:paraId="17E917C9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/>
          <w:sz w:val="32"/>
          <w:szCs w:val="32"/>
        </w:rPr>
        <w:t>让实行计划生育的群众得到更多保障，持续为计划生育家庭建立保险保障长效机制，并做好投保和理赔各项服务工作。</w:t>
      </w:r>
      <w:r>
        <w:rPr>
          <w:rFonts w:hint="eastAsia" w:ascii="仿宋" w:hAnsi="仿宋" w:eastAsia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/>
          <w:sz w:val="32"/>
          <w:szCs w:val="32"/>
        </w:rPr>
        <w:t>按各个时间节点为失独家庭做好志愿者帮扶、心理咨询、健康体检、保洁服务、慰问服务等服务，使失独家庭日常生活有关照、患病就医有照顾、年老生活有保障，使他们老有所养、老有所乐、老有所依。</w:t>
      </w:r>
      <w:r>
        <w:rPr>
          <w:rFonts w:hint="eastAsia" w:ascii="仿宋" w:hAnsi="仿宋" w:eastAsia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/>
          <w:sz w:val="32"/>
          <w:szCs w:val="32"/>
        </w:rPr>
        <w:t>对计生贫困家庭考上重点大学的优秀女孩进行资助，对困难计生家庭和基层计生协工作者进行救助和慰问，对独生子女伤残和独生子女父母死亡给予救助，减轻计生家庭负担。</w:t>
      </w:r>
      <w:r>
        <w:rPr>
          <w:rFonts w:hint="eastAsia" w:ascii="仿宋" w:hAnsi="仿宋" w:eastAsia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/>
          <w:sz w:val="32"/>
          <w:szCs w:val="32"/>
        </w:rPr>
        <w:t>开展“健康知识进万家”活动，举办家庭健康主题推进活动等有关活动，普及文明健康绿色环保生活方式，提高家庭健康素养，服务乡村振兴。</w:t>
      </w:r>
    </w:p>
    <w:p w14:paraId="3F12C79A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军队退役人员公益岗托管安置。对单位1名退役人员按时足额发放补贴，实施公益</w:t>
      </w:r>
      <w:r>
        <w:rPr>
          <w:rFonts w:hint="eastAsia" w:ascii="仿宋" w:hAnsi="仿宋" w:eastAsia="仿宋"/>
          <w:sz w:val="32"/>
          <w:szCs w:val="32"/>
          <w:lang w:eastAsia="zh-CN"/>
        </w:rPr>
        <w:t>性</w:t>
      </w:r>
      <w:r>
        <w:rPr>
          <w:rFonts w:hint="eastAsia" w:ascii="仿宋" w:hAnsi="仿宋" w:eastAsia="仿宋"/>
          <w:sz w:val="32"/>
          <w:szCs w:val="32"/>
        </w:rPr>
        <w:t>岗位托管安置，帮扶救助到位。</w:t>
      </w:r>
    </w:p>
    <w:p w14:paraId="1DBC524D">
      <w:pPr>
        <w:spacing w:line="560" w:lineRule="exact"/>
        <w:ind w:firstLine="640" w:firstLineChars="200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承接省级计划生育服务项目，开展向日葵亲子小屋活动。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</w:p>
    <w:p w14:paraId="23C7CC2D">
      <w:pPr>
        <w:spacing w:line="560" w:lineRule="exact"/>
        <w:ind w:firstLine="640" w:firstLineChars="200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 w14:paraId="5B88E86C"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（1）开展集中宣传服务活动</w:t>
      </w:r>
    </w:p>
    <w:p w14:paraId="6A2DA377"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绩效目标：通过“5.29”中国计生协会员日、艾滋病日等举办宣传活动，发放宣传品。通过举办健康讲座、优生优育专题活动，促进青少年健康成长，满足群众优生优育需求。</w:t>
      </w:r>
    </w:p>
    <w:p w14:paraId="695C7277"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指标：指导各级计生协在元旦、春节、母亲节、5·29、12.1等重要时间节点，开展宣传服务活动按时举办率达到100%；全年发放宣传折页、宣传品等资料不小于2000份；全年开展普及人口政策、健康知识集中宣传活动、开办青春健康、优生优育、健康促进讲座数量不少于7次，参加主题讲座人数不</w:t>
      </w:r>
      <w:r>
        <w:rPr>
          <w:rFonts w:hint="eastAsia" w:ascii="仿宋" w:hAnsi="仿宋" w:eastAsia="仿宋"/>
          <w:sz w:val="32"/>
          <w:szCs w:val="32"/>
          <w:lang w:eastAsia="zh-CN"/>
        </w:rPr>
        <w:t>少</w:t>
      </w:r>
      <w:r>
        <w:rPr>
          <w:rFonts w:hint="eastAsia" w:ascii="仿宋" w:hAnsi="仿宋" w:eastAsia="仿宋"/>
          <w:sz w:val="32"/>
          <w:szCs w:val="32"/>
        </w:rPr>
        <w:t>于400人次；全年接受计划生育政策和优生优育知识服务人次不</w:t>
      </w:r>
      <w:r>
        <w:rPr>
          <w:rFonts w:hint="eastAsia" w:ascii="仿宋" w:hAnsi="仿宋" w:eastAsia="仿宋"/>
          <w:sz w:val="32"/>
          <w:szCs w:val="32"/>
          <w:lang w:eastAsia="zh-CN"/>
        </w:rPr>
        <w:t>少</w:t>
      </w:r>
      <w:r>
        <w:rPr>
          <w:rFonts w:hint="eastAsia" w:ascii="仿宋" w:hAnsi="仿宋" w:eastAsia="仿宋"/>
          <w:sz w:val="32"/>
          <w:szCs w:val="32"/>
        </w:rPr>
        <w:t>于2000人次。</w:t>
      </w:r>
    </w:p>
    <w:p w14:paraId="72D25742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（2）投保计划生育系列保险、“亲情关爱”、生育关怀、暖心家园、健康鹿泉等经费</w:t>
      </w:r>
    </w:p>
    <w:p w14:paraId="3E8386EC"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目标：为农村、城镇低保、军人计生家庭、计生特殊家庭入意外伤害保险，减少风险。为计生特殊家庭入护工保险，保障生活。开展七项帮扶，使计生特殊家庭更好融入社会。对贫困女孩圆大学梦提供帮扶。对计生工作者因病因灾贫困提供救助。开展计生协秘书长、宣传员、健康指导员等培训，提高业务素质。开展暖心家园建设，为计生特殊家庭提供活动场所。开展向日葵亲子小屋建设，为0-3岁婴幼儿家庭提供服务。</w:t>
      </w:r>
    </w:p>
    <w:p w14:paraId="5A3F5FC6"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指标：让实行计划生育的群众得到更多保障，持续为计划生育家庭建立保险保障长效机制，并做好投保和理赔各项服务工作。失独家庭意外保险投保金额200元/人；失独和伤残家庭住院护工补贴保险200元/人；农村、城镇低保独生子女家庭意外伤害保险25元/人，所有符合条件对象的投保率达到100%；实际出险人员的赔付率达到100%。</w:t>
      </w:r>
    </w:p>
    <w:p w14:paraId="46110EEA"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对计生协特殊家庭开展慰问及暖心行动，计生特殊家庭人均救助标准每人每年约3000元，享受七项帮扶措施政策的覆盖率达到100%。对计生贫困家庭考上重点大学的优秀女孩进行资助，对困难计生家庭和基层计生协工作者进行救助和慰问，考上重点大学的计生贫困女孩救助金标准是2000元/人；其他困难计生家庭和困难基层计生协工作者的补助标准1500元/人次。对计生协秘书长、宣传员、健康指导员培训次数不少于三次，提高服务水平。</w:t>
      </w:r>
    </w:p>
    <w:p w14:paraId="7F7C7440"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（3）军队退役人员公益岗托管安置</w:t>
      </w:r>
    </w:p>
    <w:p w14:paraId="60B85010"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绩效目标：对单位1名退役人员按时足额发放补贴，实施</w:t>
      </w:r>
      <w:r>
        <w:rPr>
          <w:rFonts w:hint="eastAsia" w:ascii="仿宋" w:hAnsi="仿宋" w:eastAsia="仿宋"/>
          <w:sz w:val="32"/>
          <w:szCs w:val="32"/>
          <w:lang w:eastAsia="zh-CN"/>
        </w:rPr>
        <w:t>公益性岗位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</w:rPr>
        <w:t>托管安置，帮扶救助到位。</w:t>
      </w:r>
    </w:p>
    <w:p w14:paraId="53F68E4B"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绩效指标：工资发放标准2410元/月，取暖费1900元/年。</w:t>
      </w:r>
    </w:p>
    <w:p w14:paraId="0A5E6746"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（4）2023年省级计划生育服务补助项目</w:t>
      </w:r>
    </w:p>
    <w:p w14:paraId="5AA3F3DF"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绩效目标：建立向日葵亲子小屋，为0-3岁婴幼儿家庭提供服务。</w:t>
      </w:r>
    </w:p>
    <w:p w14:paraId="06689F60">
      <w:pPr>
        <w:spacing w:line="560" w:lineRule="exact"/>
        <w:ind w:firstLine="800" w:firstLineChars="25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绩效指标：按照项目文本时间节点实施，建设项目点并在项目点开展各类活动。</w:t>
      </w:r>
    </w:p>
    <w:p w14:paraId="4A9D38E5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tbl>
      <w:tblPr>
        <w:tblStyle w:val="7"/>
        <w:tblW w:w="8433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3"/>
        <w:gridCol w:w="5515"/>
        <w:gridCol w:w="1000"/>
        <w:gridCol w:w="1155"/>
      </w:tblGrid>
      <w:tr w14:paraId="44DC09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8" w:hRule="atLeast"/>
          <w:jc w:val="center"/>
        </w:trPr>
        <w:tc>
          <w:tcPr>
            <w:tcW w:w="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DC01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after="0" w:line="578" w:lineRule="exact"/>
              <w:ind w:right="-105" w:rightChars="-50"/>
              <w:jc w:val="both"/>
              <w:textAlignment w:val="auto"/>
              <w:outlineLvl w:val="9"/>
              <w:rPr>
                <w:rFonts w:hint="eastAsia" w:ascii="黑体" w:hAnsi="黑体" w:eastAsia="黑体" w:cs="黑体"/>
                <w:b w:val="0"/>
                <w:bCs w:val="0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kern w:val="0"/>
                <w:sz w:val="22"/>
                <w:szCs w:val="22"/>
              </w:rPr>
              <w:t>序号</w:t>
            </w:r>
          </w:p>
        </w:tc>
        <w:tc>
          <w:tcPr>
            <w:tcW w:w="551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BB7CA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after="0" w:line="578" w:lineRule="exact"/>
              <w:ind w:left="-105" w:leftChars="-50" w:right="-105" w:rightChars="-50" w:firstLine="440" w:firstLineChars="20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b w:val="0"/>
                <w:bCs w:val="0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kern w:val="0"/>
                <w:sz w:val="22"/>
                <w:szCs w:val="22"/>
              </w:rPr>
              <w:t>项目名称</w:t>
            </w:r>
          </w:p>
        </w:tc>
        <w:tc>
          <w:tcPr>
            <w:tcW w:w="10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FE5CC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after="0" w:line="578" w:lineRule="exact"/>
              <w:ind w:right="-105" w:rightChars="-50"/>
              <w:jc w:val="both"/>
              <w:textAlignment w:val="auto"/>
              <w:outlineLvl w:val="9"/>
              <w:rPr>
                <w:rFonts w:hint="eastAsia" w:ascii="黑体" w:hAnsi="黑体" w:eastAsia="黑体" w:cs="黑体"/>
                <w:b w:val="0"/>
                <w:bCs w:val="0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kern w:val="0"/>
                <w:sz w:val="22"/>
                <w:szCs w:val="22"/>
              </w:rPr>
              <w:t>自评得分</w:t>
            </w:r>
          </w:p>
        </w:tc>
        <w:tc>
          <w:tcPr>
            <w:tcW w:w="11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8DFC7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after="0" w:line="578" w:lineRule="exact"/>
              <w:ind w:right="-105" w:rightChars="-50"/>
              <w:jc w:val="both"/>
              <w:textAlignment w:val="auto"/>
              <w:outlineLvl w:val="9"/>
              <w:rPr>
                <w:rFonts w:hint="eastAsia" w:ascii="黑体" w:hAnsi="黑体" w:eastAsia="黑体" w:cs="黑体"/>
                <w:b w:val="0"/>
                <w:bCs w:val="0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kern w:val="0"/>
                <w:sz w:val="22"/>
                <w:szCs w:val="22"/>
              </w:rPr>
              <w:t>评价等级</w:t>
            </w:r>
          </w:p>
        </w:tc>
      </w:tr>
      <w:tr w14:paraId="79ED6A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7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4707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-105" w:leftChars="-50" w:right="-105" w:rightChars="-50" w:firstLine="440" w:firstLineChars="200"/>
              <w:jc w:val="center"/>
              <w:textAlignment w:val="auto"/>
              <w:outlineLvl w:val="9"/>
              <w:rPr>
                <w:rFonts w:ascii="仿宋_GB2312" w:hAnsi="宋体" w:eastAsia="仿宋_GB2312" w:cs="宋体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  <w:szCs w:val="22"/>
              </w:rPr>
              <w:t>1</w:t>
            </w:r>
          </w:p>
        </w:tc>
        <w:tc>
          <w:tcPr>
            <w:tcW w:w="55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32453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-105" w:leftChars="-50" w:right="-105" w:rightChars="-50" w:firstLine="420" w:firstLineChars="200"/>
              <w:jc w:val="both"/>
              <w:textAlignment w:val="auto"/>
              <w:outlineLvl w:val="9"/>
              <w:rPr>
                <w:rFonts w:ascii="仿宋_GB2312" w:hAnsi="宋体" w:eastAsia="仿宋_GB2312" w:cs="宋体"/>
                <w:kern w:val="0"/>
                <w:sz w:val="22"/>
                <w:szCs w:val="22"/>
              </w:rPr>
            </w:pPr>
            <w:r>
              <w:rPr>
                <w:rFonts w:hint="eastAsia" w:ascii="方正书宋_GBK" w:eastAsia="方正书宋_GBK"/>
              </w:rPr>
              <w:t>计生宣传服务、流动人员宣传教育、青春健康活动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C361A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right="-105" w:rightChars="-5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2"/>
                <w:szCs w:val="22"/>
                <w:lang w:val="en-US" w:eastAsia="zh-CN"/>
              </w:rPr>
              <w:t>100分</w:t>
            </w:r>
          </w:p>
        </w:tc>
        <w:tc>
          <w:tcPr>
            <w:tcW w:w="11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CCE1C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-105" w:leftChars="-50" w:right="-105" w:rightChars="-50" w:firstLine="440" w:firstLineChars="20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2"/>
                <w:szCs w:val="22"/>
              </w:rPr>
              <w:t>优</w:t>
            </w:r>
          </w:p>
        </w:tc>
      </w:tr>
      <w:tr w14:paraId="72AAC0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CF81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-105" w:leftChars="-50" w:right="-105" w:rightChars="-50" w:firstLine="440" w:firstLineChars="200"/>
              <w:jc w:val="center"/>
              <w:textAlignment w:val="auto"/>
              <w:outlineLvl w:val="9"/>
              <w:rPr>
                <w:rFonts w:ascii="仿宋_GB2312" w:hAnsi="宋体" w:eastAsia="仿宋_GB2312" w:cs="宋体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  <w:szCs w:val="22"/>
              </w:rPr>
              <w:t>2</w:t>
            </w:r>
          </w:p>
        </w:tc>
        <w:tc>
          <w:tcPr>
            <w:tcW w:w="55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02A93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-105" w:leftChars="-50" w:right="-105" w:rightChars="-50" w:firstLine="420" w:firstLineChars="200"/>
              <w:jc w:val="both"/>
              <w:textAlignment w:val="auto"/>
              <w:outlineLvl w:val="9"/>
              <w:rPr>
                <w:rFonts w:hint="eastAsia" w:ascii="仿宋_GB2312" w:hAnsi="宋体" w:eastAsia="仿宋_GB2312" w:cs="宋体"/>
                <w:kern w:val="0"/>
                <w:sz w:val="22"/>
                <w:szCs w:val="22"/>
              </w:rPr>
            </w:pPr>
            <w:r>
              <w:rPr>
                <w:rFonts w:hint="eastAsia" w:ascii="方正书宋_GBK" w:eastAsia="方正书宋_GBK"/>
              </w:rPr>
              <w:t>计生系列保险、亲情关爱、生育关怀、暖心家园、健康鹿泉等经费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CB9C7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right="-105" w:rightChars="-5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2"/>
                <w:szCs w:val="22"/>
                <w:lang w:val="en-US" w:eastAsia="zh-CN"/>
              </w:rPr>
              <w:t>98分</w:t>
            </w:r>
          </w:p>
        </w:tc>
        <w:tc>
          <w:tcPr>
            <w:tcW w:w="11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AE61A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-105" w:leftChars="-50" w:right="-105" w:rightChars="-50" w:firstLine="440" w:firstLineChars="20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2"/>
                <w:szCs w:val="22"/>
              </w:rPr>
              <w:t>优</w:t>
            </w:r>
          </w:p>
        </w:tc>
      </w:tr>
      <w:tr w14:paraId="33C258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B01E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-105" w:leftChars="-50" w:right="-105" w:rightChars="-50" w:firstLine="440" w:firstLineChars="200"/>
              <w:jc w:val="center"/>
              <w:textAlignment w:val="auto"/>
              <w:outlineLvl w:val="9"/>
              <w:rPr>
                <w:rFonts w:ascii="仿宋_GB2312" w:hAnsi="宋体" w:eastAsia="仿宋_GB2312" w:cs="宋体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  <w:szCs w:val="22"/>
              </w:rPr>
              <w:t>3</w:t>
            </w:r>
          </w:p>
        </w:tc>
        <w:tc>
          <w:tcPr>
            <w:tcW w:w="55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1FDC4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-105" w:leftChars="-50" w:right="-105" w:rightChars="-50" w:firstLine="420" w:firstLineChars="200"/>
              <w:jc w:val="both"/>
              <w:textAlignment w:val="auto"/>
              <w:outlineLvl w:val="9"/>
              <w:rPr>
                <w:rFonts w:hint="eastAsia" w:ascii="仿宋_GB2312" w:hAnsi="宋体" w:eastAsia="仿宋_GB2312" w:cs="宋体"/>
                <w:kern w:val="0"/>
                <w:sz w:val="22"/>
                <w:szCs w:val="22"/>
              </w:rPr>
            </w:pPr>
            <w:r>
              <w:rPr>
                <w:rFonts w:hint="eastAsia" w:ascii="方正书宋_GBK" w:eastAsia="方正书宋_GBK"/>
              </w:rPr>
              <w:t>军人劳务派遣人员工资保险等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C6895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right="-105" w:rightChars="-5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2"/>
                <w:szCs w:val="22"/>
                <w:lang w:val="en-US" w:eastAsia="zh-CN"/>
              </w:rPr>
              <w:t>100分</w:t>
            </w:r>
          </w:p>
        </w:tc>
        <w:tc>
          <w:tcPr>
            <w:tcW w:w="11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88801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-105" w:leftChars="-50" w:right="-105" w:rightChars="-50" w:firstLine="440" w:firstLineChars="20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2"/>
                <w:szCs w:val="22"/>
              </w:rPr>
              <w:t>优</w:t>
            </w:r>
          </w:p>
        </w:tc>
      </w:tr>
      <w:tr w14:paraId="095936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4CDB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-105" w:leftChars="-50" w:right="-105" w:rightChars="-50" w:firstLine="440" w:firstLineChars="200"/>
              <w:jc w:val="center"/>
              <w:textAlignment w:val="auto"/>
              <w:outlineLvl w:val="9"/>
              <w:rPr>
                <w:rFonts w:ascii="仿宋_GB2312" w:hAnsi="宋体" w:eastAsia="仿宋_GB2312" w:cs="宋体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4</w:t>
            </w:r>
          </w:p>
        </w:tc>
        <w:tc>
          <w:tcPr>
            <w:tcW w:w="55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09044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-105" w:leftChars="-50" w:right="-105" w:rightChars="-50" w:firstLine="420" w:firstLineChars="200"/>
              <w:jc w:val="both"/>
              <w:textAlignment w:val="auto"/>
              <w:outlineLvl w:val="9"/>
              <w:rPr>
                <w:rFonts w:ascii="仿宋_GB2312" w:hAnsi="宋体" w:eastAsia="仿宋_GB2312" w:cs="宋体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方正书宋_GBK" w:eastAsia="方正书宋_GBK"/>
                <w:lang w:val="en-US" w:eastAsia="zh-CN"/>
              </w:rPr>
              <w:t>向日葵亲子小屋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B47604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right="-105" w:rightChars="-5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val="en-US" w:eastAsia="zh-CN"/>
              </w:rPr>
              <w:t>100分</w:t>
            </w:r>
          </w:p>
        </w:tc>
        <w:tc>
          <w:tcPr>
            <w:tcW w:w="11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DDE91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-105" w:leftChars="-50" w:right="-105" w:rightChars="-50" w:firstLine="440" w:firstLineChars="20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eastAsia="zh-CN"/>
              </w:rPr>
              <w:t>优</w:t>
            </w:r>
          </w:p>
        </w:tc>
      </w:tr>
    </w:tbl>
    <w:p w14:paraId="5B27B9E5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26DE8123"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 w14:paraId="7551D4AD">
      <w:pPr>
        <w:pStyle w:val="2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1. 需不断提高绩效指标。</w:t>
      </w:r>
    </w:p>
    <w:p w14:paraId="094467B2">
      <w:pPr>
        <w:pStyle w:val="2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2.不断完善固定资产工作，及时自查。</w:t>
      </w:r>
    </w:p>
    <w:p w14:paraId="5D491C20">
      <w:pPr>
        <w:numPr>
          <w:ilvl w:val="0"/>
          <w:numId w:val="3"/>
        </w:numPr>
        <w:spacing w:line="560" w:lineRule="exact"/>
        <w:ind w:left="0" w:leftChars="0"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针对问题提出具体的改进措施或建议</w:t>
      </w:r>
    </w:p>
    <w:p w14:paraId="44FB405F">
      <w:pPr>
        <w:pStyle w:val="9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1.</w:t>
      </w:r>
      <w:r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  <w:t>充分利用“5·29会员活动日”“7·11世界人口日”等节点，要以宣传新时代人口计生工作方针、新型生育文化、健康文明生活理念、生殖健康与优生优育科普知识为重点，创新和改进计生协宣传方式加强宣传教育，开展文艺演出、运动健身、知识讲座、广场宣传等群众喜闻乐见的宣传服务活动，增强计生协组织的活力。打造线上线下有机融合的宣传工作新格局。</w:t>
      </w:r>
    </w:p>
    <w:p w14:paraId="41F29226">
      <w:pPr>
        <w:pStyle w:val="9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2.加强业务培训，提升固定资产信息化管理水平。定期组织人员业务培训，实现资产管理业务的规范化、流程化、网络化。</w:t>
      </w:r>
    </w:p>
    <w:p w14:paraId="64F972F3">
      <w:pPr>
        <w:adjustRightInd w:val="0"/>
        <w:snapToGrid w:val="0"/>
        <w:spacing w:line="560" w:lineRule="exact"/>
        <w:ind w:firstLine="640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p w14:paraId="38A7526D">
      <w:pPr>
        <w:pStyle w:val="9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计生协党组书记、常务副会长     郄彩飞</w:t>
      </w:r>
    </w:p>
    <w:p w14:paraId="42FE93A7">
      <w:pPr>
        <w:pStyle w:val="9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计生协党组成员、副会长兼秘书长 王艳红</w:t>
      </w:r>
    </w:p>
    <w:p w14:paraId="77761003">
      <w:pPr>
        <w:pStyle w:val="2"/>
      </w:pPr>
    </w:p>
    <w:p w14:paraId="75F453BB"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书宋_GBK">
    <w:altName w:val="微软雅黑"/>
    <w:panose1 w:val="02000000000000000000"/>
    <w:charset w:val="86"/>
    <w:family w:val="roman"/>
    <w:pitch w:val="default"/>
    <w:sig w:usb0="00000000" w:usb1="00000000" w:usb2="00082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E222B71">
    <w:pPr>
      <w:pStyle w:val="6"/>
    </w:pPr>
    <w: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 w14:paraId="4C02E7B4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4E44CBA"/>
    <w:multiLevelType w:val="singleLevel"/>
    <w:tmpl w:val="94E44CBA"/>
    <w:lvl w:ilvl="0" w:tentative="0">
      <w:start w:val="3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2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zcxZTJhYzhmYzAyMTg3YzZkZTQyM2I0MGQxYjFkYTgifQ=="/>
  </w:docVars>
  <w:rsids>
    <w:rsidRoot w:val="0EBD2122"/>
    <w:rsid w:val="000B0260"/>
    <w:rsid w:val="007E6C1F"/>
    <w:rsid w:val="00956A93"/>
    <w:rsid w:val="009E575C"/>
    <w:rsid w:val="00AF167E"/>
    <w:rsid w:val="00AF566A"/>
    <w:rsid w:val="00B478EA"/>
    <w:rsid w:val="00B6553A"/>
    <w:rsid w:val="00BC6576"/>
    <w:rsid w:val="00CE06BA"/>
    <w:rsid w:val="00F441CC"/>
    <w:rsid w:val="01372B0F"/>
    <w:rsid w:val="01B104CA"/>
    <w:rsid w:val="02106AB0"/>
    <w:rsid w:val="02B43A28"/>
    <w:rsid w:val="046F331E"/>
    <w:rsid w:val="07177C01"/>
    <w:rsid w:val="072639A0"/>
    <w:rsid w:val="07956271"/>
    <w:rsid w:val="09721397"/>
    <w:rsid w:val="09F77876"/>
    <w:rsid w:val="0BB63BED"/>
    <w:rsid w:val="0C3B2DC7"/>
    <w:rsid w:val="0EB97A43"/>
    <w:rsid w:val="0EBD2122"/>
    <w:rsid w:val="0F214EAE"/>
    <w:rsid w:val="103E7FAD"/>
    <w:rsid w:val="10C77FA2"/>
    <w:rsid w:val="11665A0D"/>
    <w:rsid w:val="11B71E6A"/>
    <w:rsid w:val="13897726"/>
    <w:rsid w:val="16414353"/>
    <w:rsid w:val="16D451C7"/>
    <w:rsid w:val="17B1375A"/>
    <w:rsid w:val="18B5258E"/>
    <w:rsid w:val="1AAF0063"/>
    <w:rsid w:val="1BE140DE"/>
    <w:rsid w:val="1CCE26B8"/>
    <w:rsid w:val="1CF540E9"/>
    <w:rsid w:val="1F3C7073"/>
    <w:rsid w:val="1F720C23"/>
    <w:rsid w:val="222D60D3"/>
    <w:rsid w:val="244D480A"/>
    <w:rsid w:val="248C197D"/>
    <w:rsid w:val="252959AF"/>
    <w:rsid w:val="26176E7E"/>
    <w:rsid w:val="262B2FB1"/>
    <w:rsid w:val="266A46F8"/>
    <w:rsid w:val="277A6671"/>
    <w:rsid w:val="292D35B7"/>
    <w:rsid w:val="296543A4"/>
    <w:rsid w:val="2B0A07EC"/>
    <w:rsid w:val="2C7768C8"/>
    <w:rsid w:val="2D12214D"/>
    <w:rsid w:val="2E316861"/>
    <w:rsid w:val="2EE10029"/>
    <w:rsid w:val="309317F7"/>
    <w:rsid w:val="31864EB8"/>
    <w:rsid w:val="32817910"/>
    <w:rsid w:val="33EB6CFF"/>
    <w:rsid w:val="35A12947"/>
    <w:rsid w:val="37387040"/>
    <w:rsid w:val="3B2C2AF2"/>
    <w:rsid w:val="3B625C0A"/>
    <w:rsid w:val="3CEE1963"/>
    <w:rsid w:val="3D840E45"/>
    <w:rsid w:val="412F10C8"/>
    <w:rsid w:val="415154E1"/>
    <w:rsid w:val="421D3616"/>
    <w:rsid w:val="42D16F82"/>
    <w:rsid w:val="436B78D3"/>
    <w:rsid w:val="46875502"/>
    <w:rsid w:val="473E02B7"/>
    <w:rsid w:val="48B45861"/>
    <w:rsid w:val="4BBC17AA"/>
    <w:rsid w:val="4C9C27FE"/>
    <w:rsid w:val="4F5D74B7"/>
    <w:rsid w:val="4FE84E6B"/>
    <w:rsid w:val="505E1082"/>
    <w:rsid w:val="50A218B6"/>
    <w:rsid w:val="512260B4"/>
    <w:rsid w:val="52BD6ACB"/>
    <w:rsid w:val="536A2433"/>
    <w:rsid w:val="5544316E"/>
    <w:rsid w:val="55537534"/>
    <w:rsid w:val="55FC3817"/>
    <w:rsid w:val="561A74F1"/>
    <w:rsid w:val="597244E8"/>
    <w:rsid w:val="5CA711F8"/>
    <w:rsid w:val="5DF94AE0"/>
    <w:rsid w:val="5EB71C30"/>
    <w:rsid w:val="5F9C3975"/>
    <w:rsid w:val="60A52CFD"/>
    <w:rsid w:val="65566374"/>
    <w:rsid w:val="66AF0CE5"/>
    <w:rsid w:val="66C57C55"/>
    <w:rsid w:val="670A1B0C"/>
    <w:rsid w:val="685D6327"/>
    <w:rsid w:val="69BE3C6A"/>
    <w:rsid w:val="6AC537CF"/>
    <w:rsid w:val="6CF04489"/>
    <w:rsid w:val="6E5B14A6"/>
    <w:rsid w:val="6F4A6F49"/>
    <w:rsid w:val="6F5C0A2B"/>
    <w:rsid w:val="6FA523D2"/>
    <w:rsid w:val="70E3691C"/>
    <w:rsid w:val="711B255E"/>
    <w:rsid w:val="721E646B"/>
    <w:rsid w:val="73B9469D"/>
    <w:rsid w:val="7444669D"/>
    <w:rsid w:val="75CB4D39"/>
    <w:rsid w:val="775A7F45"/>
    <w:rsid w:val="7A301431"/>
    <w:rsid w:val="7A304F8E"/>
    <w:rsid w:val="7AED10D1"/>
    <w:rsid w:val="7B7470FC"/>
    <w:rsid w:val="7BB51E06"/>
    <w:rsid w:val="7BC9569A"/>
    <w:rsid w:val="7C387F7C"/>
    <w:rsid w:val="7D80447E"/>
    <w:rsid w:val="7DC46119"/>
    <w:rsid w:val="7E9F26E2"/>
    <w:rsid w:val="7F3A4BE0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Normal Indent1"/>
    <w:basedOn w:val="1"/>
    <w:qFormat/>
    <w:uiPriority w:val="99"/>
    <w:pPr>
      <w:ind w:firstLine="420" w:firstLineChars="200"/>
    </w:pPr>
  </w:style>
  <w:style w:type="paragraph" w:styleId="3">
    <w:name w:val="Body Text"/>
    <w:basedOn w:val="1"/>
    <w:next w:val="4"/>
    <w:qFormat/>
    <w:uiPriority w:val="0"/>
    <w:rPr>
      <w:rFonts w:ascii="Times New Roman" w:hAnsi="Times New Roman" w:eastAsia="宋体" w:cs="Times New Roman"/>
      <w:sz w:val="21"/>
    </w:rPr>
  </w:style>
  <w:style w:type="paragraph" w:styleId="4">
    <w:name w:val="header"/>
    <w:basedOn w:val="1"/>
    <w:next w:val="5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5">
    <w:name w:val="引用1"/>
    <w:next w:val="1"/>
    <w:qFormat/>
    <w:uiPriority w:val="99"/>
    <w:pPr>
      <w:widowControl w:val="0"/>
      <w:ind w:left="864" w:right="864"/>
      <w:jc w:val="center"/>
    </w:pPr>
    <w:rPr>
      <w:rFonts w:ascii="Calibri" w:hAnsi="Calibri" w:eastAsia="宋体" w:cs="宋体"/>
      <w:i/>
      <w:iCs/>
      <w:color w:val="000000"/>
      <w:kern w:val="2"/>
      <w:sz w:val="21"/>
      <w:szCs w:val="24"/>
      <w:lang w:val="en-US" w:eastAsia="zh-CN" w:bidi="ar-SA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customStyle="1" w:styleId="9">
    <w:name w:val="无间隔1"/>
    <w:basedOn w:val="1"/>
    <w:qFormat/>
    <w:uiPriority w:val="0"/>
    <w:rPr>
      <w:rFonts w:ascii="宋体" w:hAnsi="宋体" w:eastAsia="仿宋_GB2312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3090</Words>
  <Characters>3224</Characters>
  <Lines>4</Lines>
  <Paragraphs>1</Paragraphs>
  <TotalTime>339</TotalTime>
  <ScaleCrop>false</ScaleCrop>
  <LinksUpToDate>false</LinksUpToDate>
  <CharactersWithSpaces>3245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Administrator</cp:lastModifiedBy>
  <cp:lastPrinted>2024-03-06T07:40:00Z</cp:lastPrinted>
  <dcterms:modified xsi:type="dcterms:W3CDTF">2025-04-28T09:59:36Z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96934721B1514D3FBAA28020338CE855_12</vt:lpwstr>
  </property>
  <property fmtid="{D5CDD505-2E9C-101B-9397-08002B2CF9AE}" pid="4" name="KSOTemplateDocerSaveRecord">
    <vt:lpwstr>eyJoZGlkIjoiYzcxZTJhYzhmYzAyMTg3YzZkZTQyM2I0MGQxYjFkYTgifQ==</vt:lpwstr>
  </property>
</Properties>
</file>