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石家庄市鹿泉区司法局部门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2023年度整体支出绩效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 w:cs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一、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概况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石家庄市鹿泉区司法局属于石家庄市鹿泉区人民政府职能部门，主要职能：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（一）承担全面依法治区重大问题的政策研究。组织协调有关方面提出全面依法治区中长期规划建议，负责有关重大决策部署督查工作。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负责区政府各部门、各乡（镇、区）政府规范性文件的备案审查工作。负责对区政府政策措施、规范性文件和合同协议的合法性审核工作；承办区政府交办的涉法事务；承办区政府规范性文件上报市政府和区人大常委会备案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承担统筹推进鹿泉法治政府建设的责任。指导、监督区政府各部门、各乡（镇、区）政府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承担统筹规划全区法治社会建设的责任。负责拟订全区法治宣传教育规划，组织实施普法宣传工作；负责全区依法治理和法治创建工作，推动全区人民参与和促进法治建设，指导全区人民调解、行政调解工作，负责全区人民陪审员、人民监督员选任管理工作；负责全区司法所建设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（五）负责全区社区矫正工作，负责刑满释放人员帮教安置工作。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（六）负责拟订公共法律服务体系建设规划并组织实施，统筹和布局全区法律服务资源；负责全区律师、公证、法律援助、司法鉴定和基层法律服务管理工作。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（七）规划、协调、指导全区法治人才队伍建设相关工作；负责本系统队伍建设。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（八）完成区委、区政府交办的其他任务。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组织机构及人员：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行政机关1个（石家庄市鹿泉区司法局）事业单位（非参公）1个（鹿泉区法律援助中心）。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鹿泉区司法局：编制人数总计42人，均为政法编制42人，事业单位编制（非参公）编制11人（法律援助中心），2023年末在职实有人员51人，（政法编40人，事业编制11人）其中政法编离退休人员21人，其中退休20人，离休1人；遗属人员2人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3.资产情况： </w:t>
      </w:r>
      <w:r>
        <w:rPr>
          <w:rFonts w:hint="eastAsia" w:ascii="仿宋" w:hAnsi="仿宋" w:eastAsia="仿宋" w:cs="仿宋"/>
          <w:b w:val="0"/>
          <w:color w:val="000000"/>
          <w:sz w:val="32"/>
          <w:szCs w:val="32"/>
        </w:rPr>
        <w:t>石家庄市鹿泉区司法局本级上年末固定资产金额为379.23万元。本年度拟购置固定资产总额为0.00万元，已按要求列入政府采购预算。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部门收支预决算情况</w:t>
      </w:r>
    </w:p>
    <w:p>
      <w:pPr>
        <w:spacing w:line="496" w:lineRule="exact"/>
        <w:ind w:left="100" w:right="86" w:firstLine="641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eastAsia="zh-CN"/>
        </w:rPr>
        <w:t>2023</w:t>
      </w:r>
      <w:r>
        <w:rPr>
          <w:rFonts w:ascii="仿宋" w:hAnsi="仿宋" w:eastAsia="仿宋"/>
          <w:sz w:val="32"/>
        </w:rPr>
        <w:t xml:space="preserve"> 年度</w:t>
      </w:r>
      <w:r>
        <w:rPr>
          <w:rFonts w:hint="eastAsia" w:ascii="仿宋" w:hAnsi="仿宋" w:eastAsia="仿宋"/>
          <w:sz w:val="32"/>
          <w:lang w:eastAsia="zh-CN"/>
        </w:rPr>
        <w:t>预算</w:t>
      </w:r>
      <w:r>
        <w:rPr>
          <w:rFonts w:ascii="仿宋" w:hAnsi="仿宋" w:eastAsia="仿宋"/>
          <w:sz w:val="32"/>
        </w:rPr>
        <w:t>收入合计</w:t>
      </w:r>
      <w:r>
        <w:rPr>
          <w:rFonts w:hint="eastAsia" w:ascii="仿宋" w:hAnsi="仿宋" w:eastAsia="仿宋"/>
          <w:sz w:val="32"/>
          <w:lang w:val="en-US" w:eastAsia="zh-CN"/>
        </w:rPr>
        <w:t>2086.34</w:t>
      </w:r>
      <w:r>
        <w:rPr>
          <w:rFonts w:ascii="仿宋" w:hAnsi="仿宋" w:eastAsia="仿宋"/>
          <w:sz w:val="32"/>
        </w:rPr>
        <w:t>万元，其中：财政拨款收入</w:t>
      </w:r>
      <w:r>
        <w:rPr>
          <w:rFonts w:hint="eastAsia" w:ascii="仿宋" w:hAnsi="仿宋" w:eastAsia="仿宋"/>
          <w:sz w:val="32"/>
          <w:lang w:val="en-US" w:eastAsia="zh-CN"/>
        </w:rPr>
        <w:t>1959.58</w:t>
      </w:r>
      <w:r>
        <w:rPr>
          <w:rFonts w:ascii="仿宋" w:hAnsi="仿宋" w:eastAsia="仿宋"/>
          <w:sz w:val="32"/>
        </w:rPr>
        <w:t>万元，占 100%；事业收入 0 万元，占 0%；经营收入 0 万元，占 0%；其他收入</w:t>
      </w:r>
      <w:r>
        <w:rPr>
          <w:rFonts w:hint="eastAsia" w:ascii="仿宋" w:hAnsi="仿宋" w:eastAsia="仿宋"/>
          <w:sz w:val="32"/>
          <w:lang w:val="en-US" w:eastAsia="zh-CN"/>
        </w:rPr>
        <w:t>0</w:t>
      </w:r>
      <w:r>
        <w:rPr>
          <w:rFonts w:ascii="仿宋" w:hAnsi="仿宋" w:eastAsia="仿宋"/>
          <w:sz w:val="32"/>
        </w:rPr>
        <w:t>万元，占 0%。</w:t>
      </w:r>
    </w:p>
    <w:p>
      <w:pPr>
        <w:spacing w:line="495" w:lineRule="exact"/>
        <w:ind w:left="100" w:right="86" w:firstLine="641"/>
        <w:jc w:val="both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eastAsia="zh-CN"/>
        </w:rPr>
        <w:t>2023</w:t>
      </w:r>
      <w:r>
        <w:rPr>
          <w:rFonts w:ascii="仿宋" w:hAnsi="仿宋" w:eastAsia="仿宋"/>
          <w:sz w:val="32"/>
        </w:rPr>
        <w:t xml:space="preserve"> 年度</w:t>
      </w:r>
      <w:r>
        <w:rPr>
          <w:rFonts w:hint="eastAsia" w:ascii="仿宋" w:hAnsi="仿宋" w:eastAsia="仿宋"/>
          <w:sz w:val="32"/>
          <w:lang w:eastAsia="zh-CN"/>
        </w:rPr>
        <w:t>决算</w:t>
      </w:r>
      <w:r>
        <w:rPr>
          <w:rFonts w:ascii="仿宋" w:hAnsi="仿宋" w:eastAsia="仿宋"/>
          <w:sz w:val="32"/>
        </w:rPr>
        <w:t>支出合计 1</w:t>
      </w:r>
      <w:r>
        <w:rPr>
          <w:rFonts w:hint="eastAsia" w:ascii="仿宋" w:hAnsi="仿宋" w:eastAsia="仿宋"/>
          <w:sz w:val="32"/>
          <w:lang w:val="en-US" w:eastAsia="zh-CN"/>
        </w:rPr>
        <w:t>898.03</w:t>
      </w:r>
      <w:r>
        <w:rPr>
          <w:rFonts w:ascii="仿宋" w:hAnsi="仿宋" w:eastAsia="仿宋"/>
          <w:sz w:val="32"/>
        </w:rPr>
        <w:t xml:space="preserve">万元，其中：基本支出 </w:t>
      </w:r>
      <w:r>
        <w:rPr>
          <w:rFonts w:hint="eastAsia" w:ascii="仿宋" w:hAnsi="仿宋" w:eastAsia="仿宋"/>
          <w:sz w:val="32"/>
          <w:lang w:val="en-US" w:eastAsia="zh-CN"/>
        </w:rPr>
        <w:t>1364.39</w:t>
      </w:r>
      <w:r>
        <w:rPr>
          <w:rFonts w:ascii="仿宋" w:hAnsi="仿宋" w:eastAsia="仿宋"/>
          <w:sz w:val="32"/>
        </w:rPr>
        <w:t>万元，占 7</w:t>
      </w:r>
      <w:r>
        <w:rPr>
          <w:rFonts w:hint="eastAsia" w:ascii="仿宋" w:hAnsi="仿宋" w:eastAsia="仿宋"/>
          <w:sz w:val="32"/>
          <w:lang w:val="en-US" w:eastAsia="zh-CN"/>
        </w:rPr>
        <w:t>1.88</w:t>
      </w:r>
      <w:r>
        <w:rPr>
          <w:rFonts w:ascii="仿宋" w:hAnsi="仿宋" w:eastAsia="仿宋"/>
          <w:sz w:val="32"/>
        </w:rPr>
        <w:t xml:space="preserve">%；项目支出 </w:t>
      </w:r>
      <w:r>
        <w:rPr>
          <w:rFonts w:hint="eastAsia" w:ascii="仿宋" w:hAnsi="仿宋" w:eastAsia="仿宋"/>
          <w:sz w:val="32"/>
          <w:lang w:val="en-US" w:eastAsia="zh-CN"/>
        </w:rPr>
        <w:t>533.64</w:t>
      </w:r>
      <w:r>
        <w:rPr>
          <w:rFonts w:ascii="仿宋" w:hAnsi="仿宋" w:eastAsia="仿宋"/>
          <w:sz w:val="32"/>
        </w:rPr>
        <w:t>万元，占 2</w:t>
      </w:r>
      <w:r>
        <w:rPr>
          <w:rFonts w:hint="eastAsia" w:ascii="仿宋" w:hAnsi="仿宋" w:eastAsia="仿宋"/>
          <w:sz w:val="32"/>
          <w:lang w:val="en-US" w:eastAsia="zh-CN"/>
        </w:rPr>
        <w:t>8.12</w:t>
      </w:r>
      <w:r>
        <w:rPr>
          <w:rFonts w:ascii="仿宋" w:hAnsi="仿宋" w:eastAsia="仿宋"/>
          <w:sz w:val="32"/>
        </w:rPr>
        <w:t>%；经营支出 0 万元，占 0%。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pStyle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承担全面依法治区重大问题的政策研究。组织协调有关方面提出全面依法治区中长期规划建议，负责有关重大决策部署督查工作。负责区政府各部门、各乡（镇、区）政府规范性文件的备案审查工作。负责对区政府政策措施、规范性文件和合同协议的合法性审核工作；承办区政府交办的涉法事务；承办区政府规范性文件上报市政府和区人大常委会备案工作。承担统筹推进鹿泉法治政府建设的责任。指导、监督区政府各部门、各乡（镇、区）政府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承担统筹规划全区法治社会建设的责任。负责拟订全区法治宣传教育规划，组织实施普法宣传工作；负责全区依法治理和法治创建工作，推动全区人民参与和促进法治建设，指导全区人民调解、行政调解工作，负责全区人民陪审员、人民监督员选任管理工作；负责全区司法所建设。负责全区社区矫正工作，负责刑满释放人员帮教安置工作。负责拟订公共法律服务体系建设规划并组织实施，统筹和布局全区法律服务资源；负责全区律师、公证、法律援助、司法鉴定和基层法律服务管理工作。规划、协调、指导全区法治人才队伍建设相关工作；负责本系统队伍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二、自评工作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（一）自评的组织工作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我局成立了以分管财务的副局长为组长，相关科室负责人为成员的预算绩效评价工作小组，明确熟悉财务工作的同志具体负责绩效评价工作，机关各科室密切配合，提供绩效评价所需要的数据和材料，力争做好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年预算绩效评价工作。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，全区司法行政工作深入贯彻党的十九大和十九届二中、三中、四中全会精神,认真贯彻习近平新时代中国特色社会主义思想，全面落实区委区政府和省司法厅工作部署，较好地完成了各项绩效工作任务。主要工作情况自评如下：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）公共法律服务中心惠民生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多措并举推进法律援助便民服务。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截至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2023年12月底，公共法律服务中心共受理法律援助案件1619件，其中刑事案件1157件，民事案件465件，共受理咨询 6000余人次，挽回经济损失约九百余万元。工作扎实有成效，法律援助质量不断提升。我中心聘请两名评估律师负责全区法律援助案件质量评查工作。对评为优秀等次的案卷进行通报表彰，让优秀法律服务人员树标杆、作表率、走前列，不断推动法律援助案件质量和服务水平更上一个台阶；每季度对受理案件情况和已结案件补贴发放情况进行公示，对已结案件进行回访和质量考评，加强案件跟踪管理，对本级受理的申请类法律援助案件回访率达100%，援助公开率100%，有效提高了法律援助办案质量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加大工作宣传力度。充分用好好热线平台。区公共法律服务中心每天安排律师接听“12348”法律服务热线，解答群众咨询，同时开展进集市、进社区、进校园、进军营、进企业、进景区等法律援助扩面提质民生工程系列宣传活动，共开展普法讲座10余场，组织普法宣传活动20余次，发放法治宣传材料6000余份。2023年，联合区妇联分批为全区13个乡镇区、208个行政村以及22个社区的240余名基层妇联主席开展了法治培训。通过政策宣讲、以案释法、法律咨询等方式向群众详细介绍法律援助扩面提质民生工程政策，解答咨询，告知如何申请法律援助业务，鼓励群众积极参与，真正实现“应援尽援、应援优援”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）深入推进“八五”普法规划贯彻落实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认真落实“谁执法谁普法”责任制，积极推进“互联网+普法”，“鹿泉司法”抖音账号开辟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《中华人民共和国民法典》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题，“鹿泉普法”今日头条号发布法治资讯6960篇，阅读量达278万，3次进入全国榜单前20名。利用短信平台推送法治短信40万余条。与融媒体中心联合推出《法治时间》栏目，累计播放24期。开展各类线下普法宣传活动1100余场次，受众人员20万名，多次在石家庄市普法融媒月考核中名列前茅。拓展法治宣传阵地，新建提升乡村法治宣传文化阵地50处，典型经验在全市普法培训班上介绍推广。实施乡村“法律明白人”培养工程，第二批1206名乡村“法律明白人”已上岗开展工作。持续推进“民主法治示范村”创建，新增20个村达到省级民主法治示范村创建标准。迎接省级“八五”普法中期验收工作，并获得检查组领导的充分肯定；积极申报“河北省守法普法示范县（市、区）”单项--法治乡村建设示范地区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）矛盾纠纷化解促和谐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2023年，我区开展了“人民调解提质增效创品牌”专项行动和信访矛盾纠纷化解专项行动，深入开展涉企、涉路、婚恋家庭等各类矛盾纠纷排查调处专项活动，定期对各个重点领域、重点地方、重点人群的矛盾纠纷进行排查，每季对各乡镇重大矛盾纠纷进行风险研判，截至12月底，区、乡、村三级调解组织受理纠纷3188件，调解成功3134件，成功率98.3%。涉及金额5156万余元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）社矫对象监管无死角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年以来，我区社区矫正工作以习近平新时代中国特色社</w:t>
      </w:r>
      <w:bookmarkStart w:id="0" w:name="_GoBack"/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会主义思想为指引，认真贯彻落实全市司法行政工作会议精神，</w:t>
      </w:r>
      <w:bookmarkEnd w:id="0"/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每个季度进行一次社区矫正工作专项督查。截至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年1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月，全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在册社区服刑人员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00余人，无脱管漏管和重新违法犯罪现象发生。</w:t>
      </w:r>
    </w:p>
    <w:p>
      <w:pP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）建立绩效评价指标体系</w:t>
      </w:r>
    </w:p>
    <w:p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开展预算绩效评价工作时，针对具体绩效评价对象的特点，设计具体的绩效评价指标体系。除共性指标外，必须设置能够体现项目特点和绩效的个性指标；项目产出指标与项目效果指标设置数量在8个（含）以上，分值权重占总体的65%以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ascii="仿宋" w:hAnsi="仿宋" w:eastAsia="仿宋"/>
          <w:sz w:val="32"/>
        </w:rPr>
        <w:t xml:space="preserve">根据预算绩效管理要求，本部门组织对 </w:t>
      </w:r>
      <w:r>
        <w:rPr>
          <w:rFonts w:hint="eastAsia" w:ascii="仿宋" w:hAnsi="仿宋" w:eastAsia="仿宋"/>
          <w:sz w:val="32"/>
          <w:lang w:eastAsia="zh-CN"/>
        </w:rPr>
        <w:t>2023</w:t>
      </w:r>
      <w:r>
        <w:rPr>
          <w:rFonts w:ascii="仿宋" w:hAnsi="仿宋" w:eastAsia="仿宋"/>
          <w:sz w:val="32"/>
        </w:rPr>
        <w:t xml:space="preserve"> 年度一般公共预算项目支出全面开展绩效自评，其中，一级项目 1</w:t>
      </w:r>
      <w:r>
        <w:rPr>
          <w:rFonts w:hint="eastAsia" w:ascii="仿宋" w:hAnsi="仿宋" w:eastAsia="仿宋"/>
          <w:sz w:val="32"/>
          <w:lang w:val="en-US" w:eastAsia="zh-CN"/>
        </w:rPr>
        <w:t>9</w:t>
      </w:r>
      <w:r>
        <w:rPr>
          <w:rFonts w:ascii="仿宋" w:hAnsi="仿宋" w:eastAsia="仿宋"/>
          <w:sz w:val="32"/>
        </w:rPr>
        <w:t xml:space="preserve">个，共涉及资金 </w:t>
      </w:r>
      <w:r>
        <w:rPr>
          <w:rFonts w:hint="eastAsia" w:ascii="仿宋" w:hAnsi="仿宋" w:eastAsia="仿宋"/>
          <w:sz w:val="32"/>
          <w:lang w:val="en-US" w:eastAsia="zh-CN"/>
        </w:rPr>
        <w:t>533.64</w:t>
      </w:r>
      <w:r>
        <w:rPr>
          <w:rFonts w:ascii="仿宋" w:hAnsi="仿宋" w:eastAsia="仿宋"/>
          <w:sz w:val="32"/>
        </w:rPr>
        <w:t>万元，占一般公共预算项目支出总额的 2</w:t>
      </w:r>
      <w:r>
        <w:rPr>
          <w:rFonts w:hint="eastAsia" w:ascii="仿宋" w:hAnsi="仿宋" w:eastAsia="仿宋"/>
          <w:sz w:val="32"/>
          <w:lang w:val="en-US" w:eastAsia="zh-CN"/>
        </w:rPr>
        <w:t>8.12%</w:t>
      </w:r>
      <w:r>
        <w:rPr>
          <w:rFonts w:ascii="仿宋" w:hAnsi="仿宋" w:eastAsia="仿宋"/>
          <w:sz w:val="32"/>
        </w:rPr>
        <w:t>。政府性基金预算项目 0 个,共涉及资金 0 万元，占政府性基金预算项目支出总额的 0%。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）重点推进社区矫正机构和建设工作场所，刑满释放人员安置帮教工作。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绩效目标：依据法律、法规做好社区矫正对象、刑满释放人员的管理、教育、帮扶工作，最大限度降低重新违法犯罪和社会不稳定因素发生。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绩效指标：社区矫正对象的核查率达到百分之百，矫正对象对帮扶工作满意度，降低矫正人员的重新犯罪率。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）运用法治思维和法治方法化解社会矛盾纠纷。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绩效目标：组建专业调解团队，实行跨区域调解，将矛盾化解在基层社会秩序平安稳定。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绩效指标：聘请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58</w:t>
      </w:r>
      <w:r>
        <w:rPr>
          <w:rFonts w:hint="eastAsia" w:ascii="仿宋" w:hAnsi="仿宋" w:eastAsia="仿宋" w:cs="仿宋"/>
          <w:sz w:val="32"/>
          <w:szCs w:val="32"/>
        </w:rPr>
        <w:t>名专职调解员，按最低工资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00元，“以案定补”财政补贴，每个案件补贴300-500元，促进人民调解工作质量和人民调解协议规范化水平。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）依法受理行政复议申请，履行《中华人民共和国行政复议法》规定的各项职责，行政执法协调监督科负责全区行政执法综合协调工作，指导监督各部门严格规范公正文明执法。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绩效目标：依法受理符合法律规定的行政复议申请，处理案件率达到100%，提升政府在群众中的公信力，对我区行政执法单位执法人员学习培训，使执法人员的业务水平得到进一步提高。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绩效指标：对我区行政执法单位1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00名执法人员培训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0个课时以上并参加考试，行政复议案件的应诉率达到100%，执法案件中投诉的案件占总案件的比率不高于15%。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</w:t>
      </w:r>
      <w:r>
        <w:rPr>
          <w:rFonts w:hint="eastAsia" w:ascii="仿宋" w:hAnsi="仿宋" w:eastAsia="仿宋" w:cs="仿宋"/>
          <w:sz w:val="32"/>
          <w:szCs w:val="32"/>
        </w:rPr>
        <w:t>）组织开展“八五”普法规划，落实“谁执法谁普法”责任制，提高全区公民法律意识和法律素质。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绩效目标：增强法治化管理水平，促进全区民主与法治建设，更好地服务保障“法治鹿泉、平安鹿泉”建设。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绩效指标：每月开展一次专项主题宣传活动；组织全区干部法律知识培训工作；编印普法教材、展牌等宣传资料；打造法治示范点，提高全区公民法律知晓率。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）办理法律援助案件，落实法律援助的法律法规和政策的执行。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绩效目标：管理“12348”法律援助热线，开展法律援助理论研究。扩大法律援助覆盖面，重点组织好法律援助咨询补贴、代书补贴、办案补贴直接用于法律援助案件，推动全区法律援助长足发展。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绩效指标：组织全区律师、法律工作者为全区困难公民和特殊案件当事人提供法律咨询，全年无偿代理民事法律援助案件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465</w:t>
      </w:r>
      <w:r>
        <w:rPr>
          <w:rFonts w:hint="eastAsia" w:ascii="仿宋" w:hAnsi="仿宋" w:eastAsia="仿宋" w:cs="仿宋"/>
          <w:sz w:val="32"/>
          <w:szCs w:val="32"/>
        </w:rPr>
        <w:t>件，刑事辩护法律案件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1157</w:t>
      </w:r>
      <w:r>
        <w:rPr>
          <w:rFonts w:hint="eastAsia" w:ascii="仿宋" w:hAnsi="仿宋" w:eastAsia="仿宋" w:cs="仿宋"/>
          <w:sz w:val="32"/>
          <w:szCs w:val="32"/>
        </w:rPr>
        <w:t>件，法律咨询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6000</w:t>
      </w:r>
      <w:r>
        <w:rPr>
          <w:rFonts w:hint="eastAsia" w:ascii="仿宋" w:hAnsi="仿宋" w:eastAsia="仿宋" w:cs="仿宋"/>
          <w:sz w:val="32"/>
          <w:szCs w:val="32"/>
        </w:rPr>
        <w:t>人次。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部门职责和各项工作履职情况进行综合评价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给出总得分，指标体系设定满分100分，得出综合评价结论和项目综合绩效评价等级。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我局部门整体支出自评价90分，整体支出综合绩效自评价行者等级为优秀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（一）存在的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问题：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一是制定绩效目标和工作计划有脱节现象，绩效目标和经费效益有差别。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二是绩效自评过程，只是为了评价而评价，不能充分发挥绩效自评价对实际工作中实际运用的反馈作用。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三是绩效自评价过程中，工作人员对如何搞好绩效自评价方法和手段比较单一，内容形式比较简单。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针对问题提出具体的改进措施和建议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针对以上在自评价过程中存在的问题，我局将做好以下几个方面的工作。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一是进一步加强制定绩效目标的准确性、有效性，进一步提高绩效目标和实际工作的切合度。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二是严把绩效自评关口，充分发挥提高绩效自评的反馈作用和激励作用。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三是加强对工作人员绩效自评价的培训学习，提高业务能力素质，充分利用各种方法，做好绩效自评价工作。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评价工作组人员名单及签字（姓名、工作单位、职务、职称）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绩效自评价领导小组组长：赵松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绩效自评价领导小组副组长：桂晓哲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绩效自评价领导小组成员：相关业务科室负责人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石家庄市鹿泉区司法局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  2024年4月19日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4D0ECC5"/>
    <w:multiLevelType w:val="singleLevel"/>
    <w:tmpl w:val="B4D0ECC5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B3BAD3"/>
    <w:multiLevelType w:val="singleLevel"/>
    <w:tmpl w:val="08B3BA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4MjhkZTMzYzY1MDQ0MWQ0ZjhiNjYxMWQwMzgwMTQifQ=="/>
  </w:docVars>
  <w:rsids>
    <w:rsidRoot w:val="0EBD2122"/>
    <w:rsid w:val="007E6C1F"/>
    <w:rsid w:val="00AF566A"/>
    <w:rsid w:val="00B6553A"/>
    <w:rsid w:val="01B104CA"/>
    <w:rsid w:val="02106AB0"/>
    <w:rsid w:val="02B43A28"/>
    <w:rsid w:val="03F26793"/>
    <w:rsid w:val="04475879"/>
    <w:rsid w:val="046F331E"/>
    <w:rsid w:val="0676612F"/>
    <w:rsid w:val="07956271"/>
    <w:rsid w:val="09721397"/>
    <w:rsid w:val="0BB63BED"/>
    <w:rsid w:val="0EB97A43"/>
    <w:rsid w:val="0EBD2122"/>
    <w:rsid w:val="0F214EAE"/>
    <w:rsid w:val="113373E5"/>
    <w:rsid w:val="11B71E6A"/>
    <w:rsid w:val="11BF549D"/>
    <w:rsid w:val="13690617"/>
    <w:rsid w:val="164C5D64"/>
    <w:rsid w:val="165F32D7"/>
    <w:rsid w:val="1AAF0063"/>
    <w:rsid w:val="1B2578B9"/>
    <w:rsid w:val="1BE140DE"/>
    <w:rsid w:val="1FB23774"/>
    <w:rsid w:val="1FEA15B7"/>
    <w:rsid w:val="20A53730"/>
    <w:rsid w:val="248C197D"/>
    <w:rsid w:val="250718B0"/>
    <w:rsid w:val="252959AF"/>
    <w:rsid w:val="25995858"/>
    <w:rsid w:val="277A6671"/>
    <w:rsid w:val="290D27BA"/>
    <w:rsid w:val="292D35B7"/>
    <w:rsid w:val="2A594280"/>
    <w:rsid w:val="2BDB094E"/>
    <w:rsid w:val="2CC4675B"/>
    <w:rsid w:val="31EC619B"/>
    <w:rsid w:val="33EB6CFF"/>
    <w:rsid w:val="35A12947"/>
    <w:rsid w:val="36A75B98"/>
    <w:rsid w:val="37387040"/>
    <w:rsid w:val="3B625C0A"/>
    <w:rsid w:val="3CEE1963"/>
    <w:rsid w:val="40CF58D3"/>
    <w:rsid w:val="44045420"/>
    <w:rsid w:val="4C9C27FE"/>
    <w:rsid w:val="4F6873EB"/>
    <w:rsid w:val="512260B4"/>
    <w:rsid w:val="51EB4B97"/>
    <w:rsid w:val="52886C6B"/>
    <w:rsid w:val="52BD6ACB"/>
    <w:rsid w:val="55537534"/>
    <w:rsid w:val="561A74F1"/>
    <w:rsid w:val="597244E8"/>
    <w:rsid w:val="5DA9362C"/>
    <w:rsid w:val="5EB71C30"/>
    <w:rsid w:val="5F967FE2"/>
    <w:rsid w:val="66AF0CE5"/>
    <w:rsid w:val="6AC537CF"/>
    <w:rsid w:val="6B455028"/>
    <w:rsid w:val="6BE56631"/>
    <w:rsid w:val="6E5B14A6"/>
    <w:rsid w:val="702332EC"/>
    <w:rsid w:val="711B255E"/>
    <w:rsid w:val="71E94B9F"/>
    <w:rsid w:val="7317199D"/>
    <w:rsid w:val="786864A1"/>
    <w:rsid w:val="79BF60C5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209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2024-05-08T06:45:00Z</cp:lastPrinted>
  <dcterms:modified xsi:type="dcterms:W3CDTF">2025-04-27T02:21:24Z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1941798D85B2489787B743E1A2E86A35_12</vt:lpwstr>
  </property>
</Properties>
</file>