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bookmarkStart w:id="25" w:name="_GoBack"/>
      <w:bookmarkEnd w:id="25"/>
      <w:r>
        <w:rPr>
          <w:rFonts w:hint="eastAsia" w:ascii="Times New Roman" w:hAnsi="Times New Roman" w:eastAsia="方正小标宋_GBK" w:cs="Times New Roman"/>
          <w:sz w:val="44"/>
          <w:szCs w:val="44"/>
          <w:lang w:eastAsia="zh-CN"/>
        </w:rPr>
        <w:t>鹿泉区政法委</w:t>
      </w:r>
      <w:r>
        <w:rPr>
          <w:rFonts w:hint="eastAsia" w:ascii="Times New Roman" w:hAnsi="Times New Roman" w:eastAsia="方正小标宋_GBK" w:cs="Times New Roman"/>
          <w:sz w:val="44"/>
          <w:szCs w:val="44"/>
          <w:lang w:val="en-US" w:eastAsia="zh-CN"/>
        </w:rPr>
        <w:t>2020</w:t>
      </w:r>
      <w:r>
        <w:rPr>
          <w:rFonts w:ascii="Times New Roman" w:hAnsi="Times New Roman" w:eastAsia="方正小标宋_GBK" w:cs="Times New Roman"/>
          <w:sz w:val="44"/>
          <w:szCs w:val="44"/>
        </w:rPr>
        <w:t>年部门</w:t>
      </w:r>
    </w:p>
    <w:p>
      <w:pPr>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预算信息公开</w:t>
      </w:r>
      <w:r>
        <w:rPr>
          <w:rFonts w:hint="eastAsia" w:ascii="Times New Roman" w:hAnsi="Times New Roman" w:eastAsia="方正小标宋_GBK" w:cs="Times New Roman"/>
          <w:sz w:val="44"/>
          <w:szCs w:val="44"/>
        </w:rPr>
        <w:t>情况说明</w:t>
      </w:r>
    </w:p>
    <w:p>
      <w:pPr>
        <w:ind w:firstLine="64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按照《</w:t>
      </w:r>
      <w:r>
        <w:rPr>
          <w:rFonts w:hint="eastAsia" w:asciiTheme="minorEastAsia" w:hAnsiTheme="minorEastAsia" w:cstheme="minorEastAsia"/>
          <w:sz w:val="32"/>
          <w:szCs w:val="32"/>
          <w:lang w:val="en-US" w:eastAsia="zh-CN"/>
        </w:rPr>
        <w:t>中华人民共和国</w:t>
      </w:r>
      <w:r>
        <w:rPr>
          <w:rFonts w:hint="eastAsia" w:asciiTheme="minorEastAsia" w:hAnsiTheme="minorEastAsia" w:eastAsiaTheme="minorEastAsia" w:cstheme="minorEastAsia"/>
          <w:sz w:val="32"/>
          <w:szCs w:val="32"/>
        </w:rPr>
        <w:t>预算法》、《地方预决算公开操作规程》和《河北省</w:t>
      </w:r>
      <w:r>
        <w:rPr>
          <w:rFonts w:hint="eastAsia" w:asciiTheme="minorEastAsia" w:hAnsiTheme="minorEastAsia" w:cstheme="minorEastAsia"/>
          <w:sz w:val="32"/>
          <w:szCs w:val="32"/>
          <w:lang w:eastAsia="zh-CN"/>
        </w:rPr>
        <w:t>区级</w:t>
      </w:r>
      <w:r>
        <w:rPr>
          <w:rFonts w:hint="eastAsia" w:asciiTheme="minorEastAsia" w:hAnsiTheme="minorEastAsia" w:eastAsiaTheme="minorEastAsia" w:cstheme="minorEastAsia"/>
          <w:sz w:val="32"/>
          <w:szCs w:val="32"/>
        </w:rPr>
        <w:t>预算公开办法》规定，现将</w:t>
      </w:r>
      <w:r>
        <w:rPr>
          <w:rFonts w:hint="eastAsia" w:asciiTheme="minorEastAsia" w:hAnsiTheme="minorEastAsia" w:eastAsiaTheme="minorEastAsia" w:cstheme="minorEastAsia"/>
          <w:sz w:val="32"/>
          <w:szCs w:val="32"/>
          <w:lang w:val="en-US" w:eastAsia="zh-CN"/>
        </w:rPr>
        <w:t>鹿泉区政法委</w:t>
      </w:r>
      <w:r>
        <w:rPr>
          <w:rFonts w:hint="eastAsia" w:asciiTheme="minorEastAsia" w:hAnsiTheme="minorEastAsia" w:eastAsiaTheme="minorEastAsia" w:cstheme="minorEastAsia"/>
          <w:sz w:val="32"/>
          <w:szCs w:val="32"/>
        </w:rPr>
        <w:t>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3"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部门</w:t>
      </w:r>
      <w:r>
        <w:rPr>
          <w:rFonts w:ascii="Times New Roman" w:hAnsi="Times New Roman" w:eastAsia="方正仿宋_GBK" w:cs="Times New Roman"/>
          <w:b/>
          <w:sz w:val="32"/>
          <w:szCs w:val="32"/>
        </w:rPr>
        <w:t>职责：</w:t>
      </w:r>
    </w:p>
    <w:p>
      <w:pPr>
        <w:pStyle w:val="19"/>
        <w:keepNext w:val="0"/>
        <w:keepLines w:val="0"/>
        <w:pageBreakBefore w:val="0"/>
        <w:widowControl/>
        <w:numPr>
          <w:ilvl w:val="0"/>
          <w:numId w:val="0"/>
        </w:numPr>
        <w:kinsoku/>
        <w:wordWrap/>
        <w:overflowPunct/>
        <w:topLinePunct w:val="0"/>
        <w:autoSpaceDE w:val="0"/>
        <w:autoSpaceDN w:val="0"/>
        <w:bidi w:val="0"/>
        <w:adjustRightInd w:val="0"/>
        <w:snapToGrid/>
        <w:spacing w:beforeLines="0" w:afterLines="0" w:line="240" w:lineRule="auto"/>
        <w:ind w:left="0" w:leftChars="0" w:right="0" w:rightChars="0" w:firstLine="640" w:firstLineChars="200"/>
        <w:jc w:val="left"/>
        <w:textAlignment w:val="auto"/>
        <w:outlineLvl w:val="9"/>
        <w:rPr>
          <w:rFonts w:hint="eastAsia" w:asciiTheme="minorEastAsia" w:hAnsiTheme="minorEastAsia" w:eastAsiaTheme="minorEastAsia" w:cstheme="minorEastAsia"/>
          <w:sz w:val="32"/>
          <w:lang w:val="en-US" w:eastAsia="zh-CN"/>
        </w:rPr>
      </w:pPr>
      <w:r>
        <w:rPr>
          <w:rFonts w:hint="eastAsia" w:asciiTheme="minorEastAsia" w:hAnsiTheme="minorEastAsia" w:eastAsiaTheme="minorEastAsia" w:cstheme="minorEastAsia"/>
          <w:sz w:val="32"/>
          <w:lang w:val="en-US" w:eastAsia="zh-CN"/>
        </w:rPr>
        <w:t>1、对全区政法工作研究提出全局性部署，推进平安建设、法制建设、加强过硬队伍建设，深化智能化建设，坚决维护国家政治安全、确保社会大局稳定、促进社会公平正义、保障人民安居乐业。</w:t>
      </w:r>
    </w:p>
    <w:p>
      <w:pPr>
        <w:pStyle w:val="19"/>
        <w:keepNext w:val="0"/>
        <w:keepLines w:val="0"/>
        <w:pageBreakBefore w:val="0"/>
        <w:widowControl/>
        <w:numPr>
          <w:ilvl w:val="0"/>
          <w:numId w:val="0"/>
        </w:numPr>
        <w:kinsoku/>
        <w:wordWrap/>
        <w:overflowPunct/>
        <w:topLinePunct w:val="0"/>
        <w:autoSpaceDE w:val="0"/>
        <w:autoSpaceDN w:val="0"/>
        <w:bidi w:val="0"/>
        <w:adjustRightInd w:val="0"/>
        <w:snapToGrid/>
        <w:spacing w:beforeLines="0" w:afterLines="0" w:line="240" w:lineRule="auto"/>
        <w:ind w:left="0" w:leftChars="0" w:right="0" w:rightChars="0" w:firstLine="640" w:firstLineChars="200"/>
        <w:jc w:val="left"/>
        <w:textAlignment w:val="auto"/>
        <w:outlineLvl w:val="9"/>
        <w:rPr>
          <w:rFonts w:hint="eastAsia" w:asciiTheme="minorEastAsia" w:hAnsiTheme="minorEastAsia" w:eastAsiaTheme="minorEastAsia" w:cstheme="minorEastAsia"/>
          <w:sz w:val="32"/>
          <w:lang w:val="en-US" w:eastAsia="zh-CN"/>
        </w:rPr>
      </w:pPr>
      <w:r>
        <w:rPr>
          <w:rFonts w:hint="eastAsia" w:asciiTheme="minorEastAsia" w:hAnsiTheme="minorEastAsia" w:eastAsiaTheme="minorEastAsia" w:cstheme="minorEastAsia"/>
          <w:sz w:val="32"/>
          <w:lang w:val="en-US" w:eastAsia="zh-CN"/>
        </w:rPr>
        <w:t>2、了解掌握和分析研判政法工作情况动态，分析社会稳定形势，创新完善多部门参与的平安建设工作协调机制，协调推动预防、化解影响稳定的社会矛盾和风险，协调应对和处置重大突发事件。</w:t>
      </w:r>
    </w:p>
    <w:p>
      <w:pPr>
        <w:pStyle w:val="19"/>
        <w:keepNext w:val="0"/>
        <w:keepLines w:val="0"/>
        <w:pageBreakBefore w:val="0"/>
        <w:widowControl/>
        <w:numPr>
          <w:ilvl w:val="0"/>
          <w:numId w:val="0"/>
        </w:numPr>
        <w:kinsoku/>
        <w:wordWrap/>
        <w:overflowPunct/>
        <w:topLinePunct w:val="0"/>
        <w:autoSpaceDE w:val="0"/>
        <w:autoSpaceDN w:val="0"/>
        <w:bidi w:val="0"/>
        <w:adjustRightInd w:val="0"/>
        <w:snapToGrid/>
        <w:spacing w:beforeLines="0" w:afterLines="0" w:line="240" w:lineRule="auto"/>
        <w:ind w:left="0" w:leftChars="0" w:right="0" w:rightChars="0" w:firstLine="640" w:firstLineChars="200"/>
        <w:jc w:val="left"/>
        <w:textAlignment w:val="auto"/>
        <w:outlineLvl w:val="9"/>
        <w:rPr>
          <w:rFonts w:hint="eastAsia" w:asciiTheme="minorEastAsia" w:hAnsiTheme="minorEastAsia" w:eastAsiaTheme="minorEastAsia" w:cstheme="minorEastAsia"/>
          <w:sz w:val="32"/>
          <w:lang w:val="en-US" w:eastAsia="zh-CN"/>
        </w:rPr>
      </w:pPr>
      <w:r>
        <w:rPr>
          <w:rFonts w:hint="eastAsia" w:asciiTheme="minorEastAsia" w:hAnsiTheme="minorEastAsia" w:eastAsiaTheme="minorEastAsia" w:cstheme="minorEastAsia"/>
          <w:sz w:val="32"/>
          <w:lang w:val="en-US" w:eastAsia="zh-CN"/>
        </w:rPr>
        <w:t>3、加强对政法工作的督查，统筹协调社会治安综合治理、维护社会稳定、反邪教、反暴恐等有关法律法规政策的实施工作。</w:t>
      </w:r>
    </w:p>
    <w:p>
      <w:pPr>
        <w:pStyle w:val="19"/>
        <w:keepNext w:val="0"/>
        <w:keepLines w:val="0"/>
        <w:pageBreakBefore w:val="0"/>
        <w:widowControl/>
        <w:numPr>
          <w:ilvl w:val="0"/>
          <w:numId w:val="0"/>
        </w:numPr>
        <w:kinsoku/>
        <w:wordWrap/>
        <w:overflowPunct/>
        <w:topLinePunct w:val="0"/>
        <w:autoSpaceDE w:val="0"/>
        <w:autoSpaceDN w:val="0"/>
        <w:bidi w:val="0"/>
        <w:adjustRightInd w:val="0"/>
        <w:snapToGrid/>
        <w:spacing w:beforeLines="0" w:afterLines="0" w:line="240" w:lineRule="auto"/>
        <w:ind w:left="0" w:leftChars="0" w:right="0" w:rightChars="0" w:firstLine="640" w:firstLineChars="200"/>
        <w:jc w:val="left"/>
        <w:textAlignment w:val="auto"/>
        <w:outlineLvl w:val="9"/>
        <w:rPr>
          <w:rFonts w:hint="eastAsia" w:asciiTheme="minorEastAsia" w:hAnsiTheme="minorEastAsia" w:eastAsiaTheme="minorEastAsia" w:cstheme="minorEastAsia"/>
          <w:sz w:val="32"/>
          <w:lang w:val="en-US" w:eastAsia="zh-CN"/>
        </w:rPr>
      </w:pPr>
      <w:r>
        <w:rPr>
          <w:rFonts w:hint="eastAsia" w:asciiTheme="minorEastAsia" w:hAnsiTheme="minorEastAsia" w:eastAsiaTheme="minorEastAsia" w:cstheme="minorEastAsia"/>
          <w:sz w:val="32"/>
          <w:lang w:val="en-US" w:eastAsia="zh-CN"/>
        </w:rPr>
        <w:t>4、组织开展政法领域的调查研究，研究拟订政法工作的重大措施，及时向区委提出建议。</w:t>
      </w:r>
    </w:p>
    <w:p>
      <w:pPr>
        <w:pStyle w:val="19"/>
        <w:keepNext w:val="0"/>
        <w:keepLines w:val="0"/>
        <w:pageBreakBefore w:val="0"/>
        <w:widowControl/>
        <w:numPr>
          <w:ilvl w:val="0"/>
          <w:numId w:val="0"/>
        </w:numPr>
        <w:kinsoku/>
        <w:wordWrap/>
        <w:overflowPunct/>
        <w:topLinePunct w:val="0"/>
        <w:autoSpaceDE w:val="0"/>
        <w:autoSpaceDN w:val="0"/>
        <w:bidi w:val="0"/>
        <w:adjustRightInd w:val="0"/>
        <w:snapToGrid/>
        <w:spacing w:beforeLines="0" w:afterLines="0" w:line="240" w:lineRule="auto"/>
        <w:ind w:left="0" w:leftChars="0" w:right="0" w:rightChars="0" w:firstLine="640" w:firstLineChars="200"/>
        <w:jc w:val="left"/>
        <w:textAlignment w:val="auto"/>
        <w:outlineLvl w:val="9"/>
        <w:rPr>
          <w:rFonts w:hint="eastAsia" w:asciiTheme="minorEastAsia" w:hAnsiTheme="minorEastAsia" w:eastAsiaTheme="minorEastAsia" w:cstheme="minorEastAsia"/>
          <w:sz w:val="32"/>
          <w:lang w:val="en-US" w:eastAsia="zh-CN"/>
        </w:rPr>
      </w:pPr>
      <w:r>
        <w:rPr>
          <w:rFonts w:hint="eastAsia" w:asciiTheme="minorEastAsia" w:hAnsiTheme="minorEastAsia" w:eastAsiaTheme="minorEastAsia" w:cstheme="minorEastAsia"/>
          <w:sz w:val="32"/>
          <w:lang w:val="en-US" w:eastAsia="zh-CN"/>
        </w:rPr>
        <w:t>5、掌握分析政法舆情动态，指导协调政法单位媒体网络宣传工作，指导政法单位做好涉及政法工作的重大宣传工作。</w:t>
      </w:r>
    </w:p>
    <w:p>
      <w:pPr>
        <w:keepNext w:val="0"/>
        <w:keepLines w:val="0"/>
        <w:pageBreakBefore w:val="0"/>
        <w:kinsoku/>
        <w:wordWrap/>
        <w:overflowPunct/>
        <w:topLinePunct w:val="0"/>
        <w:autoSpaceDE w:val="0"/>
        <w:autoSpaceDN w:val="0"/>
        <w:bidi w:val="0"/>
        <w:adjustRightInd w:val="0"/>
        <w:snapToGrid/>
        <w:spacing w:line="240" w:lineRule="auto"/>
        <w:ind w:left="198" w:right="0" w:rightChars="0" w:firstLine="640" w:firstLineChars="200"/>
        <w:jc w:val="left"/>
        <w:textAlignment w:val="auto"/>
        <w:outlineLvl w:val="9"/>
        <w:rPr>
          <w:rFonts w:hint="eastAsia" w:asciiTheme="minorEastAsia" w:hAnsiTheme="minorEastAsia" w:eastAsiaTheme="minorEastAsia" w:cstheme="minorEastAsia"/>
          <w:sz w:val="32"/>
          <w:szCs w:val="32"/>
          <w:lang w:eastAsia="zh-CN"/>
        </w:rPr>
      </w:pPr>
      <w:r>
        <w:rPr>
          <w:rFonts w:hint="eastAsia" w:asciiTheme="minorEastAsia" w:hAnsiTheme="minorEastAsia" w:eastAsiaTheme="minorEastAsia" w:cstheme="minorEastAsia"/>
          <w:sz w:val="32"/>
          <w:szCs w:val="32"/>
          <w:lang w:eastAsia="zh-CN"/>
        </w:rPr>
        <w:t>鹿泉区政法委</w:t>
      </w:r>
      <w:r>
        <w:rPr>
          <w:rFonts w:hint="eastAsia" w:asciiTheme="minorEastAsia" w:hAnsiTheme="minorEastAsia" w:eastAsiaTheme="minorEastAsia" w:cstheme="minorEastAsia"/>
          <w:sz w:val="32"/>
          <w:szCs w:val="32"/>
        </w:rPr>
        <w:t>根据工作需要，设有</w:t>
      </w:r>
      <w:r>
        <w:rPr>
          <w:rFonts w:hint="eastAsia" w:asciiTheme="minorEastAsia" w:hAnsiTheme="minorEastAsia" w:eastAsiaTheme="minorEastAsia" w:cstheme="minorEastAsia"/>
          <w:sz w:val="32"/>
          <w:szCs w:val="32"/>
          <w:lang w:eastAsia="zh-CN"/>
        </w:rPr>
        <w:t>办公室、维稳指导科、综治指导科、基层社会治理科、执法监督科、政治处。</w:t>
      </w:r>
    </w:p>
    <w:p>
      <w:pPr>
        <w:autoSpaceDE w:val="0"/>
        <w:autoSpaceDN w:val="0"/>
        <w:adjustRightInd w:val="0"/>
        <w:ind w:left="198" w:firstLine="643" w:firstLineChars="200"/>
        <w:jc w:val="left"/>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8"/>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59"/>
        <w:gridCol w:w="1134"/>
        <w:gridCol w:w="1276"/>
        <w:gridCol w:w="3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01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continue"/>
            <w:shd w:val="clear" w:color="auto" w:fill="auto"/>
            <w:vAlign w:val="center"/>
          </w:tcPr>
          <w:p>
            <w:pPr>
              <w:spacing w:line="300" w:lineRule="exact"/>
              <w:jc w:val="left"/>
              <w:outlineLvl w:val="0"/>
            </w:pPr>
          </w:p>
        </w:tc>
        <w:tc>
          <w:tcPr>
            <w:tcW w:w="1134"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3013" w:type="dxa"/>
            <w:vMerge w:val="continue"/>
            <w:shd w:val="clear" w:color="auto" w:fill="auto"/>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shd w:val="clear" w:color="auto" w:fill="auto"/>
            <w:vAlign w:val="center"/>
          </w:tcPr>
          <w:p>
            <w:pPr>
              <w:spacing w:line="300" w:lineRule="exact"/>
              <w:jc w:val="center"/>
              <w:rPr>
                <w:rFonts w:ascii="方正书宋_GBK" w:eastAsia="方正书宋_GBK"/>
                <w:b/>
              </w:rPr>
            </w:pPr>
          </w:p>
        </w:tc>
        <w:tc>
          <w:tcPr>
            <w:tcW w:w="1276" w:type="dxa"/>
            <w:shd w:val="clear" w:color="auto" w:fill="auto"/>
            <w:vAlign w:val="center"/>
          </w:tcPr>
          <w:p>
            <w:pPr>
              <w:spacing w:line="300" w:lineRule="exact"/>
              <w:jc w:val="center"/>
              <w:rPr>
                <w:rFonts w:ascii="方正书宋_GBK" w:eastAsia="方正书宋_GBK"/>
                <w:b/>
              </w:rPr>
            </w:pPr>
          </w:p>
        </w:tc>
        <w:tc>
          <w:tcPr>
            <w:tcW w:w="3013" w:type="dxa"/>
            <w:shd w:val="clear" w:color="auto" w:fill="auto"/>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shd w:val="clear" w:color="auto" w:fill="auto"/>
            <w:vAlign w:val="center"/>
          </w:tcPr>
          <w:p>
            <w:pPr>
              <w:spacing w:line="300" w:lineRule="exact"/>
              <w:jc w:val="left"/>
              <w:rPr>
                <w:rFonts w:ascii="方正书宋_GBK" w:eastAsia="方正书宋_GBK"/>
              </w:rPr>
            </w:pPr>
            <w:r>
              <w:rPr>
                <w:rFonts w:hint="eastAsia" w:ascii="方正书宋_GBK" w:eastAsia="方正书宋_GBK"/>
                <w:lang w:eastAsia="zh-CN"/>
              </w:rPr>
              <w:t>政法委</w:t>
            </w:r>
            <w:r>
              <w:rPr>
                <w:rFonts w:hint="eastAsia" w:ascii="方正书宋_GBK" w:eastAsia="方正书宋_GBK"/>
              </w:rPr>
              <w:t>（机关）</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行政</w:t>
            </w:r>
          </w:p>
        </w:tc>
        <w:tc>
          <w:tcPr>
            <w:tcW w:w="1276" w:type="dxa"/>
            <w:shd w:val="clear" w:color="auto" w:fill="auto"/>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正科级</w:t>
            </w:r>
          </w:p>
        </w:tc>
        <w:tc>
          <w:tcPr>
            <w:tcW w:w="301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shd w:val="clear" w:color="auto" w:fill="auto"/>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排查调处指导中心（事业））</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正科</w:t>
            </w:r>
            <w:r>
              <w:rPr>
                <w:rFonts w:hint="eastAsia" w:ascii="方正书宋_GBK" w:eastAsia="方正书宋_GBK"/>
              </w:rPr>
              <w:t>级</w:t>
            </w:r>
          </w:p>
        </w:tc>
        <w:tc>
          <w:tcPr>
            <w:tcW w:w="3013" w:type="dxa"/>
            <w:shd w:val="clear" w:color="auto" w:fill="auto"/>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财政全额拨款</w:t>
            </w:r>
          </w:p>
        </w:tc>
      </w:tr>
    </w:tbl>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按照预算管理有关规定，目前</w:t>
      </w:r>
      <w:r>
        <w:rPr>
          <w:rFonts w:hint="eastAsia" w:asciiTheme="minorEastAsia" w:hAnsiTheme="minorEastAsia" w:eastAsiaTheme="minorEastAsia" w:cstheme="minorEastAsia"/>
          <w:sz w:val="32"/>
          <w:szCs w:val="32"/>
          <w:lang w:eastAsia="zh-CN"/>
        </w:rPr>
        <w:t>单位</w:t>
      </w:r>
      <w:r>
        <w:rPr>
          <w:rFonts w:hint="eastAsia" w:asciiTheme="minorEastAsia" w:hAnsiTheme="minorEastAsia" w:eastAsiaTheme="minorEastAsia" w:cstheme="minorEastAsia"/>
          <w:sz w:val="32"/>
          <w:szCs w:val="32"/>
        </w:rPr>
        <w:t>预算的编制实行综合预算管理，即全部收入和支出都反映在预算中。</w:t>
      </w:r>
      <w:r>
        <w:rPr>
          <w:rFonts w:hint="eastAsia" w:asciiTheme="minorEastAsia" w:hAnsiTheme="minorEastAsia" w:eastAsiaTheme="minorEastAsia" w:cstheme="minorEastAsia"/>
          <w:sz w:val="32"/>
          <w:szCs w:val="32"/>
          <w:lang w:eastAsia="zh-CN"/>
        </w:rPr>
        <w:t>政法委机</w:t>
      </w:r>
      <w:r>
        <w:rPr>
          <w:rFonts w:hint="eastAsia" w:asciiTheme="minorEastAsia" w:hAnsiTheme="minorEastAsia" w:eastAsiaTheme="minorEastAsia" w:cstheme="minorEastAsia"/>
          <w:sz w:val="32"/>
          <w:szCs w:val="32"/>
        </w:rPr>
        <w:t>关及所属事业单位的收支包含在部门预算中。</w:t>
      </w:r>
    </w:p>
    <w:p>
      <w:pPr>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1、收入说明</w:t>
      </w:r>
    </w:p>
    <w:p>
      <w:pPr>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反映本部门当年全部收入。</w:t>
      </w:r>
      <w:r>
        <w:rPr>
          <w:rFonts w:hint="eastAsia" w:asciiTheme="minorEastAsia" w:hAnsiTheme="minorEastAsia" w:cstheme="minorEastAsia"/>
          <w:sz w:val="32"/>
          <w:szCs w:val="32"/>
          <w:lang w:val="en-US" w:eastAsia="zh-CN"/>
        </w:rPr>
        <w:t>2020</w:t>
      </w:r>
      <w:r>
        <w:rPr>
          <w:rFonts w:hint="eastAsia" w:asciiTheme="minorEastAsia" w:hAnsiTheme="minorEastAsia" w:eastAsiaTheme="minorEastAsia" w:cstheme="minorEastAsia"/>
          <w:sz w:val="32"/>
          <w:szCs w:val="32"/>
        </w:rPr>
        <w:t>年预算收入</w:t>
      </w:r>
      <w:r>
        <w:rPr>
          <w:rFonts w:hint="eastAsia" w:asciiTheme="minorEastAsia" w:hAnsiTheme="minorEastAsia" w:cstheme="minorEastAsia"/>
          <w:sz w:val="32"/>
          <w:szCs w:val="32"/>
          <w:lang w:val="en-US" w:eastAsia="zh-CN"/>
        </w:rPr>
        <w:t>1811.52</w:t>
      </w:r>
      <w:r>
        <w:rPr>
          <w:rFonts w:hint="eastAsia" w:asciiTheme="minorEastAsia" w:hAnsiTheme="minorEastAsia" w:eastAsiaTheme="minorEastAsia" w:cstheme="minorEastAsia"/>
          <w:sz w:val="32"/>
          <w:szCs w:val="32"/>
        </w:rPr>
        <w:t>万元，其中：一般公共预算收入</w:t>
      </w:r>
      <w:r>
        <w:rPr>
          <w:rFonts w:hint="eastAsia" w:asciiTheme="minorEastAsia" w:hAnsiTheme="minorEastAsia" w:cstheme="minorEastAsia"/>
          <w:sz w:val="32"/>
          <w:szCs w:val="32"/>
          <w:lang w:val="en-US" w:eastAsia="zh-CN"/>
        </w:rPr>
        <w:t>1811.52</w:t>
      </w:r>
      <w:r>
        <w:rPr>
          <w:rFonts w:hint="eastAsia" w:asciiTheme="minorEastAsia" w:hAnsiTheme="minorEastAsia" w:eastAsiaTheme="minorEastAsia" w:cstheme="minorEastAsia"/>
          <w:sz w:val="32"/>
          <w:szCs w:val="32"/>
        </w:rPr>
        <w:t>万元，基金预算收入0万元，财政专户核拨收入0万元，其他来源收入</w:t>
      </w:r>
      <w:r>
        <w:rPr>
          <w:rFonts w:hint="eastAsia" w:asciiTheme="minorEastAsia" w:hAnsiTheme="minorEastAsia" w:eastAsiaTheme="minorEastAsia" w:cstheme="minorEastAsia"/>
          <w:sz w:val="32"/>
          <w:szCs w:val="32"/>
          <w:lang w:val="en-US" w:eastAsia="zh-CN"/>
        </w:rPr>
        <w:t>0</w:t>
      </w:r>
      <w:r>
        <w:rPr>
          <w:rFonts w:hint="eastAsia" w:asciiTheme="minorEastAsia" w:hAnsiTheme="minorEastAsia" w:eastAsiaTheme="minorEastAsia" w:cstheme="minorEastAsia"/>
          <w:sz w:val="32"/>
          <w:szCs w:val="32"/>
        </w:rPr>
        <w:t>万元。</w:t>
      </w:r>
    </w:p>
    <w:p>
      <w:pPr>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2、支出说明</w:t>
      </w:r>
    </w:p>
    <w:p>
      <w:pPr>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收支预算总表支出栏、基本支出表、项目支出表按经济分类和支出功能分类科目编制，反映</w:t>
      </w:r>
      <w:r>
        <w:rPr>
          <w:rFonts w:hint="eastAsia" w:asciiTheme="minorEastAsia" w:hAnsiTheme="minorEastAsia" w:eastAsiaTheme="minorEastAsia" w:cstheme="minorEastAsia"/>
          <w:sz w:val="32"/>
          <w:szCs w:val="32"/>
          <w:lang w:eastAsia="zh-CN"/>
        </w:rPr>
        <w:t>鹿泉区政法委</w:t>
      </w:r>
      <w:r>
        <w:rPr>
          <w:rFonts w:hint="eastAsia" w:asciiTheme="minorEastAsia" w:hAnsiTheme="minorEastAsia" w:cstheme="minorEastAsia"/>
          <w:sz w:val="32"/>
          <w:szCs w:val="32"/>
          <w:lang w:val="en-US" w:eastAsia="zh-CN"/>
        </w:rPr>
        <w:t>2020</w:t>
      </w:r>
      <w:r>
        <w:rPr>
          <w:rFonts w:hint="eastAsia" w:asciiTheme="minorEastAsia" w:hAnsiTheme="minorEastAsia" w:eastAsiaTheme="minorEastAsia" w:cstheme="minorEastAsia"/>
          <w:sz w:val="32"/>
          <w:szCs w:val="32"/>
        </w:rPr>
        <w:t>年度部门预算中支出预算的总体情况。</w:t>
      </w:r>
      <w:r>
        <w:rPr>
          <w:rFonts w:hint="eastAsia" w:asciiTheme="minorEastAsia" w:hAnsiTheme="minorEastAsia" w:cstheme="minorEastAsia"/>
          <w:sz w:val="32"/>
          <w:szCs w:val="32"/>
          <w:lang w:eastAsia="zh-CN"/>
        </w:rPr>
        <w:t>2020</w:t>
      </w:r>
      <w:r>
        <w:rPr>
          <w:rFonts w:hint="eastAsia" w:asciiTheme="minorEastAsia" w:hAnsiTheme="minorEastAsia" w:eastAsiaTheme="minorEastAsia" w:cstheme="minorEastAsia"/>
          <w:sz w:val="32"/>
          <w:szCs w:val="32"/>
        </w:rPr>
        <w:t>年支出预算</w:t>
      </w:r>
      <w:r>
        <w:rPr>
          <w:rFonts w:hint="eastAsia" w:asciiTheme="minorEastAsia" w:hAnsiTheme="minorEastAsia" w:cstheme="minorEastAsia"/>
          <w:sz w:val="32"/>
          <w:szCs w:val="32"/>
          <w:lang w:val="en-US" w:eastAsia="zh-CN"/>
        </w:rPr>
        <w:t>1811.52</w:t>
      </w:r>
      <w:r>
        <w:rPr>
          <w:rFonts w:hint="eastAsia" w:asciiTheme="minorEastAsia" w:hAnsiTheme="minorEastAsia" w:eastAsiaTheme="minorEastAsia" w:cstheme="minorEastAsia"/>
          <w:sz w:val="32"/>
          <w:szCs w:val="32"/>
        </w:rPr>
        <w:t>万元，其中基本支出</w:t>
      </w:r>
      <w:r>
        <w:rPr>
          <w:rFonts w:hint="eastAsia" w:asciiTheme="minorEastAsia" w:hAnsiTheme="minorEastAsia" w:cstheme="minorEastAsia"/>
          <w:sz w:val="32"/>
          <w:szCs w:val="32"/>
          <w:lang w:val="en-US" w:eastAsia="zh-CN"/>
        </w:rPr>
        <w:t>921.88</w:t>
      </w:r>
      <w:r>
        <w:rPr>
          <w:rFonts w:hint="eastAsia" w:asciiTheme="minorEastAsia" w:hAnsiTheme="minorEastAsia" w:eastAsiaTheme="minorEastAsia" w:cstheme="minorEastAsia"/>
          <w:sz w:val="32"/>
          <w:szCs w:val="32"/>
        </w:rPr>
        <w:t>万元，包括人员经费</w:t>
      </w:r>
      <w:r>
        <w:rPr>
          <w:rFonts w:hint="eastAsia" w:asciiTheme="minorEastAsia" w:hAnsiTheme="minorEastAsia" w:cstheme="minorEastAsia"/>
          <w:sz w:val="32"/>
          <w:szCs w:val="32"/>
          <w:lang w:val="en-US" w:eastAsia="zh-CN"/>
        </w:rPr>
        <w:t>496.09</w:t>
      </w:r>
      <w:r>
        <w:rPr>
          <w:rFonts w:hint="eastAsia" w:asciiTheme="minorEastAsia" w:hAnsiTheme="minorEastAsia" w:eastAsiaTheme="minorEastAsia" w:cstheme="minorEastAsia"/>
          <w:sz w:val="32"/>
          <w:szCs w:val="32"/>
        </w:rPr>
        <w:t>万元和日常公用经费</w:t>
      </w:r>
      <w:r>
        <w:rPr>
          <w:rFonts w:hint="eastAsia" w:asciiTheme="minorEastAsia" w:hAnsiTheme="minorEastAsia" w:cstheme="minorEastAsia"/>
          <w:sz w:val="32"/>
          <w:szCs w:val="32"/>
          <w:lang w:val="en-US" w:eastAsia="zh-CN"/>
        </w:rPr>
        <w:t>425.79</w:t>
      </w:r>
      <w:r>
        <w:rPr>
          <w:rFonts w:hint="eastAsia" w:asciiTheme="minorEastAsia" w:hAnsiTheme="minorEastAsia" w:eastAsiaTheme="minorEastAsia" w:cstheme="minorEastAsia"/>
          <w:sz w:val="32"/>
          <w:szCs w:val="32"/>
        </w:rPr>
        <w:t>万元；项目支出</w:t>
      </w:r>
      <w:r>
        <w:rPr>
          <w:rFonts w:hint="eastAsia" w:asciiTheme="minorEastAsia" w:hAnsiTheme="minorEastAsia" w:cstheme="minorEastAsia"/>
          <w:sz w:val="32"/>
          <w:szCs w:val="32"/>
          <w:lang w:val="en-US" w:eastAsia="zh-CN"/>
        </w:rPr>
        <w:t>889.64</w:t>
      </w:r>
      <w:r>
        <w:rPr>
          <w:rFonts w:hint="eastAsia" w:asciiTheme="minorEastAsia" w:hAnsiTheme="minorEastAsia" w:eastAsiaTheme="minorEastAsia" w:cstheme="minorEastAsia"/>
          <w:sz w:val="32"/>
          <w:szCs w:val="32"/>
        </w:rPr>
        <w:t>万元，</w:t>
      </w:r>
      <w:r>
        <w:rPr>
          <w:rFonts w:hint="eastAsia" w:asciiTheme="minorEastAsia" w:hAnsiTheme="minorEastAsia" w:eastAsiaTheme="minorEastAsia" w:cstheme="minorEastAsia"/>
          <w:sz w:val="32"/>
          <w:szCs w:val="32"/>
          <w:lang w:eastAsia="zh-CN"/>
        </w:rPr>
        <w:t>包括政法网建设、综治中心建设、铁路沿线视频监控系统建设项目资金，以及综治大案要案、护路执勤补贴、精神障碍患者补助金、维稳经费、涉法涉诉补助金等。</w:t>
      </w:r>
    </w:p>
    <w:p>
      <w:pPr>
        <w:numPr>
          <w:ilvl w:val="0"/>
          <w:numId w:val="1"/>
        </w:numPr>
        <w:ind w:firstLine="640" w:firstLineChars="200"/>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比上年增减情况</w:t>
      </w:r>
    </w:p>
    <w:p>
      <w:pPr>
        <w:numPr>
          <w:ilvl w:val="0"/>
          <w:numId w:val="0"/>
        </w:numPr>
        <w:rPr>
          <w:rFonts w:hint="eastAsia" w:asciiTheme="minorEastAsia" w:hAnsiTheme="minorEastAsia" w:eastAsiaTheme="minorEastAsia" w:cstheme="minorEastAsia"/>
          <w:sz w:val="32"/>
          <w:szCs w:val="32"/>
          <w:lang w:val="en-US" w:eastAsia="zh-CN"/>
        </w:rPr>
      </w:pPr>
      <w:r>
        <w:rPr>
          <w:rFonts w:hint="eastAsia" w:asciiTheme="minorEastAsia" w:hAnsiTheme="minorEastAsia" w:eastAsiaTheme="minorEastAsia" w:cstheme="minorEastAsia"/>
          <w:sz w:val="32"/>
          <w:szCs w:val="32"/>
          <w:lang w:val="en-US" w:eastAsia="zh-CN"/>
        </w:rPr>
        <w:t xml:space="preserve">     </w:t>
      </w:r>
      <w:r>
        <w:rPr>
          <w:rFonts w:hint="eastAsia" w:asciiTheme="minorEastAsia" w:hAnsiTheme="minorEastAsia" w:cstheme="minorEastAsia"/>
          <w:sz w:val="32"/>
          <w:szCs w:val="32"/>
          <w:lang w:val="en-US" w:eastAsia="zh-CN"/>
        </w:rPr>
        <w:t>2020年度预算1811.52万元，较上年度比较减少802.31万元，其中：基本支出增加318.15万元，主要是劳务派遣人员的增加；项目支出减少1120.46万元，主要由于政法四级网、综治中心建设等项目按照合同支付资金减少。</w:t>
      </w:r>
    </w:p>
    <w:p>
      <w:pPr>
        <w:autoSpaceDE w:val="0"/>
        <w:autoSpaceDN w:val="0"/>
        <w:adjustRightInd w:val="0"/>
        <w:ind w:firstLine="640" w:firstLineChars="200"/>
        <w:jc w:val="left"/>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三、机关运行经费安排情况</w:t>
      </w:r>
    </w:p>
    <w:p>
      <w:pPr>
        <w:autoSpaceDE w:val="0"/>
        <w:autoSpaceDN w:val="0"/>
        <w:adjustRightInd w:val="0"/>
        <w:ind w:left="198" w:firstLine="640" w:firstLineChars="200"/>
        <w:jc w:val="left"/>
        <w:rPr>
          <w:rFonts w:hint="eastAsia"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2020年，我部门机关运行经费共计安排</w:t>
      </w:r>
      <w:r>
        <w:rPr>
          <w:rFonts w:hint="eastAsia" w:asciiTheme="minorEastAsia" w:hAnsiTheme="minorEastAsia" w:cstheme="minorEastAsia"/>
          <w:sz w:val="32"/>
          <w:szCs w:val="32"/>
          <w:lang w:val="en-US" w:eastAsia="zh-CN"/>
        </w:rPr>
        <w:t>425.79</w:t>
      </w:r>
      <w:r>
        <w:rPr>
          <w:rFonts w:hint="eastAsia" w:asciiTheme="minorEastAsia" w:hAnsiTheme="minorEastAsia" w:eastAsiaTheme="minorEastAsia" w:cstheme="minorEastAsia"/>
          <w:sz w:val="32"/>
          <w:szCs w:val="32"/>
        </w:rPr>
        <w:t>万元，主要用于保证机关正常运转的办公及印刷费、邮电费、差旅费、会议费、福利费、</w:t>
      </w:r>
      <w:r>
        <w:rPr>
          <w:rFonts w:hint="eastAsia" w:asciiTheme="minorEastAsia" w:hAnsiTheme="minorEastAsia" w:cstheme="minorEastAsia"/>
          <w:sz w:val="32"/>
          <w:szCs w:val="32"/>
          <w:lang w:val="en-US" w:eastAsia="zh-CN"/>
        </w:rPr>
        <w:t>委托业务费</w:t>
      </w:r>
      <w:r>
        <w:rPr>
          <w:rFonts w:hint="eastAsia" w:asciiTheme="minorEastAsia" w:hAnsiTheme="minorEastAsia" w:eastAsiaTheme="minorEastAsia" w:cstheme="minorEastAsia"/>
          <w:sz w:val="32"/>
          <w:szCs w:val="32"/>
        </w:rPr>
        <w:t>及一般设备购置费</w:t>
      </w:r>
      <w:r>
        <w:rPr>
          <w:rFonts w:hint="eastAsia" w:asciiTheme="minorEastAsia" w:hAnsiTheme="minorEastAsia" w:cstheme="minorEastAsia"/>
          <w:sz w:val="32"/>
          <w:szCs w:val="32"/>
          <w:lang w:eastAsia="zh-CN"/>
        </w:rPr>
        <w:t>、</w:t>
      </w:r>
      <w:r>
        <w:rPr>
          <w:rFonts w:hint="eastAsia" w:asciiTheme="minorEastAsia" w:hAnsiTheme="minorEastAsia" w:eastAsiaTheme="minorEastAsia" w:cstheme="minorEastAsia"/>
          <w:sz w:val="32"/>
          <w:szCs w:val="32"/>
        </w:rPr>
        <w:t>日常维修费、公务车运行维护费等支出。</w:t>
      </w:r>
    </w:p>
    <w:p>
      <w:pPr>
        <w:autoSpaceDE w:val="0"/>
        <w:autoSpaceDN w:val="0"/>
        <w:adjustRightInd w:val="0"/>
        <w:jc w:val="left"/>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 xml:space="preserve">    </w:t>
      </w:r>
      <w:r>
        <w:rPr>
          <w:rFonts w:hint="eastAsia" w:asciiTheme="minorEastAsia" w:hAnsiTheme="minorEastAsia" w:eastAsiaTheme="minorEastAsia" w:cstheme="minorEastAsia"/>
          <w:sz w:val="32"/>
          <w:szCs w:val="32"/>
        </w:rPr>
        <w:t>四、财政拨款“三公”经费预算情况及增减变化原因</w:t>
      </w:r>
    </w:p>
    <w:p>
      <w:pPr>
        <w:numPr>
          <w:ilvl w:val="0"/>
          <w:numId w:val="0"/>
        </w:numPr>
        <w:rPr>
          <w:rFonts w:hint="eastAsia" w:asciiTheme="minorEastAsia" w:hAnsiTheme="minorEastAsia" w:eastAsiaTheme="minorEastAsia" w:cstheme="minorEastAsia"/>
          <w:sz w:val="32"/>
          <w:szCs w:val="32"/>
        </w:rPr>
      </w:pPr>
      <w:r>
        <w:rPr>
          <w:rFonts w:hint="eastAsia" w:asciiTheme="minorEastAsia" w:hAnsiTheme="minorEastAsia" w:cstheme="minorEastAsia"/>
          <w:sz w:val="32"/>
          <w:szCs w:val="32"/>
          <w:lang w:val="en-US" w:eastAsia="zh-CN"/>
        </w:rPr>
        <w:t xml:space="preserve">    </w:t>
      </w:r>
      <w:r>
        <w:rPr>
          <w:rFonts w:hint="eastAsia" w:asciiTheme="minorEastAsia" w:hAnsiTheme="minorEastAsia" w:cstheme="minorEastAsia"/>
          <w:sz w:val="32"/>
          <w:szCs w:val="32"/>
          <w:lang w:eastAsia="zh-CN"/>
        </w:rPr>
        <w:t>2020</w:t>
      </w:r>
      <w:r>
        <w:rPr>
          <w:rFonts w:hint="eastAsia" w:asciiTheme="minorEastAsia" w:hAnsiTheme="minorEastAsia" w:eastAsiaTheme="minorEastAsia" w:cstheme="minorEastAsia"/>
          <w:sz w:val="32"/>
          <w:szCs w:val="32"/>
        </w:rPr>
        <w:t>年，</w:t>
      </w:r>
      <w:r>
        <w:rPr>
          <w:rFonts w:hint="eastAsia" w:asciiTheme="minorEastAsia" w:hAnsiTheme="minorEastAsia" w:cstheme="minorEastAsia"/>
          <w:sz w:val="32"/>
          <w:szCs w:val="32"/>
          <w:lang w:val="en-US" w:eastAsia="zh-CN"/>
        </w:rPr>
        <w:t>我部门</w:t>
      </w:r>
      <w:r>
        <w:rPr>
          <w:rFonts w:hint="eastAsia" w:asciiTheme="minorEastAsia" w:hAnsiTheme="minorEastAsia" w:eastAsiaTheme="minorEastAsia" w:cstheme="minorEastAsia"/>
          <w:sz w:val="32"/>
          <w:szCs w:val="32"/>
        </w:rPr>
        <w:t>财政拨款“三公”经费预算安排</w:t>
      </w:r>
      <w:r>
        <w:rPr>
          <w:rFonts w:hint="eastAsia" w:asciiTheme="minorEastAsia" w:hAnsiTheme="minorEastAsia" w:eastAsiaTheme="minorEastAsia" w:cstheme="minorEastAsia"/>
          <w:sz w:val="32"/>
          <w:szCs w:val="32"/>
          <w:lang w:val="en-US" w:eastAsia="zh-CN"/>
        </w:rPr>
        <w:t>8.4</w:t>
      </w:r>
      <w:r>
        <w:rPr>
          <w:rFonts w:hint="eastAsia" w:asciiTheme="minorEastAsia" w:hAnsiTheme="minorEastAsia" w:eastAsiaTheme="minorEastAsia" w:cstheme="minorEastAsia"/>
          <w:sz w:val="32"/>
          <w:szCs w:val="32"/>
        </w:rPr>
        <w:t>万元，其中</w:t>
      </w:r>
      <w:r>
        <w:rPr>
          <w:rFonts w:hint="eastAsia" w:asciiTheme="minorEastAsia" w:hAnsiTheme="minorEastAsia" w:cstheme="minorEastAsia"/>
          <w:sz w:val="32"/>
          <w:szCs w:val="32"/>
          <w:lang w:val="en-US" w:eastAsia="zh-CN"/>
        </w:rPr>
        <w:t>因公出国（境）费0万元；</w:t>
      </w:r>
      <w:r>
        <w:rPr>
          <w:rFonts w:hint="eastAsia" w:asciiTheme="minorEastAsia" w:hAnsiTheme="minorEastAsia" w:eastAsiaTheme="minorEastAsia" w:cstheme="minorEastAsia"/>
          <w:sz w:val="32"/>
          <w:szCs w:val="32"/>
        </w:rPr>
        <w:t>公务用车</w:t>
      </w:r>
      <w:r>
        <w:rPr>
          <w:rFonts w:hint="eastAsia" w:asciiTheme="minorEastAsia" w:hAnsiTheme="minorEastAsia" w:cstheme="minorEastAsia"/>
          <w:sz w:val="32"/>
          <w:szCs w:val="32"/>
          <w:lang w:val="en-US" w:eastAsia="zh-CN"/>
        </w:rPr>
        <w:t>购置及</w:t>
      </w:r>
      <w:r>
        <w:rPr>
          <w:rFonts w:hint="eastAsia" w:asciiTheme="minorEastAsia" w:hAnsiTheme="minorEastAsia" w:eastAsiaTheme="minorEastAsia" w:cstheme="minorEastAsia"/>
          <w:sz w:val="32"/>
          <w:szCs w:val="32"/>
        </w:rPr>
        <w:t>运维费</w:t>
      </w:r>
      <w:r>
        <w:rPr>
          <w:rFonts w:hint="eastAsia" w:asciiTheme="minorEastAsia" w:hAnsiTheme="minorEastAsia" w:eastAsiaTheme="minorEastAsia" w:cstheme="minorEastAsia"/>
          <w:sz w:val="32"/>
          <w:szCs w:val="32"/>
          <w:lang w:val="en-US" w:eastAsia="zh-CN"/>
        </w:rPr>
        <w:t>5.4</w:t>
      </w:r>
      <w:r>
        <w:rPr>
          <w:rFonts w:hint="eastAsia" w:asciiTheme="minorEastAsia" w:hAnsiTheme="minorEastAsia" w:eastAsiaTheme="minorEastAsia" w:cstheme="minorEastAsia"/>
          <w:sz w:val="32"/>
          <w:szCs w:val="32"/>
        </w:rPr>
        <w:t>万元</w:t>
      </w:r>
      <w:r>
        <w:rPr>
          <w:rFonts w:hint="eastAsia" w:asciiTheme="minorEastAsia" w:hAnsiTheme="minorEastAsia" w:cstheme="minorEastAsia"/>
          <w:sz w:val="32"/>
          <w:szCs w:val="32"/>
          <w:lang w:eastAsia="zh-CN"/>
        </w:rPr>
        <w:t>（</w:t>
      </w:r>
      <w:r>
        <w:rPr>
          <w:rFonts w:hint="eastAsia" w:asciiTheme="minorEastAsia" w:hAnsiTheme="minorEastAsia" w:cstheme="minorEastAsia"/>
          <w:sz w:val="32"/>
          <w:szCs w:val="32"/>
          <w:lang w:val="en-US" w:eastAsia="zh-CN"/>
        </w:rPr>
        <w:t>其中公务用车购置费0万元，公务用车运维费5.4万</w:t>
      </w:r>
      <w:r>
        <w:rPr>
          <w:rFonts w:hint="eastAsia" w:asciiTheme="minorEastAsia" w:hAnsiTheme="minorEastAsia" w:cstheme="minorEastAsia"/>
          <w:sz w:val="32"/>
          <w:szCs w:val="32"/>
          <w:lang w:eastAsia="zh-CN"/>
        </w:rPr>
        <w:t>）；</w:t>
      </w:r>
      <w:r>
        <w:rPr>
          <w:rFonts w:hint="eastAsia" w:asciiTheme="minorEastAsia" w:hAnsiTheme="minorEastAsia" w:eastAsiaTheme="minorEastAsia" w:cstheme="minorEastAsia"/>
          <w:sz w:val="32"/>
          <w:szCs w:val="32"/>
        </w:rPr>
        <w:t>公务接待费</w:t>
      </w:r>
      <w:r>
        <w:rPr>
          <w:rFonts w:hint="eastAsia" w:asciiTheme="minorEastAsia" w:hAnsiTheme="minorEastAsia" w:eastAsiaTheme="minorEastAsia" w:cstheme="minorEastAsia"/>
          <w:sz w:val="32"/>
          <w:szCs w:val="32"/>
          <w:lang w:val="en-US" w:eastAsia="zh-CN"/>
        </w:rPr>
        <w:t>3</w:t>
      </w:r>
      <w:r>
        <w:rPr>
          <w:rFonts w:hint="eastAsia" w:asciiTheme="minorEastAsia" w:hAnsiTheme="minorEastAsia" w:eastAsiaTheme="minorEastAsia" w:cstheme="minorEastAsia"/>
          <w:sz w:val="32"/>
          <w:szCs w:val="32"/>
        </w:rPr>
        <w:t>万元。</w:t>
      </w:r>
      <w:r>
        <w:rPr>
          <w:rFonts w:hint="eastAsia" w:asciiTheme="minorEastAsia" w:hAnsiTheme="minorEastAsia" w:cstheme="minorEastAsia"/>
          <w:sz w:val="32"/>
          <w:szCs w:val="32"/>
          <w:lang w:val="en-US" w:eastAsia="zh-CN"/>
        </w:rPr>
        <w:t>与上年度相比持平</w:t>
      </w:r>
      <w:r>
        <w:rPr>
          <w:rFonts w:hint="eastAsia" w:asciiTheme="minorEastAsia" w:hAnsiTheme="minorEastAsia" w:eastAsiaTheme="minorEastAsia" w:cstheme="minorEastAsia"/>
          <w:sz w:val="32"/>
          <w:szCs w:val="32"/>
          <w:lang w:val="en-US" w:eastAsia="zh-CN"/>
        </w:rPr>
        <w:t>。</w:t>
      </w:r>
      <w:r>
        <w:rPr>
          <w:rFonts w:hint="eastAsia" w:asciiTheme="minorEastAsia" w:hAnsiTheme="minorEastAsia" w:cstheme="minorEastAsia"/>
          <w:sz w:val="32"/>
          <w:szCs w:val="32"/>
          <w:lang w:val="en-US" w:eastAsia="zh-CN"/>
        </w:rPr>
        <w:t>“三公”经费每年不超上年数目。</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b w:val="0"/>
          <w:bCs/>
          <w:sz w:val="32"/>
          <w:szCs w:val="32"/>
        </w:rPr>
      </w:pPr>
      <w:bookmarkStart w:id="0" w:name="_Toc471398463"/>
      <w:r>
        <w:rPr>
          <w:rFonts w:hint="eastAsia" w:ascii="Times New Roman" w:hAnsi="Times New Roman" w:eastAsia="方正仿宋_GBK" w:cs="Times New Roman"/>
          <w:b w:val="0"/>
          <w:bCs/>
          <w:sz w:val="32"/>
          <w:szCs w:val="32"/>
        </w:rPr>
        <w:t>第一部分  部门整体绩效目标</w:t>
      </w:r>
    </w:p>
    <w:bookmarkEnd w:id="0"/>
    <w:p>
      <w:pPr>
        <w:ind w:firstLine="562" w:firstLineChars="200"/>
        <w:jc w:val="left"/>
        <w:outlineLvl w:val="1"/>
        <w:rPr>
          <w:rFonts w:ascii="Times New Roman" w:hAnsi="宋体"/>
          <w:b/>
          <w:bCs/>
          <w:sz w:val="28"/>
        </w:rPr>
      </w:pPr>
      <w:r>
        <w:rPr>
          <w:rFonts w:hint="eastAsia" w:ascii="方正黑体_GBK" w:eastAsia="方正黑体_GBK"/>
          <w:b/>
          <w:bCs/>
          <w:sz w:val="28"/>
        </w:rPr>
        <w:t>一、总体绩效目标</w:t>
      </w:r>
      <w:r>
        <w:rPr>
          <w:b/>
          <w:bCs/>
        </w:rPr>
        <w:fldChar w:fldCharType="begin"/>
      </w:r>
      <w:r>
        <w:rPr>
          <w:rFonts w:ascii="方正黑体_GBK" w:eastAsia="方正黑体_GBK"/>
          <w:b/>
          <w:bCs/>
          <w:sz w:val="28"/>
        </w:rPr>
        <w:instrText xml:space="preserve"> </w:instrText>
      </w:r>
      <w:r>
        <w:rPr>
          <w:rFonts w:hint="eastAsia" w:ascii="方正黑体_GBK" w:eastAsia="方正黑体_GBK"/>
          <w:b/>
          <w:bCs/>
          <w:sz w:val="28"/>
        </w:rPr>
        <w:instrText xml:space="preserve">TC </w:instrText>
      </w:r>
      <w:bookmarkStart w:id="1" w:name="_Toc32498195"/>
      <w:r>
        <w:rPr>
          <w:rFonts w:hint="eastAsia" w:ascii="方正黑体_GBK" w:eastAsia="方正黑体_GBK"/>
          <w:b/>
          <w:bCs/>
          <w:sz w:val="28"/>
        </w:rPr>
        <w:instrText xml:space="preserve">总体绩效目标</w:instrText>
      </w:r>
      <w:bookmarkEnd w:id="1"/>
      <w:r>
        <w:rPr>
          <w:rFonts w:hint="eastAsia" w:ascii="方正黑体_GBK" w:eastAsia="方正黑体_GBK"/>
          <w:b/>
          <w:bCs/>
          <w:sz w:val="28"/>
        </w:rPr>
        <w:instrText xml:space="preserve"> \f A \l 1</w:instrText>
      </w:r>
      <w:r>
        <w:rPr>
          <w:rFonts w:ascii="方正黑体_GBK" w:eastAsia="方正黑体_GBK"/>
          <w:b/>
          <w:bCs/>
          <w:sz w:val="28"/>
        </w:rPr>
        <w:instrText xml:space="preserve"> </w:instrText>
      </w:r>
      <w:r>
        <w:rPr>
          <w:rFonts w:ascii="方正黑体_GBK" w:eastAsia="方正黑体_GBK"/>
          <w:b/>
          <w:bCs/>
          <w:sz w:val="28"/>
        </w:rPr>
        <w:fldChar w:fldCharType="end"/>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坚持以习近平新时代中国特色社会主义思想为指导，深入学习贯彻《中国共产党政法工作条例》，始终坚持党对政法工作的绝对领导，坚持以人民为中心的发展思想，坚持稳中求进工作总基调，持续深入推进扫黑除恶专项斗争，加快推进基层社会治理现代化，统筹抓好平安鹿泉、法治鹿泉建设，进一步加强革命化正规化专业化职业化政法队伍建设，为建设“经济强区、大美新城、幸福鹿泉”创造安全的政治环境、稳定的社会环境、公正的法治环境和优质的服务环境。</w:t>
      </w:r>
    </w:p>
    <w:p>
      <w:pPr>
        <w:spacing w:line="500" w:lineRule="exact"/>
        <w:ind w:firstLine="560" w:firstLineChars="200"/>
        <w:jc w:val="left"/>
        <w:rPr>
          <w:rFonts w:ascii="Times New Roman" w:eastAsia="方正仿宋_GBK"/>
          <w:sz w:val="28"/>
        </w:rPr>
      </w:pPr>
    </w:p>
    <w:p>
      <w:pPr>
        <w:spacing w:line="500" w:lineRule="exact"/>
        <w:ind w:firstLine="562" w:firstLineChars="200"/>
        <w:jc w:val="left"/>
        <w:outlineLvl w:val="1"/>
        <w:rPr>
          <w:rFonts w:ascii="Times New Roman" w:hAnsi="宋体"/>
          <w:sz w:val="28"/>
        </w:rPr>
      </w:pPr>
      <w:r>
        <w:rPr>
          <w:rFonts w:hint="eastAsia" w:ascii="方正黑体_GBK" w:eastAsia="方正黑体_GBK"/>
          <w:b/>
          <w:bCs/>
          <w:sz w:val="28"/>
        </w:rPr>
        <w:t>二、分项绩效目标</w:t>
      </w:r>
      <w: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w:instrText>
      </w:r>
      <w:bookmarkStart w:id="2" w:name="_Toc32498196"/>
      <w:r>
        <w:rPr>
          <w:rFonts w:hint="eastAsia" w:ascii="方正黑体_GBK" w:eastAsia="方正黑体_GBK"/>
          <w:sz w:val="28"/>
        </w:rPr>
        <w:instrText xml:space="preserve">分项绩效目标</w:instrText>
      </w:r>
      <w:bookmarkEnd w:id="2"/>
      <w:r>
        <w:rPr>
          <w:rFonts w:hint="eastAsia" w:ascii="方正黑体_GBK" w:eastAsia="方正黑体_GBK"/>
          <w:sz w:val="28"/>
        </w:rPr>
        <w:instrText xml:space="preserve"> \f A \l 1</w:instrText>
      </w:r>
      <w:r>
        <w:rPr>
          <w:rFonts w:ascii="方正黑体_GBK" w:eastAsia="方正黑体_GBK"/>
          <w:sz w:val="28"/>
        </w:rPr>
        <w:instrText xml:space="preserve"> </w:instrText>
      </w:r>
      <w:r>
        <w:rPr>
          <w:rFonts w:ascii="方正黑体_GBK" w:eastAsia="方正黑体_GBK"/>
          <w:sz w:val="28"/>
        </w:rPr>
        <w:fldChar w:fldCharType="end"/>
      </w:r>
    </w:p>
    <w:p>
      <w:pPr>
        <w:spacing w:line="500" w:lineRule="exact"/>
        <w:ind w:firstLine="560" w:firstLineChars="200"/>
        <w:jc w:val="left"/>
        <w:rPr>
          <w:rFonts w:ascii="Times New Roman" w:eastAsia="方正仿宋_GBK"/>
          <w:sz w:val="28"/>
        </w:rPr>
      </w:pPr>
      <w:r>
        <w:rPr>
          <w:rFonts w:ascii="Times New Roman" w:eastAsia="方正仿宋_GBK"/>
          <w:sz w:val="28"/>
        </w:rPr>
        <w:t>一、组织、协调 、指导、检查全区社会管理综合治理工作，推动各项工作落实。社会治安突出问题得以解决，社会矛盾纠纷得以排查和调处，社会治安形势好转。</w:t>
      </w:r>
    </w:p>
    <w:p>
      <w:pPr>
        <w:spacing w:line="500" w:lineRule="exact"/>
        <w:ind w:firstLine="560" w:firstLineChars="200"/>
        <w:jc w:val="left"/>
        <w:rPr>
          <w:rFonts w:ascii="Times New Roman" w:eastAsia="方正仿宋_GBK"/>
          <w:sz w:val="28"/>
        </w:rPr>
      </w:pPr>
      <w:r>
        <w:rPr>
          <w:rFonts w:ascii="Times New Roman" w:eastAsia="方正仿宋_GBK"/>
          <w:sz w:val="28"/>
        </w:rPr>
        <w:t>绩效目标：创新社会治理、建设更高水平平安鹿泉，打牢综治工作根基，提升建设成效，更好发挥首都政治护城河作用。</w:t>
      </w:r>
    </w:p>
    <w:p>
      <w:pPr>
        <w:spacing w:line="500" w:lineRule="exact"/>
        <w:ind w:firstLine="560" w:firstLineChars="200"/>
        <w:jc w:val="left"/>
        <w:rPr>
          <w:rFonts w:ascii="Times New Roman" w:eastAsia="方正仿宋_GBK"/>
          <w:sz w:val="28"/>
        </w:rPr>
      </w:pPr>
      <w:r>
        <w:rPr>
          <w:rFonts w:ascii="Times New Roman" w:eastAsia="方正仿宋_GBK"/>
          <w:sz w:val="28"/>
        </w:rPr>
        <w:t>绩效指标：1见义勇为表彰率100%；人民调解案件500件以上，立体化社会治安防控体系覆盖率90%以上；2通过购买服务确保铁路护路队员、调解中心调解员、心理咨询师、及综治中心专职人员工资及社保得以保障，及时、足额发放率达到90%以上，使各项工作得以顺利开展；3为精神病监护人购买责任保险及“以奖代补”使治安刑事案件下降率90%以上，公众安全感指数达到90%以上，保障了人民生命、财产安全，有效对冲社会风险；4铁路护路经费保障排查影响治安隐患10次以上，宣传、教育铁路沿线在校学生群众40000人次以上，清理影响运行的安全因素100次以上，确保0次涉路事件的发生。</w:t>
      </w:r>
    </w:p>
    <w:p>
      <w:pPr>
        <w:spacing w:line="500" w:lineRule="exact"/>
        <w:ind w:firstLine="560" w:firstLineChars="200"/>
        <w:jc w:val="left"/>
        <w:rPr>
          <w:rFonts w:ascii="Times New Roman" w:eastAsia="方正仿宋_GBK"/>
          <w:sz w:val="28"/>
        </w:rPr>
      </w:pPr>
      <w:r>
        <w:rPr>
          <w:rFonts w:ascii="Times New Roman" w:eastAsia="方正仿宋_GBK"/>
          <w:sz w:val="28"/>
        </w:rPr>
        <w:t>二、指导、协调和督导有关单位、区直政法各部门和各乡镇区排查、化解影响社会稳定的重大隐患、群体性事件和突发事件。</w:t>
      </w:r>
    </w:p>
    <w:p>
      <w:pPr>
        <w:spacing w:line="500" w:lineRule="exact"/>
        <w:ind w:firstLine="560" w:firstLineChars="200"/>
        <w:jc w:val="left"/>
        <w:rPr>
          <w:rFonts w:ascii="Times New Roman" w:eastAsia="方正仿宋_GBK"/>
          <w:sz w:val="28"/>
        </w:rPr>
      </w:pPr>
      <w:r>
        <w:rPr>
          <w:rFonts w:ascii="Times New Roman" w:eastAsia="方正仿宋_GBK"/>
          <w:sz w:val="28"/>
        </w:rPr>
        <w:t>绩效目标：主要是用于两会期间及重大安保期间的特情，信息收集，为平安鹿泉创建提供后勤保障。发挥好首都政治护城河的作用。保障老百姓安居乐业。为我区经济发展保驾护航。</w:t>
      </w:r>
    </w:p>
    <w:p>
      <w:pPr>
        <w:spacing w:line="500" w:lineRule="exact"/>
        <w:ind w:firstLine="560" w:firstLineChars="200"/>
        <w:jc w:val="left"/>
        <w:rPr>
          <w:rFonts w:ascii="Times New Roman" w:eastAsia="方正仿宋_GBK"/>
          <w:sz w:val="28"/>
        </w:rPr>
      </w:pPr>
      <w:r>
        <w:rPr>
          <w:rFonts w:ascii="Times New Roman" w:eastAsia="方正仿宋_GBK"/>
          <w:sz w:val="28"/>
        </w:rPr>
        <w:t>绩效指标：协调督导事项化解率90%以上；重大安保任务完成率90%以上；涉稳舆情处置率90%以上；重大活动突发事件发生率20%以下。</w:t>
      </w:r>
    </w:p>
    <w:p>
      <w:pPr>
        <w:spacing w:line="500" w:lineRule="exact"/>
        <w:ind w:firstLine="560" w:firstLineChars="200"/>
        <w:jc w:val="left"/>
        <w:rPr>
          <w:rFonts w:ascii="Times New Roman" w:eastAsia="方正仿宋_GBK"/>
          <w:sz w:val="28"/>
        </w:rPr>
      </w:pPr>
      <w:r>
        <w:rPr>
          <w:rFonts w:ascii="Times New Roman" w:eastAsia="方正仿宋_GBK"/>
          <w:sz w:val="28"/>
        </w:rPr>
        <w:t>三、加大司法救助，体现司法人文关怀</w:t>
      </w:r>
    </w:p>
    <w:p>
      <w:pPr>
        <w:spacing w:line="500" w:lineRule="exact"/>
        <w:ind w:firstLine="560" w:firstLineChars="200"/>
        <w:jc w:val="left"/>
        <w:rPr>
          <w:rFonts w:ascii="Times New Roman" w:eastAsia="方正仿宋_GBK"/>
          <w:sz w:val="28"/>
        </w:rPr>
      </w:pPr>
      <w:r>
        <w:rPr>
          <w:rFonts w:ascii="Times New Roman" w:eastAsia="方正仿宋_GBK"/>
          <w:sz w:val="28"/>
        </w:rPr>
        <w:t>绩效目标：解决符合条件的特定案件当事人生活面临的急迫困难。彰显党和政府的民生关怀，促进社会和谐稳定。</w:t>
      </w:r>
    </w:p>
    <w:p>
      <w:pPr>
        <w:spacing w:line="500" w:lineRule="exact"/>
        <w:ind w:firstLine="560" w:firstLineChars="200"/>
        <w:jc w:val="left"/>
        <w:rPr>
          <w:rFonts w:ascii="Times New Roman" w:eastAsia="方正仿宋_GBK"/>
          <w:sz w:val="28"/>
        </w:rPr>
      </w:pPr>
      <w:r>
        <w:rPr>
          <w:rFonts w:ascii="Times New Roman" w:eastAsia="方正仿宋_GBK"/>
          <w:sz w:val="28"/>
        </w:rPr>
        <w:t>绩效指标：每年救助人数不少于10起；资金发放及时率90%以上，息诉罢访率达到90%以上；信访积案化解率90%以上。</w:t>
      </w:r>
    </w:p>
    <w:p>
      <w:pPr>
        <w:spacing w:line="500" w:lineRule="exact"/>
        <w:ind w:firstLine="560" w:firstLineChars="200"/>
        <w:jc w:val="left"/>
        <w:rPr>
          <w:rFonts w:ascii="Times New Roman" w:eastAsia="方正仿宋_GBK"/>
          <w:sz w:val="28"/>
        </w:rPr>
      </w:pPr>
      <w:r>
        <w:rPr>
          <w:rFonts w:ascii="Times New Roman" w:eastAsia="方正仿宋_GBK"/>
          <w:sz w:val="28"/>
        </w:rPr>
        <w:t>四、深入开展扫黑除恶专项斗争</w:t>
      </w:r>
    </w:p>
    <w:p>
      <w:pPr>
        <w:spacing w:line="500" w:lineRule="exact"/>
        <w:ind w:firstLine="560" w:firstLineChars="200"/>
        <w:jc w:val="left"/>
        <w:rPr>
          <w:rFonts w:ascii="Times New Roman" w:eastAsia="方正仿宋_GBK"/>
          <w:sz w:val="28"/>
        </w:rPr>
      </w:pPr>
      <w:r>
        <w:rPr>
          <w:rFonts w:ascii="Times New Roman" w:eastAsia="方正仿宋_GBK"/>
          <w:sz w:val="28"/>
        </w:rPr>
        <w:t>绩效目标：通过更全面，更深入的扫除黑恶势力，从源头打击犯罪，夯实党的执政根基，巩固党的执政基础，加强基层政权建设，维护国家长治久安。</w:t>
      </w:r>
    </w:p>
    <w:p>
      <w:pPr>
        <w:spacing w:line="500" w:lineRule="exact"/>
        <w:ind w:firstLine="560" w:firstLineChars="200"/>
        <w:jc w:val="left"/>
        <w:rPr>
          <w:rFonts w:ascii="Times New Roman" w:eastAsia="方正仿宋_GBK"/>
          <w:sz w:val="28"/>
        </w:rPr>
      </w:pPr>
      <w:r>
        <w:rPr>
          <w:rFonts w:ascii="Times New Roman" w:eastAsia="方正仿宋_GBK"/>
          <w:sz w:val="28"/>
        </w:rPr>
        <w:t>绩效指标：制作宣传品数量80000份，组织宣传活动8次；开办宣传专栏数2个；重大活动突发事件发生率20%以下。</w:t>
      </w:r>
    </w:p>
    <w:p>
      <w:pPr>
        <w:spacing w:line="500" w:lineRule="exact"/>
        <w:ind w:firstLine="560" w:firstLineChars="200"/>
        <w:jc w:val="left"/>
        <w:rPr>
          <w:rFonts w:ascii="Times New Roman" w:eastAsia="方正仿宋_GBK"/>
          <w:sz w:val="28"/>
        </w:rPr>
      </w:pPr>
      <w:r>
        <w:rPr>
          <w:rFonts w:ascii="Times New Roman" w:eastAsia="方正仿宋_GBK"/>
          <w:sz w:val="28"/>
        </w:rPr>
        <w:t>五、了解掌握各部门动态，协调督促各部门工作，负责政法网运维和综治中心正常运行管理。保障政法各部门和各内设处室各项工作运转紧张有序、正规高效运行。</w:t>
      </w:r>
    </w:p>
    <w:p>
      <w:pPr>
        <w:spacing w:line="500" w:lineRule="exact"/>
        <w:ind w:firstLine="560" w:firstLineChars="200"/>
        <w:jc w:val="left"/>
        <w:rPr>
          <w:rFonts w:ascii="Times New Roman" w:eastAsia="方正仿宋_GBK"/>
          <w:sz w:val="28"/>
        </w:rPr>
      </w:pPr>
      <w:r>
        <w:rPr>
          <w:rFonts w:ascii="Times New Roman" w:eastAsia="方正仿宋_GBK"/>
          <w:sz w:val="28"/>
        </w:rPr>
        <w:t>绩效目标：1.政法网纵向连接省市区乡镇四级网络正常运营。横向维护公安，检察院、法院和司法系统信息共享受；2.综治中心电费得以保障，机器及时得到维护，机器正常运转。</w:t>
      </w:r>
    </w:p>
    <w:p>
      <w:pPr>
        <w:spacing w:line="500" w:lineRule="exact"/>
        <w:ind w:firstLine="560" w:firstLineChars="200"/>
        <w:jc w:val="left"/>
        <w:rPr>
          <w:rFonts w:ascii="Times New Roman" w:eastAsia="方正仿宋_GBK"/>
          <w:sz w:val="28"/>
        </w:rPr>
      </w:pPr>
      <w:r>
        <w:rPr>
          <w:rFonts w:ascii="Times New Roman" w:eastAsia="方正仿宋_GBK"/>
          <w:sz w:val="28"/>
        </w:rPr>
        <w:t>绩效指标：保障政法网正常运行，坚持每天维护一次，异常处理能力90%以上，系统故障率10%以下，使用户满意率达到90%以上。综合事务保障率90%以上。</w:t>
      </w:r>
    </w:p>
    <w:p>
      <w:pPr>
        <w:spacing w:line="500" w:lineRule="exact"/>
        <w:ind w:firstLine="560" w:firstLineChars="200"/>
        <w:jc w:val="left"/>
        <w:rPr>
          <w:rFonts w:ascii="Times New Roman" w:eastAsia="方正仿宋_GBK"/>
          <w:sz w:val="28"/>
        </w:rPr>
      </w:pPr>
      <w:r>
        <w:rPr>
          <w:rFonts w:ascii="Times New Roman" w:eastAsia="方正仿宋_GBK"/>
          <w:sz w:val="28"/>
        </w:rPr>
        <w:t>六、统筹推动政法系统信息化工作，指导政法智能化建设。</w:t>
      </w:r>
    </w:p>
    <w:p>
      <w:pPr>
        <w:spacing w:line="500" w:lineRule="exact"/>
        <w:ind w:firstLine="560" w:firstLineChars="200"/>
        <w:jc w:val="left"/>
        <w:rPr>
          <w:rFonts w:ascii="Times New Roman" w:eastAsia="方正仿宋_GBK"/>
          <w:sz w:val="28"/>
        </w:rPr>
      </w:pPr>
      <w:r>
        <w:rPr>
          <w:rFonts w:ascii="Times New Roman" w:eastAsia="方正仿宋_GBK"/>
          <w:sz w:val="28"/>
        </w:rPr>
        <w:t>绩效目标：保障综治网格员手机终端、四级网、铁路视频监控系统建设快速高效畅通。创新社会治理、建设更高水平平安鹿泉，打牢综治工作根基，更好发挥首都政治护城河作用。</w:t>
      </w:r>
    </w:p>
    <w:p>
      <w:pPr>
        <w:spacing w:line="500" w:lineRule="exact"/>
        <w:ind w:firstLine="560" w:firstLineChars="200"/>
        <w:jc w:val="left"/>
        <w:rPr>
          <w:rFonts w:ascii="Times New Roman" w:eastAsia="方正仿宋_GBK"/>
          <w:sz w:val="28"/>
        </w:rPr>
      </w:pPr>
      <w:r>
        <w:rPr>
          <w:rFonts w:ascii="Times New Roman" w:eastAsia="方正仿宋_GBK"/>
          <w:sz w:val="28"/>
        </w:rPr>
        <w:t>绩效指标：1.系统响应速率90%以上，设计功能实现率达到90%以上，综合利用率90%以上。</w:t>
      </w:r>
    </w:p>
    <w:p>
      <w:pPr>
        <w:spacing w:line="500" w:lineRule="exact"/>
        <w:ind w:firstLine="562" w:firstLineChars="200"/>
        <w:jc w:val="left"/>
        <w:rPr>
          <w:rFonts w:ascii="Times New Roman" w:eastAsia="方正仿宋_GBK"/>
          <w:b/>
          <w:bCs/>
          <w:sz w:val="28"/>
        </w:rPr>
      </w:pPr>
    </w:p>
    <w:p>
      <w:pPr>
        <w:spacing w:line="500" w:lineRule="exact"/>
        <w:ind w:firstLine="562" w:firstLineChars="200"/>
        <w:jc w:val="left"/>
        <w:outlineLvl w:val="1"/>
        <w:rPr>
          <w:rFonts w:ascii="Times New Roman" w:hAnsi="宋体"/>
          <w:sz w:val="28"/>
        </w:rPr>
      </w:pPr>
      <w:r>
        <w:rPr>
          <w:rFonts w:hint="eastAsia" w:ascii="方正黑体_GBK" w:eastAsia="方正黑体_GBK"/>
          <w:b/>
          <w:bCs/>
          <w:sz w:val="28"/>
        </w:rPr>
        <w:t>三、工作保障措施</w:t>
      </w:r>
      <w: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w:instrText>
      </w:r>
      <w:bookmarkStart w:id="3" w:name="_Toc32498197"/>
      <w:r>
        <w:rPr>
          <w:rFonts w:hint="eastAsia" w:ascii="方正黑体_GBK" w:eastAsia="方正黑体_GBK"/>
          <w:sz w:val="28"/>
        </w:rPr>
        <w:instrText xml:space="preserve">工作保障措施</w:instrText>
      </w:r>
      <w:bookmarkEnd w:id="3"/>
      <w:r>
        <w:rPr>
          <w:rFonts w:hint="eastAsia" w:ascii="方正黑体_GBK" w:eastAsia="方正黑体_GBK"/>
          <w:sz w:val="28"/>
        </w:rPr>
        <w:instrText xml:space="preserve"> \f A \l 1</w:instrText>
      </w:r>
      <w:r>
        <w:rPr>
          <w:rFonts w:ascii="方正黑体_GBK" w:eastAsia="方正黑体_GBK"/>
          <w:sz w:val="28"/>
        </w:rPr>
        <w:instrText xml:space="preserve"> </w:instrText>
      </w:r>
      <w:r>
        <w:rPr>
          <w:rFonts w:ascii="方正黑体_GBK" w:eastAsia="方正黑体_GBK"/>
          <w:sz w:val="28"/>
        </w:rPr>
        <w:fldChar w:fldCharType="end"/>
      </w:r>
    </w:p>
    <w:p>
      <w:pPr>
        <w:spacing w:line="500" w:lineRule="exact"/>
        <w:ind w:firstLine="560" w:firstLineChars="200"/>
        <w:jc w:val="left"/>
        <w:rPr>
          <w:rFonts w:ascii="Times New Roman" w:eastAsia="方正仿宋_GBK"/>
          <w:sz w:val="28"/>
        </w:rPr>
      </w:pPr>
      <w:r>
        <w:rPr>
          <w:rFonts w:ascii="Times New Roman" w:eastAsia="方正仿宋_GBK"/>
          <w:sz w:val="28"/>
        </w:rPr>
        <w:t>1、完善了制度建设。制定完善了预算绩效管理制度、资金管理办法、工作保障制度，为全年预算绩效目标的实现奠定制度基础。</w:t>
      </w:r>
    </w:p>
    <w:p>
      <w:pPr>
        <w:spacing w:line="500" w:lineRule="exact"/>
        <w:ind w:firstLine="560" w:firstLineChars="200"/>
        <w:jc w:val="left"/>
        <w:rPr>
          <w:rFonts w:ascii="Times New Roman" w:eastAsia="方正仿宋_GBK"/>
          <w:sz w:val="28"/>
        </w:rPr>
      </w:pPr>
      <w:r>
        <w:rPr>
          <w:rFonts w:ascii="Times New Roman" w:eastAsia="方正仿宋_GBK"/>
          <w:sz w:val="28"/>
        </w:rPr>
        <w:t>2、加快支出管理。通过优化支出结构、编细编实预算、加快履行政府采购手续、尽快启动项目、及时支付资金、6月底前细化代编预算，按规定及时下达资金等多种措施，确保支出进度达标。</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3、加强绩效运行监控。按照要求开展绩效运行监控、发现问题及时采取措施，确保绩效目标如期保质实现。</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4、做好绩效自评。单位成立绩效自评小组，按照要求开展上年度部门预算绩效自评和重点评价工作，对评价中发现的问题及时整改，调整优化支出结构，提高财政资金使用效益。</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5、规范财务资产管理。完善财务管理制度，严格审批程序，加强固定资产登记、使用和报废处置管理，做到支出合理，物尽其用。</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6、加强内部监督。加强内部监督制度建设，对绩效运行情况、重大支出决策和资产处置进行督导，对会计资料进行内部审计，并配合做好审计、财政监督等外部监督工作，确保财政资金使用安全有效。</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7、加强宣传培训调研。加强人员培训，提高本部门职工业务素质；加强调研、提出优化财政资金配置、提高资金使用效益的意见；加大宣传力度，强化预算绩效管理意识，促进语段绩效管理水平。</w:t>
      </w:r>
    </w:p>
    <w:p>
      <w:pPr>
        <w:ind w:firstLine="420" w:firstLineChars="200"/>
        <w:jc w:val="center"/>
        <w:sectPr>
          <w:footerReference r:id="rId3" w:type="default"/>
          <w:pgSz w:w="11907" w:h="16839"/>
          <w:pgMar w:top="1984" w:right="1304" w:bottom="1134" w:left="1304" w:header="851" w:footer="992" w:gutter="0"/>
          <w:cols w:space="425" w:num="1"/>
          <w:docGrid w:type="lines" w:linePitch="312" w:charSpace="0"/>
        </w:sectPr>
      </w:pPr>
    </w:p>
    <w:p>
      <w:pPr>
        <w:autoSpaceDE w:val="0"/>
        <w:autoSpaceDN w:val="0"/>
        <w:adjustRightInd w:val="0"/>
        <w:jc w:val="both"/>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lang w:val="en-US" w:eastAsia="zh-CN"/>
        </w:rPr>
        <w:t xml:space="preserve">   </w:t>
      </w:r>
      <w:r>
        <w:rPr>
          <w:rFonts w:hint="eastAsia" w:ascii="Times New Roman" w:hAnsi="Times New Roman" w:eastAsia="方正仿宋_GBK" w:cs="Times New Roman"/>
          <w:b w:val="0"/>
          <w:bCs/>
          <w:sz w:val="32"/>
          <w:szCs w:val="32"/>
        </w:rPr>
        <w:t>第二部分  预算项目绩效目标</w:t>
      </w:r>
    </w:p>
    <w:p>
      <w:pPr>
        <w:jc w:val="center"/>
      </w:pPr>
    </w:p>
    <w:p>
      <w:pPr>
        <w:ind w:firstLine="562" w:firstLineChars="200"/>
        <w:jc w:val="left"/>
        <w:outlineLvl w:val="1"/>
        <w:rPr>
          <w:rFonts w:ascii="Times New Roman" w:hAnsi="宋体"/>
          <w:b/>
          <w:sz w:val="28"/>
        </w:rPr>
      </w:pPr>
      <w:r>
        <w:rPr>
          <w:rFonts w:hint="eastAsia" w:ascii="方正仿宋_GBK" w:eastAsia="方正仿宋_GBK"/>
          <w:b/>
          <w:sz w:val="28"/>
        </w:rPr>
        <w:t>1、“雪亮工程”建设绩效目标表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2498198"/>
      <w:r>
        <w:rPr>
          <w:rFonts w:hint="eastAsia" w:ascii="方正仿宋_GBK" w:eastAsia="方正仿宋_GBK"/>
          <w:b/>
          <w:sz w:val="28"/>
        </w:rPr>
        <w:instrText xml:space="preserve">1、\“雪亮工程\”建设绩效目标表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000-9999-JSN-RX4T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雪亮工程</w:t>
            </w:r>
            <w:r>
              <w:rPr>
                <w:rFonts w:hint="cs" w:ascii="方正书宋_GBK" w:eastAsia="方正书宋_GBK"/>
              </w:rPr>
              <w:t>”</w:t>
            </w:r>
            <w:r>
              <w:rPr>
                <w:rFonts w:hint="eastAsia" w:ascii="方正书宋_GBK" w:eastAsia="方正书宋_GBK"/>
              </w:rPr>
              <w:t>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40.60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40.60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、支付平台建设合同款</w:t>
            </w:r>
            <w:r>
              <w:rPr>
                <w:rFonts w:ascii="方正书宋_GBK" w:eastAsia="方正书宋_GBK"/>
              </w:rPr>
              <w:t>20.78</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、我区通过招标方式接入</w:t>
            </w:r>
            <w:r>
              <w:rPr>
                <w:rFonts w:ascii="方正书宋_GBK" w:eastAsia="方正书宋_GBK"/>
              </w:rPr>
              <w:t>140</w:t>
            </w:r>
            <w:r>
              <w:rPr>
                <w:rFonts w:hint="eastAsia" w:ascii="方正书宋_GBK" w:eastAsia="方正书宋_GBK"/>
              </w:rPr>
              <w:t>个点位（</w:t>
            </w:r>
            <w:r>
              <w:rPr>
                <w:rFonts w:ascii="方正书宋_GBK" w:eastAsia="方正书宋_GBK"/>
              </w:rPr>
              <w:t>139</w:t>
            </w:r>
            <w:r>
              <w:rPr>
                <w:rFonts w:hint="eastAsia" w:ascii="方正书宋_GBK" w:eastAsia="方正书宋_GBK"/>
              </w:rPr>
              <w:t>个村、</w:t>
            </w:r>
            <w:r>
              <w:rPr>
                <w:rFonts w:ascii="方正书宋_GBK" w:eastAsia="方正书宋_GBK"/>
              </w:rPr>
              <w:t>1</w:t>
            </w:r>
            <w:r>
              <w:rPr>
                <w:rFonts w:hint="eastAsia" w:ascii="方正书宋_GBK" w:eastAsia="方正书宋_GBK"/>
              </w:rPr>
              <w:t>个公园）的视频监控资源联网每年网络租赁费</w:t>
            </w:r>
            <w:r>
              <w:rPr>
                <w:rFonts w:ascii="方正书宋_GBK" w:eastAsia="方正书宋_GBK"/>
              </w:rPr>
              <w:t>6.448</w:t>
            </w:r>
            <w:r>
              <w:rPr>
                <w:rFonts w:hint="eastAsia" w:ascii="方正书宋_GBK" w:eastAsia="方正书宋_GBK"/>
              </w:rPr>
              <w:t>万元，区综治中心视频监控专网租赁费</w:t>
            </w:r>
            <w:r>
              <w:rPr>
                <w:rFonts w:ascii="方正书宋_GBK" w:eastAsia="方正书宋_GBK"/>
              </w:rPr>
              <w:t>3.36</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、设备维修维护。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1</w:t>
            </w:r>
            <w:r>
              <w:rPr>
                <w:rFonts w:hint="eastAsia" w:ascii="方正书宋_GBK" w:eastAsia="方正书宋_GBK"/>
              </w:rPr>
              <w:t>、保障</w:t>
            </w:r>
            <w:r>
              <w:rPr>
                <w:rFonts w:ascii="方正书宋_GBK" w:eastAsia="方正书宋_GBK"/>
              </w:rPr>
              <w:t>140</w:t>
            </w:r>
            <w:r>
              <w:rPr>
                <w:rFonts w:hint="eastAsia" w:ascii="方正书宋_GBK" w:eastAsia="方正书宋_GBK"/>
              </w:rPr>
              <w:t>个点位社会视频监控资源联网运行畅通</w:t>
            </w:r>
            <w:r>
              <w:rPr>
                <w:rFonts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2</w:t>
            </w:r>
            <w:r>
              <w:rPr>
                <w:rFonts w:hint="eastAsia" w:ascii="方正书宋_GBK" w:eastAsia="方正书宋_GBK"/>
              </w:rPr>
              <w:t>、重点行业、领域及公共区域视频监控全覆盖。实现了资源共享</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重点行业领域联网数量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全区重点行业领域联网数量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140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《石家庄市关于推进</w:t>
            </w:r>
            <w:r>
              <w:rPr>
                <w:rFonts w:hint="cs" w:ascii="方正书宋_GBK" w:eastAsia="方正书宋_GBK"/>
              </w:rPr>
              <w:t>“</w:t>
            </w:r>
            <w:r>
              <w:rPr>
                <w:rFonts w:hint="eastAsia" w:ascii="方正书宋_GBK" w:eastAsia="方正书宋_GBK"/>
              </w:rPr>
              <w:t>雪亮工程</w:t>
            </w:r>
            <w:r>
              <w:rPr>
                <w:rFonts w:hint="cs" w:ascii="方正书宋_GBK" w:eastAsia="方正书宋_GBK"/>
              </w:rPr>
              <w:t>”</w:t>
            </w:r>
            <w:r>
              <w:rPr>
                <w:rFonts w:hint="eastAsia" w:ascii="方正书宋_GBK" w:eastAsia="方正书宋_GBK"/>
              </w:rPr>
              <w:t>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37"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重点行业、领域及公共区域视频监控联网率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重点行业、领域及公共区域视频监控联网数占应联网数量比例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《石家庄市关于推进</w:t>
            </w:r>
            <w:r>
              <w:rPr>
                <w:rFonts w:hint="cs" w:ascii="方正书宋_GBK" w:eastAsia="方正书宋_GBK"/>
              </w:rPr>
              <w:t>“</w:t>
            </w:r>
            <w:r>
              <w:rPr>
                <w:rFonts w:hint="eastAsia" w:ascii="方正书宋_GBK" w:eastAsia="方正书宋_GBK"/>
              </w:rPr>
              <w:t>雪亮工程</w:t>
            </w:r>
            <w:r>
              <w:rPr>
                <w:rFonts w:hint="cs" w:ascii="方正书宋_GBK" w:eastAsia="方正书宋_GBK"/>
              </w:rPr>
              <w:t>”</w:t>
            </w:r>
            <w:r>
              <w:rPr>
                <w:rFonts w:hint="eastAsia" w:ascii="方正书宋_GBK" w:eastAsia="方正书宋_GBK"/>
              </w:rPr>
              <w:t>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保障线路畅通</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可保障综治中心及</w:t>
            </w:r>
            <w:r>
              <w:rPr>
                <w:rFonts w:ascii="方正书宋_GBK" w:eastAsia="方正书宋_GBK"/>
              </w:rPr>
              <w:t>140</w:t>
            </w:r>
            <w:r>
              <w:rPr>
                <w:rFonts w:hint="eastAsia" w:ascii="方正书宋_GBK" w:eastAsia="方正书宋_GBK"/>
              </w:rPr>
              <w:t>个点位线路畅通</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保障畅通</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《石家庄市关于推进</w:t>
            </w:r>
            <w:r>
              <w:rPr>
                <w:rFonts w:hint="cs" w:ascii="方正书宋_GBK" w:eastAsia="方正书宋_GBK"/>
              </w:rPr>
              <w:t>“</w:t>
            </w:r>
            <w:r>
              <w:rPr>
                <w:rFonts w:hint="eastAsia" w:ascii="方正书宋_GBK" w:eastAsia="方正书宋_GBK"/>
              </w:rPr>
              <w:t>雪亮工程</w:t>
            </w:r>
            <w:r>
              <w:rPr>
                <w:rFonts w:hint="cs" w:ascii="方正书宋_GBK" w:eastAsia="方正书宋_GBK"/>
              </w:rPr>
              <w:t>”</w:t>
            </w:r>
            <w:r>
              <w:rPr>
                <w:rFonts w:hint="eastAsia" w:ascii="方正书宋_GBK" w:eastAsia="方正书宋_GBK"/>
              </w:rPr>
              <w:t>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资源共享率</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140</w:t>
            </w:r>
            <w:r>
              <w:rPr>
                <w:rFonts w:hint="eastAsia" w:ascii="方正书宋_GBK" w:eastAsia="方正书宋_GBK"/>
              </w:rPr>
              <w:t>个点位视频监控资源与区综治中心互联互通率能否实现资源共享</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《石家庄市关于推进</w:t>
            </w:r>
            <w:r>
              <w:rPr>
                <w:rFonts w:hint="cs" w:ascii="方正书宋_GBK" w:eastAsia="方正书宋_GBK"/>
              </w:rPr>
              <w:t>“</w:t>
            </w:r>
            <w:r>
              <w:rPr>
                <w:rFonts w:hint="eastAsia" w:ascii="方正书宋_GBK" w:eastAsia="方正书宋_GBK"/>
              </w:rPr>
              <w:t>雪亮工程</w:t>
            </w:r>
            <w:r>
              <w:rPr>
                <w:rFonts w:hint="cs" w:ascii="方正书宋_GBK" w:eastAsia="方正书宋_GBK"/>
              </w:rPr>
              <w:t>”</w:t>
            </w:r>
            <w:r>
              <w:rPr>
                <w:rFonts w:hint="eastAsia" w:ascii="方正书宋_GBK" w:eastAsia="方正书宋_GBK"/>
              </w:rPr>
              <w:t>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群众对建设雪亮工程的整体满意度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调查问题</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2、城乡社区网格化服务管理试点绩效目标表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2498199"/>
      <w:r>
        <w:rPr>
          <w:rFonts w:hint="eastAsia" w:ascii="方正仿宋_GBK" w:eastAsia="方正仿宋_GBK"/>
          <w:b/>
          <w:sz w:val="28"/>
        </w:rPr>
        <w:instrText xml:space="preserve">2、城乡社区网格化</w:instrText>
      </w:r>
      <w:bookmarkEnd w:id="5"/>
      <w:r>
        <w:rPr>
          <w:rFonts w:hint="eastAsia" w:ascii="方正仿宋_GBK" w:eastAsia="方正仿宋_GBK"/>
          <w:b/>
          <w:sz w:val="28"/>
        </w:rPr>
        <w:instrText xml:space="preserve"> 服务管理试点绩效目标表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000-9999-JSN-F6L0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城乡社区网格化</w:t>
            </w:r>
          </w:p>
          <w:p>
            <w:pPr>
              <w:spacing w:line="300" w:lineRule="exact"/>
              <w:jc w:val="left"/>
              <w:rPr>
                <w:rFonts w:ascii="方正书宋_GBK" w:eastAsia="方正书宋_GBK"/>
              </w:rPr>
            </w:pPr>
            <w:r>
              <w:rPr>
                <w:rFonts w:hint="eastAsia" w:ascii="方正书宋_GBK" w:eastAsia="方正书宋_GBK"/>
              </w:rPr>
              <w:t>服务管理试点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、综治信息系统要实现乡村全覆盖，并向相关区直业务部门延伸。按照需求，我区共需开通账号</w:t>
            </w:r>
            <w:r>
              <w:rPr>
                <w:rFonts w:ascii="方正书宋_GBK" w:eastAsia="方正书宋_GBK"/>
              </w:rPr>
              <w:t>310</w:t>
            </w:r>
            <w:r>
              <w:rPr>
                <w:rFonts w:hint="eastAsia" w:ascii="方正书宋_GBK" w:eastAsia="方正书宋_GBK"/>
              </w:rPr>
              <w:t>个（</w:t>
            </w:r>
            <w:r>
              <w:rPr>
                <w:rFonts w:ascii="方正书宋_GBK" w:eastAsia="方正书宋_GBK"/>
              </w:rPr>
              <w:t>208</w:t>
            </w:r>
            <w:r>
              <w:rPr>
                <w:rFonts w:hint="eastAsia" w:ascii="方正书宋_GBK" w:eastAsia="方正书宋_GBK"/>
              </w:rPr>
              <w:t>个村、</w:t>
            </w:r>
            <w:r>
              <w:rPr>
                <w:rFonts w:ascii="方正书宋_GBK" w:eastAsia="方正书宋_GBK"/>
              </w:rPr>
              <w:t>19</w:t>
            </w:r>
            <w:r>
              <w:rPr>
                <w:rFonts w:hint="eastAsia" w:ascii="方正书宋_GBK" w:eastAsia="方正书宋_GBK"/>
              </w:rPr>
              <w:t>个社区各</w:t>
            </w:r>
            <w:r>
              <w:rPr>
                <w:rFonts w:ascii="方正书宋_GBK" w:eastAsia="方正书宋_GBK"/>
              </w:rPr>
              <w:t>1</w:t>
            </w:r>
            <w:r>
              <w:rPr>
                <w:rFonts w:hint="eastAsia" w:ascii="方正书宋_GBK" w:eastAsia="方正书宋_GBK"/>
              </w:rPr>
              <w:t>个，</w:t>
            </w:r>
            <w:r>
              <w:rPr>
                <w:rFonts w:ascii="方正书宋_GBK" w:eastAsia="方正书宋_GBK"/>
              </w:rPr>
              <w:t>13</w:t>
            </w:r>
            <w:r>
              <w:rPr>
                <w:rFonts w:hint="eastAsia" w:ascii="方正书宋_GBK" w:eastAsia="方正书宋_GBK"/>
              </w:rPr>
              <w:t>个乡镇各</w:t>
            </w:r>
            <w:r>
              <w:rPr>
                <w:rFonts w:ascii="方正书宋_GBK" w:eastAsia="方正书宋_GBK"/>
              </w:rPr>
              <w:t>2</w:t>
            </w:r>
            <w:r>
              <w:rPr>
                <w:rFonts w:hint="eastAsia" w:ascii="方正书宋_GBK" w:eastAsia="方正书宋_GBK"/>
              </w:rPr>
              <w:t>个，</w:t>
            </w:r>
            <w:r>
              <w:rPr>
                <w:rFonts w:ascii="方正书宋_GBK" w:eastAsia="方正书宋_GBK"/>
              </w:rPr>
              <w:t>43</w:t>
            </w:r>
            <w:r>
              <w:rPr>
                <w:rFonts w:hint="eastAsia" w:ascii="方正书宋_GBK" w:eastAsia="方正书宋_GBK"/>
              </w:rPr>
              <w:t>个区直部门各</w:t>
            </w:r>
            <w:r>
              <w:rPr>
                <w:rFonts w:ascii="方正书宋_GBK" w:eastAsia="方正书宋_GBK"/>
              </w:rPr>
              <w:t>1-2</w:t>
            </w:r>
            <w:r>
              <w:rPr>
                <w:rFonts w:hint="eastAsia" w:ascii="方正书宋_GBK" w:eastAsia="方正书宋_GBK"/>
              </w:rPr>
              <w:t>个），以每个账号每月服务费</w:t>
            </w:r>
            <w:r>
              <w:rPr>
                <w:rFonts w:ascii="方正书宋_GBK" w:eastAsia="方正书宋_GBK"/>
              </w:rPr>
              <w:t>45</w:t>
            </w:r>
            <w:r>
              <w:rPr>
                <w:rFonts w:hint="eastAsia" w:ascii="方正书宋_GBK" w:eastAsia="方正书宋_GBK"/>
              </w:rPr>
              <w:t>元，年需</w:t>
            </w:r>
            <w:r>
              <w:rPr>
                <w:rFonts w:ascii="方正书宋_GBK" w:eastAsia="方正书宋_GBK"/>
              </w:rPr>
              <w:t>16.74</w:t>
            </w:r>
            <w:r>
              <w:rPr>
                <w:rFonts w:hint="eastAsia" w:ascii="方正书宋_GBK" w:eastAsia="方正书宋_GBK"/>
              </w:rPr>
              <w:t>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、用于兼职网格员补贴费用及手持终端服务费，网格员发放标准每人每月</w:t>
            </w:r>
            <w:r>
              <w:rPr>
                <w:rFonts w:ascii="方正书宋_GBK" w:eastAsia="方正书宋_GBK"/>
              </w:rPr>
              <w:t>200</w:t>
            </w:r>
            <w:r>
              <w:rPr>
                <w:rFonts w:hint="eastAsia" w:ascii="方正书宋_GBK" w:eastAsia="方正书宋_GBK"/>
              </w:rPr>
              <w:t>元。</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、手持终端达到报废年限需重新购置。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1</w:t>
            </w:r>
            <w:r>
              <w:rPr>
                <w:rFonts w:hint="eastAsia" w:ascii="方正书宋_GBK" w:eastAsia="方正书宋_GBK"/>
              </w:rPr>
              <w:t>、综治信息系统要实现乡村全覆盖，并向相关区直业务部门延伸。按照需求，我区共需开通账号</w:t>
            </w:r>
            <w:r>
              <w:rPr>
                <w:rFonts w:ascii="方正书宋_GBK" w:eastAsia="方正书宋_GBK"/>
              </w:rPr>
              <w:t>310</w:t>
            </w:r>
            <w:r>
              <w:rPr>
                <w:rFonts w:hint="eastAsia" w:ascii="方正书宋_GBK" w:eastAsia="方正书宋_GBK"/>
              </w:rPr>
              <w:t>个（</w:t>
            </w:r>
            <w:r>
              <w:rPr>
                <w:rFonts w:ascii="方正书宋_GBK" w:eastAsia="方正书宋_GBK"/>
              </w:rPr>
              <w:t>208</w:t>
            </w:r>
            <w:r>
              <w:rPr>
                <w:rFonts w:hint="eastAsia" w:ascii="方正书宋_GBK" w:eastAsia="方正书宋_GBK"/>
              </w:rPr>
              <w:t>个村、</w:t>
            </w:r>
            <w:r>
              <w:rPr>
                <w:rFonts w:ascii="方正书宋_GBK" w:eastAsia="方正书宋_GBK"/>
              </w:rPr>
              <w:t>19</w:t>
            </w:r>
            <w:r>
              <w:rPr>
                <w:rFonts w:hint="eastAsia" w:ascii="方正书宋_GBK" w:eastAsia="方正书宋_GBK"/>
              </w:rPr>
              <w:t>个社区各</w:t>
            </w:r>
            <w:r>
              <w:rPr>
                <w:rFonts w:ascii="方正书宋_GBK" w:eastAsia="方正书宋_GBK"/>
              </w:rPr>
              <w:t>1</w:t>
            </w:r>
            <w:r>
              <w:rPr>
                <w:rFonts w:hint="eastAsia" w:ascii="方正书宋_GBK" w:eastAsia="方正书宋_GBK"/>
              </w:rPr>
              <w:t>个，</w:t>
            </w:r>
            <w:r>
              <w:rPr>
                <w:rFonts w:ascii="方正书宋_GBK" w:eastAsia="方正书宋_GBK"/>
              </w:rPr>
              <w:t>13</w:t>
            </w:r>
            <w:r>
              <w:rPr>
                <w:rFonts w:hint="eastAsia" w:ascii="方正书宋_GBK" w:eastAsia="方正书宋_GBK"/>
              </w:rPr>
              <w:t>个乡镇各</w:t>
            </w:r>
            <w:r>
              <w:rPr>
                <w:rFonts w:ascii="方正书宋_GBK" w:eastAsia="方正书宋_GBK"/>
              </w:rPr>
              <w:t>2</w:t>
            </w:r>
            <w:r>
              <w:rPr>
                <w:rFonts w:hint="eastAsia" w:ascii="方正书宋_GBK" w:eastAsia="方正书宋_GBK"/>
              </w:rPr>
              <w:t>个，</w:t>
            </w:r>
            <w:r>
              <w:rPr>
                <w:rFonts w:ascii="方正书宋_GBK" w:eastAsia="方正书宋_GBK"/>
              </w:rPr>
              <w:t>43</w:t>
            </w:r>
            <w:r>
              <w:rPr>
                <w:rFonts w:hint="eastAsia" w:ascii="方正书宋_GBK" w:eastAsia="方正书宋_GBK"/>
              </w:rPr>
              <w:t>个区直部门各</w:t>
            </w:r>
            <w:r>
              <w:rPr>
                <w:rFonts w:ascii="方正书宋_GBK" w:eastAsia="方正书宋_GBK"/>
              </w:rPr>
              <w:t>1-2</w:t>
            </w:r>
            <w:r>
              <w:rPr>
                <w:rFonts w:hint="eastAsia" w:ascii="方正书宋_GBK" w:eastAsia="方正书宋_GBK"/>
              </w:rPr>
              <w:t>个）。</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2</w:t>
            </w:r>
            <w:r>
              <w:rPr>
                <w:rFonts w:hint="eastAsia" w:ascii="方正书宋_GBK" w:eastAsia="方正书宋_GBK"/>
              </w:rPr>
              <w:t>、网格员有效掌握社情民意，统计上报平台系统，及时排查化解矛盾纠纷确保小事不出村，大事不出乡镇。</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手机终端资费标准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手机终端费用每月的标准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69</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综治信息系统乡村覆盖率</w:t>
            </w:r>
            <w:r>
              <w:rPr>
                <w:rFonts w:ascii="方正书宋_GBK" w:eastAsia="方正书宋_GBK"/>
              </w:rPr>
              <w:t>100%</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开通综治信息系统账号占需开通比率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《关于推进综治信息化建设、网格化服务管理等有关工作通知》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综治信息开通账号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综治信息开通账号的数量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310</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综治信息开通账号资费标准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综治信息开通账号每月资费标准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45</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平台管理员人数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时间安排平台管理员人数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570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全区兼职网格员覆盖率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配备网格员村社区占全区应配备比率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《关于推进综治信息化建设、网格化服务管理等有关工作通知》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网格员发现问题上报及时率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及时上报问题占所有问题的比率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《关于推进综治信息化建设、网格化服务管理等有关工作通知》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有效降低社情民意，矛盾纠纷案事件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社情民意，矛盾纠纷案事件较上年度有效降低</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有效降低</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《关于推进综治信息化建设、网格化服务管理等有关工作通知》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群众对当兼职网格员解决社情民意事件的整体满意度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3、防范办反邪教经费绩效目标表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2498200"/>
      <w:r>
        <w:rPr>
          <w:rFonts w:hint="eastAsia" w:ascii="方正仿宋_GBK" w:eastAsia="方正仿宋_GBK"/>
          <w:b/>
          <w:sz w:val="28"/>
        </w:rPr>
        <w:instrText xml:space="preserve">3、防范办反邪教经费绩效目标表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000-9999-JSN-0X04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防范办反邪教经费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县级防范办经费务必列入预算，用于印制反邪教宣传品、展牌、租赁舞台对全区进行反邪教宣传，奖励转化</w:t>
            </w:r>
            <w:r>
              <w:rPr>
                <w:rFonts w:hint="cs" w:ascii="方正书宋_GBK" w:eastAsia="方正书宋_GBK"/>
              </w:rPr>
              <w:t>“</w:t>
            </w:r>
            <w:r>
              <w:rPr>
                <w:rFonts w:hint="eastAsia" w:ascii="方正书宋_GBK" w:eastAsia="方正书宋_GBK"/>
              </w:rPr>
              <w:t>法轮功</w:t>
            </w:r>
            <w:r>
              <w:rPr>
                <w:rFonts w:hint="cs" w:ascii="方正书宋_GBK" w:eastAsia="方正书宋_GBK"/>
              </w:rPr>
              <w:t>”</w:t>
            </w:r>
            <w:r>
              <w:rPr>
                <w:rFonts w:hint="eastAsia" w:ascii="方正书宋_GBK" w:eastAsia="方正书宋_GBK"/>
              </w:rPr>
              <w:t>重点人员乡镇的转化能手，及救助慰问生活困难的教育转化人员及其他费用支出。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1</w:t>
            </w:r>
            <w:r>
              <w:rPr>
                <w:rFonts w:hint="eastAsia" w:ascii="方正书宋_GBK" w:eastAsia="方正书宋_GBK"/>
              </w:rPr>
              <w:t>、印制反邪教宣传品、展牌展示对全区</w:t>
            </w:r>
            <w:r>
              <w:rPr>
                <w:rFonts w:ascii="方正书宋_GBK" w:eastAsia="方正书宋_GBK"/>
              </w:rPr>
              <w:t>13</w:t>
            </w:r>
            <w:r>
              <w:rPr>
                <w:rFonts w:hint="eastAsia" w:ascii="方正书宋_GBK" w:eastAsia="方正书宋_GBK"/>
              </w:rPr>
              <w:t>乡镇进行反邪教宣传，每月宣传次数不低于</w:t>
            </w:r>
            <w:r>
              <w:rPr>
                <w:rFonts w:ascii="方正书宋_GBK" w:eastAsia="方正书宋_GBK"/>
              </w:rPr>
              <w:t>4</w:t>
            </w:r>
            <w:r>
              <w:rPr>
                <w:rFonts w:hint="eastAsia" w:ascii="方正书宋_GBK" w:eastAsia="方正书宋_GBK"/>
              </w:rPr>
              <w:t>次，每年大型宣传活动文艺演出不低于</w:t>
            </w:r>
            <w:r>
              <w:rPr>
                <w:rFonts w:ascii="方正书宋_GBK" w:eastAsia="方正书宋_GBK"/>
              </w:rPr>
              <w:t>2</w:t>
            </w:r>
            <w:r>
              <w:rPr>
                <w:rFonts w:hint="eastAsia" w:ascii="方正书宋_GBK" w:eastAsia="方正书宋_GBK"/>
              </w:rPr>
              <w:t>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2</w:t>
            </w:r>
            <w:r>
              <w:rPr>
                <w:rFonts w:hint="eastAsia" w:ascii="方正书宋_GBK" w:eastAsia="方正书宋_GBK"/>
              </w:rPr>
              <w:t>、完成省市下达转化任务</w:t>
            </w:r>
            <w:r>
              <w:rPr>
                <w:rFonts w:ascii="方正书宋_GBK" w:eastAsia="方正书宋_GBK"/>
              </w:rPr>
              <w:t>2-3</w:t>
            </w:r>
            <w:r>
              <w:rPr>
                <w:rFonts w:hint="eastAsia" w:ascii="方正书宋_GBK" w:eastAsia="方正书宋_GBK"/>
              </w:rPr>
              <w:t>人次，奖励转化</w:t>
            </w:r>
            <w:r>
              <w:rPr>
                <w:rFonts w:hint="cs" w:ascii="方正书宋_GBK" w:eastAsia="方正书宋_GBK"/>
              </w:rPr>
              <w:t>“</w:t>
            </w:r>
            <w:r>
              <w:rPr>
                <w:rFonts w:hint="eastAsia" w:ascii="方正书宋_GBK" w:eastAsia="方正书宋_GBK"/>
              </w:rPr>
              <w:t>法轮功</w:t>
            </w:r>
            <w:r>
              <w:rPr>
                <w:rFonts w:hint="cs" w:ascii="方正书宋_GBK" w:eastAsia="方正书宋_GBK"/>
              </w:rPr>
              <w:t>”</w:t>
            </w:r>
            <w:r>
              <w:rPr>
                <w:rFonts w:hint="eastAsia" w:ascii="方正书宋_GBK" w:eastAsia="方正书宋_GBK"/>
              </w:rPr>
              <w:t>重点人员乡镇的转化能手</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每月反邪教宣传次数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每月对全区进行反邪教宣传次数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石防范办【</w:t>
            </w:r>
            <w:r>
              <w:rPr>
                <w:rFonts w:ascii="方正书宋_GBK" w:eastAsia="方正书宋_GBK"/>
              </w:rPr>
              <w:t>2005</w:t>
            </w:r>
            <w:r>
              <w:rPr>
                <w:rFonts w:hint="eastAsia" w:ascii="方正书宋_GBK" w:eastAsia="方正书宋_GBK"/>
              </w:rPr>
              <w:t>】</w:t>
            </w:r>
            <w:r>
              <w:rPr>
                <w:rFonts w:ascii="方正书宋_GBK" w:eastAsia="方正书宋_GBK"/>
              </w:rPr>
              <w:t>10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反邪教文艺演出次数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每年反邪教文艺汇演次数</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石防范办【</w:t>
            </w:r>
            <w:r>
              <w:rPr>
                <w:rFonts w:ascii="方正书宋_GBK" w:eastAsia="方正书宋_GBK"/>
              </w:rPr>
              <w:t>2005</w:t>
            </w:r>
            <w:r>
              <w:rPr>
                <w:rFonts w:hint="eastAsia" w:ascii="方正书宋_GBK" w:eastAsia="方正书宋_GBK"/>
              </w:rPr>
              <w:t>】</w:t>
            </w:r>
            <w:r>
              <w:rPr>
                <w:rFonts w:ascii="方正书宋_GBK" w:eastAsia="方正书宋_GBK"/>
              </w:rPr>
              <w:t>10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反邪教宣传覆盖率（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宣传乡镇占全区</w:t>
            </w:r>
            <w:r>
              <w:rPr>
                <w:rFonts w:ascii="方正书宋_GBK" w:eastAsia="方正书宋_GBK"/>
              </w:rPr>
              <w:t>13</w:t>
            </w:r>
            <w:r>
              <w:rPr>
                <w:rFonts w:hint="eastAsia" w:ascii="方正书宋_GBK" w:eastAsia="方正书宋_GBK"/>
              </w:rPr>
              <w:t>乡镇比率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石防范办【</w:t>
            </w:r>
            <w:r>
              <w:rPr>
                <w:rFonts w:ascii="方正书宋_GBK" w:eastAsia="方正书宋_GBK"/>
              </w:rPr>
              <w:t>2005</w:t>
            </w:r>
            <w:r>
              <w:rPr>
                <w:rFonts w:hint="eastAsia" w:ascii="方正书宋_GBK" w:eastAsia="方正书宋_GBK"/>
              </w:rPr>
              <w:t>】</w:t>
            </w:r>
            <w:r>
              <w:rPr>
                <w:rFonts w:ascii="方正书宋_GBK" w:eastAsia="方正书宋_GBK"/>
              </w:rPr>
              <w:t>10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省市下达转化人数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省市下达反转邪教人数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2-3</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石防范办【</w:t>
            </w:r>
            <w:r>
              <w:rPr>
                <w:rFonts w:ascii="方正书宋_GBK" w:eastAsia="方正书宋_GBK"/>
              </w:rPr>
              <w:t>2005</w:t>
            </w:r>
            <w:r>
              <w:rPr>
                <w:rFonts w:hint="eastAsia" w:ascii="方正书宋_GBK" w:eastAsia="方正书宋_GBK"/>
              </w:rPr>
              <w:t>】</w:t>
            </w:r>
            <w:r>
              <w:rPr>
                <w:rFonts w:ascii="方正书宋_GBK" w:eastAsia="方正书宋_GBK"/>
              </w:rPr>
              <w:t>10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反邪教覆盖乡镇数量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上级要求反邪教工作覆盖范围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乡镇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石防范办【</w:t>
            </w:r>
            <w:r>
              <w:rPr>
                <w:rFonts w:ascii="方正书宋_GBK" w:eastAsia="方正书宋_GBK"/>
              </w:rPr>
              <w:t>2005</w:t>
            </w:r>
            <w:r>
              <w:rPr>
                <w:rFonts w:hint="eastAsia" w:ascii="方正书宋_GBK" w:eastAsia="方正书宋_GBK"/>
              </w:rPr>
              <w:t>】</w:t>
            </w:r>
            <w:r>
              <w:rPr>
                <w:rFonts w:ascii="方正书宋_GBK" w:eastAsia="方正书宋_GBK"/>
              </w:rPr>
              <w:t>10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省市下达转化指标完成率（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省市下达任务转化人数占任务总数比率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转化名单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群众反邪教宣传整体满意度</w:t>
            </w:r>
            <w:r>
              <w:rPr>
                <w:rFonts w:ascii="方正书宋_GBK" w:eastAsia="方正书宋_GBK"/>
              </w:rPr>
              <w:t xml:space="preserve"> </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4、国家司法救助资金绩效目标表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2498201"/>
      <w:r>
        <w:rPr>
          <w:rFonts w:hint="eastAsia" w:ascii="方正仿宋_GBK" w:eastAsia="方正仿宋_GBK"/>
          <w:b/>
          <w:sz w:val="28"/>
        </w:rPr>
        <w:instrText xml:space="preserve">4、国家司法救助资金绩效目标表</w:instrText>
      </w:r>
      <w:bookmarkEnd w:id="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000-9999-JSN-6L4X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国家司法救助资金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向无法通过诉讼获得有效赔偿而生活困难的当事人、证人等即使支付救助金。涉法涉诉案件由公检法司上报，半年申报一次，政法委组织召开会议，通过后给予一定的救助金，救助金按照申请人实际遭受的损失、家庭情况进行赔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、对我区民事判决无法执行或刑事案件受害人得不到有效赔偿，及生活困难的信访人申请救助的案件进行司法救助。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、有效化解信访积案，维护社会稳定。</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司法补助金补助金额发放率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实际发放的补助金额占计划申请发放补助金额的比率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补助金额发放明细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司法补助金补助覆盖率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已补助人数占申请补助人数的比率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补助发放名单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涉法涉诉补助人员息诉罢访率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息诉罢访人员占补助人数比率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工作计划标准</w:t>
            </w:r>
          </w:p>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补助对象满意度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补助对象满意人数占总补助人数比率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工作计划标准</w:t>
            </w:r>
          </w:p>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5、见义勇为专项资金绩效目标表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2498202"/>
      <w:r>
        <w:rPr>
          <w:rFonts w:hint="eastAsia" w:ascii="方正仿宋_GBK" w:eastAsia="方正仿宋_GBK"/>
          <w:b/>
          <w:sz w:val="28"/>
        </w:rPr>
        <w:instrText xml:space="preserve">5、见义勇为专项资金绩效目标表</w:instrText>
      </w:r>
      <w:bookmarkEnd w:id="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000-9999-JSN-6V8F</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见义勇为专项资金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见义勇为行为人的救助、对于本辖区内发生见义勇为行为，见义勇为受益人或见义勇为行为人所在单位及乡镇可向综治办申请见义勇为奖励金，综治办对申请材料进行审查核实及公示，并对符合见义勇为人员给予相应的奖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、用于对见义勇为人员的奖励资金，弘扬社会正气，维护见义勇为行为人合法权益，鼓励见义勇为行为。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、对保护国家利益、社会公共利益和他人的人身、财产安全，不顾个人安危，挺身而出的行为进行奖励。</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见义勇为资金发放率（</w:t>
            </w:r>
            <w:r>
              <w:rPr>
                <w:rFonts w:ascii="方正书宋_GBK" w:eastAsia="方正书宋_GBK"/>
              </w:rPr>
              <w:t>%)</w:t>
            </w:r>
          </w:p>
          <w:p>
            <w:pPr>
              <w:spacing w:line="300" w:lineRule="exact"/>
              <w:jc w:val="left"/>
              <w:rPr>
                <w:rFonts w:ascii="方正书宋_GBK" w:eastAsia="方正书宋_GBK"/>
              </w:rPr>
            </w:pPr>
          </w:p>
          <w:p>
            <w:pPr>
              <w:spacing w:line="300" w:lineRule="exact"/>
              <w:jc w:val="left"/>
              <w:rPr>
                <w:rFonts w:ascii="方正书宋_GBK" w:eastAsia="方正书宋_GBK"/>
              </w:rPr>
            </w:pPr>
          </w:p>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实际发放金额占应发放金额比率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石综治办</w:t>
            </w:r>
            <w:r>
              <w:rPr>
                <w:rFonts w:ascii="方正书宋_GBK" w:eastAsia="方正书宋_GBK"/>
              </w:rPr>
              <w:t>[2017]12</w:t>
            </w:r>
            <w:r>
              <w:rPr>
                <w:rFonts w:hint="eastAsia" w:ascii="方正书宋_GBK" w:eastAsia="方正书宋_GBK"/>
              </w:rPr>
              <w:t>号</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见义勇为人员覆盖率（</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已领取奖励资金人数占申请领取奖励人数的比率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石综治办</w:t>
            </w:r>
            <w:r>
              <w:rPr>
                <w:rFonts w:ascii="方正书宋_GBK" w:eastAsia="方正书宋_GBK"/>
              </w:rPr>
              <w:t>[2017]12</w:t>
            </w:r>
            <w:r>
              <w:rPr>
                <w:rFonts w:hint="eastAsia" w:ascii="方正书宋_GBK" w:eastAsia="方正书宋_GBK"/>
              </w:rPr>
              <w:t>号</w:t>
            </w:r>
          </w:p>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在全国或全省产生的重要影响，得到广大受众的充分认可。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社会影响力较好弘扬正能量</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石综治办</w:t>
            </w:r>
            <w:r>
              <w:rPr>
                <w:rFonts w:ascii="方正书宋_GBK" w:eastAsia="方正书宋_GBK"/>
              </w:rPr>
              <w:t>[2017]12</w:t>
            </w:r>
            <w:r>
              <w:rPr>
                <w:rFonts w:hint="eastAsia" w:ascii="方正书宋_GBK" w:eastAsia="方正书宋_GBK"/>
              </w:rPr>
              <w:t>号</w:t>
            </w:r>
          </w:p>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受奖励的见义勇为人满意度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满意的受奖励见义勇为人数占总见义勇为人数比率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石综治办</w:t>
            </w:r>
            <w:r>
              <w:rPr>
                <w:rFonts w:ascii="方正书宋_GBK" w:eastAsia="方正书宋_GBK"/>
              </w:rPr>
              <w:t>[2017]12</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6、精神障碍患者服务管理绩效目标表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2498203"/>
      <w:r>
        <w:rPr>
          <w:rFonts w:hint="eastAsia" w:ascii="方正仿宋_GBK" w:eastAsia="方正仿宋_GBK"/>
          <w:b/>
          <w:sz w:val="28"/>
        </w:rPr>
        <w:instrText xml:space="preserve">6、精神障碍患者服务管理绩效目标表</w:instrText>
      </w:r>
      <w:bookmarkEnd w:id="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000-9999-JSN-06D4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精神障碍患者服务管理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59.82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59.82</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、对精神障碍患者及时进行筛查，对符合录入国家精神障碍信息系统的严重精神患者监护人购买责任险，每人每年</w:t>
            </w:r>
            <w:r>
              <w:rPr>
                <w:rFonts w:ascii="方正书宋_GBK" w:eastAsia="方正书宋_GBK"/>
              </w:rPr>
              <w:t>100</w:t>
            </w:r>
            <w:r>
              <w:rPr>
                <w:rFonts w:hint="eastAsia" w:ascii="方正书宋_GBK" w:eastAsia="方正书宋_GBK"/>
              </w:rPr>
              <w:t>元；我区严重精神障碍患者</w:t>
            </w:r>
            <w:r>
              <w:rPr>
                <w:rFonts w:ascii="方正书宋_GBK" w:eastAsia="方正书宋_GBK"/>
              </w:rPr>
              <w:t>2174</w:t>
            </w:r>
            <w:r>
              <w:rPr>
                <w:rFonts w:hint="eastAsia" w:ascii="方正书宋_GBK" w:eastAsia="方正书宋_GBK"/>
              </w:rPr>
              <w:t>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、对季度内没有发生肇事肇祸事件的严重精神障碍患者监人进行奖励，</w:t>
            </w:r>
            <w:r>
              <w:rPr>
                <w:rFonts w:ascii="方正书宋_GBK" w:eastAsia="方正书宋_GBK"/>
              </w:rPr>
              <w:t>3</w:t>
            </w:r>
            <w:r>
              <w:rPr>
                <w:rFonts w:hint="eastAsia" w:ascii="方正书宋_GBK" w:eastAsia="方正书宋_GBK"/>
              </w:rPr>
              <w:t>级以上按照每人每月</w:t>
            </w:r>
            <w:r>
              <w:rPr>
                <w:rFonts w:ascii="方正书宋_GBK" w:eastAsia="方正书宋_GBK"/>
              </w:rPr>
              <w:t>200</w:t>
            </w:r>
            <w:r>
              <w:rPr>
                <w:rFonts w:hint="eastAsia" w:ascii="方正书宋_GBK" w:eastAsia="方正书宋_GBK"/>
              </w:rPr>
              <w:t>元标准，</w:t>
            </w:r>
            <w:r>
              <w:rPr>
                <w:rFonts w:ascii="方正书宋_GBK" w:eastAsia="方正书宋_GBK"/>
              </w:rPr>
              <w:t>2</w:t>
            </w:r>
            <w:r>
              <w:rPr>
                <w:rFonts w:hint="eastAsia" w:ascii="方正书宋_GBK" w:eastAsia="方正书宋_GBK"/>
              </w:rPr>
              <w:t>级以下按照</w:t>
            </w:r>
            <w:r>
              <w:rPr>
                <w:rFonts w:ascii="方正书宋_GBK" w:eastAsia="方正书宋_GBK"/>
              </w:rPr>
              <w:t>100</w:t>
            </w:r>
            <w:r>
              <w:rPr>
                <w:rFonts w:hint="eastAsia" w:ascii="方正书宋_GBK" w:eastAsia="方正书宋_GBK"/>
              </w:rPr>
              <w:t>元标准进行奖励。</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、对各乡镇申报的家庭极其困难的严重精神障碍患者以及没有监护人且需要长期住院治疗的精神障碍患者进行审核并给予一定的奖励。</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、我区严重精神障碍患者</w:t>
            </w:r>
            <w:r>
              <w:rPr>
                <w:rFonts w:ascii="方正书宋_GBK" w:eastAsia="方正书宋_GBK"/>
              </w:rPr>
              <w:t>2034</w:t>
            </w:r>
            <w:r>
              <w:rPr>
                <w:rFonts w:hint="eastAsia" w:ascii="方正书宋_GBK" w:eastAsia="方正书宋_GBK"/>
              </w:rPr>
              <w:t>人，为精神障碍患者监护人购买责任险，防止发生意外伤害，减轻负担。</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、对季度内没有发生肇事肇祸事件的严重精神障碍患者监护人进行奖补，我区严重精神障碍患者</w:t>
            </w:r>
            <w:r>
              <w:rPr>
                <w:rFonts w:ascii="方正书宋_GBK" w:eastAsia="方正书宋_GBK"/>
              </w:rPr>
              <w:t>2174</w:t>
            </w:r>
            <w:r>
              <w:rPr>
                <w:rFonts w:hint="eastAsia" w:ascii="方正书宋_GBK" w:eastAsia="方正书宋_GBK"/>
              </w:rPr>
              <w:t>人，其中三级以上</w:t>
            </w:r>
            <w:r>
              <w:rPr>
                <w:rFonts w:ascii="方正书宋_GBK" w:eastAsia="方正书宋_GBK"/>
              </w:rPr>
              <w:t>678</w:t>
            </w:r>
            <w:r>
              <w:rPr>
                <w:rFonts w:hint="eastAsia" w:ascii="方正书宋_GBK" w:eastAsia="方正书宋_GBK"/>
              </w:rPr>
              <w:t>人，</w:t>
            </w:r>
            <w:r>
              <w:rPr>
                <w:rFonts w:ascii="方正书宋_GBK" w:eastAsia="方正书宋_GBK"/>
              </w:rPr>
              <w:t>2</w:t>
            </w:r>
            <w:r>
              <w:rPr>
                <w:rFonts w:hint="eastAsia" w:ascii="方正书宋_GBK" w:eastAsia="方正书宋_GBK"/>
              </w:rPr>
              <w:t>级以下</w:t>
            </w:r>
            <w:r>
              <w:rPr>
                <w:rFonts w:ascii="方正书宋_GBK" w:eastAsia="方正书宋_GBK"/>
              </w:rPr>
              <w:t>2106</w:t>
            </w:r>
            <w:r>
              <w:rPr>
                <w:rFonts w:hint="eastAsia" w:ascii="方正书宋_GBK" w:eastAsia="方正书宋_GBK"/>
              </w:rPr>
              <w:t>人，按照不同的标准发放补助，激励严重精神障碍患者监护人更好的履行看护管理责任，发生肇事肇祸事件，有效对冲社会风险，提升群众安全感。</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责任险标准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为严重精神障碍患者购买责任险的标准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石综治明传【</w:t>
            </w:r>
            <w:r>
              <w:rPr>
                <w:rFonts w:ascii="方正书宋_GBK" w:eastAsia="方正书宋_GBK"/>
              </w:rPr>
              <w:t>2017</w:t>
            </w:r>
            <w:r>
              <w:rPr>
                <w:rFonts w:hint="eastAsia" w:ascii="方正书宋_GBK" w:eastAsia="方正书宋_GBK"/>
              </w:rPr>
              <w:t>】</w:t>
            </w:r>
            <w:r>
              <w:rPr>
                <w:rFonts w:ascii="方正书宋_GBK" w:eastAsia="方正书宋_GBK"/>
              </w:rPr>
              <w:t>87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责任险购买人数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为严重精神障碍患者购买责任险的人数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2174</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石综治明传【</w:t>
            </w:r>
            <w:r>
              <w:rPr>
                <w:rFonts w:ascii="方正书宋_GBK" w:eastAsia="方正书宋_GBK"/>
              </w:rPr>
              <w:t>2017</w:t>
            </w:r>
            <w:r>
              <w:rPr>
                <w:rFonts w:hint="eastAsia" w:ascii="方正书宋_GBK" w:eastAsia="方正书宋_GBK"/>
              </w:rPr>
              <w:t>】</w:t>
            </w:r>
            <w:r>
              <w:rPr>
                <w:rFonts w:ascii="方正书宋_GBK" w:eastAsia="方正书宋_GBK"/>
              </w:rPr>
              <w:t>87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对没有发生肇事肇祸严重精神障碍患者监护人三级以上以奖代补发放覆盖率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对三级以上没有发生肇事肇祸严重精神障碍患者监护人实际发放以奖代补人数占总人数比率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石综治明传【</w:t>
            </w:r>
            <w:r>
              <w:rPr>
                <w:rFonts w:ascii="方正书宋_GBK" w:eastAsia="方正书宋_GBK"/>
              </w:rPr>
              <w:t>2017</w:t>
            </w:r>
            <w:r>
              <w:rPr>
                <w:rFonts w:hint="eastAsia" w:ascii="方正书宋_GBK" w:eastAsia="方正书宋_GBK"/>
              </w:rPr>
              <w:t>】</w:t>
            </w:r>
            <w:r>
              <w:rPr>
                <w:rFonts w:ascii="方正书宋_GBK" w:eastAsia="方正书宋_GBK"/>
              </w:rPr>
              <w:t>87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以奖代补二级人数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符合政策人员补助标准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2106</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石综治明传【</w:t>
            </w:r>
            <w:r>
              <w:rPr>
                <w:rFonts w:ascii="方正书宋_GBK" w:eastAsia="方正书宋_GBK"/>
              </w:rPr>
              <w:t>2017</w:t>
            </w:r>
            <w:r>
              <w:rPr>
                <w:rFonts w:hint="eastAsia" w:ascii="方正书宋_GBK" w:eastAsia="方正书宋_GBK"/>
              </w:rPr>
              <w:t>】</w:t>
            </w:r>
            <w:r>
              <w:rPr>
                <w:rFonts w:ascii="方正书宋_GBK" w:eastAsia="方正书宋_GBK"/>
              </w:rPr>
              <w:t>87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以奖代补二级补助标准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符合政策人员补助标准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石综治明传【</w:t>
            </w:r>
            <w:r>
              <w:rPr>
                <w:rFonts w:ascii="方正书宋_GBK" w:eastAsia="方正书宋_GBK"/>
              </w:rPr>
              <w:t>2017</w:t>
            </w:r>
            <w:r>
              <w:rPr>
                <w:rFonts w:hint="eastAsia" w:ascii="方正书宋_GBK" w:eastAsia="方正书宋_GBK"/>
              </w:rPr>
              <w:t>】</w:t>
            </w:r>
            <w:r>
              <w:rPr>
                <w:rFonts w:ascii="方正书宋_GBK" w:eastAsia="方正书宋_GBK"/>
              </w:rPr>
              <w:t>87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对没有发生肇事肇祸严重精神障碍患者监护人三级以下以奖代补发放覆盖率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对三级以下没有发生肇事肇祸严重精神障碍患者监护人实际发放以奖代补人数占总人数比率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石综治明传【</w:t>
            </w:r>
            <w:r>
              <w:rPr>
                <w:rFonts w:ascii="方正书宋_GBK" w:eastAsia="方正书宋_GBK"/>
              </w:rPr>
              <w:t>2017</w:t>
            </w:r>
            <w:r>
              <w:rPr>
                <w:rFonts w:hint="eastAsia" w:ascii="方正书宋_GBK" w:eastAsia="方正书宋_GBK"/>
              </w:rPr>
              <w:t>】</w:t>
            </w:r>
            <w:r>
              <w:rPr>
                <w:rFonts w:ascii="方正书宋_GBK" w:eastAsia="方正书宋_GBK"/>
              </w:rPr>
              <w:t>87</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精神障碍患者肇事肇祸发生率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肇事肇祸发生人数占精神障碍患者人数比率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精神障碍患者救助满意度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满意人数占调查人数调查人数比率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7、矛盾纠纷排查调处经费绩效目标表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32498204"/>
      <w:r>
        <w:rPr>
          <w:rFonts w:hint="eastAsia" w:ascii="方正仿宋_GBK" w:eastAsia="方正仿宋_GBK"/>
          <w:b/>
          <w:sz w:val="28"/>
        </w:rPr>
        <w:instrText xml:space="preserve">7、矛盾纠纷排查调处经费绩效目标表</w:instrText>
      </w:r>
      <w:bookmarkEnd w:id="1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000-9999-JSN-8664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矛盾纠纷排查调处经费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我区</w:t>
            </w:r>
            <w:r>
              <w:rPr>
                <w:rFonts w:ascii="方正书宋_GBK" w:eastAsia="方正书宋_GBK"/>
              </w:rPr>
              <w:t>208</w:t>
            </w:r>
            <w:r>
              <w:rPr>
                <w:rFonts w:hint="eastAsia" w:ascii="方正书宋_GBK" w:eastAsia="方正书宋_GBK"/>
              </w:rPr>
              <w:t>村均已建成村调解室，用于区乡村调解室建设，培树和支持调解典型，支持行业调委会建设，及区调解中心设备购置维修、宣传奖励等日常运行费用。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、我区</w:t>
            </w:r>
            <w:r>
              <w:rPr>
                <w:rFonts w:ascii="方正书宋_GBK" w:eastAsia="方正书宋_GBK"/>
              </w:rPr>
              <w:t>208</w:t>
            </w:r>
            <w:r>
              <w:rPr>
                <w:rFonts w:hint="eastAsia" w:ascii="方正书宋_GBK" w:eastAsia="方正书宋_GBK"/>
              </w:rPr>
              <w:t>村均已建成村调解室，用于区乡村调解室建设，培树和支持调解典型，支持行业调委会建设，及区调解中心设备购置维修、宣传奖励等费用，有效维护调解室日常运行，确保正常使用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、有效化解矛盾纠纷，促进社会和谐。</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全区调解室覆盖率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配备调解室占全区各乡村比率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矛盾隐患化解率（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矛盾隐患化解化解件数占上报需化解件数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设立调解室数量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全区设矛盾纠纷室数量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208</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能够长期较好地开展矛盾纠纷调解工作长期满足人民群众对人民调解工作的需求。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确保调解室长期使用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重大纠纷矛盾举报奖励金使用率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使用奖励金的情况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群众对成立调解室的整体满意度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8、农村（社区）综治视联网建设绩效目标表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32498205"/>
      <w:r>
        <w:rPr>
          <w:rFonts w:hint="eastAsia" w:ascii="方正仿宋_GBK" w:eastAsia="方正仿宋_GBK"/>
          <w:b/>
          <w:sz w:val="28"/>
        </w:rPr>
        <w:instrText xml:space="preserve">8、农村（社区）综治视联网建设绩效目标表</w:instrText>
      </w:r>
      <w:bookmarkEnd w:id="1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000-9999-JSN-6FLN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农村（社区）综治视联网建设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6.24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6.24</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、全区现有</w:t>
            </w:r>
            <w:r>
              <w:rPr>
                <w:rFonts w:ascii="方正书宋_GBK" w:eastAsia="方正书宋_GBK"/>
              </w:rPr>
              <w:t>26</w:t>
            </w:r>
            <w:r>
              <w:rPr>
                <w:rFonts w:hint="eastAsia" w:ascii="方正书宋_GBK" w:eastAsia="方正书宋_GBK"/>
              </w:rPr>
              <w:t>个村建成综治视联网，租用广电链路，每村每年费用</w:t>
            </w:r>
            <w:r>
              <w:rPr>
                <w:rFonts w:ascii="方正书宋_GBK" w:eastAsia="方正书宋_GBK"/>
              </w:rPr>
              <w:t>2400</w:t>
            </w:r>
            <w:r>
              <w:rPr>
                <w:rFonts w:hint="eastAsia" w:ascii="方正书宋_GBK" w:eastAsia="方正书宋_GBK"/>
              </w:rPr>
              <w:t>元，共需专项资金</w:t>
            </w:r>
            <w:r>
              <w:rPr>
                <w:rFonts w:ascii="方正书宋_GBK" w:eastAsia="方正书宋_GBK"/>
              </w:rPr>
              <w:t>6.24</w:t>
            </w:r>
            <w:r>
              <w:rPr>
                <w:rFonts w:hint="eastAsia" w:ascii="方正书宋_GBK" w:eastAsia="方正书宋_GBK"/>
              </w:rPr>
              <w:t>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、实现农村综治视联网联网全覆盖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、各乡镇与中央、省市综治视联网平台直连直通，可随时实现视频会议，视频调度等缩短时间成本、空间差异，大大提升工作效率。</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设备购置合购率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合格设备数量占设备总数量的比率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补助综治视联网开通存数量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租用广电链路村的数量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26</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《石家庄市社会治安综合治理信息化建设三年规划（</w:t>
            </w:r>
            <w:r>
              <w:rPr>
                <w:rFonts w:ascii="方正书宋_GBK" w:eastAsia="方正书宋_GBK"/>
              </w:rPr>
              <w:t>2017-2019</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补助综治视联网开通标准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每个村补助租用广电链路村的标准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2400</w:t>
            </w:r>
            <w:r>
              <w:rPr>
                <w:rFonts w:hint="eastAsia" w:ascii="方正书宋_GBK" w:eastAsia="方正书宋_GBK"/>
              </w:rPr>
              <w:t>元</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《石家庄市社会治安综合治理信息化建设三年规划（</w:t>
            </w:r>
            <w:r>
              <w:rPr>
                <w:rFonts w:ascii="方正书宋_GBK" w:eastAsia="方正书宋_GBK"/>
              </w:rPr>
              <w:t>2017-2019</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农村综治视联网视频会议覆盖率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农村综治视联网视频会议覆盖乡镇占全区</w:t>
            </w:r>
            <w:r>
              <w:rPr>
                <w:rFonts w:ascii="方正书宋_GBK" w:eastAsia="方正书宋_GBK"/>
              </w:rPr>
              <w:t>13</w:t>
            </w:r>
            <w:r>
              <w:rPr>
                <w:rFonts w:hint="eastAsia" w:ascii="方正书宋_GBK" w:eastAsia="方正书宋_GBK"/>
              </w:rPr>
              <w:t>乡镇比率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《石家庄市社会治安综合治理信息化建设三年规划（</w:t>
            </w:r>
            <w:r>
              <w:rPr>
                <w:rFonts w:ascii="方正书宋_GBK" w:eastAsia="方正书宋_GBK"/>
              </w:rPr>
              <w:t>2017-2019</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9、区综治中心水电暖等日常运行费用绩效目标表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32498206"/>
      <w:r>
        <w:rPr>
          <w:rFonts w:hint="eastAsia" w:ascii="方正仿宋_GBK" w:eastAsia="方正仿宋_GBK"/>
          <w:b/>
          <w:sz w:val="28"/>
        </w:rPr>
        <w:instrText xml:space="preserve">9、区综治中心水电暖等日常运行费用绩效目标表</w:instrText>
      </w:r>
      <w:bookmarkEnd w:id="1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000-9999-JSN-L6JV</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区综治中心水电暖等日常运行费用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综治中心水电网络宽带等日常运行消耗。综治中心视频监控社会资源接入专用</w:t>
            </w:r>
            <w:r>
              <w:rPr>
                <w:rFonts w:ascii="方正书宋_GBK" w:eastAsia="方正书宋_GBK"/>
              </w:rPr>
              <w:t>200MB</w:t>
            </w:r>
            <w:r>
              <w:rPr>
                <w:rFonts w:hint="eastAsia" w:ascii="方正书宋_GBK" w:eastAsia="方正书宋_GBK"/>
              </w:rPr>
              <w:t>宽带费用。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1</w:t>
            </w:r>
            <w:r>
              <w:rPr>
                <w:rFonts w:hint="eastAsia" w:ascii="方正书宋_GBK" w:eastAsia="方正书宋_GBK"/>
              </w:rPr>
              <w:t>、保障水电正常使用。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2</w:t>
            </w:r>
            <w:r>
              <w:rPr>
                <w:rFonts w:hint="eastAsia" w:ascii="方正书宋_GBK" w:eastAsia="方正书宋_GBK"/>
              </w:rPr>
              <w:t>、保障网络正常运行</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保障网络正常运行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能否保障网络正常运行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能够保障</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保障综治中心水能够正常运行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能否保障综治中心水能够正常运行</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能够保障</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综治中心网络借入宽带率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能否保障综治中心电能够正常运行</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20m</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能够长期使用，满足工作人员正常的需求。</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可长期使用</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群众对成立综治中心的整体满意度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10、人民防线专项经费绩效目标表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32498207"/>
      <w:r>
        <w:rPr>
          <w:rFonts w:hint="eastAsia" w:ascii="方正仿宋_GBK" w:eastAsia="方正仿宋_GBK"/>
          <w:b/>
          <w:sz w:val="28"/>
        </w:rPr>
        <w:instrText xml:space="preserve">10、人民防线专项经费绩效目标表</w:instrText>
      </w:r>
      <w:bookmarkEnd w:id="1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000-9999-JSN-82JH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人民防线专项经费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加强国家安全防范工作，开展反间谍法宣传活动，加强反奸防谍法制宣传、敌情宣讲、警示教育及安全防范常识教育，对人民防线联络员进行培训，提高广大干部职工的敌情意识和防范能力。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、加强反间谍安全防范工作，落实反间谍安全防范责任制，提高全民的敌情意识和防范能力。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、加强宣传教育工作提高广大群众的知晓率</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大型宣传次数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举行大型国家安全宣传教育次数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联络员培训次数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每年对联络员进行培训次数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提高全民国家安全意识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开展对干部职工进行安全宣传教育</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加强全民对反间谍法的知晓率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通过宣传全民较之前对反间谍法知晓度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群众对国家安全宣传教育工作的整体满意度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11、扫黑除恶专项斗争经费绩效目标表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32498208"/>
      <w:r>
        <w:rPr>
          <w:rFonts w:hint="eastAsia" w:ascii="方正仿宋_GBK" w:eastAsia="方正仿宋_GBK"/>
          <w:b/>
          <w:sz w:val="28"/>
        </w:rPr>
        <w:instrText xml:space="preserve">11、扫黑除恶专项斗争经费绩效目标表</w:instrText>
      </w:r>
      <w:bookmarkEnd w:id="1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000-9999-JSN-ZN0L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扫黑除恶专项斗争经费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用于扫黑办日常办公消耗、扫黑除恶宣传品印刷等日常经费支出及黑恶线索提供人员奖励金。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88"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1</w:t>
            </w:r>
            <w:r>
              <w:rPr>
                <w:rFonts w:hint="eastAsia" w:ascii="方正书宋_GBK" w:eastAsia="方正书宋_GBK"/>
              </w:rPr>
              <w:t>、由政法委牵头，抽调专人成立扫黑除恶专项斗争领导小组办公室，集中办公，制作通告、条幅、手册、彩页、宣传片等宣传材料和组织各种活动对全区</w:t>
            </w:r>
            <w:r>
              <w:rPr>
                <w:rFonts w:ascii="方正书宋_GBK" w:eastAsia="方正书宋_GBK"/>
              </w:rPr>
              <w:t>13</w:t>
            </w:r>
            <w:r>
              <w:rPr>
                <w:rFonts w:hint="eastAsia" w:ascii="方正书宋_GBK" w:eastAsia="方正书宋_GBK"/>
              </w:rPr>
              <w:t>个乡镇进行</w:t>
            </w:r>
            <w:r>
              <w:rPr>
                <w:rFonts w:ascii="方正书宋_GBK" w:eastAsia="方正书宋_GBK"/>
              </w:rPr>
              <w:t>208</w:t>
            </w:r>
            <w:r>
              <w:rPr>
                <w:rFonts w:hint="eastAsia" w:ascii="方正书宋_GBK" w:eastAsia="方正书宋_GBK"/>
              </w:rPr>
              <w:t>个村进行宣传。</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2</w:t>
            </w:r>
            <w:r>
              <w:rPr>
                <w:rFonts w:hint="eastAsia" w:ascii="方正书宋_GBK" w:eastAsia="方正书宋_GBK"/>
              </w:rPr>
              <w:t>、调动广大群众参与专项斗</w:t>
            </w:r>
            <w:r>
              <w:rPr>
                <w:rFonts w:hint="eastAsia" w:ascii="方正书宋_GBK" w:eastAsia="方正书宋_GBK"/>
                <w:lang w:val="en-US" w:eastAsia="zh-CN"/>
              </w:rPr>
              <w:t>争</w:t>
            </w:r>
            <w:r>
              <w:rPr>
                <w:rFonts w:hint="eastAsia" w:ascii="方正书宋_GBK" w:eastAsia="方正书宋_GBK"/>
              </w:rPr>
              <w:t>的积极性。</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组织宣传活动次数（次）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组织宣传活动次数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次</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扫黑除恶斗争宣传覆盖率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扫黑除恶斗争宣传范围占全区</w:t>
            </w:r>
            <w:r>
              <w:rPr>
                <w:rFonts w:ascii="方正书宋_GBK" w:eastAsia="方正书宋_GBK"/>
              </w:rPr>
              <w:t>208</w:t>
            </w:r>
            <w:r>
              <w:rPr>
                <w:rFonts w:hint="eastAsia" w:ascii="方正书宋_GBK" w:eastAsia="方正书宋_GBK"/>
              </w:rPr>
              <w:t>个村的比例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扫黑除恶斗争宣覆盖面</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扫黑除恶斗争宣传范围</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208</w:t>
            </w:r>
            <w:r>
              <w:rPr>
                <w:rFonts w:hint="eastAsia" w:ascii="方正书宋_GBK" w:eastAsia="方正书宋_GBK"/>
              </w:rPr>
              <w:t>村</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调动群众参与的积极性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群众参与积极性较之前比较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很大提高群众参与的积极性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广大人民群众安全指数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反映为省辖区内人民安全感能否提升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群众安全感很大提升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群众对扫黑除恶工作的整体满意度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12、涉军公益岗绩效目标表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5" w:name="_Toc32498209"/>
      <w:r>
        <w:rPr>
          <w:rFonts w:hint="eastAsia" w:ascii="方正仿宋_GBK" w:eastAsia="方正仿宋_GBK"/>
          <w:b/>
          <w:sz w:val="28"/>
        </w:rPr>
        <w:instrText xml:space="preserve">12、涉军公益岗绩效目标表</w:instrText>
      </w:r>
      <w:bookmarkEnd w:id="1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000-9999-JSN-T2PN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涉军公益岗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2.55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2.55</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我单位对符合就业困难条件军队服役人员</w:t>
            </w:r>
            <w:r>
              <w:rPr>
                <w:rFonts w:ascii="方正书宋_GBK" w:eastAsia="方正书宋_GBK"/>
              </w:rPr>
              <w:t>1</w:t>
            </w:r>
            <w:r>
              <w:rPr>
                <w:rFonts w:hint="eastAsia" w:ascii="方正书宋_GBK" w:eastAsia="方正书宋_GBK"/>
              </w:rPr>
              <w:t>名，实行</w:t>
            </w:r>
            <w:r>
              <w:rPr>
                <w:rFonts w:hint="eastAsia" w:ascii="方正书宋_GBK" w:eastAsia="方正书宋_GBK"/>
                <w:lang w:eastAsia="zh-CN"/>
              </w:rPr>
              <w:t>公益性岗位</w:t>
            </w:r>
            <w:r>
              <w:rPr>
                <w:rFonts w:hint="eastAsia" w:ascii="方正书宋_GBK" w:eastAsia="方正书宋_GBK"/>
              </w:rPr>
              <w:t>托管安置，帮扶救助到位，孙艳伟每月工资</w:t>
            </w:r>
            <w:r>
              <w:rPr>
                <w:rFonts w:ascii="方正书宋_GBK" w:eastAsia="方正书宋_GBK"/>
              </w:rPr>
              <w:t>1960</w:t>
            </w:r>
            <w:r>
              <w:rPr>
                <w:rFonts w:hint="eastAsia" w:ascii="方正书宋_GBK" w:eastAsia="方正书宋_GBK"/>
              </w:rPr>
              <w:t>，取暖费</w:t>
            </w:r>
            <w:r>
              <w:rPr>
                <w:rFonts w:ascii="方正书宋_GBK" w:eastAsia="方正书宋_GBK"/>
              </w:rPr>
              <w:t>1650</w:t>
            </w:r>
            <w:r>
              <w:rPr>
                <w:rFonts w:hint="eastAsia" w:ascii="方正书宋_GBK" w:eastAsia="方正书宋_GBK"/>
              </w:rPr>
              <w:t>元，财政全部承担。共需资金</w:t>
            </w:r>
            <w:r>
              <w:rPr>
                <w:rFonts w:ascii="方正书宋_GBK" w:eastAsia="方正书宋_GBK"/>
              </w:rPr>
              <w:t>2.55</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、我单位对符合就业困难条件军队服役人员</w:t>
            </w:r>
            <w:r>
              <w:rPr>
                <w:rFonts w:ascii="方正书宋_GBK" w:eastAsia="方正书宋_GBK"/>
              </w:rPr>
              <w:t>1</w:t>
            </w:r>
            <w:r>
              <w:rPr>
                <w:rFonts w:hint="eastAsia" w:ascii="方正书宋_GBK" w:eastAsia="方正书宋_GBK"/>
              </w:rPr>
              <w:t>名，实行</w:t>
            </w:r>
            <w:r>
              <w:rPr>
                <w:rFonts w:hint="eastAsia" w:ascii="方正书宋_GBK" w:eastAsia="方正书宋_GBK"/>
                <w:lang w:eastAsia="zh-CN"/>
              </w:rPr>
              <w:t>公益性岗位</w:t>
            </w:r>
            <w:r>
              <w:rPr>
                <w:rFonts w:hint="eastAsia" w:ascii="方正书宋_GBK" w:eastAsia="方正书宋_GBK"/>
              </w:rPr>
              <w:t>托管安置，帮扶救助到位</w:t>
            </w:r>
            <w:r>
              <w:rPr>
                <w:rFonts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、加大就业援助工作，实现就业。</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退役军人人数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补贴退役军人</w:t>
            </w:r>
            <w:r>
              <w:rPr>
                <w:rFonts w:hint="eastAsia" w:ascii="方正书宋_GBK" w:eastAsia="方正书宋_GBK"/>
                <w:lang w:eastAsia="zh-CN"/>
              </w:rPr>
              <w:t>公益性岗位</w:t>
            </w:r>
            <w:r>
              <w:rPr>
                <w:rFonts w:hint="eastAsia" w:ascii="方正书宋_GBK" w:eastAsia="方正书宋_GBK"/>
              </w:rPr>
              <w:t>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退役军人补助标准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每人每月补助标准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1960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退役军人工资及时发放率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资金经费能够及时发放占总发放次数比率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托岗安置退役军人人数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托岗安置</w:t>
            </w:r>
            <w:r>
              <w:rPr>
                <w:rFonts w:hint="eastAsia" w:ascii="方正书宋_GBK" w:eastAsia="方正书宋_GBK"/>
                <w:lang w:eastAsia="zh-CN"/>
              </w:rPr>
              <w:t>公益性岗位</w:t>
            </w:r>
            <w:r>
              <w:rPr>
                <w:rFonts w:hint="eastAsia" w:ascii="方正书宋_GBK" w:eastAsia="方正书宋_GBK"/>
              </w:rPr>
              <w:t>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退役安置</w:t>
            </w:r>
            <w:r>
              <w:rPr>
                <w:rFonts w:hint="eastAsia" w:ascii="方正书宋_GBK" w:eastAsia="方正书宋_GBK"/>
                <w:lang w:eastAsia="zh-CN"/>
              </w:rPr>
              <w:t>公益性岗位</w:t>
            </w:r>
            <w:r>
              <w:rPr>
                <w:rFonts w:hint="eastAsia" w:ascii="方正书宋_GBK" w:eastAsia="方正书宋_GBK"/>
              </w:rPr>
              <w:t>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对退役安置</w:t>
            </w:r>
            <w:r>
              <w:rPr>
                <w:rFonts w:hint="eastAsia" w:ascii="方正书宋_GBK" w:eastAsia="方正书宋_GBK"/>
                <w:lang w:eastAsia="zh-CN"/>
              </w:rPr>
              <w:t>公益性岗位</w:t>
            </w:r>
            <w:r>
              <w:rPr>
                <w:rFonts w:hint="eastAsia" w:ascii="方正书宋_GBK" w:eastAsia="方正书宋_GBK"/>
              </w:rPr>
              <w:t>人员满意占总安置</w:t>
            </w:r>
            <w:r>
              <w:rPr>
                <w:rFonts w:hint="eastAsia" w:ascii="方正书宋_GBK" w:eastAsia="方正书宋_GBK"/>
                <w:lang w:eastAsia="zh-CN"/>
              </w:rPr>
              <w:t>公益性岗位</w:t>
            </w:r>
            <w:r>
              <w:rPr>
                <w:rFonts w:hint="eastAsia" w:ascii="方正书宋_GBK" w:eastAsia="方正书宋_GBK"/>
              </w:rPr>
              <w:t>总人数比率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13、涉军劳务派遣绩效目标表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6" w:name="_Toc32498210"/>
      <w:r>
        <w:rPr>
          <w:rFonts w:hint="eastAsia" w:ascii="方正仿宋_GBK" w:eastAsia="方正仿宋_GBK"/>
          <w:b/>
          <w:sz w:val="28"/>
        </w:rPr>
        <w:instrText xml:space="preserve">13、涉军劳务派遣绩效目标表</w:instrText>
      </w:r>
      <w:bookmarkEnd w:id="1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000-9999-JSN-HDJ2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涉军劳务派遣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对符合政府安置工作条件的退役士兵，帮扶救助，加大就业援助，通过劳务派遣予以托管，我单位有</w:t>
            </w:r>
            <w:r>
              <w:rPr>
                <w:rFonts w:ascii="方正书宋_GBK" w:eastAsia="方正书宋_GBK"/>
              </w:rPr>
              <w:t>1</w:t>
            </w:r>
            <w:r>
              <w:rPr>
                <w:rFonts w:hint="eastAsia" w:ascii="方正书宋_GBK" w:eastAsia="方正书宋_GBK"/>
              </w:rPr>
              <w:t>名退役军人劳务派遣，高飞每月工资</w:t>
            </w:r>
            <w:r>
              <w:rPr>
                <w:rFonts w:ascii="方正书宋_GBK" w:eastAsia="方正书宋_GBK"/>
              </w:rPr>
              <w:t>3100</w:t>
            </w:r>
            <w:r>
              <w:rPr>
                <w:rFonts w:hint="eastAsia" w:ascii="方正书宋_GBK" w:eastAsia="方正书宋_GBK"/>
              </w:rPr>
              <w:t>，社保费</w:t>
            </w:r>
            <w:r>
              <w:rPr>
                <w:rFonts w:ascii="方正书宋_GBK" w:eastAsia="方正书宋_GBK"/>
              </w:rPr>
              <w:t>1000</w:t>
            </w:r>
            <w:r>
              <w:rPr>
                <w:rFonts w:hint="eastAsia" w:ascii="方正书宋_GBK" w:eastAsia="方正书宋_GBK"/>
              </w:rPr>
              <w:t>，取暖费</w:t>
            </w:r>
            <w:r>
              <w:rPr>
                <w:rFonts w:ascii="方正书宋_GBK" w:eastAsia="方正书宋_GBK"/>
              </w:rPr>
              <w:t>1900</w:t>
            </w:r>
            <w:r>
              <w:rPr>
                <w:rFonts w:hint="eastAsia" w:ascii="方正书宋_GBK" w:eastAsia="方正书宋_GBK"/>
              </w:rPr>
              <w:t>元，全部财政负担，共需资金</w:t>
            </w:r>
            <w:r>
              <w:rPr>
                <w:rFonts w:ascii="方正书宋_GBK" w:eastAsia="方正书宋_GBK"/>
              </w:rPr>
              <w:t>5.11</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、我单位对符合就业困难条件军队服役人员</w:t>
            </w:r>
            <w:r>
              <w:rPr>
                <w:rFonts w:ascii="方正书宋_GBK" w:eastAsia="方正书宋_GBK"/>
              </w:rPr>
              <w:t>1</w:t>
            </w:r>
            <w:r>
              <w:rPr>
                <w:rFonts w:hint="eastAsia" w:ascii="方正书宋_GBK" w:eastAsia="方正书宋_GBK"/>
              </w:rPr>
              <w:t>名，实行劳务派遣托管安置，帮扶救助到位。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、加大就业援助工作，实现就业。</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补贴退役军人劳务派遣岗位人数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补助标准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每人每月补助标准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1960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资助经费及时发放率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资金经费能够及时发放占总发放次数比率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托岗安置人数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托岗安置劳务派遣人数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退役士兵安置满意度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满意人数占总安置人数比率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14、社会治安综合治理工作经费绩效目标表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7" w:name="_Toc32498211"/>
      <w:r>
        <w:rPr>
          <w:rFonts w:hint="eastAsia" w:ascii="方正仿宋_GBK" w:eastAsia="方正仿宋_GBK"/>
          <w:b/>
          <w:sz w:val="28"/>
        </w:rPr>
        <w:instrText xml:space="preserve">14、社会治安综合治理工作经费绩效目标表</w:instrText>
      </w:r>
      <w:bookmarkEnd w:id="1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000-9999-JSN-6NF8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社会治安综合治理工作经费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用于社会治安综合治理宣传、重点地区整治设备更新、维修、日常工作经费及解决重大问题应对重大案件等费用的支出。补贴经济薄弱乡镇和重点区域的巡防队伍建设。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、强化重点乱点区域综合治理，保障乡镇巡防队伍力量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、辖区内发生重大有影响的恶性案件或突发案件等情况时，根据需要，及时拨付相关单位，确保大案、要案和突发事件的侦破、处置等工作能够顺利进行。</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挂牌督办的社会治安重点地区整改率（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挂牌督办的社会治安重点地区整改率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治安、刑事案件处理及时性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治安、刑事案件处理的平均时间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均可及时处理</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充实巡防队伍建设资金</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经济薄弱乡镇可充实巡防队伍力量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充实巡防队伍建设资金</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公众安全感指数</w:t>
            </w:r>
            <w:r>
              <w:rPr>
                <w:rFonts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对治安管理满意的人数査调查总人数的比率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15、铁路护路联防费用绩效目标表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8" w:name="_Toc32498212"/>
      <w:r>
        <w:rPr>
          <w:rFonts w:hint="eastAsia" w:ascii="方正仿宋_GBK" w:eastAsia="方正仿宋_GBK"/>
          <w:b/>
          <w:sz w:val="28"/>
        </w:rPr>
        <w:instrText xml:space="preserve">15、铁路护路联防费用绩效目标表</w:instrText>
      </w:r>
      <w:bookmarkEnd w:id="1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000-9999-JSN-8688</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铁路护路联防费用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用于支付铁路沿线七个乡镇（区）</w:t>
            </w:r>
            <w:r>
              <w:rPr>
                <w:rFonts w:ascii="方正书宋_GBK" w:eastAsia="方正书宋_GBK"/>
              </w:rPr>
              <w:t>47</w:t>
            </w:r>
            <w:r>
              <w:rPr>
                <w:rFonts w:hint="eastAsia" w:ascii="方正书宋_GBK" w:eastAsia="方正书宋_GBK"/>
              </w:rPr>
              <w:t>处护路点护路补贴发放，护路点为双人双岗，每天</w:t>
            </w:r>
            <w:r>
              <w:rPr>
                <w:rFonts w:ascii="方正书宋_GBK" w:eastAsia="方正书宋_GBK"/>
              </w:rPr>
              <w:t>4</w:t>
            </w:r>
            <w:r>
              <w:rPr>
                <w:rFonts w:hint="eastAsia" w:ascii="方正书宋_GBK" w:eastAsia="方正书宋_GBK"/>
              </w:rPr>
              <w:t>人次，每人每天补贴</w:t>
            </w:r>
            <w:r>
              <w:rPr>
                <w:rFonts w:ascii="方正书宋_GBK" w:eastAsia="方正书宋_GBK"/>
              </w:rPr>
              <w:t>50</w:t>
            </w:r>
            <w:r>
              <w:rPr>
                <w:rFonts w:hint="eastAsia" w:ascii="方正书宋_GBK" w:eastAsia="方正书宋_GBK"/>
              </w:rPr>
              <w:t>元，分别由相关乡镇发放到位。以及单位</w:t>
            </w:r>
            <w:r>
              <w:rPr>
                <w:rFonts w:ascii="方正书宋_GBK" w:eastAsia="方正书宋_GBK"/>
              </w:rPr>
              <w:t>3</w:t>
            </w:r>
            <w:r>
              <w:rPr>
                <w:rFonts w:hint="eastAsia" w:ascii="方正书宋_GBK" w:eastAsia="方正书宋_GBK"/>
              </w:rPr>
              <w:t>名护路队员工资及保险发放和日常工作经费支出。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1</w:t>
            </w:r>
            <w:r>
              <w:rPr>
                <w:rFonts w:hint="eastAsia" w:ascii="方正书宋_GBK" w:eastAsia="方正书宋_GBK"/>
              </w:rPr>
              <w:t>、聘用</w:t>
            </w:r>
            <w:r>
              <w:rPr>
                <w:rFonts w:ascii="方正书宋_GBK" w:eastAsia="方正书宋_GBK"/>
              </w:rPr>
              <w:t>3</w:t>
            </w:r>
            <w:r>
              <w:rPr>
                <w:rFonts w:hint="eastAsia" w:ascii="方正书宋_GBK" w:eastAsia="方正书宋_GBK"/>
              </w:rPr>
              <w:t>名护路队员做好重要时期安保执勤、进行爱护铁路宣传教育、每月进行宣传</w:t>
            </w:r>
            <w:r>
              <w:rPr>
                <w:rFonts w:ascii="方正书宋_GBK" w:eastAsia="方正书宋_GBK"/>
              </w:rPr>
              <w:t>1</w:t>
            </w:r>
            <w:r>
              <w:rPr>
                <w:rFonts w:hint="eastAsia" w:ascii="方正书宋_GBK" w:eastAsia="方正书宋_GBK"/>
              </w:rPr>
              <w:t>次，重要时期需进行集中宣传活动，常年在铁路沿线设置宣传展牌。排查化解涉路矛盾纠纷、治安隐患化解整治。</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47</w:t>
            </w:r>
            <w:r>
              <w:rPr>
                <w:rFonts w:hint="eastAsia" w:ascii="方正书宋_GBK" w:eastAsia="方正书宋_GBK"/>
              </w:rPr>
              <w:t>处护路点敏感时期安置人员护路，发现问题及时上报有效化解涉路问题及隐患，维护了铁路运输安全畅通。</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护路队员月工资标准</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名护路队员工资标准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2650</w:t>
            </w:r>
            <w:r>
              <w:rPr>
                <w:rFonts w:hint="eastAsia" w:ascii="方正书宋_GBK" w:eastAsia="方正书宋_GBK"/>
              </w:rPr>
              <w:t>元</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护路点位看护人员覆盖率</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47</w:t>
            </w:r>
            <w:r>
              <w:rPr>
                <w:rFonts w:hint="eastAsia" w:ascii="方正书宋_GBK" w:eastAsia="方正书宋_GBK"/>
              </w:rPr>
              <w:t>个点位护路人员覆盖率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护路点的个数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设置护路点的数量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47</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护路乡镇个数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设置护路乡镇的数量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护路点安排人次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每个护路点设置人数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人次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护路点看护人员发现问题上报及时率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按规定时间上报事件数量占全部事件数量比率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涉路矛盾排查化解率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涉路矛盾化解数量占总数量的比率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群众在护路点位安置人员护路工作人员的满意度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工作台账</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16、铁路沿线视频监控系统建设绩效目标表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9" w:name="_Toc32498213"/>
      <w:r>
        <w:rPr>
          <w:rFonts w:hint="eastAsia" w:ascii="方正仿宋_GBK" w:eastAsia="方正仿宋_GBK"/>
          <w:b/>
          <w:sz w:val="28"/>
        </w:rPr>
        <w:instrText xml:space="preserve">16、铁路沿线视频监控系统建设绩效目标表</w:instrText>
      </w:r>
      <w:bookmarkEnd w:id="1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000-9999-JSN-XDLZ</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铁路沿线视频监控系统建设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我区建设</w:t>
            </w:r>
            <w:r>
              <w:rPr>
                <w:rFonts w:ascii="方正书宋_GBK" w:eastAsia="方正书宋_GBK"/>
              </w:rPr>
              <w:t>2</w:t>
            </w:r>
            <w:r>
              <w:rPr>
                <w:rFonts w:hint="eastAsia" w:ascii="方正书宋_GBK" w:eastAsia="方正书宋_GBK"/>
              </w:rPr>
              <w:t>条高速铁路</w:t>
            </w:r>
            <w:r>
              <w:rPr>
                <w:rFonts w:ascii="方正书宋_GBK" w:eastAsia="方正书宋_GBK"/>
              </w:rPr>
              <w:t>42</w:t>
            </w:r>
            <w:r>
              <w:rPr>
                <w:rFonts w:hint="eastAsia" w:ascii="方正书宋_GBK" w:eastAsia="方正书宋_GBK"/>
              </w:rPr>
              <w:t>个点位（京广、石太）和</w:t>
            </w:r>
            <w:r>
              <w:rPr>
                <w:rFonts w:ascii="方正书宋_GBK" w:eastAsia="方正书宋_GBK"/>
              </w:rPr>
              <w:t>4</w:t>
            </w:r>
            <w:r>
              <w:rPr>
                <w:rFonts w:hint="eastAsia" w:ascii="方正书宋_GBK" w:eastAsia="方正书宋_GBK"/>
              </w:rPr>
              <w:t>条普速铁路</w:t>
            </w:r>
            <w:r>
              <w:rPr>
                <w:rFonts w:ascii="方正书宋_GBK" w:eastAsia="方正书宋_GBK"/>
              </w:rPr>
              <w:t>47</w:t>
            </w:r>
            <w:r>
              <w:rPr>
                <w:rFonts w:hint="eastAsia" w:ascii="方正书宋_GBK" w:eastAsia="方正书宋_GBK"/>
              </w:rPr>
              <w:t>个点位（京广、石太、石太三四线、西环）的</w:t>
            </w:r>
            <w:r>
              <w:rPr>
                <w:rFonts w:ascii="方正书宋_GBK" w:eastAsia="方正书宋_GBK"/>
              </w:rPr>
              <w:t>89</w:t>
            </w:r>
            <w:r>
              <w:rPr>
                <w:rFonts w:hint="eastAsia" w:ascii="方正书宋_GBK" w:eastAsia="方正书宋_GBK"/>
              </w:rPr>
              <w:t>个点位安装视频监控系统。</w:t>
            </w:r>
            <w:r>
              <w:rPr>
                <w:rFonts w:ascii="方正书宋_GBK" w:eastAsia="方正书宋_GBK"/>
              </w:rPr>
              <w:t>20</w:t>
            </w:r>
            <w:r>
              <w:rPr>
                <w:rFonts w:hint="eastAsia" w:ascii="方正书宋_GBK" w:eastAsia="方正书宋_GBK"/>
              </w:rPr>
              <w:t>年完成全部点位视频监控建设任务，并对整个系统进行调整优化。同时完成相关后端系统与现有公共安全视频应用平台和</w:t>
            </w:r>
            <w:r>
              <w:rPr>
                <w:rFonts w:hint="cs" w:ascii="方正书宋_GBK" w:eastAsia="方正书宋_GBK"/>
              </w:rPr>
              <w:t>“</w:t>
            </w:r>
            <w:r>
              <w:rPr>
                <w:rFonts w:hint="eastAsia" w:ascii="方正书宋_GBK" w:eastAsia="方正书宋_GBK"/>
              </w:rPr>
              <w:t>雪亮工程</w:t>
            </w:r>
            <w:r>
              <w:rPr>
                <w:rFonts w:hint="cs" w:ascii="方正书宋_GBK" w:eastAsia="方正书宋_GBK"/>
              </w:rPr>
              <w:t>”</w:t>
            </w:r>
            <w:r>
              <w:rPr>
                <w:rFonts w:hint="eastAsia" w:ascii="方正书宋_GBK" w:eastAsia="方正书宋_GBK"/>
              </w:rPr>
              <w:t>平台的对接。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、高铁</w:t>
            </w:r>
            <w:r>
              <w:rPr>
                <w:rFonts w:ascii="方正书宋_GBK" w:eastAsia="方正书宋_GBK"/>
              </w:rPr>
              <w:t>42</w:t>
            </w:r>
            <w:r>
              <w:rPr>
                <w:rFonts w:hint="eastAsia" w:ascii="方正书宋_GBK" w:eastAsia="方正书宋_GBK"/>
              </w:rPr>
              <w:t>个点位视频监控系统建设全部完成，普铁</w:t>
            </w:r>
            <w:r>
              <w:rPr>
                <w:rFonts w:ascii="方正书宋_GBK" w:eastAsia="方正书宋_GBK"/>
              </w:rPr>
              <w:t>47</w:t>
            </w:r>
            <w:r>
              <w:rPr>
                <w:rFonts w:hint="eastAsia" w:ascii="方正书宋_GBK" w:eastAsia="方正书宋_GBK"/>
              </w:rPr>
              <w:t>个点位视频监控系统建设全部完成。</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、有效维护铁路沿线治安秩序，保障本辖区内铁路安全。</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高铁视频监控系统建设数量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高铁视频联网数量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42</w:t>
            </w:r>
            <w:r>
              <w:rPr>
                <w:rFonts w:hint="eastAsia" w:ascii="方正书宋_GBK" w:eastAsia="方正书宋_GBK"/>
              </w:rPr>
              <w:t>个</w:t>
            </w:r>
          </w:p>
          <w:p>
            <w:pPr>
              <w:spacing w:line="300" w:lineRule="exact"/>
              <w:jc w:val="left"/>
              <w:rPr>
                <w:rFonts w:ascii="方正书宋_GBK" w:eastAsia="方正书宋_GBK"/>
              </w:rPr>
            </w:pP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普铁视频监控系统建设数量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普铁视频联网数量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47</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普铁视频监控系统监控点建设数量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普铁视频监控系统监控点建设数量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89</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铁路沿线视频监控系统建设完成率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已完成的铁路视频监控系统占总工程的比例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铁路沿线视频监控系统建设验收通过率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已验收通过的铁路视频监控系统占总工程的比例</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铁路沿线秩序及安全保障能力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铁路沿线治安秩序及安全保障能力较之前比较</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有很大提升</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群众对铁路沿线安装视频监控整体满意度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17、维稳专项经费绩效目标表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0" w:name="_Toc32498214"/>
      <w:r>
        <w:rPr>
          <w:rFonts w:hint="eastAsia" w:ascii="方正仿宋_GBK" w:eastAsia="方正仿宋_GBK"/>
          <w:b/>
          <w:sz w:val="28"/>
        </w:rPr>
        <w:instrText xml:space="preserve">17、维稳专项经费绩效目标表</w:instrText>
      </w:r>
      <w:bookmarkEnd w:id="2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000-9999-JSN-R220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维稳专项经费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重大事件处置、特情、信息收集、稳定工作经费。近年来涉军维稳形势严峻，为提前发现深层次内幕性不稳定苗头隐患，掌握行动性信息，需大力物建特情耳目，为强化涉军维稳最后一道防线，需加强驻京值班力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1</w:t>
            </w:r>
            <w:r>
              <w:rPr>
                <w:rFonts w:hint="eastAsia" w:ascii="方正书宋_GBK" w:eastAsia="方正书宋_GBK"/>
              </w:rPr>
              <w:t>、用于全国两会、</w:t>
            </w:r>
            <w:r>
              <w:rPr>
                <w:rFonts w:hint="cs" w:ascii="方正书宋_GBK" w:eastAsia="方正书宋_GBK"/>
              </w:rPr>
              <w:t>“</w:t>
            </w:r>
            <w:r>
              <w:rPr>
                <w:rFonts w:hint="eastAsia" w:ascii="方正书宋_GBK" w:eastAsia="方正书宋_GBK"/>
              </w:rPr>
              <w:t>六四</w:t>
            </w:r>
            <w:r>
              <w:rPr>
                <w:rFonts w:hint="cs" w:ascii="方正书宋_GBK" w:eastAsia="方正书宋_GBK"/>
              </w:rPr>
              <w:t>”</w:t>
            </w:r>
            <w:r>
              <w:rPr>
                <w:rFonts w:hint="eastAsia" w:ascii="方正书宋_GBK" w:eastAsia="方正书宋_GBK"/>
              </w:rPr>
              <w:t>、</w:t>
            </w:r>
            <w:r>
              <w:rPr>
                <w:rFonts w:hint="cs" w:ascii="方正书宋_GBK" w:eastAsia="方正书宋_GBK"/>
              </w:rPr>
              <w:t>”</w:t>
            </w:r>
            <w:r>
              <w:rPr>
                <w:rFonts w:hint="eastAsia" w:ascii="方正书宋_GBK" w:eastAsia="方正书宋_GBK"/>
              </w:rPr>
              <w:t>十一</w:t>
            </w:r>
            <w:r>
              <w:rPr>
                <w:rFonts w:hint="cs" w:ascii="方正书宋_GBK" w:eastAsia="方正书宋_GBK"/>
              </w:rPr>
              <w:t>“</w:t>
            </w:r>
            <w:r>
              <w:rPr>
                <w:rFonts w:hint="eastAsia" w:ascii="方正书宋_GBK" w:eastAsia="方正书宋_GBK"/>
              </w:rPr>
              <w:t>等重大敏感时间节点安保维稳工作，确保各乡镇区涉稳重点人员、群体稳定，全力做好全区社会稳定工作，确保不发生重大影响社会稳定的案（事）件。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2</w:t>
            </w:r>
            <w:r>
              <w:rPr>
                <w:rFonts w:hint="eastAsia" w:ascii="方正书宋_GBK" w:eastAsia="方正书宋_GBK"/>
              </w:rPr>
              <w:t>、特请耳目深层次发现内幕性不稳定苗头隐患，掌握行动性信息，有效地预防集体上访、非法聚会串联及赴外地声援。</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重要敏感时期不发生较大涉稳案事件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较大涉稳案事件数量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件</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有价值线索提供量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提供有效线索数量</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条</w:t>
            </w:r>
            <w:r>
              <w:rPr>
                <w:rFonts w:ascii="方正书宋_GBK" w:eastAsia="方正书宋_GBK"/>
              </w:rPr>
              <w:t>/</w:t>
            </w:r>
            <w:r>
              <w:rPr>
                <w:rFonts w:hint="eastAsia" w:ascii="方正书宋_GBK" w:eastAsia="方正书宋_GBK"/>
              </w:rPr>
              <w:t>月</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涉稳事件完成率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按照要求和计划完涉稳事件在所有涉稳事件中的比例（百分比）</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突发涉稳处置完成率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处置完成突发涉稳事件数量占突发涉稳数量的比例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18、政法四级网升级改造绩效目标表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1" w:name="_Toc32498215"/>
      <w:r>
        <w:rPr>
          <w:rFonts w:hint="eastAsia" w:ascii="方正仿宋_GBK" w:eastAsia="方正仿宋_GBK"/>
          <w:b/>
          <w:sz w:val="28"/>
        </w:rPr>
        <w:instrText xml:space="preserve">18、政法四级网升级改造绩效目标表</w:instrText>
      </w:r>
      <w:bookmarkEnd w:id="2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000-9999-JSN-0FJ0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政法四级网升级改造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291.37</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291.37</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用于区级政法各部门、乡镇派出所、综治办司法所、交警大队及各中队、各相关直属节点共计</w:t>
            </w:r>
            <w:r>
              <w:rPr>
                <w:rFonts w:ascii="方正书宋_GBK" w:eastAsia="方正书宋_GBK"/>
              </w:rPr>
              <w:t>61</w:t>
            </w:r>
            <w:r>
              <w:rPr>
                <w:rFonts w:hint="eastAsia" w:ascii="方正书宋_GBK" w:eastAsia="方正书宋_GBK"/>
              </w:rPr>
              <w:t>个点位购置扩容所需</w:t>
            </w:r>
            <w:r>
              <w:rPr>
                <w:rFonts w:ascii="方正书宋_GBK" w:eastAsia="方正书宋_GBK"/>
              </w:rPr>
              <w:t>OTN</w:t>
            </w:r>
            <w:r>
              <w:rPr>
                <w:rFonts w:hint="eastAsia" w:ascii="方正书宋_GBK" w:eastAsia="方正书宋_GBK"/>
              </w:rPr>
              <w:t>设备、</w:t>
            </w:r>
            <w:r>
              <w:rPr>
                <w:rFonts w:ascii="方正书宋_GBK" w:eastAsia="方正书宋_GBK"/>
              </w:rPr>
              <w:t>MSTP</w:t>
            </w:r>
            <w:r>
              <w:rPr>
                <w:rFonts w:hint="eastAsia" w:ascii="方正书宋_GBK" w:eastAsia="方正书宋_GBK"/>
              </w:rPr>
              <w:t>设备、路由交换设备、语音通信设备、通信电源及蓄电池，并进行调试、验收，最终确保系统正常运行。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、对政法四级网的扩容改造升级工作，总体网络带宽由原来的</w:t>
            </w:r>
            <w:r>
              <w:rPr>
                <w:rFonts w:ascii="方正书宋_GBK" w:eastAsia="方正书宋_GBK"/>
              </w:rPr>
              <w:t>4</w:t>
            </w:r>
            <w:r>
              <w:rPr>
                <w:rFonts w:hint="eastAsia" w:ascii="方正书宋_GBK" w:eastAsia="方正书宋_GBK"/>
              </w:rPr>
              <w:t>个组团县市区共享</w:t>
            </w:r>
            <w:r>
              <w:rPr>
                <w:rFonts w:ascii="方正书宋_GBK" w:eastAsia="方正书宋_GBK"/>
              </w:rPr>
              <w:t>10G</w:t>
            </w:r>
            <w:r>
              <w:rPr>
                <w:rFonts w:hint="eastAsia" w:ascii="方正书宋_GBK" w:eastAsia="方正书宋_GBK"/>
              </w:rPr>
              <w:t>带宽（即每个县市区</w:t>
            </w:r>
            <w:r>
              <w:rPr>
                <w:rFonts w:ascii="方正书宋_GBK" w:eastAsia="方正书宋_GBK"/>
              </w:rPr>
              <w:t>2.5G</w:t>
            </w:r>
            <w:r>
              <w:rPr>
                <w:rFonts w:hint="eastAsia" w:ascii="方正书宋_GBK" w:eastAsia="方正书宋_GBK"/>
              </w:rPr>
              <w:t>）升级为每个县市区独享</w:t>
            </w:r>
            <w:r>
              <w:rPr>
                <w:rFonts w:ascii="方正书宋_GBK" w:eastAsia="方正书宋_GBK"/>
              </w:rPr>
              <w:t>40G</w:t>
            </w:r>
            <w:r>
              <w:rPr>
                <w:rFonts w:hint="eastAsia" w:ascii="方正书宋_GBK" w:eastAsia="方正书宋_GBK"/>
              </w:rPr>
              <w:t>带宽（预留至</w:t>
            </w:r>
            <w:r>
              <w:rPr>
                <w:rFonts w:ascii="方正书宋_GBK" w:eastAsia="方正书宋_GBK"/>
              </w:rPr>
              <w:t>80G</w:t>
            </w:r>
            <w:r>
              <w:rPr>
                <w:rFonts w:hint="eastAsia" w:ascii="方正书宋_GBK" w:eastAsia="方正书宋_GBK"/>
              </w:rPr>
              <w:t>带宽），其中政法四级网</w:t>
            </w:r>
            <w:r>
              <w:rPr>
                <w:rFonts w:ascii="方正书宋_GBK" w:eastAsia="方正书宋_GBK"/>
              </w:rPr>
              <w:t>20G,</w:t>
            </w:r>
            <w:r>
              <w:rPr>
                <w:rFonts w:hint="eastAsia" w:ascii="方正书宋_GBK" w:eastAsia="方正书宋_GBK"/>
              </w:rPr>
              <w:t>政务外网独享</w:t>
            </w:r>
            <w:r>
              <w:rPr>
                <w:rFonts w:ascii="方正书宋_GBK" w:eastAsia="方正书宋_GBK"/>
              </w:rPr>
              <w:t>20G</w:t>
            </w:r>
            <w:r>
              <w:rPr>
                <w:rFonts w:hint="eastAsia" w:ascii="方正书宋_GBK" w:eastAsia="方正书宋_GBK"/>
              </w:rPr>
              <w:t>，基本满足了目前阶段政法部门信息化的带宽需求。</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、本次扩容升级全部采用</w:t>
            </w:r>
            <w:r>
              <w:rPr>
                <w:rFonts w:ascii="方正书宋_GBK" w:eastAsia="方正书宋_GBK"/>
              </w:rPr>
              <w:t>OTN</w:t>
            </w:r>
            <w:r>
              <w:rPr>
                <w:rFonts w:hint="eastAsia" w:ascii="方正书宋_GBK" w:eastAsia="方正书宋_GBK"/>
              </w:rPr>
              <w:t>设备和</w:t>
            </w:r>
            <w:r>
              <w:rPr>
                <w:rFonts w:ascii="方正书宋_GBK" w:eastAsia="方正书宋_GBK"/>
              </w:rPr>
              <w:t>MSTP</w:t>
            </w:r>
            <w:r>
              <w:rPr>
                <w:rFonts w:hint="eastAsia" w:ascii="方正书宋_GBK" w:eastAsia="方正书宋_GBK"/>
              </w:rPr>
              <w:t>设备，与省市设备统一品牌、统一批次，确保完美衔接，高质量、高标准完成本次扩容目标，同时为今后再次扩容提前谋划，可在本次扩容基础上再次平滑扩容。</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设备验收通过率（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通过验收的设备数量占设备总数量的比率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设备按时安装完成率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设备按时完成安装占总数的比率（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扩容升级点位数量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本辖区扩容升级点位数量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61</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网络运行速度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网络带宽速政法四级网达到</w:t>
            </w:r>
            <w:r>
              <w:rPr>
                <w:rFonts w:ascii="方正书宋_GBK" w:eastAsia="方正书宋_GBK"/>
              </w:rPr>
              <w:t>20g,</w:t>
            </w:r>
            <w:r>
              <w:rPr>
                <w:rFonts w:hint="eastAsia" w:ascii="方正书宋_GBK" w:eastAsia="方正书宋_GBK"/>
              </w:rPr>
              <w:t>政务外网独享</w:t>
            </w:r>
            <w:r>
              <w:rPr>
                <w:rFonts w:ascii="方正书宋_GBK" w:eastAsia="方正书宋_GBK"/>
              </w:rPr>
              <w:t>20g</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能够较好地与省市连接，可长期使用并为再次扩容升级奠定基础</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可长期使用并在今后扩容升级奠定了基础</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政法四级网平台使用人对政法四级网建设项目满意度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19、政法网运行维护绩效目标表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2" w:name="_Toc32498216"/>
      <w:r>
        <w:rPr>
          <w:rFonts w:hint="eastAsia" w:ascii="方正仿宋_GBK" w:eastAsia="方正仿宋_GBK"/>
          <w:b/>
          <w:sz w:val="28"/>
        </w:rPr>
        <w:instrText xml:space="preserve">19、政法网运行维护绩效目标表</w:instrText>
      </w:r>
      <w:bookmarkEnd w:id="2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000-9999-JSN-N2R6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政法网运行维护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保障我区政法四级网</w:t>
            </w:r>
            <w:r>
              <w:rPr>
                <w:rFonts w:ascii="方正书宋_GBK" w:eastAsia="方正书宋_GBK"/>
              </w:rPr>
              <w:t>62</w:t>
            </w:r>
            <w:r>
              <w:rPr>
                <w:rFonts w:hint="eastAsia" w:ascii="方正书宋_GBK" w:eastAsia="方正书宋_GBK"/>
              </w:rPr>
              <w:t>个节点的正常运行、使用，保证全区政法系统视频会议、网络办公系统正常使用，提升工作、办案效率。每年列入财政预算，用于我区用于政法网光纤租赁费用和设备管理维护费、应用系统开发费、。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、保障我区政法四级网</w:t>
            </w:r>
            <w:r>
              <w:rPr>
                <w:rFonts w:ascii="方正书宋_GBK" w:eastAsia="方正书宋_GBK"/>
              </w:rPr>
              <w:t>62</w:t>
            </w:r>
            <w:r>
              <w:rPr>
                <w:rFonts w:hint="eastAsia" w:ascii="方正书宋_GBK" w:eastAsia="方正书宋_GBK"/>
              </w:rPr>
              <w:t>个节点的正常运行、使用，保证全区政法系统视频会议、网络办公系统正常使用，提升工作、办案效率。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、保障政法网光纤线路的正常通信和设备的正常使用，以及相关应用系统开发、后期人员培训等，保</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光纤维护及时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光纤报修到维护完成时间</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天</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设备维护及时</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设备报修到维护完成时间</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政法四级网运行站点</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政法四级网运行站点数量</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62</w:t>
            </w:r>
            <w:r>
              <w:rPr>
                <w:rFonts w:hint="eastAsia" w:ascii="方正书宋_GBK" w:eastAsia="方正书宋_GBK"/>
              </w:rPr>
              <w:t>个</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网络正常运行率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网络正常运行占总运行时间比率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群众对政法网运行速度整体满意度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autoSpaceDE w:val="0"/>
        <w:autoSpaceDN w:val="0"/>
        <w:adjustRightInd w:val="0"/>
        <w:jc w:val="left"/>
        <w:rPr>
          <w:rFonts w:hint="eastAsia" w:ascii="黑体" w:hAnsi="黑体" w:eastAsia="黑体" w:cs="Times New Roman"/>
          <w:sz w:val="32"/>
          <w:szCs w:val="32"/>
        </w:r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23"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171.74</w:t>
      </w:r>
      <w:r>
        <w:rPr>
          <w:rFonts w:ascii="Times New Roman" w:hAnsi="Times New Roman" w:eastAsia="仿宋" w:cs="Times New Roman"/>
          <w:sz w:val="32"/>
          <w:szCs w:val="24"/>
        </w:rPr>
        <w:t>万元。具体内容见下表。</w:t>
      </w:r>
      <w:bookmarkEnd w:id="23"/>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24" w:name="_Toc32407789"/>
      <w:r>
        <w:rPr>
          <w:rFonts w:hint="eastAsia" w:ascii="方正小标宋_GBK" w:eastAsia="方正小标宋_GBK"/>
          <w:sz w:val="32"/>
        </w:rPr>
        <w:instrText xml:space="preserve">部门政府采购预算</w:instrText>
      </w:r>
      <w:bookmarkEnd w:id="24"/>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8"/>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8703"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217</w:t>
            </w:r>
            <w:r>
              <w:rPr>
                <w:rFonts w:hint="eastAsia" w:ascii="方正小标宋_GBK" w:eastAsia="方正小标宋_GBK"/>
                <w:sz w:val="24"/>
              </w:rPr>
              <w:t>中共石家庄市鹿泉区委政法委员会</w:t>
            </w:r>
          </w:p>
        </w:tc>
        <w:tc>
          <w:tcPr>
            <w:tcW w:w="680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31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shd w:val="clear" w:color="auto" w:fill="auto"/>
            <w:vAlign w:val="center"/>
          </w:tcPr>
          <w:p>
            <w:pPr>
              <w:spacing w:line="300" w:lineRule="exact"/>
              <w:jc w:val="left"/>
              <w:outlineLvl w:val="0"/>
              <w:rPr>
                <w:rFonts w:ascii="Times New Roman" w:eastAsia="方正仿宋_GBK"/>
                <w:sz w:val="28"/>
              </w:rPr>
            </w:pPr>
          </w:p>
        </w:tc>
        <w:tc>
          <w:tcPr>
            <w:tcW w:w="1531" w:type="dxa"/>
            <w:vMerge w:val="continue"/>
            <w:shd w:val="clear" w:color="auto" w:fill="auto"/>
            <w:vAlign w:val="center"/>
          </w:tcPr>
          <w:p>
            <w:pPr>
              <w:spacing w:line="300" w:lineRule="exact"/>
              <w:jc w:val="left"/>
              <w:outlineLvl w:val="0"/>
              <w:rPr>
                <w:rFonts w:ascii="Times New Roman" w:eastAsia="方正仿宋_GBK"/>
                <w:sz w:val="28"/>
              </w:rPr>
            </w:pPr>
          </w:p>
        </w:tc>
        <w:tc>
          <w:tcPr>
            <w:tcW w:w="709" w:type="dxa"/>
            <w:vMerge w:val="continue"/>
            <w:shd w:val="clear" w:color="auto" w:fill="auto"/>
            <w:vAlign w:val="center"/>
          </w:tcPr>
          <w:p>
            <w:pPr>
              <w:spacing w:line="300" w:lineRule="exact"/>
              <w:jc w:val="left"/>
              <w:outlineLvl w:val="0"/>
              <w:rPr>
                <w:rFonts w:ascii="Times New Roman" w:eastAsia="方正仿宋_GBK"/>
                <w:sz w:val="28"/>
              </w:rPr>
            </w:pPr>
          </w:p>
        </w:tc>
        <w:tc>
          <w:tcPr>
            <w:tcW w:w="907" w:type="dxa"/>
            <w:vMerge w:val="continue"/>
            <w:shd w:val="clear" w:color="auto" w:fill="auto"/>
            <w:vAlign w:val="center"/>
          </w:tcPr>
          <w:p>
            <w:pPr>
              <w:spacing w:line="300" w:lineRule="exact"/>
              <w:jc w:val="left"/>
              <w:outlineLvl w:val="0"/>
              <w:rPr>
                <w:rFonts w:ascii="Times New Roman" w:eastAsia="方正仿宋_GBK"/>
                <w:sz w:val="28"/>
              </w:rPr>
            </w:pPr>
          </w:p>
        </w:tc>
        <w:tc>
          <w:tcPr>
            <w:tcW w:w="907" w:type="dxa"/>
            <w:vMerge w:val="continue"/>
            <w:shd w:val="clear" w:color="auto" w:fill="auto"/>
            <w:vAlign w:val="center"/>
          </w:tcPr>
          <w:p>
            <w:pPr>
              <w:spacing w:line="300" w:lineRule="exact"/>
              <w:jc w:val="left"/>
              <w:outlineLvl w:val="0"/>
              <w:rPr>
                <w:rFonts w:ascii="Times New Roman" w:eastAsia="方正仿宋_GBK"/>
                <w:sz w:val="28"/>
              </w:rPr>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中共石家庄市鹿泉区委政法委员会小计</w:t>
            </w:r>
          </w:p>
        </w:tc>
        <w:tc>
          <w:tcPr>
            <w:tcW w:w="1134" w:type="dxa"/>
            <w:shd w:val="clear" w:color="auto" w:fill="auto"/>
            <w:vAlign w:val="center"/>
          </w:tcPr>
          <w:p>
            <w:pPr>
              <w:spacing w:line="300" w:lineRule="exact"/>
              <w:jc w:val="righ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1531"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center"/>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907"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171.74</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171.74</w:t>
            </w: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城乡社区网格化服务管理试点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w:t>
            </w:r>
          </w:p>
        </w:tc>
        <w:tc>
          <w:tcPr>
            <w:tcW w:w="153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终端机</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A02010402</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250.00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0.20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城乡社区网格化服务管理试点</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150.00</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基础电信服务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C030101</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1000.00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0.10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100.00</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精神障碍患者服务管理</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59.82</w:t>
            </w:r>
          </w:p>
        </w:tc>
        <w:tc>
          <w:tcPr>
            <w:tcW w:w="153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人寿保险服务</w:t>
            </w:r>
          </w:p>
        </w:tc>
        <w:tc>
          <w:tcPr>
            <w:tcW w:w="1531" w:type="dxa"/>
            <w:shd w:val="clear" w:color="auto" w:fill="auto"/>
            <w:vAlign w:val="center"/>
          </w:tcPr>
          <w:p>
            <w:pPr>
              <w:spacing w:line="300" w:lineRule="exact"/>
              <w:jc w:val="left"/>
              <w:rPr>
                <w:rFonts w:ascii="方正书宋_GBK" w:eastAsia="方正书宋_GBK"/>
              </w:rPr>
            </w:pPr>
            <w:r>
              <w:rPr>
                <w:rFonts w:ascii="方正书宋_GBK" w:eastAsia="方正书宋_GBK"/>
              </w:rPr>
              <w:t>C150401</w:t>
            </w:r>
          </w:p>
        </w:tc>
        <w:tc>
          <w:tcPr>
            <w:tcW w:w="709"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2174.00</w:t>
            </w:r>
          </w:p>
        </w:tc>
        <w:tc>
          <w:tcPr>
            <w:tcW w:w="907" w:type="dxa"/>
            <w:shd w:val="clear" w:color="auto" w:fill="auto"/>
            <w:vAlign w:val="center"/>
          </w:tcPr>
          <w:p>
            <w:pPr>
              <w:spacing w:line="300" w:lineRule="exact"/>
              <w:jc w:val="right"/>
              <w:rPr>
                <w:rFonts w:ascii="方正书宋_GBK" w:eastAsia="方正书宋_GBK"/>
              </w:rPr>
            </w:pPr>
            <w:r>
              <w:rPr>
                <w:rFonts w:ascii="方正书宋_GBK" w:eastAsia="方正书宋_GBK"/>
              </w:rPr>
              <w:t>0.01</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21.74</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21.74</w:t>
            </w: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spacing w:line="300" w:lineRule="exact"/>
        <w:ind w:firstLine="560" w:firstLineChars="200"/>
        <w:jc w:val="left"/>
        <w:outlineLvl w:val="0"/>
        <w:rPr>
          <w:rFonts w:ascii="Times New Roman" w:eastAsia="方正仿宋_GBK"/>
          <w:sz w:val="28"/>
        </w:rPr>
        <w:sectPr>
          <w:pgSz w:w="16839" w:h="11907" w:orient="landscape"/>
          <w:pgMar w:top="1361" w:right="1020" w:bottom="1361" w:left="1020" w:header="851" w:footer="992" w:gutter="0"/>
          <w:cols w:space="425" w:num="1"/>
          <w:docGrid w:type="lines" w:linePitch="312" w:charSpace="0"/>
        </w:sectPr>
      </w:pPr>
    </w:p>
    <w:p>
      <w:pPr>
        <w:ind w:firstLine="640" w:firstLineChars="200"/>
        <w:outlineLvl w:val="0"/>
        <w:rPr>
          <w:rFonts w:ascii="Times New Roman" w:hAnsi="Times New Roman" w:eastAsia="仿宋" w:cs="Times New Roman"/>
          <w:sz w:val="32"/>
          <w:szCs w:val="24"/>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lang w:val="en-US" w:eastAsia="zh-CN"/>
        </w:rPr>
        <w:t>鹿泉区委政法委</w:t>
      </w:r>
      <w:r>
        <w:rPr>
          <w:rFonts w:hint="eastAsia"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852</w:t>
      </w:r>
      <w:r>
        <w:rPr>
          <w:rFonts w:hint="eastAsia" w:ascii="Times New Roman" w:hAnsi="Times New Roman" w:eastAsia="仿宋" w:cs="Times New Roman"/>
          <w:color w:val="000000"/>
          <w:sz w:val="32"/>
          <w:szCs w:val="32"/>
          <w:lang w:val="en-US" w:eastAsia="zh-CN"/>
        </w:rPr>
        <w:t>.</w:t>
      </w:r>
      <w:r>
        <w:rPr>
          <w:rFonts w:hint="eastAsia" w:ascii="Times New Roman" w:hAnsi="Times New Roman" w:eastAsia="仿宋" w:cs="Times New Roman"/>
          <w:color w:val="000000"/>
          <w:sz w:val="32"/>
          <w:szCs w:val="32"/>
        </w:rPr>
        <w:t>6</w:t>
      </w:r>
      <w:r>
        <w:rPr>
          <w:rFonts w:hint="eastAsia" w:ascii="Times New Roman" w:hAnsi="Times New Roman" w:eastAsia="仿宋" w:cs="Times New Roman"/>
          <w:color w:val="000000"/>
          <w:sz w:val="32"/>
          <w:szCs w:val="32"/>
          <w:lang w:val="en-US" w:eastAsia="zh-CN"/>
        </w:rPr>
        <w:t>1</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w:t>
      </w:r>
      <w:r>
        <w:rPr>
          <w:rFonts w:hint="eastAsia" w:ascii="Times New Roman" w:hAnsi="Times New Roman" w:eastAsia="仿宋" w:cs="Times New Roman"/>
          <w:color w:val="000000"/>
          <w:sz w:val="32"/>
          <w:szCs w:val="32"/>
          <w:lang w:val="en-US" w:eastAsia="zh-CN"/>
        </w:rPr>
        <w:t>50</w:t>
      </w:r>
      <w:r>
        <w:rPr>
          <w:rFonts w:ascii="Times New Roman" w:hAnsi="Times New Roman" w:eastAsia="仿宋" w:cs="Times New Roman"/>
          <w:color w:val="000000"/>
          <w:sz w:val="32"/>
          <w:szCs w:val="32"/>
        </w:rPr>
        <w:t>万元，主要</w:t>
      </w:r>
      <w:r>
        <w:rPr>
          <w:rFonts w:hint="eastAsia" w:ascii="Times New Roman" w:hAnsi="Times New Roman" w:eastAsia="仿宋" w:cs="Times New Roman"/>
          <w:color w:val="000000"/>
          <w:sz w:val="32"/>
          <w:szCs w:val="32"/>
          <w:lang w:val="en-US" w:eastAsia="zh-CN"/>
        </w:rPr>
        <w:t>网格员手持中端机</w:t>
      </w:r>
      <w:r>
        <w:rPr>
          <w:rFonts w:ascii="Times New Roman" w:hAnsi="Times New Roman" w:eastAsia="仿宋" w:cs="Times New Roman"/>
          <w:color w:val="000000"/>
          <w:sz w:val="32"/>
          <w:szCs w:val="32"/>
        </w:rPr>
        <w:t>，已列入政府采购预算表</w:t>
      </w:r>
      <w:r>
        <w:rPr>
          <w:rFonts w:hint="eastAsia" w:ascii="Times New Roman" w:hAnsi="Times New Roman" w:eastAsia="仿宋" w:cs="Times New Roman"/>
          <w:color w:val="000000"/>
          <w:sz w:val="32"/>
          <w:szCs w:val="32"/>
        </w:rPr>
        <w:t>，详见政府采购预算表。</w:t>
      </w:r>
    </w:p>
    <w:tbl>
      <w:tblPr>
        <w:tblStyle w:val="8"/>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河北省省直部门固定资产占用情况表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val="en-US" w:eastAsia="zh-CN"/>
              </w:rPr>
              <w:t>中共石家庄市鹿泉区委政法委员会</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FF0000"/>
                <w:kern w:val="0"/>
                <w:sz w:val="22"/>
                <w:lang w:eastAsia="zh-CN"/>
              </w:rPr>
            </w:pPr>
            <w:r>
              <w:rPr>
                <w:rFonts w:hint="eastAsia" w:ascii="Times New Roman" w:hAnsi="Times New Roman" w:eastAsia="仿宋" w:cs="Times New Roman"/>
                <w:color w:val="000000"/>
                <w:kern w:val="0"/>
                <w:sz w:val="22"/>
                <w:lang w:val="en-US" w:eastAsia="zh-CN"/>
              </w:rPr>
              <w:t>852.61</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1</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19.95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626.44</w:t>
            </w:r>
          </w:p>
        </w:tc>
      </w:tr>
      <w:tr>
        <w:tblPrEx>
          <w:tblCellMar>
            <w:top w:w="0" w:type="dxa"/>
            <w:left w:w="108" w:type="dxa"/>
            <w:bottom w:w="0" w:type="dxa"/>
            <w:right w:w="108" w:type="dxa"/>
          </w:tblCellMar>
        </w:tblPrEx>
        <w:trPr>
          <w:trHeight w:val="801"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206.22</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区级</w:t>
      </w:r>
      <w:r>
        <w:rPr>
          <w:rFonts w:hint="eastAsia" w:ascii="Times New Roman" w:hAnsi="Times New Roman" w:eastAsia="仿宋" w:cs="Times New Roman"/>
          <w:sz w:val="32"/>
          <w:szCs w:val="32"/>
        </w:rPr>
        <w:t>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区级</w:t>
      </w:r>
      <w:r>
        <w:rPr>
          <w:rFonts w:hint="eastAsia" w:ascii="Times New Roman" w:hAnsi="Times New Roman" w:eastAsia="仿宋" w:cs="Times New Roman"/>
          <w:sz w:val="32"/>
          <w:szCs w:val="32"/>
        </w:rPr>
        <w:t>财政预算管理的“三公”经费，是指</w:t>
      </w:r>
      <w:r>
        <w:rPr>
          <w:rFonts w:hint="eastAsia" w:ascii="Times New Roman" w:hAnsi="Times New Roman" w:eastAsia="仿宋" w:cs="Times New Roman"/>
          <w:sz w:val="32"/>
          <w:szCs w:val="32"/>
          <w:lang w:eastAsia="zh-CN"/>
        </w:rPr>
        <w:t>区级</w:t>
      </w:r>
      <w:r>
        <w:rPr>
          <w:rFonts w:hint="eastAsia" w:ascii="Times New Roman" w:hAnsi="Times New Roman" w:eastAsia="仿宋" w:cs="Times New Roman"/>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p>
      <w:pPr>
        <w:ind w:firstLine="640" w:firstLineChars="200"/>
        <w:rPr>
          <w:rFonts w:hint="eastAsia" w:ascii="仿宋" w:hAnsi="仿宋" w:eastAsia="仿宋" w:cs="仿宋"/>
          <w:sz w:val="32"/>
          <w:szCs w:val="32"/>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黑体_GBK">
    <w:panose1 w:val="02000000000000000000"/>
    <w:charset w:val="86"/>
    <w:family w:val="roman"/>
    <w:pitch w:val="default"/>
    <w:sig w:usb0="A00002BF" w:usb1="38CF7CFA" w:usb2="00082016" w:usb3="00000000" w:csb0="00040001"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10"/>
      </w:rPr>
    </w:pPr>
    <w:r>
      <w:rPr>
        <w:rStyle w:val="10"/>
      </w:rPr>
      <w:fldChar w:fldCharType="begin"/>
    </w:r>
    <w:r>
      <w:rPr>
        <w:rStyle w:val="10"/>
      </w:rPr>
      <w:instrText xml:space="preserve">PAGE  </w:instrText>
    </w:r>
    <w:r>
      <w:rPr>
        <w:rStyle w:val="10"/>
      </w:rPr>
      <w:fldChar w:fldCharType="separate"/>
    </w:r>
    <w:r>
      <w:rPr>
        <w:rStyle w:val="10"/>
      </w:rPr>
      <w:t>27</w:t>
    </w:r>
    <w:r>
      <w:rPr>
        <w:rStyle w:val="10"/>
      </w:rPr>
      <w:fldChar w:fldCharType="end"/>
    </w:r>
  </w:p>
  <w:p>
    <w:pPr>
      <w:pStyle w:val="3"/>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94EF7DC"/>
    <w:multiLevelType w:val="singleLevel"/>
    <w:tmpl w:val="294EF7DC"/>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M5ZWMwYzA2M2UxMGI4YThjMTFlOWYzMGNjNzkyNWEifQ=="/>
  </w:docVars>
  <w:rsids>
    <w:rsidRoot w:val="00172A27"/>
    <w:rsid w:val="00034786"/>
    <w:rsid w:val="00037AF6"/>
    <w:rsid w:val="00042F57"/>
    <w:rsid w:val="0006483E"/>
    <w:rsid w:val="00075D5F"/>
    <w:rsid w:val="0008102F"/>
    <w:rsid w:val="000B529B"/>
    <w:rsid w:val="000C3A19"/>
    <w:rsid w:val="001245BB"/>
    <w:rsid w:val="001251A3"/>
    <w:rsid w:val="00165294"/>
    <w:rsid w:val="001B4EF3"/>
    <w:rsid w:val="001F7873"/>
    <w:rsid w:val="00241FD4"/>
    <w:rsid w:val="00251B12"/>
    <w:rsid w:val="00296113"/>
    <w:rsid w:val="002A673A"/>
    <w:rsid w:val="002C07BE"/>
    <w:rsid w:val="002C5E13"/>
    <w:rsid w:val="002C62BC"/>
    <w:rsid w:val="002E0EB8"/>
    <w:rsid w:val="002F3E58"/>
    <w:rsid w:val="0030542C"/>
    <w:rsid w:val="00311B7A"/>
    <w:rsid w:val="00372FA3"/>
    <w:rsid w:val="003D417F"/>
    <w:rsid w:val="003F60E9"/>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65588"/>
    <w:rsid w:val="00572067"/>
    <w:rsid w:val="00573562"/>
    <w:rsid w:val="00590ECE"/>
    <w:rsid w:val="00592ADD"/>
    <w:rsid w:val="00614A29"/>
    <w:rsid w:val="00643AA7"/>
    <w:rsid w:val="00673D76"/>
    <w:rsid w:val="00674CD7"/>
    <w:rsid w:val="006854F0"/>
    <w:rsid w:val="006B1C4A"/>
    <w:rsid w:val="006B610D"/>
    <w:rsid w:val="006E49F5"/>
    <w:rsid w:val="007013C8"/>
    <w:rsid w:val="00717B1E"/>
    <w:rsid w:val="00753836"/>
    <w:rsid w:val="0075393C"/>
    <w:rsid w:val="00754592"/>
    <w:rsid w:val="00776C08"/>
    <w:rsid w:val="007C219A"/>
    <w:rsid w:val="007E1DA8"/>
    <w:rsid w:val="007F6C26"/>
    <w:rsid w:val="00813208"/>
    <w:rsid w:val="008334AE"/>
    <w:rsid w:val="00836FED"/>
    <w:rsid w:val="0083724E"/>
    <w:rsid w:val="00845CD2"/>
    <w:rsid w:val="00852B0D"/>
    <w:rsid w:val="00881692"/>
    <w:rsid w:val="00883D1A"/>
    <w:rsid w:val="008A25C2"/>
    <w:rsid w:val="008A6576"/>
    <w:rsid w:val="008B3CC5"/>
    <w:rsid w:val="008B52CD"/>
    <w:rsid w:val="008E4261"/>
    <w:rsid w:val="008F4662"/>
    <w:rsid w:val="00905D08"/>
    <w:rsid w:val="00922AEB"/>
    <w:rsid w:val="00925753"/>
    <w:rsid w:val="009425F4"/>
    <w:rsid w:val="00966C5C"/>
    <w:rsid w:val="00973104"/>
    <w:rsid w:val="00995BF0"/>
    <w:rsid w:val="009A16D5"/>
    <w:rsid w:val="009A353D"/>
    <w:rsid w:val="009B0B77"/>
    <w:rsid w:val="009B511E"/>
    <w:rsid w:val="00A44E3D"/>
    <w:rsid w:val="00A72D2E"/>
    <w:rsid w:val="00A74447"/>
    <w:rsid w:val="00A74CE5"/>
    <w:rsid w:val="00A911E7"/>
    <w:rsid w:val="00A939D9"/>
    <w:rsid w:val="00B07D9E"/>
    <w:rsid w:val="00B20712"/>
    <w:rsid w:val="00B43238"/>
    <w:rsid w:val="00B45DD3"/>
    <w:rsid w:val="00B52632"/>
    <w:rsid w:val="00B727A9"/>
    <w:rsid w:val="00B75216"/>
    <w:rsid w:val="00B91D52"/>
    <w:rsid w:val="00B9490F"/>
    <w:rsid w:val="00BA1ACD"/>
    <w:rsid w:val="00BD09F8"/>
    <w:rsid w:val="00CA7176"/>
    <w:rsid w:val="00CB3D48"/>
    <w:rsid w:val="00CB4665"/>
    <w:rsid w:val="00CC75B0"/>
    <w:rsid w:val="00CD2773"/>
    <w:rsid w:val="00CE143B"/>
    <w:rsid w:val="00D0024A"/>
    <w:rsid w:val="00D27003"/>
    <w:rsid w:val="00DB4A9B"/>
    <w:rsid w:val="00E167C7"/>
    <w:rsid w:val="00E2482E"/>
    <w:rsid w:val="00E73D47"/>
    <w:rsid w:val="00EC47F6"/>
    <w:rsid w:val="00EE156D"/>
    <w:rsid w:val="00EE65B8"/>
    <w:rsid w:val="00F149E2"/>
    <w:rsid w:val="00F66032"/>
    <w:rsid w:val="00F87C1E"/>
    <w:rsid w:val="00F958C2"/>
    <w:rsid w:val="095A3985"/>
    <w:rsid w:val="0A525B59"/>
    <w:rsid w:val="0B1D6387"/>
    <w:rsid w:val="0F916D00"/>
    <w:rsid w:val="115B7551"/>
    <w:rsid w:val="137C551E"/>
    <w:rsid w:val="13E670FC"/>
    <w:rsid w:val="14494E13"/>
    <w:rsid w:val="151F02D4"/>
    <w:rsid w:val="206E34B4"/>
    <w:rsid w:val="24390E99"/>
    <w:rsid w:val="25633AB8"/>
    <w:rsid w:val="32524272"/>
    <w:rsid w:val="365F756D"/>
    <w:rsid w:val="36801CC7"/>
    <w:rsid w:val="3779589D"/>
    <w:rsid w:val="38E5006C"/>
    <w:rsid w:val="46BE7065"/>
    <w:rsid w:val="47F6154C"/>
    <w:rsid w:val="4B001B55"/>
    <w:rsid w:val="4F50598D"/>
    <w:rsid w:val="5014564C"/>
    <w:rsid w:val="51413AD5"/>
    <w:rsid w:val="583C2C4B"/>
    <w:rsid w:val="58F22DF7"/>
    <w:rsid w:val="59513F7C"/>
    <w:rsid w:val="5F4C4CE6"/>
    <w:rsid w:val="661E5F2E"/>
    <w:rsid w:val="6CAC4BE6"/>
    <w:rsid w:val="737E6536"/>
    <w:rsid w:val="74F3078A"/>
    <w:rsid w:val="75CD1A5F"/>
    <w:rsid w:val="793B1C09"/>
    <w:rsid w:val="7A22051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Balloon Text"/>
    <w:basedOn w:val="1"/>
    <w:link w:val="15"/>
    <w:unhideWhenUsed/>
    <w:qFormat/>
    <w:uiPriority w:val="99"/>
    <w:rPr>
      <w:sz w:val="18"/>
      <w:szCs w:val="18"/>
    </w:rPr>
  </w:style>
  <w:style w:type="paragraph" w:styleId="3">
    <w:name w:val="footer"/>
    <w:basedOn w:val="1"/>
    <w:link w:val="14"/>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qFormat/>
    <w:uiPriority w:val="39"/>
    <w:rPr>
      <w:rFonts w:ascii="Times New Roman" w:hAnsi="Times New Roman" w:eastAsia="宋体" w:cs="Times New Roman"/>
      <w:szCs w:val="24"/>
    </w:rPr>
  </w:style>
  <w:style w:type="paragraph" w:styleId="6">
    <w:name w:val="footnote text"/>
    <w:basedOn w:val="1"/>
    <w:link w:val="17"/>
    <w:unhideWhenUsed/>
    <w:qFormat/>
    <w:uiPriority w:val="99"/>
    <w:pPr>
      <w:snapToGrid w:val="0"/>
      <w:jc w:val="left"/>
    </w:pPr>
    <w:rPr>
      <w:rFonts w:ascii="Calibri" w:hAnsi="Calibri" w:eastAsia="宋体" w:cs="Times New Roman"/>
      <w:sz w:val="18"/>
      <w:szCs w:val="18"/>
    </w:rPr>
  </w:style>
  <w:style w:type="paragraph" w:styleId="7">
    <w:name w:val="toc 2"/>
    <w:basedOn w:val="1"/>
    <w:next w:val="1"/>
    <w:qFormat/>
    <w:uiPriority w:val="39"/>
    <w:pPr>
      <w:ind w:left="420" w:leftChars="200"/>
    </w:pPr>
    <w:rPr>
      <w:rFonts w:ascii="Times New Roman" w:hAnsi="Times New Roman" w:eastAsia="宋体" w:cs="Times New Roman"/>
      <w:szCs w:val="24"/>
    </w:rPr>
  </w:style>
  <w:style w:type="character" w:styleId="10">
    <w:name w:val="page number"/>
    <w:unhideWhenUsed/>
    <w:qFormat/>
    <w:uiPriority w:val="99"/>
  </w:style>
  <w:style w:type="character" w:styleId="11">
    <w:name w:val="Hyperlink"/>
    <w:unhideWhenUsed/>
    <w:qFormat/>
    <w:uiPriority w:val="99"/>
    <w:rPr>
      <w:color w:val="0000FF"/>
      <w:u w:val="single"/>
    </w:rPr>
  </w:style>
  <w:style w:type="character" w:styleId="12">
    <w:name w:val="footnote reference"/>
    <w:unhideWhenUsed/>
    <w:qFormat/>
    <w:uiPriority w:val="99"/>
    <w:rPr>
      <w:vertAlign w:val="superscript"/>
    </w:rPr>
  </w:style>
  <w:style w:type="character" w:customStyle="1" w:styleId="13">
    <w:name w:val="页眉 Char"/>
    <w:basedOn w:val="9"/>
    <w:link w:val="4"/>
    <w:qFormat/>
    <w:uiPriority w:val="99"/>
    <w:rPr>
      <w:rFonts w:ascii="Times New Roman" w:hAnsi="Times New Roman" w:eastAsia="宋体" w:cs="Times New Roman"/>
      <w:sz w:val="18"/>
      <w:szCs w:val="18"/>
    </w:rPr>
  </w:style>
  <w:style w:type="character" w:customStyle="1" w:styleId="14">
    <w:name w:val="页脚 Char"/>
    <w:basedOn w:val="9"/>
    <w:link w:val="3"/>
    <w:qFormat/>
    <w:uiPriority w:val="99"/>
    <w:rPr>
      <w:rFonts w:ascii="Times New Roman" w:hAnsi="Times New Roman" w:eastAsia="宋体" w:cs="Times New Roman"/>
      <w:sz w:val="18"/>
      <w:szCs w:val="18"/>
    </w:rPr>
  </w:style>
  <w:style w:type="character" w:customStyle="1" w:styleId="15">
    <w:name w:val="批注框文本 Char"/>
    <w:basedOn w:val="9"/>
    <w:link w:val="2"/>
    <w:semiHidden/>
    <w:qFormat/>
    <w:uiPriority w:val="99"/>
    <w:rPr>
      <w:sz w:val="18"/>
      <w:szCs w:val="18"/>
    </w:rPr>
  </w:style>
  <w:style w:type="paragraph" w:customStyle="1" w:styleId="16">
    <w:name w:val="Default"/>
    <w:qFormat/>
    <w:uiPriority w:val="0"/>
    <w:pPr>
      <w:widowControl w:val="0"/>
      <w:autoSpaceDE w:val="0"/>
      <w:autoSpaceDN w:val="0"/>
      <w:adjustRightInd w:val="0"/>
    </w:pPr>
    <w:rPr>
      <w:rFonts w:ascii="Times New Roman" w:hAnsi="Times New Roman" w:cs="Times New Roman" w:eastAsiaTheme="minorEastAsia"/>
      <w:color w:val="000000"/>
      <w:kern w:val="0"/>
      <w:sz w:val="24"/>
      <w:szCs w:val="24"/>
      <w:lang w:val="en-US" w:eastAsia="zh-CN" w:bidi="ar-SA"/>
    </w:rPr>
  </w:style>
  <w:style w:type="character" w:customStyle="1" w:styleId="17">
    <w:name w:val="脚注文本 Char"/>
    <w:basedOn w:val="9"/>
    <w:link w:val="6"/>
    <w:semiHidden/>
    <w:qFormat/>
    <w:uiPriority w:val="99"/>
    <w:rPr>
      <w:rFonts w:ascii="Calibri" w:hAnsi="Calibri" w:eastAsia="宋体" w:cs="Times New Roman"/>
      <w:sz w:val="18"/>
      <w:szCs w:val="18"/>
    </w:rPr>
  </w:style>
  <w:style w:type="paragraph" w:customStyle="1" w:styleId="18">
    <w:name w:val="Standard"/>
    <w:unhideWhenUsed/>
    <w:qFormat/>
    <w:uiPriority w:val="99"/>
    <w:pPr>
      <w:autoSpaceDE w:val="0"/>
      <w:autoSpaceDN w:val="0"/>
      <w:adjustRightInd w:val="0"/>
      <w:spacing w:beforeLines="0" w:afterLines="0"/>
    </w:pPr>
    <w:rPr>
      <w:rFonts w:hint="default" w:ascii="Times New Roman" w:hAnsi="Times New Roman" w:eastAsia="Times New Roman" w:cstheme="minorBidi"/>
      <w:sz w:val="20"/>
    </w:rPr>
  </w:style>
  <w:style w:type="paragraph" w:customStyle="1" w:styleId="19">
    <w:name w:val="[Normal]"/>
    <w:unhideWhenUsed/>
    <w:qFormat/>
    <w:uiPriority w:val="99"/>
    <w:pPr>
      <w:widowControl w:val="0"/>
      <w:autoSpaceDE w:val="0"/>
      <w:autoSpaceDN w:val="0"/>
      <w:adjustRightInd w:val="0"/>
      <w:spacing w:beforeLines="0" w:afterLines="0"/>
    </w:pPr>
    <w:rPr>
      <w:rFonts w:hint="eastAsia" w:ascii="宋体" w:hAnsi="宋体" w:eastAsia="宋体" w:cstheme="minorBidi"/>
      <w:sz w:val="24"/>
    </w:rPr>
  </w:style>
  <w:style w:type="character" w:customStyle="1" w:styleId="20">
    <w:name w:val="页码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425098-CEB7-4813-B90D-AE258FE74940}">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44</Pages>
  <Words>3066</Words>
  <Characters>17480</Characters>
  <Lines>145</Lines>
  <Paragraphs>41</Paragraphs>
  <TotalTime>104</TotalTime>
  <ScaleCrop>false</ScaleCrop>
  <LinksUpToDate>false</LinksUpToDate>
  <CharactersWithSpaces>20505</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Administrator</cp:lastModifiedBy>
  <cp:lastPrinted>2017-11-09T01:12:00Z</cp:lastPrinted>
  <dcterms:modified xsi:type="dcterms:W3CDTF">2025-04-27T07:50:28Z</dcterms:modified>
  <dc:title>河北省财政厅2019年部门预算信息公开情况说明</dc:title>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D08FAC1AC325458BB1D71B527EDC04D0_12</vt:lpwstr>
  </property>
</Properties>
</file>