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BBFA9B">
      <w:pPr>
        <w:adjustRightInd w:val="0"/>
        <w:snapToGrid w:val="0"/>
        <w:spacing w:line="560" w:lineRule="exact"/>
        <w:rPr>
          <w:rFonts w:ascii="黑体" w:hAnsi="黑体" w:eastAsia="黑体"/>
          <w:color w:val="auto"/>
          <w:sz w:val="32"/>
          <w:szCs w:val="32"/>
        </w:rPr>
      </w:pPr>
      <w:r>
        <w:rPr>
          <w:rFonts w:hint="eastAsia" w:ascii="黑体" w:hAnsi="黑体" w:eastAsia="黑体"/>
          <w:color w:val="auto"/>
          <w:sz w:val="32"/>
          <w:szCs w:val="32"/>
        </w:rPr>
        <w:t>附件3</w:t>
      </w:r>
    </w:p>
    <w:p w14:paraId="6ABDE3EC">
      <w:pPr>
        <w:spacing w:line="560" w:lineRule="exact"/>
        <w:jc w:val="center"/>
        <w:rPr>
          <w:rFonts w:ascii="宋体" w:hAnsi="宋体" w:cs="宋体"/>
          <w:b/>
          <w:bCs/>
          <w:color w:val="auto"/>
          <w:sz w:val="44"/>
          <w:szCs w:val="44"/>
        </w:rPr>
      </w:pPr>
    </w:p>
    <w:p w14:paraId="244D0A06">
      <w:pPr>
        <w:spacing w:line="560" w:lineRule="exact"/>
        <w:jc w:val="center"/>
        <w:rPr>
          <w:rFonts w:ascii="宋体" w:hAnsi="宋体" w:cs="宋体"/>
          <w:b/>
          <w:bCs/>
          <w:color w:val="auto"/>
          <w:sz w:val="44"/>
          <w:szCs w:val="44"/>
        </w:rPr>
      </w:pPr>
    </w:p>
    <w:p w14:paraId="249A35E8">
      <w:pPr>
        <w:widowControl w:val="0"/>
        <w:wordWrap/>
        <w:spacing w:line="560" w:lineRule="exact"/>
        <w:ind w:left="0" w:leftChars="0" w:right="0"/>
        <w:jc w:val="center"/>
        <w:textAlignment w:val="auto"/>
        <w:outlineLvl w:val="9"/>
        <w:rPr>
          <w:rFonts w:hint="eastAsia" w:ascii="宋体" w:hAnsi="宋体" w:cs="宋体"/>
          <w:b/>
          <w:bCs/>
          <w:color w:val="auto"/>
          <w:sz w:val="44"/>
          <w:szCs w:val="44"/>
          <w:lang w:eastAsia="zh-CN"/>
        </w:rPr>
      </w:pPr>
      <w:r>
        <w:rPr>
          <w:rFonts w:hint="eastAsia" w:ascii="宋体" w:hAnsi="宋体" w:cs="宋体"/>
          <w:b/>
          <w:bCs/>
          <w:color w:val="auto"/>
          <w:sz w:val="44"/>
          <w:szCs w:val="44"/>
          <w:lang w:eastAsia="zh-CN"/>
        </w:rPr>
        <w:t>石家庄市鹿泉区审计局</w:t>
      </w:r>
    </w:p>
    <w:p w14:paraId="0860CC2B">
      <w:pPr>
        <w:widowControl w:val="0"/>
        <w:wordWrap/>
        <w:spacing w:line="560" w:lineRule="exact"/>
        <w:ind w:left="0" w:leftChars="0" w:right="0" w:firstLine="1325" w:firstLineChars="300"/>
        <w:jc w:val="both"/>
        <w:textAlignment w:val="auto"/>
        <w:outlineLvl w:val="9"/>
        <w:rPr>
          <w:rFonts w:hint="eastAsia" w:ascii="宋体" w:hAnsi="宋体" w:cs="宋体"/>
          <w:b/>
          <w:bCs/>
          <w:color w:val="auto"/>
          <w:sz w:val="44"/>
          <w:szCs w:val="44"/>
        </w:rPr>
      </w:pPr>
      <w:r>
        <w:rPr>
          <w:rFonts w:hint="eastAsia" w:ascii="宋体" w:hAnsi="宋体" w:cs="宋体"/>
          <w:b/>
          <w:bCs/>
          <w:color w:val="auto"/>
          <w:sz w:val="44"/>
          <w:szCs w:val="44"/>
          <w:lang w:val="en-US" w:eastAsia="zh-CN"/>
        </w:rPr>
        <w:t>2024年度整体支出绩效</w:t>
      </w:r>
      <w:r>
        <w:rPr>
          <w:rFonts w:hint="eastAsia" w:ascii="宋体" w:hAnsi="宋体" w:cs="宋体"/>
          <w:b/>
          <w:bCs/>
          <w:color w:val="auto"/>
          <w:sz w:val="44"/>
          <w:szCs w:val="44"/>
        </w:rPr>
        <w:t>自评报告</w:t>
      </w:r>
    </w:p>
    <w:p w14:paraId="21B70743">
      <w:pPr>
        <w:spacing w:line="560" w:lineRule="exact"/>
        <w:jc w:val="center"/>
        <w:rPr>
          <w:rFonts w:ascii="华文楷体" w:eastAsia="华文楷体"/>
          <w:color w:val="auto"/>
          <w:sz w:val="32"/>
          <w:szCs w:val="32"/>
        </w:rPr>
      </w:pPr>
    </w:p>
    <w:p w14:paraId="752FFE26">
      <w:pPr>
        <w:widowControl w:val="0"/>
        <w:wordWrap/>
        <w:adjustRightInd w:val="0"/>
        <w:snapToGrid w:val="0"/>
        <w:spacing w:line="560" w:lineRule="exact"/>
        <w:ind w:left="0" w:leftChars="0" w:right="0" w:firstLine="640" w:firstLineChars="200"/>
        <w:textAlignment w:val="auto"/>
        <w:outlineLvl w:val="9"/>
        <w:rPr>
          <w:rFonts w:ascii="仿宋" w:hAnsi="仿宋" w:eastAsia="仿宋"/>
          <w:color w:val="auto"/>
          <w:sz w:val="32"/>
          <w:szCs w:val="32"/>
        </w:rPr>
      </w:pPr>
      <w:r>
        <w:rPr>
          <w:rFonts w:hint="eastAsia" w:ascii="仿宋" w:hAnsi="仿宋" w:eastAsia="仿宋"/>
          <w:color w:val="auto"/>
          <w:sz w:val="32"/>
          <w:szCs w:val="32"/>
        </w:rPr>
        <w:t>贯彻落实</w:t>
      </w:r>
      <w:r>
        <w:rPr>
          <w:rFonts w:hint="eastAsia" w:ascii="仿宋" w:hAnsi="仿宋" w:eastAsia="仿宋"/>
          <w:color w:val="auto"/>
          <w:sz w:val="32"/>
          <w:szCs w:val="32"/>
          <w:lang w:eastAsia="zh-CN"/>
        </w:rPr>
        <w:t>石家庄市鹿泉区人民政府《关于全面实施预算绩效管理的实施意见》（鹿发﹝</w:t>
      </w:r>
      <w:r>
        <w:rPr>
          <w:rFonts w:hint="eastAsia" w:ascii="仿宋" w:hAnsi="仿宋" w:eastAsia="仿宋"/>
          <w:color w:val="auto"/>
          <w:sz w:val="32"/>
          <w:szCs w:val="32"/>
          <w:lang w:val="en-US" w:eastAsia="zh-CN"/>
        </w:rPr>
        <w:t>2019</w:t>
      </w: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8号</w:t>
      </w:r>
      <w:r>
        <w:rPr>
          <w:rFonts w:hint="eastAsia" w:ascii="仿宋" w:hAnsi="仿宋" w:eastAsia="仿宋"/>
          <w:color w:val="auto"/>
          <w:sz w:val="32"/>
          <w:szCs w:val="32"/>
          <w:lang w:eastAsia="zh-CN"/>
        </w:rPr>
        <w:t>）</w:t>
      </w:r>
      <w:r>
        <w:rPr>
          <w:rFonts w:hint="eastAsia" w:ascii="仿宋" w:hAnsi="仿宋" w:eastAsia="仿宋"/>
          <w:color w:val="auto"/>
          <w:sz w:val="32"/>
          <w:szCs w:val="32"/>
        </w:rPr>
        <w:t>文件精神，遵循“科学性、规范性、客观性和公正性”的原则，</w:t>
      </w:r>
      <w:r>
        <w:rPr>
          <w:rFonts w:hint="eastAsia" w:ascii="仿宋" w:hAnsi="仿宋" w:eastAsia="仿宋"/>
          <w:color w:val="auto"/>
          <w:sz w:val="32"/>
          <w:szCs w:val="32"/>
          <w:lang w:eastAsia="zh-CN"/>
        </w:rPr>
        <w:t>对石家庄市鹿泉区审计局</w:t>
      </w:r>
      <w:r>
        <w:rPr>
          <w:rFonts w:hint="eastAsia" w:ascii="仿宋" w:hAnsi="仿宋" w:eastAsia="仿宋"/>
          <w:color w:val="auto"/>
          <w:sz w:val="32"/>
          <w:szCs w:val="32"/>
          <w:lang w:val="en-US" w:eastAsia="zh-CN"/>
        </w:rPr>
        <w:t>2024年</w:t>
      </w:r>
      <w:r>
        <w:rPr>
          <w:rFonts w:hint="eastAsia" w:ascii="仿宋" w:hAnsi="仿宋" w:eastAsia="仿宋"/>
          <w:color w:val="auto"/>
          <w:sz w:val="32"/>
          <w:szCs w:val="32"/>
          <w:lang w:eastAsia="zh-CN"/>
        </w:rPr>
        <w:t>整体支出情况</w:t>
      </w:r>
      <w:r>
        <w:rPr>
          <w:rFonts w:hint="eastAsia" w:ascii="仿宋" w:hAnsi="仿宋" w:eastAsia="仿宋"/>
          <w:color w:val="auto"/>
          <w:sz w:val="32"/>
          <w:szCs w:val="32"/>
        </w:rPr>
        <w:t>实施了财政支出绩效自评价，形成本评价报告。</w:t>
      </w:r>
    </w:p>
    <w:p w14:paraId="7E3F606C">
      <w:pPr>
        <w:adjustRightInd w:val="0"/>
        <w:snapToGrid w:val="0"/>
        <w:spacing w:line="560" w:lineRule="exact"/>
        <w:rPr>
          <w:rFonts w:ascii="黑体" w:hAnsi="黑体" w:eastAsia="黑体"/>
          <w:b/>
          <w:bCs/>
          <w:color w:val="auto"/>
          <w:sz w:val="32"/>
          <w:szCs w:val="36"/>
        </w:rPr>
      </w:pPr>
      <w:r>
        <w:rPr>
          <w:rFonts w:hint="eastAsia" w:ascii="黑体" w:hAnsi="黑体" w:eastAsia="黑体"/>
          <w:color w:val="auto"/>
          <w:sz w:val="32"/>
          <w:szCs w:val="32"/>
        </w:rPr>
        <w:t xml:space="preserve">     一、部门</w:t>
      </w:r>
      <w:r>
        <w:rPr>
          <w:rFonts w:hint="eastAsia" w:ascii="黑体" w:hAnsi="黑体" w:eastAsia="黑体"/>
          <w:color w:val="auto"/>
          <w:sz w:val="32"/>
          <w:szCs w:val="36"/>
        </w:rPr>
        <w:t>基本情况</w:t>
      </w:r>
    </w:p>
    <w:p w14:paraId="13460AEF">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（一）</w:t>
      </w:r>
      <w:r>
        <w:rPr>
          <w:rFonts w:hint="eastAsia" w:ascii="仿宋" w:hAnsi="仿宋" w:eastAsia="仿宋" w:cs="楷体_GB2312"/>
          <w:b/>
          <w:bCs/>
          <w:color w:val="auto"/>
          <w:sz w:val="32"/>
          <w:szCs w:val="32"/>
          <w:lang w:eastAsia="zh-CN"/>
        </w:rPr>
        <w:t>部门</w:t>
      </w:r>
      <w:r>
        <w:rPr>
          <w:rFonts w:hint="eastAsia" w:ascii="仿宋" w:hAnsi="仿宋" w:eastAsia="仿宋" w:cs="楷体_GB2312"/>
          <w:b/>
          <w:bCs/>
          <w:color w:val="auto"/>
          <w:sz w:val="32"/>
          <w:szCs w:val="32"/>
        </w:rPr>
        <w:t>概况</w:t>
      </w:r>
    </w:p>
    <w:p w14:paraId="534E1CC1">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14:paraId="7F938CAB">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p>
    <w:p w14:paraId="49C81ED5">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3C88CDA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14:paraId="09CDC9A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按规定对区管党政主要领导干部及其他单位主要负责人实施经济责任审计和自然资源资产离任审计。</w:t>
      </w:r>
    </w:p>
    <w:p w14:paraId="4FC6BD5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组织实施对财经法律法规、规章、政策和宏观调控措施执行情况、财政预算管理及国有资产管理使用等与财政收支有关的特定事项进行专项审计调查。</w:t>
      </w:r>
    </w:p>
    <w:p w14:paraId="52C1D44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rPr>
        <w:t>依法检查审计决定执行情况,督促整改审计查出的问题,依法办理被审计单位对审计决定提请行政复议、行政诉讼或区政府裁决中的有关事项;协助配合有关部门查处相关重大案件。</w:t>
      </w:r>
    </w:p>
    <w:p w14:paraId="181DD1F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指导和监督内部审计工作,核查社会审计机构对依法属于审计监督对象的单位出具的相关审计报告。</w:t>
      </w:r>
    </w:p>
    <w:p w14:paraId="172B46E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会同区委机构编制委员会办公室,对党政机关和所属事业单位的机构设置、编制使用,以及有关机构编制规定的执行情况进行审计调查。</w:t>
      </w:r>
    </w:p>
    <w:p w14:paraId="15B4D42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组织开展审计领域的交流与合作,负责审计信息系统建设,指导和推广信息技术在审计领域的应用。</w:t>
      </w:r>
    </w:p>
    <w:p w14:paraId="69592F2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11.</w:t>
      </w:r>
      <w:r>
        <w:rPr>
          <w:rFonts w:hint="eastAsia" w:ascii="仿宋" w:hAnsi="仿宋" w:eastAsia="仿宋" w:cs="仿宋"/>
          <w:color w:val="auto"/>
          <w:sz w:val="32"/>
          <w:szCs w:val="32"/>
        </w:rPr>
        <w:t>完成区委、区政府和上级审计机关交办的其他任务。</w:t>
      </w:r>
    </w:p>
    <w:p w14:paraId="73855A30">
      <w:pPr>
        <w:jc w:val="center"/>
        <w:outlineLvl w:val="0"/>
        <w:rPr>
          <w:rFonts w:eastAsia="方正小标宋_GBK"/>
          <w:color w:val="auto"/>
          <w:sz w:val="32"/>
        </w:rPr>
      </w:pPr>
      <w:r>
        <w:rPr>
          <w:rFonts w:eastAsia="方正小标宋_GBK"/>
          <w:color w:val="auto"/>
          <w:sz w:val="32"/>
        </w:rPr>
        <w:t>部门</w:t>
      </w:r>
      <w:r>
        <w:rPr>
          <w:rFonts w:hint="eastAsia" w:eastAsia="方正小标宋_GBK"/>
          <w:color w:val="auto"/>
          <w:sz w:val="32"/>
        </w:rPr>
        <w:t>机构设置情况</w:t>
      </w:r>
    </w:p>
    <w:tbl>
      <w:tblPr>
        <w:tblStyle w:val="4"/>
        <w:tblW w:w="9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7"/>
        <w:gridCol w:w="1146"/>
        <w:gridCol w:w="1289"/>
        <w:gridCol w:w="2935"/>
      </w:tblGrid>
      <w:tr w14:paraId="1AD6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restart"/>
            <w:vAlign w:val="center"/>
          </w:tcPr>
          <w:p w14:paraId="214F672E">
            <w:pPr>
              <w:spacing w:line="300" w:lineRule="exact"/>
              <w:jc w:val="center"/>
              <w:rPr>
                <w:rFonts w:eastAsia="方正书宋_GBK"/>
                <w:b/>
                <w:color w:val="auto"/>
              </w:rPr>
            </w:pPr>
            <w:r>
              <w:rPr>
                <w:rFonts w:eastAsia="方正书宋_GBK"/>
                <w:b/>
                <w:color w:val="auto"/>
              </w:rPr>
              <w:t>单位名称</w:t>
            </w:r>
          </w:p>
        </w:tc>
        <w:tc>
          <w:tcPr>
            <w:tcW w:w="1146" w:type="dxa"/>
            <w:vMerge w:val="restart"/>
            <w:vAlign w:val="center"/>
          </w:tcPr>
          <w:p w14:paraId="411AF721">
            <w:pPr>
              <w:spacing w:line="300" w:lineRule="exact"/>
              <w:jc w:val="center"/>
              <w:rPr>
                <w:rFonts w:eastAsia="方正书宋_GBK"/>
                <w:b/>
                <w:color w:val="auto"/>
              </w:rPr>
            </w:pPr>
            <w:r>
              <w:rPr>
                <w:rFonts w:eastAsia="方正书宋_GBK"/>
                <w:b/>
                <w:color w:val="auto"/>
              </w:rPr>
              <w:t>单位性质</w:t>
            </w:r>
          </w:p>
        </w:tc>
        <w:tc>
          <w:tcPr>
            <w:tcW w:w="1289" w:type="dxa"/>
            <w:vMerge w:val="restart"/>
            <w:vAlign w:val="center"/>
          </w:tcPr>
          <w:p w14:paraId="566183F0">
            <w:pPr>
              <w:spacing w:line="300" w:lineRule="exact"/>
              <w:jc w:val="center"/>
              <w:rPr>
                <w:rFonts w:eastAsia="方正书宋_GBK"/>
                <w:b/>
                <w:color w:val="auto"/>
              </w:rPr>
            </w:pPr>
            <w:r>
              <w:rPr>
                <w:rFonts w:eastAsia="方正书宋_GBK"/>
                <w:b/>
                <w:color w:val="auto"/>
              </w:rPr>
              <w:t>单位规格</w:t>
            </w:r>
          </w:p>
        </w:tc>
        <w:tc>
          <w:tcPr>
            <w:tcW w:w="2935" w:type="dxa"/>
            <w:vMerge w:val="restart"/>
            <w:vAlign w:val="center"/>
          </w:tcPr>
          <w:p w14:paraId="5E7E5341">
            <w:pPr>
              <w:spacing w:line="300" w:lineRule="exact"/>
              <w:jc w:val="center"/>
              <w:rPr>
                <w:rFonts w:eastAsia="方正书宋_GBK"/>
                <w:b/>
                <w:color w:val="auto"/>
              </w:rPr>
            </w:pPr>
            <w:r>
              <w:rPr>
                <w:rFonts w:eastAsia="方正书宋_GBK"/>
                <w:b/>
                <w:color w:val="auto"/>
              </w:rPr>
              <w:t>经费保障形式</w:t>
            </w:r>
          </w:p>
        </w:tc>
      </w:tr>
      <w:tr w14:paraId="0E3B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continue"/>
            <w:vAlign w:val="center"/>
          </w:tcPr>
          <w:p w14:paraId="26A884CE">
            <w:pPr>
              <w:spacing w:line="300" w:lineRule="exact"/>
              <w:jc w:val="left"/>
              <w:outlineLvl w:val="0"/>
              <w:rPr>
                <w:color w:val="auto"/>
              </w:rPr>
            </w:pPr>
          </w:p>
        </w:tc>
        <w:tc>
          <w:tcPr>
            <w:tcW w:w="1146" w:type="dxa"/>
            <w:vMerge w:val="continue"/>
            <w:vAlign w:val="center"/>
          </w:tcPr>
          <w:p w14:paraId="01A0BADF">
            <w:pPr>
              <w:spacing w:line="300" w:lineRule="exact"/>
              <w:jc w:val="left"/>
              <w:outlineLvl w:val="0"/>
              <w:rPr>
                <w:color w:val="auto"/>
              </w:rPr>
            </w:pPr>
          </w:p>
        </w:tc>
        <w:tc>
          <w:tcPr>
            <w:tcW w:w="1289" w:type="dxa"/>
            <w:vMerge w:val="continue"/>
            <w:vAlign w:val="center"/>
          </w:tcPr>
          <w:p w14:paraId="3B4DC1A9">
            <w:pPr>
              <w:spacing w:line="300" w:lineRule="exact"/>
              <w:jc w:val="left"/>
              <w:outlineLvl w:val="0"/>
              <w:rPr>
                <w:color w:val="auto"/>
              </w:rPr>
            </w:pPr>
          </w:p>
        </w:tc>
        <w:tc>
          <w:tcPr>
            <w:tcW w:w="2935" w:type="dxa"/>
            <w:vMerge w:val="continue"/>
            <w:vAlign w:val="center"/>
          </w:tcPr>
          <w:p w14:paraId="4C6892F9">
            <w:pPr>
              <w:spacing w:line="300" w:lineRule="exact"/>
              <w:jc w:val="left"/>
              <w:outlineLvl w:val="0"/>
              <w:rPr>
                <w:color w:val="auto"/>
              </w:rPr>
            </w:pPr>
          </w:p>
        </w:tc>
      </w:tr>
      <w:tr w14:paraId="6C3D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4467" w:type="dxa"/>
            <w:tcBorders>
              <w:bottom w:val="single" w:color="auto" w:sz="4" w:space="0"/>
            </w:tcBorders>
            <w:vAlign w:val="center"/>
          </w:tcPr>
          <w:p w14:paraId="359D6B91">
            <w:pPr>
              <w:spacing w:line="300" w:lineRule="exact"/>
              <w:jc w:val="left"/>
              <w:rPr>
                <w:rFonts w:hint="eastAsia" w:eastAsia="方正书宋_GBK"/>
                <w:color w:val="auto"/>
              </w:rPr>
            </w:pPr>
            <w:r>
              <w:rPr>
                <w:rFonts w:hint="eastAsia" w:ascii="方正书宋_GBK" w:eastAsia="方正书宋_GBK"/>
                <w:color w:val="auto"/>
              </w:rPr>
              <w:t>石家庄市鹿泉区审计局</w:t>
            </w:r>
          </w:p>
        </w:tc>
        <w:tc>
          <w:tcPr>
            <w:tcW w:w="1146" w:type="dxa"/>
            <w:tcBorders>
              <w:bottom w:val="single" w:color="auto" w:sz="4" w:space="0"/>
            </w:tcBorders>
            <w:vAlign w:val="center"/>
          </w:tcPr>
          <w:p w14:paraId="151B5BD5">
            <w:pPr>
              <w:spacing w:line="300" w:lineRule="exact"/>
              <w:jc w:val="center"/>
              <w:rPr>
                <w:rFonts w:eastAsia="方正书宋_GBK"/>
                <w:color w:val="auto"/>
              </w:rPr>
            </w:pPr>
            <w:r>
              <w:rPr>
                <w:rFonts w:hint="eastAsia" w:ascii="方正书宋_GBK" w:eastAsia="方正书宋_GBK"/>
                <w:color w:val="auto"/>
              </w:rPr>
              <w:t>行政</w:t>
            </w:r>
          </w:p>
        </w:tc>
        <w:tc>
          <w:tcPr>
            <w:tcW w:w="1289" w:type="dxa"/>
            <w:tcBorders>
              <w:bottom w:val="single" w:color="auto" w:sz="4" w:space="0"/>
            </w:tcBorders>
            <w:vAlign w:val="center"/>
          </w:tcPr>
          <w:p w14:paraId="1A6E7AF4">
            <w:pPr>
              <w:spacing w:line="300" w:lineRule="exact"/>
              <w:jc w:val="center"/>
              <w:rPr>
                <w:rFonts w:hint="eastAsia" w:eastAsia="方正书宋_GBK"/>
                <w:color w:val="auto"/>
              </w:rPr>
            </w:pPr>
            <w:r>
              <w:rPr>
                <w:rFonts w:hint="eastAsia" w:ascii="方正书宋_GBK" w:eastAsia="方正书宋_GBK"/>
                <w:color w:val="auto"/>
              </w:rPr>
              <w:t>正科级</w:t>
            </w:r>
          </w:p>
        </w:tc>
        <w:tc>
          <w:tcPr>
            <w:tcW w:w="2935" w:type="dxa"/>
            <w:tcBorders>
              <w:bottom w:val="single" w:color="auto" w:sz="4" w:space="0"/>
            </w:tcBorders>
            <w:vAlign w:val="center"/>
          </w:tcPr>
          <w:p w14:paraId="75E69C80">
            <w:pPr>
              <w:spacing w:line="300" w:lineRule="exact"/>
              <w:jc w:val="center"/>
              <w:rPr>
                <w:rFonts w:eastAsia="方正书宋_GBK"/>
                <w:color w:val="auto"/>
              </w:rPr>
            </w:pPr>
            <w:r>
              <w:rPr>
                <w:rFonts w:hint="eastAsia" w:ascii="方正书宋_GBK" w:eastAsia="方正书宋_GBK"/>
                <w:color w:val="auto"/>
              </w:rPr>
              <w:t>财政拨款</w:t>
            </w:r>
          </w:p>
        </w:tc>
      </w:tr>
    </w:tbl>
    <w:p w14:paraId="1F5CD388">
      <w:pPr>
        <w:numPr>
          <w:ilvl w:val="0"/>
          <w:numId w:val="0"/>
        </w:numPr>
        <w:snapToGrid w:val="0"/>
        <w:spacing w:line="580" w:lineRule="exact"/>
        <w:ind w:firstLine="640" w:firstLineChars="200"/>
        <w:jc w:val="left"/>
        <w:rPr>
          <w:rFonts w:ascii="仿宋" w:hAnsi="仿宋" w:eastAsia="仿宋"/>
          <w:color w:val="auto"/>
          <w:sz w:val="32"/>
          <w:szCs w:val="32"/>
        </w:rPr>
      </w:pPr>
      <w:r>
        <w:rPr>
          <w:rFonts w:hint="eastAsia" w:ascii="仿宋" w:hAnsi="仿宋" w:eastAsia="仿宋" w:cs="仿宋"/>
          <w:color w:val="auto"/>
          <w:sz w:val="32"/>
          <w:szCs w:val="32"/>
        </w:rPr>
        <w:t>截至202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年12月31日，本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共有车辆</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辆，</w:t>
      </w:r>
      <w:r>
        <w:rPr>
          <w:rFonts w:hint="eastAsia" w:ascii="仿宋" w:hAnsi="仿宋" w:eastAsia="仿宋" w:cs="仿宋"/>
          <w:color w:val="auto"/>
          <w:sz w:val="32"/>
          <w:szCs w:val="32"/>
          <w:lang w:eastAsia="zh-CN"/>
        </w:rPr>
        <w:t>与上年持平</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单位无价值50万元以上通用设备，与2023年持平，单位无价值100万元以上专用设备，与2023年持平。</w:t>
      </w:r>
    </w:p>
    <w:p w14:paraId="0E1BAF53">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部门收支预决算情况</w:t>
      </w:r>
    </w:p>
    <w:p w14:paraId="75D57011">
      <w:pPr>
        <w:numPr>
          <w:ilvl w:val="0"/>
          <w:numId w:val="0"/>
        </w:numPr>
        <w:snapToGrid w:val="0"/>
        <w:spacing w:line="580" w:lineRule="exact"/>
        <w:ind w:firstLine="640" w:firstLineChars="200"/>
        <w:jc w:val="left"/>
        <w:rPr>
          <w:rFonts w:hint="eastAsia" w:ascii="楷体" w:hAnsi="楷体" w:eastAsia="楷体" w:cs="楷体_GB2312"/>
          <w:bCs/>
          <w:color w:val="auto"/>
          <w:sz w:val="32"/>
          <w:szCs w:val="32"/>
        </w:rPr>
      </w:pPr>
      <w:r>
        <w:rPr>
          <w:rFonts w:hint="eastAsia" w:ascii="仿宋" w:hAnsi="仿宋" w:eastAsia="仿宋" w:cs="仿宋"/>
          <w:color w:val="auto"/>
          <w:sz w:val="32"/>
          <w:szCs w:val="32"/>
          <w:lang w:val="en-US" w:eastAsia="zh-CN"/>
        </w:rPr>
        <w:t>本单位2024年度决算财政拨款本年收入合计764.46万元,本年支出合计764.46万元。2024年年初预算本年收入合计803.07万元，本年支出合计803.07万元。</w:t>
      </w:r>
    </w:p>
    <w:p w14:paraId="24BE3EF5">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（三）部门整体支出绩效目标、指标</w:t>
      </w:r>
    </w:p>
    <w:p w14:paraId="38A757C9">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_GB2312" w:hAnsi="Times New Roman" w:eastAsia="仿宋_GB2312" w:cs="仿宋_GB2312"/>
          <w:color w:val="auto"/>
          <w:sz w:val="32"/>
          <w:szCs w:val="32"/>
          <w:lang w:val="en-US" w:eastAsia="zh-CN"/>
        </w:rPr>
        <w:t>1、</w:t>
      </w:r>
      <w:r>
        <w:rPr>
          <w:rFonts w:hint="eastAsia" w:ascii="仿宋" w:hAnsi="仿宋" w:eastAsia="仿宋" w:cs="仿宋"/>
          <w:color w:val="auto"/>
          <w:sz w:val="32"/>
          <w:szCs w:val="32"/>
          <w:lang w:val="en-US" w:eastAsia="zh-CN"/>
        </w:rPr>
        <w:t>审计业务费</w:t>
      </w:r>
    </w:p>
    <w:p w14:paraId="0B45EB1D">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绩效目标：通过各项审计，规范预算管理，提高财政资金使用效益；促进国家各项重大政策措施在我区落地生根；对单位主要领导在任职期间的工作给予客观评价等。</w:t>
      </w:r>
    </w:p>
    <w:p w14:paraId="278AE64C">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绩效指标：按照要求和计划时间完成审计任务的比例不低于95%，全年预计完成30个审计项目，完成计划项目的95%以上。</w:t>
      </w:r>
    </w:p>
    <w:p w14:paraId="6C7A5028">
      <w:pPr>
        <w:adjustRightInd w:val="0"/>
        <w:snapToGrid w:val="0"/>
        <w:spacing w:line="580" w:lineRule="exac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针对审计中发现的问题整改落实率不低于95%。</w:t>
      </w:r>
    </w:p>
    <w:p w14:paraId="1A48D1EE">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2、审计专网年度线路租赁及移动审计支撑系统建设运行</w:t>
      </w:r>
    </w:p>
    <w:p w14:paraId="4743642F">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14:paraId="357CF1FF">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绩效指标：保障审计平台、审计专网网站和视频会系统正常运行；系统维护合格率100%；业务处理及时性100%。</w:t>
      </w:r>
    </w:p>
    <w:p w14:paraId="672AEC13">
      <w:pPr>
        <w:numPr>
          <w:ilvl w:val="0"/>
          <w:numId w:val="2"/>
        </w:num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开展鹿泉区疫情防控资金审计聘请会计师事务所审计服务费用</w:t>
      </w:r>
    </w:p>
    <w:p w14:paraId="145199B4">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绩效目标：对鹿泉区卫生健康局、鹿泉区科工局、鹿泉区机关事务管理中心、鹿泉区大数据中心提供的疫情防控资金使用情况进行审核，出具鹿泉区疫情防控资金审计（审核）报告。</w:t>
      </w:r>
    </w:p>
    <w:p w14:paraId="2D3FF36E">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绩效指标：按规定时间对4个单位提供的疫情防控资金使用情况进行审核，出具鹿泉区疫情防控资金审计（审核）报告。聘用成本不高于3.5万元。确保审计结果真实、合法、合规。使用人员满意度达100%。</w:t>
      </w:r>
    </w:p>
    <w:p w14:paraId="4D784059">
      <w:pPr>
        <w:adjustRightInd w:val="0"/>
        <w:snapToGrid w:val="0"/>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二、自评工作开展情况</w:t>
      </w:r>
    </w:p>
    <w:p w14:paraId="5316CA47">
      <w:pPr>
        <w:spacing w:line="560" w:lineRule="exact"/>
        <w:rPr>
          <w:rFonts w:ascii="楷体" w:hAnsi="楷体" w:eastAsia="楷体" w:cs="楷体_GB2312"/>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（一）自评的组织工作</w:t>
      </w:r>
    </w:p>
    <w:p w14:paraId="4EE82AA3">
      <w:pPr>
        <w:numPr>
          <w:ilvl w:val="0"/>
          <w:numId w:val="2"/>
        </w:numPr>
        <w:adjustRightInd w:val="0"/>
        <w:snapToGrid w:val="0"/>
        <w:spacing w:line="580" w:lineRule="exact"/>
        <w:ind w:firstLine="640" w:firstLineChars="200"/>
        <w:rPr>
          <w:rFonts w:ascii="仿宋" w:hAnsi="仿宋" w:eastAsia="仿宋"/>
          <w:color w:val="auto"/>
          <w:sz w:val="32"/>
          <w:szCs w:val="32"/>
        </w:rPr>
      </w:pPr>
      <w:r>
        <w:rPr>
          <w:rFonts w:hint="eastAsia" w:ascii="仿宋" w:hAnsi="仿宋" w:eastAsia="仿宋"/>
          <w:color w:val="auto"/>
          <w:sz w:val="32"/>
          <w:szCs w:val="32"/>
        </w:rPr>
        <w:t xml:space="preserve">     </w:t>
      </w:r>
      <w:r>
        <w:rPr>
          <w:rFonts w:hint="eastAsia" w:ascii="仿宋" w:hAnsi="仿宋" w:eastAsia="仿宋" w:cs="仿宋"/>
          <w:color w:val="auto"/>
          <w:sz w:val="32"/>
          <w:szCs w:val="32"/>
        </w:rPr>
        <w:t>根据预算绩效管理要求，本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组织对202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年度一般公共预算项目支出全面开展绩效自评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组织对“</w:t>
      </w:r>
      <w:r>
        <w:rPr>
          <w:rFonts w:hint="eastAsia" w:ascii="仿宋" w:hAnsi="仿宋" w:eastAsia="仿宋" w:cs="仿宋"/>
          <w:color w:val="auto"/>
          <w:sz w:val="32"/>
          <w:szCs w:val="32"/>
          <w:lang w:val="en-US" w:eastAsia="zh-CN"/>
        </w:rPr>
        <w:t>开展鹿泉区疫情防控资金审计聘请会计师事务所审计服务费用</w:t>
      </w:r>
      <w:bookmarkStart w:id="0" w:name="_GoBack"/>
      <w:bookmarkEnd w:id="0"/>
      <w:r>
        <w:rPr>
          <w:rFonts w:hint="eastAsia" w:ascii="仿宋" w:hAnsi="仿宋" w:eastAsia="仿宋" w:cs="仿宋"/>
          <w:color w:val="auto"/>
          <w:sz w:val="32"/>
          <w:szCs w:val="32"/>
        </w:rPr>
        <w:t>”项目开展了重点评价</w:t>
      </w:r>
      <w:r>
        <w:rPr>
          <w:rFonts w:hint="eastAsia" w:ascii="仿宋" w:hAnsi="仿宋" w:eastAsia="仿宋" w:cs="仿宋"/>
          <w:color w:val="auto"/>
          <w:sz w:val="32"/>
          <w:szCs w:val="32"/>
          <w:lang w:eastAsia="zh-CN"/>
        </w:rPr>
        <w:t>。</w:t>
      </w:r>
    </w:p>
    <w:p w14:paraId="231F9017">
      <w:pPr>
        <w:numPr>
          <w:ilvl w:val="0"/>
          <w:numId w:val="3"/>
        </w:numPr>
        <w:spacing w:line="560" w:lineRule="exact"/>
        <w:rPr>
          <w:rFonts w:ascii="楷体" w:hAnsi="楷体" w:eastAsia="楷体" w:cs="楷体_GB2312"/>
          <w:bCs/>
          <w:color w:val="auto"/>
          <w:sz w:val="32"/>
          <w:szCs w:val="32"/>
        </w:rPr>
      </w:pPr>
      <w:r>
        <w:rPr>
          <w:rFonts w:hint="eastAsia" w:ascii="楷体" w:hAnsi="楷体" w:eastAsia="楷体" w:cs="楷体_GB2312"/>
          <w:bCs/>
          <w:color w:val="auto"/>
          <w:sz w:val="32"/>
          <w:szCs w:val="32"/>
        </w:rPr>
        <w:t>自评的方法和过程</w:t>
      </w:r>
    </w:p>
    <w:p w14:paraId="365A0623">
      <w:pPr>
        <w:adjustRightInd w:val="0"/>
        <w:snapToGrid w:val="0"/>
        <w:spacing w:line="580" w:lineRule="exact"/>
        <w:ind w:firstLine="640" w:firstLineChars="200"/>
        <w:rPr>
          <w:rFonts w:ascii="楷体" w:hAnsi="楷体" w:eastAsia="楷体" w:cs="楷体_GB2312"/>
          <w:bCs/>
          <w:color w:val="auto"/>
          <w:sz w:val="32"/>
          <w:szCs w:val="32"/>
        </w:rPr>
      </w:pPr>
      <w:r>
        <w:rPr>
          <w:rFonts w:hint="eastAsia" w:ascii="仿宋" w:hAnsi="仿宋" w:eastAsia="仿宋" w:cs="仿宋"/>
          <w:color w:val="auto"/>
          <w:sz w:val="32"/>
          <w:szCs w:val="32"/>
          <w:lang w:val="en-US" w:eastAsia="zh-CN"/>
        </w:rPr>
        <w:t>按要求开展上年度单位预算绩效自评和重点评价工作，通过填写项目绩效自评表等方法进行自评，调整优化支出结构，提高财政资金使用效益。</w:t>
      </w:r>
    </w:p>
    <w:p w14:paraId="69C9BD46">
      <w:pPr>
        <w:spacing w:line="560" w:lineRule="exact"/>
        <w:rPr>
          <w:rFonts w:ascii="黑体" w:hAnsi="黑体" w:eastAsia="黑体"/>
          <w:b/>
          <w:bCs/>
          <w:color w:val="auto"/>
          <w:sz w:val="32"/>
          <w:szCs w:val="32"/>
        </w:rPr>
      </w:pPr>
      <w:r>
        <w:rPr>
          <w:rFonts w:hint="eastAsia" w:ascii="黑体" w:hAnsi="黑体" w:eastAsia="黑体"/>
          <w:color w:val="auto"/>
          <w:sz w:val="32"/>
          <w:szCs w:val="32"/>
        </w:rPr>
        <w:t xml:space="preserve">    三、部门整体支出绩效目标实现情况及指标分析</w:t>
      </w:r>
    </w:p>
    <w:p w14:paraId="2747C8BF">
      <w:pPr>
        <w:numPr>
          <w:ilvl w:val="0"/>
          <w:numId w:val="4"/>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14:paraId="24BB788A">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1、审计业务</w:t>
      </w:r>
      <w:r>
        <w:rPr>
          <w:rFonts w:hint="eastAsia" w:ascii="仿宋" w:hAnsi="仿宋" w:eastAsia="仿宋" w:cs="仿宋"/>
          <w:color w:val="auto"/>
          <w:sz w:val="32"/>
          <w:szCs w:val="32"/>
          <w:lang w:val="en-US" w:eastAsia="zh-CN"/>
        </w:rPr>
        <w:tab/>
      </w:r>
    </w:p>
    <w:p w14:paraId="7B87335A">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主管全区审计工作。通过财政财务收支审计真实、合法和效益情况，维护国家财政经济秩序，促进廉政建设，保障国民经济的健康运行。</w:t>
      </w:r>
    </w:p>
    <w:p w14:paraId="06E3B21E">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2、审计管理</w:t>
      </w:r>
      <w:r>
        <w:rPr>
          <w:rFonts w:hint="eastAsia" w:ascii="仿宋" w:hAnsi="仿宋" w:eastAsia="仿宋" w:cs="仿宋"/>
          <w:color w:val="auto"/>
          <w:sz w:val="32"/>
          <w:szCs w:val="32"/>
          <w:lang w:val="en-US" w:eastAsia="zh-CN"/>
        </w:rPr>
        <w:tab/>
      </w:r>
    </w:p>
    <w:p w14:paraId="4E6D6A3B">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进行内部审计管理和审计法制管理。贯彻落实相关法律法规及大内部审计管理制度提高审计质量和审计机关法制管理水平。</w:t>
      </w:r>
    </w:p>
    <w:p w14:paraId="7EF55F34">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3、审计政务管理</w:t>
      </w:r>
      <w:r>
        <w:rPr>
          <w:rFonts w:hint="eastAsia" w:ascii="仿宋" w:hAnsi="仿宋" w:eastAsia="仿宋" w:cs="仿宋"/>
          <w:color w:val="auto"/>
          <w:sz w:val="32"/>
          <w:szCs w:val="32"/>
          <w:lang w:val="en-US" w:eastAsia="zh-CN"/>
        </w:rPr>
        <w:tab/>
      </w:r>
    </w:p>
    <w:p w14:paraId="3A8FDAF0">
      <w:pPr>
        <w:adjustRightInd w:val="0"/>
        <w:snapToGrid w:val="0"/>
        <w:spacing w:line="580" w:lineRule="exact"/>
        <w:ind w:firstLine="640" w:firstLineChars="200"/>
        <w:rPr>
          <w:rFonts w:ascii="仿宋" w:hAnsi="仿宋" w:eastAsia="仿宋"/>
          <w:color w:val="auto"/>
          <w:sz w:val="32"/>
          <w:szCs w:val="32"/>
        </w:rPr>
      </w:pPr>
      <w:r>
        <w:rPr>
          <w:rFonts w:hint="eastAsia" w:ascii="仿宋" w:hAnsi="仿宋" w:eastAsia="仿宋" w:cs="仿宋"/>
          <w:color w:val="auto"/>
          <w:sz w:val="32"/>
          <w:szCs w:val="32"/>
          <w:lang w:val="en-US" w:eastAsia="zh-CN"/>
        </w:rPr>
        <w:t>包括系统综合业务管理和机关综合事务管理。充分发挥参谋助手作用和综合协调作用，推进审计事业科学协调发展。</w:t>
      </w:r>
    </w:p>
    <w:p w14:paraId="6D21D301">
      <w:pPr>
        <w:spacing w:line="560" w:lineRule="exact"/>
        <w:rPr>
          <w:rFonts w:ascii="楷体" w:hAnsi="楷体" w:eastAsia="楷体"/>
          <w:bCs/>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（二）分项绩效目标实现情况及指标分析</w:t>
      </w:r>
    </w:p>
    <w:p w14:paraId="5607019E">
      <w:pPr>
        <w:adjustRightInd w:val="0"/>
        <w:snapToGrid w:val="0"/>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在今年</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决算中反映</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开展鹿泉区疫情防控资金审计聘请会计师事务所审计服务费用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项目</w:t>
      </w:r>
      <w:r>
        <w:rPr>
          <w:rFonts w:hint="eastAsia" w:ascii="仿宋" w:hAnsi="仿宋" w:eastAsia="仿宋" w:cs="仿宋"/>
          <w:color w:val="auto"/>
          <w:sz w:val="32"/>
          <w:szCs w:val="32"/>
          <w:lang w:eastAsia="zh-CN"/>
        </w:rPr>
        <w:t>、“审计业务费”</w:t>
      </w:r>
      <w:r>
        <w:rPr>
          <w:rFonts w:hint="eastAsia" w:ascii="仿宋" w:hAnsi="仿宋" w:eastAsia="仿宋" w:cs="仿宋"/>
          <w:color w:val="auto"/>
          <w:sz w:val="32"/>
          <w:szCs w:val="32"/>
        </w:rPr>
        <w:t>项目</w:t>
      </w:r>
      <w:r>
        <w:rPr>
          <w:rFonts w:hint="eastAsia" w:ascii="仿宋" w:hAnsi="仿宋" w:eastAsia="仿宋" w:cs="仿宋"/>
          <w:color w:val="auto"/>
          <w:sz w:val="32"/>
          <w:szCs w:val="32"/>
          <w:lang w:eastAsia="zh-CN"/>
        </w:rPr>
        <w:t>及“</w:t>
      </w:r>
      <w:r>
        <w:rPr>
          <w:rFonts w:hint="eastAsia" w:ascii="仿宋" w:hAnsi="仿宋" w:eastAsia="仿宋" w:cs="仿宋"/>
          <w:color w:val="auto"/>
          <w:sz w:val="32"/>
          <w:szCs w:val="32"/>
          <w:lang w:val="en-US" w:eastAsia="zh-CN"/>
        </w:rPr>
        <w:t>2024年审计专网年度线路租赁费及移动审计支撑系统建设运行费</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等</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个项目绩效自评结果。</w:t>
      </w:r>
    </w:p>
    <w:p w14:paraId="45DE9FFF">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1、开展鹿泉区疫情防控资金审计聘请会计师事务所审计服务费用的审计</w:t>
      </w:r>
      <w:r>
        <w:rPr>
          <w:rFonts w:hint="eastAsia" w:ascii="仿宋" w:hAnsi="仿宋" w:eastAsia="仿宋" w:cs="仿宋"/>
          <w:color w:val="auto"/>
          <w:sz w:val="32"/>
          <w:szCs w:val="32"/>
        </w:rPr>
        <w:t>自评综述：根据年初设定的绩效目标，项目绩效自评得分为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分（绩效自评表附后）。全年预算数为</w:t>
      </w:r>
      <w:r>
        <w:rPr>
          <w:rFonts w:hint="eastAsia" w:ascii="仿宋" w:hAnsi="仿宋" w:eastAsia="仿宋" w:cs="仿宋"/>
          <w:color w:val="auto"/>
          <w:sz w:val="32"/>
          <w:szCs w:val="32"/>
          <w:lang w:val="en-US" w:eastAsia="zh-CN"/>
        </w:rPr>
        <w:t>3.5</w:t>
      </w:r>
      <w:r>
        <w:rPr>
          <w:rFonts w:hint="eastAsia" w:ascii="仿宋" w:hAnsi="仿宋" w:eastAsia="仿宋" w:cs="仿宋"/>
          <w:color w:val="auto"/>
          <w:sz w:val="32"/>
          <w:szCs w:val="32"/>
        </w:rPr>
        <w:t>万元，执行数为</w:t>
      </w:r>
      <w:r>
        <w:rPr>
          <w:rFonts w:hint="eastAsia" w:ascii="仿宋" w:hAnsi="仿宋" w:eastAsia="仿宋" w:cs="仿宋"/>
          <w:color w:val="auto"/>
          <w:sz w:val="32"/>
          <w:szCs w:val="32"/>
          <w:lang w:val="en-US" w:eastAsia="zh-CN"/>
        </w:rPr>
        <w:t>3.5</w:t>
      </w:r>
      <w:r>
        <w:rPr>
          <w:rFonts w:hint="eastAsia" w:ascii="仿宋" w:hAnsi="仿宋" w:eastAsia="仿宋" w:cs="仿宋"/>
          <w:color w:val="auto"/>
          <w:sz w:val="32"/>
          <w:szCs w:val="32"/>
        </w:rPr>
        <w:t>万元，完成预算的</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。项目绩效目标完成情况：</w:t>
      </w:r>
      <w:r>
        <w:rPr>
          <w:rFonts w:hint="eastAsia" w:ascii="仿宋" w:hAnsi="仿宋" w:eastAsia="仿宋" w:cs="仿宋"/>
          <w:color w:val="auto"/>
          <w:sz w:val="32"/>
          <w:szCs w:val="32"/>
          <w:lang w:val="en-US" w:eastAsia="zh-CN"/>
        </w:rPr>
        <w:t>审计项目均在规定时间内按照计划要求圆满完成。</w:t>
      </w:r>
    </w:p>
    <w:p w14:paraId="1CE32DEC">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审计业务费项目绩效自评综述：根据年初设定的绩效目标，审计业务费项目绩效自评得分为100分。全年调整预算数为7.5万元，执行数为7.5万元，完成预算的100%。项目绩效目标完成情况：审计项目均在规定时间内按照年初计划要求圆满完成。</w:t>
      </w:r>
    </w:p>
    <w:p w14:paraId="5D4A17C2">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审计专网租赁费及移动支撑系统运行费项目绩效自评综行费项目绩效自评得分为100分。全年调整预算数预算数为3.024万元，执行数为3.024万元，完成预算的100%。项目绩效目标完成情况：审计专网及移动支撑系统均运行良好，通达率100%。</w:t>
      </w:r>
    </w:p>
    <w:p w14:paraId="221DCE88">
      <w:pPr>
        <w:adjustRightInd w:val="0"/>
        <w:snapToGrid w:val="0"/>
        <w:spacing w:line="580" w:lineRule="exac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附项目支出绩效自评表</w:t>
      </w:r>
    </w:p>
    <w:p w14:paraId="46837728">
      <w:pPr>
        <w:widowControl/>
        <w:jc w:val="left"/>
        <w:rPr>
          <w:color w:val="auto"/>
        </w:rPr>
      </w:pPr>
      <w:r>
        <w:rPr>
          <w:rFonts w:hint="eastAsia" w:ascii="仿宋_GB2312" w:hAnsi="仿宋_GB2312" w:eastAsia="仿宋_GB2312" w:cs="仿宋_GB2312"/>
          <w:b/>
          <w:bCs/>
          <w:color w:val="auto"/>
          <w:sz w:val="32"/>
          <w:szCs w:val="32"/>
          <w:lang w:val="en-US" w:eastAsia="zh-CN"/>
        </w:rPr>
        <w:t>序号           项目名称        自评得分    评价等级</w:t>
      </w:r>
      <w:r>
        <w:rPr>
          <w:rFonts w:hint="eastAsia" w:ascii="宋体" w:hAnsi="宋体" w:eastAsia="宋体" w:cs="宋体"/>
          <w:color w:val="auto"/>
          <w:kern w:val="0"/>
          <w:sz w:val="31"/>
          <w:szCs w:val="31"/>
          <w:lang w:val="en-US" w:eastAsia="zh-CN"/>
        </w:rPr>
        <w:t xml:space="preserve"> </w:t>
      </w:r>
    </w:p>
    <w:tbl>
      <w:tblPr>
        <w:tblStyle w:val="4"/>
        <w:tblW w:w="8744"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2"/>
        <w:gridCol w:w="3849"/>
        <w:gridCol w:w="1639"/>
        <w:gridCol w:w="2304"/>
      </w:tblGrid>
      <w:tr w14:paraId="27BD1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0" w:hRule="atLeast"/>
        </w:trPr>
        <w:tc>
          <w:tcPr>
            <w:tcW w:w="952" w:type="dxa"/>
            <w:tcBorders>
              <w:top w:val="single" w:color="000000" w:sz="4" w:space="0"/>
              <w:left w:val="single" w:color="000000" w:sz="4" w:space="0"/>
              <w:bottom w:val="single" w:color="000000" w:sz="4" w:space="0"/>
              <w:right w:val="single" w:color="000000" w:sz="4" w:space="0"/>
            </w:tcBorders>
            <w:vAlign w:val="bottom"/>
          </w:tcPr>
          <w:p w14:paraId="4F93402D">
            <w:pPr>
              <w:jc w:val="left"/>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vAlign w:val="center"/>
          </w:tcPr>
          <w:p w14:paraId="30EB7534">
            <w:pPr>
              <w:jc w:val="left"/>
              <w:rPr>
                <w:rFonts w:hint="default" w:ascii="Arial" w:hAnsi="Arial" w:cs="Arial"/>
                <w:i w:val="0"/>
                <w:iCs w:val="0"/>
                <w:color w:val="auto"/>
                <w:sz w:val="20"/>
                <w:szCs w:val="20"/>
                <w:u w:val="none"/>
              </w:rPr>
            </w:pPr>
            <w:r>
              <w:rPr>
                <w:rFonts w:hint="eastAsia" w:ascii="仿宋_GB2312" w:hAnsi="Times New Roman" w:eastAsia="仿宋_GB2312" w:cs="仿宋_GB2312"/>
                <w:color w:val="auto"/>
                <w:sz w:val="32"/>
                <w:szCs w:val="32"/>
                <w:lang w:val="en-US" w:eastAsia="zh-CN"/>
              </w:rPr>
              <w:t>对鹿泉宾馆清产核资和经营情况的审计</w:t>
            </w:r>
          </w:p>
        </w:tc>
        <w:tc>
          <w:tcPr>
            <w:tcW w:w="1639" w:type="dxa"/>
            <w:tcBorders>
              <w:top w:val="single" w:color="000000" w:sz="4" w:space="0"/>
              <w:left w:val="single" w:color="000000" w:sz="4" w:space="0"/>
              <w:bottom w:val="single" w:color="000000" w:sz="4" w:space="0"/>
              <w:right w:val="single" w:color="000000" w:sz="4" w:space="0"/>
            </w:tcBorders>
            <w:vAlign w:val="bottom"/>
          </w:tcPr>
          <w:p w14:paraId="5E40CC82">
            <w:pPr>
              <w:jc w:val="center"/>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14:paraId="02AC5AA6">
            <w:pPr>
              <w:jc w:val="cente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优</w:t>
            </w:r>
          </w:p>
        </w:tc>
      </w:tr>
      <w:tr w14:paraId="216BE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952" w:type="dxa"/>
            <w:tcBorders>
              <w:top w:val="single" w:color="000000" w:sz="4" w:space="0"/>
              <w:left w:val="single" w:color="000000" w:sz="4" w:space="0"/>
              <w:bottom w:val="single" w:color="000000" w:sz="4" w:space="0"/>
              <w:right w:val="single" w:color="000000" w:sz="4" w:space="0"/>
            </w:tcBorders>
            <w:vAlign w:val="bottom"/>
          </w:tcPr>
          <w:p w14:paraId="29FBA1ED">
            <w:pP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vAlign w:val="bottom"/>
          </w:tcPr>
          <w:p w14:paraId="1B2C87B0">
            <w:pPr>
              <w:jc w:val="left"/>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vAlign w:val="bottom"/>
          </w:tcPr>
          <w:p w14:paraId="79756E26">
            <w:pPr>
              <w:jc w:val="center"/>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14:paraId="19D8AF8C">
            <w:pPr>
              <w:jc w:val="cente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优</w:t>
            </w:r>
          </w:p>
        </w:tc>
      </w:tr>
      <w:tr w14:paraId="798AD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952" w:type="dxa"/>
            <w:tcBorders>
              <w:top w:val="single" w:color="000000" w:sz="4" w:space="0"/>
              <w:left w:val="single" w:color="000000" w:sz="4" w:space="0"/>
              <w:bottom w:val="single" w:color="000000" w:sz="4" w:space="0"/>
              <w:right w:val="single" w:color="000000" w:sz="4" w:space="0"/>
            </w:tcBorders>
            <w:vAlign w:val="bottom"/>
          </w:tcPr>
          <w:p w14:paraId="7999F2D3">
            <w:pP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3</w:t>
            </w:r>
          </w:p>
        </w:tc>
        <w:tc>
          <w:tcPr>
            <w:tcW w:w="3849" w:type="dxa"/>
            <w:tcBorders>
              <w:top w:val="single" w:color="000000" w:sz="4" w:space="0"/>
              <w:left w:val="single" w:color="000000" w:sz="4" w:space="0"/>
              <w:bottom w:val="single" w:color="000000" w:sz="4" w:space="0"/>
              <w:right w:val="single" w:color="000000" w:sz="4" w:space="0"/>
            </w:tcBorders>
            <w:vAlign w:val="bottom"/>
          </w:tcPr>
          <w:p w14:paraId="0347AC8D">
            <w:pPr>
              <w:widowControl/>
              <w:jc w:val="left"/>
              <w:rPr>
                <w:rFonts w:hint="default" w:ascii="Arial" w:hAnsi="Arial" w:cs="Arial"/>
                <w:i w:val="0"/>
                <w:iCs w:val="0"/>
                <w:color w:val="auto"/>
                <w:sz w:val="20"/>
                <w:szCs w:val="20"/>
                <w:u w:val="none"/>
              </w:rPr>
            </w:pPr>
            <w:r>
              <w:rPr>
                <w:rFonts w:hint="eastAsia" w:ascii="仿宋_GB2312" w:hAnsi="仿宋_GB2312" w:eastAsia="仿宋_GB2312" w:cs="仿宋_GB2312"/>
                <w:color w:val="auto"/>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vAlign w:val="bottom"/>
          </w:tcPr>
          <w:p w14:paraId="5EC86F2E">
            <w:pPr>
              <w:jc w:val="center"/>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14:paraId="255A309E">
            <w:pPr>
              <w:jc w:val="cente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优</w:t>
            </w:r>
          </w:p>
        </w:tc>
      </w:tr>
    </w:tbl>
    <w:p w14:paraId="2EF9BC1A">
      <w:pPr>
        <w:spacing w:line="560" w:lineRule="exact"/>
        <w:ind w:firstLine="800" w:firstLineChars="250"/>
        <w:rPr>
          <w:rFonts w:ascii="仿宋" w:hAnsi="仿宋" w:eastAsia="仿宋"/>
          <w:color w:val="auto"/>
          <w:sz w:val="32"/>
          <w:szCs w:val="32"/>
        </w:rPr>
      </w:pPr>
    </w:p>
    <w:p w14:paraId="2997C4A6">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四、评价结论和评价等级</w:t>
      </w:r>
    </w:p>
    <w:p w14:paraId="2DBCD23A">
      <w:pPr>
        <w:adjustRightInd w:val="0"/>
        <w:snapToGrid w:val="0"/>
        <w:spacing w:line="580" w:lineRule="exact"/>
        <w:ind w:firstLine="640" w:firstLineChars="200"/>
        <w:rPr>
          <w:rFonts w:hint="eastAsia" w:ascii="仿宋" w:hAnsi="仿宋" w:eastAsia="仿宋" w:cs="仿宋"/>
          <w:b/>
          <w:bCs/>
          <w:color w:val="auto"/>
          <w:sz w:val="32"/>
          <w:szCs w:val="32"/>
        </w:rPr>
      </w:pPr>
      <w:r>
        <w:rPr>
          <w:rFonts w:hint="eastAsia" w:ascii="仿宋" w:hAnsi="仿宋" w:eastAsia="仿宋" w:cs="仿宋"/>
          <w:color w:val="auto"/>
          <w:sz w:val="32"/>
          <w:szCs w:val="32"/>
          <w:lang w:val="en-US" w:eastAsia="zh-CN"/>
        </w:rPr>
        <w:t>2024年财政评价项目共 3 个，其中评价等级为“优” 项目 3个，评优率为 100%。</w:t>
      </w:r>
    </w:p>
    <w:p w14:paraId="0F5E22C6">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五、存在的问题及改进措施</w:t>
      </w:r>
    </w:p>
    <w:p w14:paraId="179CE5F3">
      <w:pPr>
        <w:spacing w:line="560" w:lineRule="exact"/>
        <w:ind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（一）存在的主要问题</w:t>
      </w:r>
    </w:p>
    <w:p w14:paraId="35975A90">
      <w:pPr>
        <w:spacing w:line="560" w:lineRule="exact"/>
        <w:ind w:firstLine="640" w:firstLineChars="200"/>
        <w:rPr>
          <w:rFonts w:hint="eastAsia" w:ascii="楷体" w:hAnsi="楷体" w:eastAsia="楷体"/>
          <w:bCs/>
          <w:color w:val="auto"/>
          <w:sz w:val="32"/>
          <w:szCs w:val="32"/>
          <w:lang w:eastAsia="zh-CN"/>
        </w:rPr>
      </w:pPr>
      <w:r>
        <w:rPr>
          <w:rFonts w:hint="eastAsia" w:ascii="楷体" w:hAnsi="楷体" w:eastAsia="楷体"/>
          <w:bCs/>
          <w:color w:val="auto"/>
          <w:sz w:val="32"/>
          <w:szCs w:val="32"/>
          <w:lang w:eastAsia="zh-CN"/>
        </w:rPr>
        <w:t>无</w:t>
      </w:r>
    </w:p>
    <w:p w14:paraId="5356BCB4">
      <w:pPr>
        <w:numPr>
          <w:ilvl w:val="0"/>
          <w:numId w:val="4"/>
        </w:numPr>
        <w:spacing w:line="560" w:lineRule="exact"/>
        <w:ind w:left="0" w:leftChars="0"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针对问题提出具体的改进措施或建议</w:t>
      </w:r>
    </w:p>
    <w:p w14:paraId="70571CED">
      <w:pPr>
        <w:numPr>
          <w:ilvl w:val="0"/>
          <w:numId w:val="0"/>
        </w:numPr>
        <w:spacing w:line="560" w:lineRule="exact"/>
        <w:ind w:leftChars="200" w:firstLine="320" w:firstLineChars="100"/>
        <w:rPr>
          <w:rFonts w:hint="eastAsia" w:ascii="楷体" w:hAnsi="楷体" w:eastAsia="楷体"/>
          <w:bCs/>
          <w:color w:val="auto"/>
          <w:sz w:val="32"/>
          <w:szCs w:val="32"/>
          <w:lang w:eastAsia="zh-CN"/>
        </w:rPr>
      </w:pPr>
      <w:r>
        <w:rPr>
          <w:rFonts w:hint="eastAsia" w:ascii="楷体" w:hAnsi="楷体" w:eastAsia="楷体"/>
          <w:bCs/>
          <w:color w:val="auto"/>
          <w:sz w:val="32"/>
          <w:szCs w:val="32"/>
          <w:lang w:eastAsia="zh-CN"/>
        </w:rPr>
        <w:t>无</w:t>
      </w:r>
    </w:p>
    <w:p w14:paraId="17321D94">
      <w:pPr>
        <w:spacing w:line="560" w:lineRule="exact"/>
        <w:rPr>
          <w:rFonts w:ascii="仿宋" w:hAnsi="仿宋" w:eastAsia="仿宋"/>
          <w:color w:val="auto"/>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56518">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C64E9C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221547"/>
    <w:multiLevelType w:val="singleLevel"/>
    <w:tmpl w:val="CF221547"/>
    <w:lvl w:ilvl="0" w:tentative="0">
      <w:start w:val="3"/>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67B44A6"/>
    <w:multiLevelType w:val="singleLevel"/>
    <w:tmpl w:val="767B44A6"/>
    <w:lvl w:ilvl="0" w:tentative="0">
      <w:start w:val="2"/>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mI0YWI5ZjEwODVhMDVmOGVjYmQ2YmQ0NTNhYjA2ZDIifQ=="/>
  </w:docVars>
  <w:rsids>
    <w:rsidRoot w:val="0EBD2122"/>
    <w:rsid w:val="000B0260"/>
    <w:rsid w:val="001A2968"/>
    <w:rsid w:val="001B713F"/>
    <w:rsid w:val="00376610"/>
    <w:rsid w:val="00501EE6"/>
    <w:rsid w:val="007E6C1F"/>
    <w:rsid w:val="008E3731"/>
    <w:rsid w:val="00956A93"/>
    <w:rsid w:val="009E575C"/>
    <w:rsid w:val="009F674E"/>
    <w:rsid w:val="00AF167E"/>
    <w:rsid w:val="00AF566A"/>
    <w:rsid w:val="00B478EA"/>
    <w:rsid w:val="00B6553A"/>
    <w:rsid w:val="00BC6576"/>
    <w:rsid w:val="00C66976"/>
    <w:rsid w:val="00CE06BA"/>
    <w:rsid w:val="00F441CC"/>
    <w:rsid w:val="012A4E2C"/>
    <w:rsid w:val="014D0B1B"/>
    <w:rsid w:val="01B104CA"/>
    <w:rsid w:val="01CF32DE"/>
    <w:rsid w:val="01DB6127"/>
    <w:rsid w:val="02106AB0"/>
    <w:rsid w:val="025F4662"/>
    <w:rsid w:val="02A12ECC"/>
    <w:rsid w:val="02B43A28"/>
    <w:rsid w:val="034F2928"/>
    <w:rsid w:val="03BD2587"/>
    <w:rsid w:val="03F4527E"/>
    <w:rsid w:val="040A684F"/>
    <w:rsid w:val="04294F27"/>
    <w:rsid w:val="046F331E"/>
    <w:rsid w:val="04B844FD"/>
    <w:rsid w:val="056F1060"/>
    <w:rsid w:val="077706A0"/>
    <w:rsid w:val="07956271"/>
    <w:rsid w:val="093E76C7"/>
    <w:rsid w:val="09721397"/>
    <w:rsid w:val="0A195A3E"/>
    <w:rsid w:val="0A2A19F9"/>
    <w:rsid w:val="0A9B6453"/>
    <w:rsid w:val="0B680A2B"/>
    <w:rsid w:val="0BB63BED"/>
    <w:rsid w:val="0BC419DA"/>
    <w:rsid w:val="0BE67BA2"/>
    <w:rsid w:val="0CF84031"/>
    <w:rsid w:val="0D1F336B"/>
    <w:rsid w:val="0D442DD2"/>
    <w:rsid w:val="0D755681"/>
    <w:rsid w:val="0DF93BBD"/>
    <w:rsid w:val="0E4F5ED2"/>
    <w:rsid w:val="0EA16002"/>
    <w:rsid w:val="0EB97A43"/>
    <w:rsid w:val="0EBD2122"/>
    <w:rsid w:val="0EC95C85"/>
    <w:rsid w:val="0F214EAE"/>
    <w:rsid w:val="0FE64614"/>
    <w:rsid w:val="0FF7412C"/>
    <w:rsid w:val="10394744"/>
    <w:rsid w:val="111451B1"/>
    <w:rsid w:val="11B71E6A"/>
    <w:rsid w:val="13954387"/>
    <w:rsid w:val="13BE3C9F"/>
    <w:rsid w:val="1419732D"/>
    <w:rsid w:val="142E0338"/>
    <w:rsid w:val="15610299"/>
    <w:rsid w:val="15714980"/>
    <w:rsid w:val="15D849FF"/>
    <w:rsid w:val="16C60CFC"/>
    <w:rsid w:val="1706734A"/>
    <w:rsid w:val="173F64A6"/>
    <w:rsid w:val="17F2365A"/>
    <w:rsid w:val="183879D7"/>
    <w:rsid w:val="18422604"/>
    <w:rsid w:val="18581E27"/>
    <w:rsid w:val="18786026"/>
    <w:rsid w:val="191C2E55"/>
    <w:rsid w:val="199155F1"/>
    <w:rsid w:val="199450E1"/>
    <w:rsid w:val="1A2B77F4"/>
    <w:rsid w:val="1A400DC5"/>
    <w:rsid w:val="1AAF0063"/>
    <w:rsid w:val="1BA15893"/>
    <w:rsid w:val="1BE140DE"/>
    <w:rsid w:val="1BE91714"/>
    <w:rsid w:val="1C136791"/>
    <w:rsid w:val="1C295FB5"/>
    <w:rsid w:val="1C297D63"/>
    <w:rsid w:val="1C2F10F1"/>
    <w:rsid w:val="1CC21F65"/>
    <w:rsid w:val="1CF33ECD"/>
    <w:rsid w:val="1D864D41"/>
    <w:rsid w:val="1DDB32DF"/>
    <w:rsid w:val="1EEE6D86"/>
    <w:rsid w:val="1F1545CE"/>
    <w:rsid w:val="2027280B"/>
    <w:rsid w:val="202B7879"/>
    <w:rsid w:val="204C0101"/>
    <w:rsid w:val="208732AA"/>
    <w:rsid w:val="20C067BC"/>
    <w:rsid w:val="20D72F1D"/>
    <w:rsid w:val="21022930"/>
    <w:rsid w:val="216B2BCB"/>
    <w:rsid w:val="21A12149"/>
    <w:rsid w:val="21B26104"/>
    <w:rsid w:val="226F0499"/>
    <w:rsid w:val="22E51D82"/>
    <w:rsid w:val="23F8626D"/>
    <w:rsid w:val="2412732E"/>
    <w:rsid w:val="24156E1F"/>
    <w:rsid w:val="248C197D"/>
    <w:rsid w:val="25186BC6"/>
    <w:rsid w:val="252959AF"/>
    <w:rsid w:val="2584425C"/>
    <w:rsid w:val="25956469"/>
    <w:rsid w:val="25FC3DF2"/>
    <w:rsid w:val="26B741BD"/>
    <w:rsid w:val="27315D1D"/>
    <w:rsid w:val="277A6671"/>
    <w:rsid w:val="28011B94"/>
    <w:rsid w:val="285D2B42"/>
    <w:rsid w:val="28687E65"/>
    <w:rsid w:val="28773C04"/>
    <w:rsid w:val="28A3231A"/>
    <w:rsid w:val="29015BC3"/>
    <w:rsid w:val="292D35B7"/>
    <w:rsid w:val="294066EC"/>
    <w:rsid w:val="29D357B2"/>
    <w:rsid w:val="29FD45DD"/>
    <w:rsid w:val="2A3E70CF"/>
    <w:rsid w:val="2AE412F9"/>
    <w:rsid w:val="2B0100FD"/>
    <w:rsid w:val="2B3B716B"/>
    <w:rsid w:val="2BC453B2"/>
    <w:rsid w:val="2C0954BB"/>
    <w:rsid w:val="2C1A3224"/>
    <w:rsid w:val="2E0500ED"/>
    <w:rsid w:val="2E19750B"/>
    <w:rsid w:val="2EB50640"/>
    <w:rsid w:val="2EB931C8"/>
    <w:rsid w:val="2F1B2D05"/>
    <w:rsid w:val="2F2D326E"/>
    <w:rsid w:val="2F432A92"/>
    <w:rsid w:val="2F544C9F"/>
    <w:rsid w:val="2FB7522E"/>
    <w:rsid w:val="301663F8"/>
    <w:rsid w:val="30191A45"/>
    <w:rsid w:val="30442F65"/>
    <w:rsid w:val="310D15A9"/>
    <w:rsid w:val="312F7772"/>
    <w:rsid w:val="31741628"/>
    <w:rsid w:val="3186135C"/>
    <w:rsid w:val="3199108F"/>
    <w:rsid w:val="321A53A2"/>
    <w:rsid w:val="32817910"/>
    <w:rsid w:val="32E93950"/>
    <w:rsid w:val="32F26CA9"/>
    <w:rsid w:val="33BB353F"/>
    <w:rsid w:val="33CA6135"/>
    <w:rsid w:val="33EB6CFF"/>
    <w:rsid w:val="34164C19"/>
    <w:rsid w:val="34CC3529"/>
    <w:rsid w:val="35A12947"/>
    <w:rsid w:val="35F9034E"/>
    <w:rsid w:val="36687282"/>
    <w:rsid w:val="37387040"/>
    <w:rsid w:val="37405B09"/>
    <w:rsid w:val="375F2433"/>
    <w:rsid w:val="37AD13F0"/>
    <w:rsid w:val="37B067C2"/>
    <w:rsid w:val="37DE3C9F"/>
    <w:rsid w:val="38883C0B"/>
    <w:rsid w:val="38F848ED"/>
    <w:rsid w:val="39137979"/>
    <w:rsid w:val="39557F91"/>
    <w:rsid w:val="39882115"/>
    <w:rsid w:val="39885D54"/>
    <w:rsid w:val="399565E0"/>
    <w:rsid w:val="39A607ED"/>
    <w:rsid w:val="39E41315"/>
    <w:rsid w:val="3A4818A4"/>
    <w:rsid w:val="3AA52853"/>
    <w:rsid w:val="3AD4138A"/>
    <w:rsid w:val="3AF235BE"/>
    <w:rsid w:val="3B5F50F7"/>
    <w:rsid w:val="3B625C0A"/>
    <w:rsid w:val="3C145EE2"/>
    <w:rsid w:val="3C5C5193"/>
    <w:rsid w:val="3C9A5CBB"/>
    <w:rsid w:val="3CD15B81"/>
    <w:rsid w:val="3CEE1963"/>
    <w:rsid w:val="3DB654F6"/>
    <w:rsid w:val="3DCC6348"/>
    <w:rsid w:val="3DFF04CC"/>
    <w:rsid w:val="3EED2A1A"/>
    <w:rsid w:val="3F0E3630"/>
    <w:rsid w:val="3F2D2E17"/>
    <w:rsid w:val="3FE94F8F"/>
    <w:rsid w:val="40866C82"/>
    <w:rsid w:val="40F2256A"/>
    <w:rsid w:val="41764F49"/>
    <w:rsid w:val="41A41AB6"/>
    <w:rsid w:val="41BD0482"/>
    <w:rsid w:val="420460B1"/>
    <w:rsid w:val="42933D69"/>
    <w:rsid w:val="436B78D3"/>
    <w:rsid w:val="446A2417"/>
    <w:rsid w:val="4493196E"/>
    <w:rsid w:val="44CB55AC"/>
    <w:rsid w:val="451E56DB"/>
    <w:rsid w:val="453A628D"/>
    <w:rsid w:val="45655845"/>
    <w:rsid w:val="45C51836"/>
    <w:rsid w:val="45CF2E79"/>
    <w:rsid w:val="464D52AD"/>
    <w:rsid w:val="47121270"/>
    <w:rsid w:val="47460F19"/>
    <w:rsid w:val="47A75385"/>
    <w:rsid w:val="483416BA"/>
    <w:rsid w:val="48877A3B"/>
    <w:rsid w:val="490966A2"/>
    <w:rsid w:val="49382AE4"/>
    <w:rsid w:val="493F0316"/>
    <w:rsid w:val="496F29A9"/>
    <w:rsid w:val="4ACE1952"/>
    <w:rsid w:val="4B475260"/>
    <w:rsid w:val="4BE64A79"/>
    <w:rsid w:val="4C337F2B"/>
    <w:rsid w:val="4C9C27FE"/>
    <w:rsid w:val="4CBA03DF"/>
    <w:rsid w:val="4D0E4287"/>
    <w:rsid w:val="4D155616"/>
    <w:rsid w:val="4D1B0752"/>
    <w:rsid w:val="4EBE7F2F"/>
    <w:rsid w:val="50766C40"/>
    <w:rsid w:val="50BE7D72"/>
    <w:rsid w:val="512260B4"/>
    <w:rsid w:val="516B614C"/>
    <w:rsid w:val="517B2107"/>
    <w:rsid w:val="52195BA8"/>
    <w:rsid w:val="527E5A0B"/>
    <w:rsid w:val="52BD6ACB"/>
    <w:rsid w:val="52EC6E19"/>
    <w:rsid w:val="538B4884"/>
    <w:rsid w:val="54216F96"/>
    <w:rsid w:val="55537534"/>
    <w:rsid w:val="555E38D2"/>
    <w:rsid w:val="55BD4A9D"/>
    <w:rsid w:val="56130B60"/>
    <w:rsid w:val="561A74F1"/>
    <w:rsid w:val="56BC2FA6"/>
    <w:rsid w:val="56BC6B02"/>
    <w:rsid w:val="583368D7"/>
    <w:rsid w:val="586C6306"/>
    <w:rsid w:val="597244E8"/>
    <w:rsid w:val="59F44805"/>
    <w:rsid w:val="5B386973"/>
    <w:rsid w:val="5B8F0C89"/>
    <w:rsid w:val="5BCC5A39"/>
    <w:rsid w:val="5C3655A9"/>
    <w:rsid w:val="5C741C2D"/>
    <w:rsid w:val="5C91458D"/>
    <w:rsid w:val="5D467A6D"/>
    <w:rsid w:val="5D9A5934"/>
    <w:rsid w:val="5EB71C30"/>
    <w:rsid w:val="5FBB029F"/>
    <w:rsid w:val="609805E0"/>
    <w:rsid w:val="609A4358"/>
    <w:rsid w:val="61734BA9"/>
    <w:rsid w:val="61A46B11"/>
    <w:rsid w:val="61D70C94"/>
    <w:rsid w:val="62CF4061"/>
    <w:rsid w:val="631303F2"/>
    <w:rsid w:val="6367429A"/>
    <w:rsid w:val="637C5F97"/>
    <w:rsid w:val="64B13A1E"/>
    <w:rsid w:val="64DB0A9B"/>
    <w:rsid w:val="665F56FC"/>
    <w:rsid w:val="66AF0CE5"/>
    <w:rsid w:val="67825B46"/>
    <w:rsid w:val="68AA0EB0"/>
    <w:rsid w:val="68D979E8"/>
    <w:rsid w:val="68E5013A"/>
    <w:rsid w:val="69A27DD9"/>
    <w:rsid w:val="6AC537CF"/>
    <w:rsid w:val="6AEA5EDC"/>
    <w:rsid w:val="6B916358"/>
    <w:rsid w:val="6C303DC2"/>
    <w:rsid w:val="6C4952B3"/>
    <w:rsid w:val="6C5D448C"/>
    <w:rsid w:val="6CF90658"/>
    <w:rsid w:val="6D82064E"/>
    <w:rsid w:val="6DDD3AD6"/>
    <w:rsid w:val="6E1E7EE9"/>
    <w:rsid w:val="6E361438"/>
    <w:rsid w:val="6E5B14A6"/>
    <w:rsid w:val="6E7F2DDF"/>
    <w:rsid w:val="6E8D72AA"/>
    <w:rsid w:val="6E906D9A"/>
    <w:rsid w:val="6ECF78C3"/>
    <w:rsid w:val="6FFE1AE2"/>
    <w:rsid w:val="702459EC"/>
    <w:rsid w:val="70E909E4"/>
    <w:rsid w:val="711B255E"/>
    <w:rsid w:val="726227FC"/>
    <w:rsid w:val="73467A28"/>
    <w:rsid w:val="73C848E1"/>
    <w:rsid w:val="741B5358"/>
    <w:rsid w:val="75B25848"/>
    <w:rsid w:val="76AE24B4"/>
    <w:rsid w:val="76F123A0"/>
    <w:rsid w:val="78434E7D"/>
    <w:rsid w:val="78D67AA0"/>
    <w:rsid w:val="79052133"/>
    <w:rsid w:val="790F6B0E"/>
    <w:rsid w:val="797D43BF"/>
    <w:rsid w:val="79E85CDC"/>
    <w:rsid w:val="7A462A03"/>
    <w:rsid w:val="7AE2097E"/>
    <w:rsid w:val="7B87474E"/>
    <w:rsid w:val="7BB51E06"/>
    <w:rsid w:val="7C264FA8"/>
    <w:rsid w:val="7C387F7C"/>
    <w:rsid w:val="7CD10CAA"/>
    <w:rsid w:val="7D52346D"/>
    <w:rsid w:val="7D752C5B"/>
    <w:rsid w:val="7DF509C8"/>
    <w:rsid w:val="7DFD5ACF"/>
    <w:rsid w:val="7F005876"/>
    <w:rsid w:val="7F840255"/>
    <w:rsid w:val="7FE231CE"/>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96</Words>
  <Characters>550</Characters>
  <Lines>4</Lines>
  <Paragraphs>1</Paragraphs>
  <TotalTime>0</TotalTime>
  <ScaleCrop>false</ScaleCrop>
  <LinksUpToDate>false</LinksUpToDate>
  <CharactersWithSpaces>645</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2025-03-31T02:05:54Z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96934721B1514D3FBAA28020338CE855_12</vt:lpwstr>
  </property>
</Properties>
</file>