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2025年部门预算信息公开目录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11</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14</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15</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16</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21</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22</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30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31</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32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321石家庄市鹿泉区投资促进局</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1194.31</w:t>
            </w:r>
          </w:p>
        </w:tc>
        <w:tc>
          <w:tcPr>
            <w:tcW w:w="4535" w:type="dxa"/>
            <w:vAlign w:val="center"/>
          </w:tcPr>
          <w:p>
            <w:pPr>
              <w:pStyle w:val="13"/>
            </w:pPr>
            <w:r>
              <w:t>一、一般公共服务支出</w:t>
            </w:r>
          </w:p>
        </w:tc>
        <w:tc>
          <w:tcPr>
            <w:tcW w:w="2126" w:type="dxa"/>
            <w:vAlign w:val="center"/>
          </w:tcPr>
          <w:p>
            <w:pPr>
              <w:pStyle w:val="12"/>
            </w:pPr>
            <w:r>
              <w:t>1012.29</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300.00</w:t>
            </w: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r>
              <w:t>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37.21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28.88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35.92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1494.31</w:t>
            </w:r>
          </w:p>
        </w:tc>
        <w:tc>
          <w:tcPr>
            <w:tcW w:w="4535" w:type="dxa"/>
            <w:vAlign w:val="center"/>
          </w:tcPr>
          <w:p>
            <w:pPr>
              <w:pStyle w:val="15"/>
            </w:pPr>
            <w:r>
              <w:t>本年支出合计</w:t>
            </w:r>
          </w:p>
        </w:tc>
        <w:tc>
          <w:tcPr>
            <w:tcW w:w="2126" w:type="dxa"/>
            <w:vAlign w:val="center"/>
          </w:tcPr>
          <w:p>
            <w:pPr>
              <w:pStyle w:val="16"/>
            </w:pPr>
            <w:r>
              <w:t>1494.31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1494.31</w:t>
            </w:r>
          </w:p>
        </w:tc>
        <w:tc>
          <w:tcPr>
            <w:tcW w:w="4535" w:type="dxa"/>
            <w:vAlign w:val="center"/>
          </w:tcPr>
          <w:p>
            <w:pPr>
              <w:pStyle w:val="15"/>
            </w:pPr>
            <w:r>
              <w:t>支出总计</w:t>
            </w:r>
          </w:p>
        </w:tc>
        <w:tc>
          <w:tcPr>
            <w:tcW w:w="2126" w:type="dxa"/>
            <w:vAlign w:val="center"/>
          </w:tcPr>
          <w:p>
            <w:pPr>
              <w:pStyle w:val="16"/>
            </w:pPr>
            <w:r>
              <w:t>1494.31</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321石家庄市鹿泉区投资促进局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1494.31</w:t>
            </w:r>
          </w:p>
        </w:tc>
        <w:tc>
          <w:tcPr>
            <w:tcW w:w="1134" w:type="dxa"/>
            <w:vAlign w:val="center"/>
          </w:tcPr>
          <w:p>
            <w:pPr>
              <w:pStyle w:val="16"/>
            </w:pPr>
            <w:r>
              <w:t>1494.31</w:t>
            </w:r>
          </w:p>
        </w:tc>
        <w:tc>
          <w:tcPr>
            <w:tcW w:w="1134" w:type="dxa"/>
            <w:vAlign w:val="center"/>
          </w:tcPr>
          <w:p>
            <w:pPr>
              <w:pStyle w:val="16"/>
            </w:pPr>
            <w:r>
              <w:t>1494.31</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1012.29</w:t>
            </w:r>
          </w:p>
        </w:tc>
        <w:tc>
          <w:tcPr>
            <w:tcW w:w="1134" w:type="dxa"/>
            <w:vAlign w:val="center"/>
          </w:tcPr>
          <w:p>
            <w:pPr>
              <w:pStyle w:val="12"/>
            </w:pPr>
            <w:r>
              <w:t>1012.29</w:t>
            </w:r>
          </w:p>
        </w:tc>
        <w:tc>
          <w:tcPr>
            <w:tcW w:w="1134" w:type="dxa"/>
            <w:vAlign w:val="center"/>
          </w:tcPr>
          <w:p>
            <w:pPr>
              <w:pStyle w:val="12"/>
            </w:pPr>
            <w:r>
              <w:t>1012.29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20113</w:t>
            </w:r>
          </w:p>
        </w:tc>
        <w:tc>
          <w:tcPr>
            <w:tcW w:w="1559" w:type="dxa"/>
            <w:vAlign w:val="center"/>
          </w:tcPr>
          <w:p>
            <w:pPr>
              <w:pStyle w:val="13"/>
            </w:pPr>
            <w:r>
              <w:t>商贸事务</w:t>
            </w:r>
          </w:p>
        </w:tc>
        <w:tc>
          <w:tcPr>
            <w:tcW w:w="1134" w:type="dxa"/>
            <w:vAlign w:val="center"/>
          </w:tcPr>
          <w:p>
            <w:pPr>
              <w:pStyle w:val="12"/>
            </w:pPr>
            <w:r>
              <w:t>1002.29</w:t>
            </w:r>
          </w:p>
        </w:tc>
        <w:tc>
          <w:tcPr>
            <w:tcW w:w="1134" w:type="dxa"/>
            <w:vAlign w:val="center"/>
          </w:tcPr>
          <w:p>
            <w:pPr>
              <w:pStyle w:val="12"/>
            </w:pPr>
            <w:r>
              <w:t>1002.29</w:t>
            </w:r>
          </w:p>
        </w:tc>
        <w:tc>
          <w:tcPr>
            <w:tcW w:w="1134" w:type="dxa"/>
            <w:vAlign w:val="center"/>
          </w:tcPr>
          <w:p>
            <w:pPr>
              <w:pStyle w:val="12"/>
            </w:pPr>
            <w:r>
              <w:t>1002.29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2011301</w:t>
            </w:r>
          </w:p>
        </w:tc>
        <w:tc>
          <w:tcPr>
            <w:tcW w:w="1559" w:type="dxa"/>
            <w:vAlign w:val="center"/>
          </w:tcPr>
          <w:p>
            <w:pPr>
              <w:pStyle w:val="13"/>
            </w:pPr>
            <w:r>
              <w:t>行政运行</w:t>
            </w:r>
          </w:p>
        </w:tc>
        <w:tc>
          <w:tcPr>
            <w:tcW w:w="1134" w:type="dxa"/>
            <w:vAlign w:val="center"/>
          </w:tcPr>
          <w:p>
            <w:pPr>
              <w:pStyle w:val="12"/>
            </w:pPr>
            <w:r>
              <w:t>362.29</w:t>
            </w:r>
          </w:p>
        </w:tc>
        <w:tc>
          <w:tcPr>
            <w:tcW w:w="1134" w:type="dxa"/>
            <w:vAlign w:val="center"/>
          </w:tcPr>
          <w:p>
            <w:pPr>
              <w:pStyle w:val="12"/>
            </w:pPr>
            <w:r>
              <w:t>362.29</w:t>
            </w:r>
          </w:p>
        </w:tc>
        <w:tc>
          <w:tcPr>
            <w:tcW w:w="1134" w:type="dxa"/>
            <w:vAlign w:val="center"/>
          </w:tcPr>
          <w:p>
            <w:pPr>
              <w:pStyle w:val="12"/>
            </w:pPr>
            <w:r>
              <w:t>362.29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2011302</w:t>
            </w:r>
          </w:p>
        </w:tc>
        <w:tc>
          <w:tcPr>
            <w:tcW w:w="1559" w:type="dxa"/>
            <w:vAlign w:val="center"/>
          </w:tcPr>
          <w:p>
            <w:pPr>
              <w:pStyle w:val="13"/>
            </w:pPr>
            <w:r>
              <w:t>一般行政管理事务</w:t>
            </w:r>
          </w:p>
        </w:tc>
        <w:tc>
          <w:tcPr>
            <w:tcW w:w="1134" w:type="dxa"/>
            <w:vAlign w:val="center"/>
          </w:tcPr>
          <w:p>
            <w:pPr>
              <w:pStyle w:val="12"/>
            </w:pPr>
            <w:r>
              <w:t>140.00</w:t>
            </w:r>
          </w:p>
        </w:tc>
        <w:tc>
          <w:tcPr>
            <w:tcW w:w="1134" w:type="dxa"/>
            <w:vAlign w:val="center"/>
          </w:tcPr>
          <w:p>
            <w:pPr>
              <w:pStyle w:val="12"/>
            </w:pPr>
            <w:r>
              <w:t>140.00</w:t>
            </w:r>
          </w:p>
        </w:tc>
        <w:tc>
          <w:tcPr>
            <w:tcW w:w="1134" w:type="dxa"/>
            <w:vAlign w:val="center"/>
          </w:tcPr>
          <w:p>
            <w:pPr>
              <w:pStyle w:val="12"/>
            </w:pPr>
            <w:r>
              <w:t>140.00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2011308</w:t>
            </w:r>
          </w:p>
        </w:tc>
        <w:tc>
          <w:tcPr>
            <w:tcW w:w="1559" w:type="dxa"/>
            <w:vAlign w:val="center"/>
          </w:tcPr>
          <w:p>
            <w:pPr>
              <w:pStyle w:val="13"/>
            </w:pPr>
            <w:r>
              <w:t>招商引资</w:t>
            </w:r>
          </w:p>
        </w:tc>
        <w:tc>
          <w:tcPr>
            <w:tcW w:w="1134" w:type="dxa"/>
            <w:vAlign w:val="center"/>
          </w:tcPr>
          <w:p>
            <w:pPr>
              <w:pStyle w:val="12"/>
            </w:pPr>
            <w:r>
              <w:t>500.00</w:t>
            </w:r>
          </w:p>
        </w:tc>
        <w:tc>
          <w:tcPr>
            <w:tcW w:w="1134" w:type="dxa"/>
            <w:vAlign w:val="center"/>
          </w:tcPr>
          <w:p>
            <w:pPr>
              <w:pStyle w:val="12"/>
            </w:pPr>
            <w:r>
              <w:t>500.00</w:t>
            </w:r>
          </w:p>
        </w:tc>
        <w:tc>
          <w:tcPr>
            <w:tcW w:w="1134" w:type="dxa"/>
            <w:vAlign w:val="center"/>
          </w:tcPr>
          <w:p>
            <w:pPr>
              <w:pStyle w:val="12"/>
            </w:pPr>
            <w:r>
              <w:t>500.00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20199</w:t>
            </w:r>
          </w:p>
        </w:tc>
        <w:tc>
          <w:tcPr>
            <w:tcW w:w="1559" w:type="dxa"/>
            <w:vAlign w:val="center"/>
          </w:tcPr>
          <w:p>
            <w:pPr>
              <w:pStyle w:val="13"/>
            </w:pPr>
            <w:r>
              <w:t>其他一般公共服务支出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2019999</w:t>
            </w:r>
          </w:p>
        </w:tc>
        <w:tc>
          <w:tcPr>
            <w:tcW w:w="1559" w:type="dxa"/>
            <w:vAlign w:val="center"/>
          </w:tcPr>
          <w:p>
            <w:pPr>
              <w:pStyle w:val="13"/>
            </w:pPr>
            <w:r>
              <w:t>其他一般公共服务支出</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r>
              <w:t>10.00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206</w:t>
            </w:r>
          </w:p>
        </w:tc>
        <w:tc>
          <w:tcPr>
            <w:tcW w:w="1559" w:type="dxa"/>
            <w:vAlign w:val="center"/>
          </w:tcPr>
          <w:p>
            <w:pPr>
              <w:pStyle w:val="13"/>
            </w:pPr>
            <w:r>
              <w:t>科学技术支出</w:t>
            </w:r>
          </w:p>
        </w:tc>
        <w:tc>
          <w:tcPr>
            <w:tcW w:w="1134" w:type="dxa"/>
            <w:vAlign w:val="center"/>
          </w:tcPr>
          <w:p>
            <w:pPr>
              <w:pStyle w:val="12"/>
            </w:pPr>
            <w:r>
              <w:t>80.00</w:t>
            </w:r>
          </w:p>
        </w:tc>
        <w:tc>
          <w:tcPr>
            <w:tcW w:w="1134" w:type="dxa"/>
            <w:vAlign w:val="center"/>
          </w:tcPr>
          <w:p>
            <w:pPr>
              <w:pStyle w:val="12"/>
            </w:pPr>
            <w:r>
              <w:t>80.00</w:t>
            </w:r>
          </w:p>
        </w:tc>
        <w:tc>
          <w:tcPr>
            <w:tcW w:w="1134" w:type="dxa"/>
            <w:vAlign w:val="center"/>
          </w:tcPr>
          <w:p>
            <w:pPr>
              <w:pStyle w:val="12"/>
            </w:pPr>
            <w:r>
              <w:t>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20604</w:t>
            </w:r>
          </w:p>
        </w:tc>
        <w:tc>
          <w:tcPr>
            <w:tcW w:w="1559" w:type="dxa"/>
            <w:vAlign w:val="center"/>
          </w:tcPr>
          <w:p>
            <w:pPr>
              <w:pStyle w:val="13"/>
            </w:pPr>
            <w:r>
              <w:t>技术研究与开发</w:t>
            </w:r>
          </w:p>
        </w:tc>
        <w:tc>
          <w:tcPr>
            <w:tcW w:w="1134" w:type="dxa"/>
            <w:vAlign w:val="center"/>
          </w:tcPr>
          <w:p>
            <w:pPr>
              <w:pStyle w:val="12"/>
            </w:pPr>
            <w:r>
              <w:t>80.00</w:t>
            </w:r>
          </w:p>
        </w:tc>
        <w:tc>
          <w:tcPr>
            <w:tcW w:w="1134" w:type="dxa"/>
            <w:vAlign w:val="center"/>
          </w:tcPr>
          <w:p>
            <w:pPr>
              <w:pStyle w:val="12"/>
            </w:pPr>
            <w:r>
              <w:t>80.00</w:t>
            </w:r>
          </w:p>
        </w:tc>
        <w:tc>
          <w:tcPr>
            <w:tcW w:w="1134" w:type="dxa"/>
            <w:vAlign w:val="center"/>
          </w:tcPr>
          <w:p>
            <w:pPr>
              <w:pStyle w:val="12"/>
            </w:pPr>
            <w:r>
              <w:t>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2060499</w:t>
            </w:r>
          </w:p>
        </w:tc>
        <w:tc>
          <w:tcPr>
            <w:tcW w:w="1559" w:type="dxa"/>
            <w:vAlign w:val="center"/>
          </w:tcPr>
          <w:p>
            <w:pPr>
              <w:pStyle w:val="13"/>
            </w:pPr>
            <w:r>
              <w:t>其他技术研究与开发支出</w:t>
            </w:r>
          </w:p>
        </w:tc>
        <w:tc>
          <w:tcPr>
            <w:tcW w:w="1134" w:type="dxa"/>
            <w:vAlign w:val="center"/>
          </w:tcPr>
          <w:p>
            <w:pPr>
              <w:pStyle w:val="12"/>
            </w:pPr>
            <w:r>
              <w:t>80.00</w:t>
            </w:r>
          </w:p>
        </w:tc>
        <w:tc>
          <w:tcPr>
            <w:tcW w:w="1134" w:type="dxa"/>
            <w:vAlign w:val="center"/>
          </w:tcPr>
          <w:p>
            <w:pPr>
              <w:pStyle w:val="12"/>
            </w:pPr>
            <w:r>
              <w:t>80.00</w:t>
            </w:r>
          </w:p>
        </w:tc>
        <w:tc>
          <w:tcPr>
            <w:tcW w:w="1134" w:type="dxa"/>
            <w:vAlign w:val="center"/>
          </w:tcPr>
          <w:p>
            <w:pPr>
              <w:pStyle w:val="12"/>
            </w:pPr>
            <w:r>
              <w:t>80.00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37.21</w:t>
            </w:r>
          </w:p>
        </w:tc>
        <w:tc>
          <w:tcPr>
            <w:tcW w:w="1134" w:type="dxa"/>
            <w:vAlign w:val="center"/>
          </w:tcPr>
          <w:p>
            <w:pPr>
              <w:pStyle w:val="12"/>
            </w:pPr>
            <w:r>
              <w:t>37.21</w:t>
            </w:r>
          </w:p>
        </w:tc>
        <w:tc>
          <w:tcPr>
            <w:tcW w:w="1134" w:type="dxa"/>
            <w:vAlign w:val="center"/>
          </w:tcPr>
          <w:p>
            <w:pPr>
              <w:pStyle w:val="12"/>
            </w:pPr>
            <w:r>
              <w:t>37.21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37.21</w:t>
            </w:r>
          </w:p>
        </w:tc>
        <w:tc>
          <w:tcPr>
            <w:tcW w:w="1134" w:type="dxa"/>
            <w:vAlign w:val="center"/>
          </w:tcPr>
          <w:p>
            <w:pPr>
              <w:pStyle w:val="12"/>
            </w:pPr>
            <w:r>
              <w:t>37.21</w:t>
            </w:r>
          </w:p>
        </w:tc>
        <w:tc>
          <w:tcPr>
            <w:tcW w:w="1134" w:type="dxa"/>
            <w:vAlign w:val="center"/>
          </w:tcPr>
          <w:p>
            <w:pPr>
              <w:pStyle w:val="12"/>
            </w:pPr>
            <w:r>
              <w:t>37.21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37.21</w:t>
            </w:r>
          </w:p>
        </w:tc>
        <w:tc>
          <w:tcPr>
            <w:tcW w:w="1134" w:type="dxa"/>
            <w:vAlign w:val="center"/>
          </w:tcPr>
          <w:p>
            <w:pPr>
              <w:pStyle w:val="12"/>
            </w:pPr>
            <w:r>
              <w:t>37.21</w:t>
            </w:r>
          </w:p>
        </w:tc>
        <w:tc>
          <w:tcPr>
            <w:tcW w:w="1134" w:type="dxa"/>
            <w:vAlign w:val="center"/>
          </w:tcPr>
          <w:p>
            <w:pPr>
              <w:pStyle w:val="12"/>
            </w:pPr>
            <w:r>
              <w:t>37.21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28.88</w:t>
            </w:r>
          </w:p>
        </w:tc>
        <w:tc>
          <w:tcPr>
            <w:tcW w:w="1134" w:type="dxa"/>
            <w:vAlign w:val="center"/>
          </w:tcPr>
          <w:p>
            <w:pPr>
              <w:pStyle w:val="12"/>
            </w:pPr>
            <w:r>
              <w:t>28.88</w:t>
            </w:r>
          </w:p>
        </w:tc>
        <w:tc>
          <w:tcPr>
            <w:tcW w:w="1134" w:type="dxa"/>
            <w:vAlign w:val="center"/>
          </w:tcPr>
          <w:p>
            <w:pPr>
              <w:pStyle w:val="12"/>
            </w:pPr>
            <w:r>
              <w:t>28.88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28.88</w:t>
            </w:r>
          </w:p>
        </w:tc>
        <w:tc>
          <w:tcPr>
            <w:tcW w:w="1134" w:type="dxa"/>
            <w:vAlign w:val="center"/>
          </w:tcPr>
          <w:p>
            <w:pPr>
              <w:pStyle w:val="12"/>
            </w:pPr>
            <w:r>
              <w:t>28.88</w:t>
            </w:r>
          </w:p>
        </w:tc>
        <w:tc>
          <w:tcPr>
            <w:tcW w:w="1134" w:type="dxa"/>
            <w:vAlign w:val="center"/>
          </w:tcPr>
          <w:p>
            <w:pPr>
              <w:pStyle w:val="12"/>
            </w:pPr>
            <w:r>
              <w:t>28.88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28.88</w:t>
            </w:r>
          </w:p>
        </w:tc>
        <w:tc>
          <w:tcPr>
            <w:tcW w:w="1134" w:type="dxa"/>
            <w:vAlign w:val="center"/>
          </w:tcPr>
          <w:p>
            <w:pPr>
              <w:pStyle w:val="12"/>
            </w:pPr>
            <w:r>
              <w:t>28.88</w:t>
            </w:r>
          </w:p>
        </w:tc>
        <w:tc>
          <w:tcPr>
            <w:tcW w:w="1134" w:type="dxa"/>
            <w:vAlign w:val="center"/>
          </w:tcPr>
          <w:p>
            <w:pPr>
              <w:pStyle w:val="12"/>
            </w:pPr>
            <w:r>
              <w:t>28.88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2120899</w:t>
            </w:r>
          </w:p>
        </w:tc>
        <w:tc>
          <w:tcPr>
            <w:tcW w:w="1559" w:type="dxa"/>
            <w:vAlign w:val="center"/>
          </w:tcPr>
          <w:p>
            <w:pPr>
              <w:pStyle w:val="13"/>
            </w:pPr>
            <w:r>
              <w:t>其他国有土地使用权出让收入安排的支出</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r>
              <w:t>300.00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35.92</w:t>
            </w:r>
          </w:p>
        </w:tc>
        <w:tc>
          <w:tcPr>
            <w:tcW w:w="1134" w:type="dxa"/>
            <w:vAlign w:val="center"/>
          </w:tcPr>
          <w:p>
            <w:pPr>
              <w:pStyle w:val="12"/>
            </w:pPr>
            <w:r>
              <w:t>35.92</w:t>
            </w:r>
          </w:p>
        </w:tc>
        <w:tc>
          <w:tcPr>
            <w:tcW w:w="1134" w:type="dxa"/>
            <w:vAlign w:val="center"/>
          </w:tcPr>
          <w:p>
            <w:pPr>
              <w:pStyle w:val="12"/>
            </w:pPr>
            <w:r>
              <w:t>35.92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35.92</w:t>
            </w:r>
          </w:p>
        </w:tc>
        <w:tc>
          <w:tcPr>
            <w:tcW w:w="1134" w:type="dxa"/>
            <w:vAlign w:val="center"/>
          </w:tcPr>
          <w:p>
            <w:pPr>
              <w:pStyle w:val="12"/>
            </w:pPr>
            <w:r>
              <w:t>35.92</w:t>
            </w:r>
          </w:p>
        </w:tc>
        <w:tc>
          <w:tcPr>
            <w:tcW w:w="1134" w:type="dxa"/>
            <w:vAlign w:val="center"/>
          </w:tcPr>
          <w:p>
            <w:pPr>
              <w:pStyle w:val="12"/>
            </w:pPr>
            <w:r>
              <w:t>35.92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35.92</w:t>
            </w:r>
          </w:p>
        </w:tc>
        <w:tc>
          <w:tcPr>
            <w:tcW w:w="1134" w:type="dxa"/>
            <w:vAlign w:val="center"/>
          </w:tcPr>
          <w:p>
            <w:pPr>
              <w:pStyle w:val="12"/>
            </w:pPr>
            <w:r>
              <w:t>35.92</w:t>
            </w:r>
          </w:p>
        </w:tc>
        <w:tc>
          <w:tcPr>
            <w:tcW w:w="1134" w:type="dxa"/>
            <w:vAlign w:val="center"/>
          </w:tcPr>
          <w:p>
            <w:pPr>
              <w:pStyle w:val="12"/>
            </w:pPr>
            <w:r>
              <w:t>35.92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321石家庄市鹿泉区投资促进局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1494.31</w:t>
            </w:r>
          </w:p>
        </w:tc>
        <w:tc>
          <w:tcPr>
            <w:tcW w:w="1361" w:type="dxa"/>
            <w:vAlign w:val="center"/>
          </w:tcPr>
          <w:p>
            <w:pPr>
              <w:pStyle w:val="16"/>
            </w:pPr>
            <w:r>
              <w:t>464.31</w:t>
            </w:r>
          </w:p>
        </w:tc>
        <w:tc>
          <w:tcPr>
            <w:tcW w:w="1361" w:type="dxa"/>
            <w:vAlign w:val="center"/>
          </w:tcPr>
          <w:p>
            <w:pPr>
              <w:pStyle w:val="16"/>
            </w:pPr>
            <w:r>
              <w:t>1030.00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1012.29</w:t>
            </w:r>
          </w:p>
        </w:tc>
        <w:tc>
          <w:tcPr>
            <w:tcW w:w="1361" w:type="dxa"/>
            <w:vAlign w:val="center"/>
          </w:tcPr>
          <w:p>
            <w:pPr>
              <w:pStyle w:val="12"/>
            </w:pPr>
            <w:r>
              <w:t>362.29</w:t>
            </w:r>
          </w:p>
        </w:tc>
        <w:tc>
          <w:tcPr>
            <w:tcW w:w="1361" w:type="dxa"/>
            <w:vAlign w:val="center"/>
          </w:tcPr>
          <w:p>
            <w:pPr>
              <w:pStyle w:val="12"/>
            </w:pPr>
            <w:r>
              <w:t>650.00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20113</w:t>
            </w:r>
          </w:p>
        </w:tc>
        <w:tc>
          <w:tcPr>
            <w:tcW w:w="4535" w:type="dxa"/>
            <w:vAlign w:val="center"/>
          </w:tcPr>
          <w:p>
            <w:pPr>
              <w:pStyle w:val="13"/>
            </w:pPr>
            <w:r>
              <w:t>商贸事务</w:t>
            </w:r>
          </w:p>
        </w:tc>
        <w:tc>
          <w:tcPr>
            <w:tcW w:w="1361" w:type="dxa"/>
            <w:vAlign w:val="center"/>
          </w:tcPr>
          <w:p>
            <w:pPr>
              <w:pStyle w:val="12"/>
            </w:pPr>
            <w:r>
              <w:t>1002.29</w:t>
            </w:r>
          </w:p>
        </w:tc>
        <w:tc>
          <w:tcPr>
            <w:tcW w:w="1361" w:type="dxa"/>
            <w:vAlign w:val="center"/>
          </w:tcPr>
          <w:p>
            <w:pPr>
              <w:pStyle w:val="12"/>
            </w:pPr>
            <w:r>
              <w:t>362.29</w:t>
            </w:r>
          </w:p>
        </w:tc>
        <w:tc>
          <w:tcPr>
            <w:tcW w:w="1361" w:type="dxa"/>
            <w:vAlign w:val="center"/>
          </w:tcPr>
          <w:p>
            <w:pPr>
              <w:pStyle w:val="12"/>
            </w:pPr>
            <w:r>
              <w:t>640.00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2011301</w:t>
            </w:r>
          </w:p>
        </w:tc>
        <w:tc>
          <w:tcPr>
            <w:tcW w:w="4535" w:type="dxa"/>
            <w:vAlign w:val="center"/>
          </w:tcPr>
          <w:p>
            <w:pPr>
              <w:pStyle w:val="13"/>
            </w:pPr>
            <w:r>
              <w:t>行政运行</w:t>
            </w:r>
          </w:p>
        </w:tc>
        <w:tc>
          <w:tcPr>
            <w:tcW w:w="1361" w:type="dxa"/>
            <w:vAlign w:val="center"/>
          </w:tcPr>
          <w:p>
            <w:pPr>
              <w:pStyle w:val="12"/>
            </w:pPr>
            <w:r>
              <w:t>362.29</w:t>
            </w:r>
          </w:p>
        </w:tc>
        <w:tc>
          <w:tcPr>
            <w:tcW w:w="1361" w:type="dxa"/>
            <w:vAlign w:val="center"/>
          </w:tcPr>
          <w:p>
            <w:pPr>
              <w:pStyle w:val="12"/>
            </w:pPr>
            <w:r>
              <w:t>362.29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2011302</w:t>
            </w:r>
          </w:p>
        </w:tc>
        <w:tc>
          <w:tcPr>
            <w:tcW w:w="4535" w:type="dxa"/>
            <w:vAlign w:val="center"/>
          </w:tcPr>
          <w:p>
            <w:pPr>
              <w:pStyle w:val="13"/>
            </w:pPr>
            <w:r>
              <w:t>一般行政管理事务</w:t>
            </w:r>
          </w:p>
        </w:tc>
        <w:tc>
          <w:tcPr>
            <w:tcW w:w="1361" w:type="dxa"/>
            <w:vAlign w:val="center"/>
          </w:tcPr>
          <w:p>
            <w:pPr>
              <w:pStyle w:val="12"/>
            </w:pPr>
            <w:r>
              <w:t>140.00</w:t>
            </w:r>
          </w:p>
        </w:tc>
        <w:tc>
          <w:tcPr>
            <w:tcW w:w="1361" w:type="dxa"/>
            <w:vAlign w:val="center"/>
          </w:tcPr>
          <w:p>
            <w:pPr>
              <w:pStyle w:val="12"/>
            </w:pPr>
          </w:p>
        </w:tc>
        <w:tc>
          <w:tcPr>
            <w:tcW w:w="1361" w:type="dxa"/>
            <w:vAlign w:val="center"/>
          </w:tcPr>
          <w:p>
            <w:pPr>
              <w:pStyle w:val="12"/>
            </w:pPr>
            <w:r>
              <w:t>140.00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2011308</w:t>
            </w:r>
          </w:p>
        </w:tc>
        <w:tc>
          <w:tcPr>
            <w:tcW w:w="4535" w:type="dxa"/>
            <w:vAlign w:val="center"/>
          </w:tcPr>
          <w:p>
            <w:pPr>
              <w:pStyle w:val="13"/>
            </w:pPr>
            <w:r>
              <w:t>招商引资</w:t>
            </w:r>
          </w:p>
        </w:tc>
        <w:tc>
          <w:tcPr>
            <w:tcW w:w="1361" w:type="dxa"/>
            <w:vAlign w:val="center"/>
          </w:tcPr>
          <w:p>
            <w:pPr>
              <w:pStyle w:val="12"/>
            </w:pPr>
            <w:r>
              <w:t>500.00</w:t>
            </w:r>
          </w:p>
        </w:tc>
        <w:tc>
          <w:tcPr>
            <w:tcW w:w="1361" w:type="dxa"/>
            <w:vAlign w:val="center"/>
          </w:tcPr>
          <w:p>
            <w:pPr>
              <w:pStyle w:val="12"/>
            </w:pPr>
          </w:p>
        </w:tc>
        <w:tc>
          <w:tcPr>
            <w:tcW w:w="1361" w:type="dxa"/>
            <w:vAlign w:val="center"/>
          </w:tcPr>
          <w:p>
            <w:pPr>
              <w:pStyle w:val="12"/>
            </w:pPr>
            <w:r>
              <w:t>500.00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20199</w:t>
            </w:r>
          </w:p>
        </w:tc>
        <w:tc>
          <w:tcPr>
            <w:tcW w:w="4535" w:type="dxa"/>
            <w:vAlign w:val="center"/>
          </w:tcPr>
          <w:p>
            <w:pPr>
              <w:pStyle w:val="13"/>
            </w:pPr>
            <w:r>
              <w:t>其他一般公共服务支出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2019999</w:t>
            </w:r>
          </w:p>
        </w:tc>
        <w:tc>
          <w:tcPr>
            <w:tcW w:w="4535" w:type="dxa"/>
            <w:vAlign w:val="center"/>
          </w:tcPr>
          <w:p>
            <w:pPr>
              <w:pStyle w:val="13"/>
            </w:pPr>
            <w:r>
              <w:t>其他一般公共服务支出</w:t>
            </w: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r>
              <w:t>10.00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206</w:t>
            </w:r>
          </w:p>
        </w:tc>
        <w:tc>
          <w:tcPr>
            <w:tcW w:w="4535" w:type="dxa"/>
            <w:vAlign w:val="center"/>
          </w:tcPr>
          <w:p>
            <w:pPr>
              <w:pStyle w:val="13"/>
            </w:pPr>
            <w:r>
              <w:t>科学技术支出</w:t>
            </w: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20604</w:t>
            </w:r>
          </w:p>
        </w:tc>
        <w:tc>
          <w:tcPr>
            <w:tcW w:w="4535" w:type="dxa"/>
            <w:vAlign w:val="center"/>
          </w:tcPr>
          <w:p>
            <w:pPr>
              <w:pStyle w:val="13"/>
            </w:pPr>
            <w:r>
              <w:t>技术研究与开发</w:t>
            </w: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2060499</w:t>
            </w:r>
          </w:p>
        </w:tc>
        <w:tc>
          <w:tcPr>
            <w:tcW w:w="4535" w:type="dxa"/>
            <w:vAlign w:val="center"/>
          </w:tcPr>
          <w:p>
            <w:pPr>
              <w:pStyle w:val="13"/>
            </w:pPr>
            <w:r>
              <w:t>其他技术研究与开发支出</w:t>
            </w: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r>
              <w:t>80.00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37.21</w:t>
            </w:r>
          </w:p>
        </w:tc>
        <w:tc>
          <w:tcPr>
            <w:tcW w:w="1361" w:type="dxa"/>
            <w:vAlign w:val="center"/>
          </w:tcPr>
          <w:p>
            <w:pPr>
              <w:pStyle w:val="12"/>
            </w:pPr>
            <w:r>
              <w:t>37.21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37.21</w:t>
            </w:r>
          </w:p>
        </w:tc>
        <w:tc>
          <w:tcPr>
            <w:tcW w:w="1361" w:type="dxa"/>
            <w:vAlign w:val="center"/>
          </w:tcPr>
          <w:p>
            <w:pPr>
              <w:pStyle w:val="12"/>
            </w:pPr>
            <w:r>
              <w:t>37.21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37.21</w:t>
            </w:r>
          </w:p>
        </w:tc>
        <w:tc>
          <w:tcPr>
            <w:tcW w:w="1361" w:type="dxa"/>
            <w:vAlign w:val="center"/>
          </w:tcPr>
          <w:p>
            <w:pPr>
              <w:pStyle w:val="12"/>
            </w:pPr>
            <w:r>
              <w:t>37.21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28.88</w:t>
            </w:r>
          </w:p>
        </w:tc>
        <w:tc>
          <w:tcPr>
            <w:tcW w:w="1361" w:type="dxa"/>
            <w:vAlign w:val="center"/>
          </w:tcPr>
          <w:p>
            <w:pPr>
              <w:pStyle w:val="12"/>
            </w:pPr>
            <w:r>
              <w:t>28.88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28.88</w:t>
            </w:r>
          </w:p>
        </w:tc>
        <w:tc>
          <w:tcPr>
            <w:tcW w:w="1361" w:type="dxa"/>
            <w:vAlign w:val="center"/>
          </w:tcPr>
          <w:p>
            <w:pPr>
              <w:pStyle w:val="12"/>
            </w:pPr>
            <w:r>
              <w:t>28.88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28.88</w:t>
            </w:r>
          </w:p>
        </w:tc>
        <w:tc>
          <w:tcPr>
            <w:tcW w:w="1361" w:type="dxa"/>
            <w:vAlign w:val="center"/>
          </w:tcPr>
          <w:p>
            <w:pPr>
              <w:pStyle w:val="12"/>
            </w:pPr>
            <w:r>
              <w:t>28.88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2120899</w:t>
            </w:r>
          </w:p>
        </w:tc>
        <w:tc>
          <w:tcPr>
            <w:tcW w:w="4535" w:type="dxa"/>
            <w:vAlign w:val="center"/>
          </w:tcPr>
          <w:p>
            <w:pPr>
              <w:pStyle w:val="13"/>
            </w:pPr>
            <w:r>
              <w:t>其他国有土地使用权出让收入安排的支出</w:t>
            </w: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r>
              <w:t>300.00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35.92</w:t>
            </w:r>
          </w:p>
        </w:tc>
        <w:tc>
          <w:tcPr>
            <w:tcW w:w="1361" w:type="dxa"/>
            <w:vAlign w:val="center"/>
          </w:tcPr>
          <w:p>
            <w:pPr>
              <w:pStyle w:val="12"/>
            </w:pPr>
            <w:r>
              <w:t>35.92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35.92</w:t>
            </w:r>
          </w:p>
        </w:tc>
        <w:tc>
          <w:tcPr>
            <w:tcW w:w="1361" w:type="dxa"/>
            <w:vAlign w:val="center"/>
          </w:tcPr>
          <w:p>
            <w:pPr>
              <w:pStyle w:val="12"/>
            </w:pPr>
            <w:r>
              <w:t>35.92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35.92</w:t>
            </w:r>
          </w:p>
        </w:tc>
        <w:tc>
          <w:tcPr>
            <w:tcW w:w="1361" w:type="dxa"/>
            <w:vAlign w:val="center"/>
          </w:tcPr>
          <w:p>
            <w:pPr>
              <w:pStyle w:val="12"/>
            </w:pPr>
            <w:r>
              <w:t>35.92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321石家庄市鹿泉区投资促进局</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1194.31</w:t>
            </w:r>
          </w:p>
        </w:tc>
        <w:tc>
          <w:tcPr>
            <w:tcW w:w="3402" w:type="dxa"/>
            <w:vAlign w:val="center"/>
          </w:tcPr>
          <w:p>
            <w:pPr>
              <w:pStyle w:val="13"/>
            </w:pPr>
            <w:r>
              <w:t>一、一般公共服务支出</w:t>
            </w:r>
          </w:p>
        </w:tc>
        <w:tc>
          <w:tcPr>
            <w:tcW w:w="1474" w:type="dxa"/>
            <w:vAlign w:val="center"/>
          </w:tcPr>
          <w:p>
            <w:pPr>
              <w:pStyle w:val="12"/>
            </w:pPr>
            <w:r>
              <w:t>1012.29</w:t>
            </w:r>
          </w:p>
        </w:tc>
        <w:tc>
          <w:tcPr>
            <w:tcW w:w="1474" w:type="dxa"/>
            <w:vAlign w:val="center"/>
          </w:tcPr>
          <w:p>
            <w:pPr>
              <w:pStyle w:val="12"/>
            </w:pPr>
            <w:r>
              <w:t>1012.29</w:t>
            </w: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300.00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r>
              <w:t>80.00</w:t>
            </w:r>
          </w:p>
        </w:tc>
        <w:tc>
          <w:tcPr>
            <w:tcW w:w="1474" w:type="dxa"/>
            <w:vAlign w:val="center"/>
          </w:tcPr>
          <w:p>
            <w:pPr>
              <w:pStyle w:val="12"/>
            </w:pPr>
            <w:r>
              <w:t>80.00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37.21</w:t>
            </w:r>
          </w:p>
        </w:tc>
        <w:tc>
          <w:tcPr>
            <w:tcW w:w="1474" w:type="dxa"/>
            <w:vAlign w:val="center"/>
          </w:tcPr>
          <w:p>
            <w:pPr>
              <w:pStyle w:val="12"/>
            </w:pPr>
            <w:r>
              <w:t>37.21</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28.88</w:t>
            </w:r>
          </w:p>
        </w:tc>
        <w:tc>
          <w:tcPr>
            <w:tcW w:w="1474" w:type="dxa"/>
            <w:vAlign w:val="center"/>
          </w:tcPr>
          <w:p>
            <w:pPr>
              <w:pStyle w:val="12"/>
            </w:pPr>
            <w:r>
              <w:t>28.88</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300.00</w:t>
            </w:r>
          </w:p>
        </w:tc>
        <w:tc>
          <w:tcPr>
            <w:tcW w:w="1474" w:type="dxa"/>
            <w:vAlign w:val="center"/>
          </w:tcPr>
          <w:p>
            <w:pPr>
              <w:pStyle w:val="12"/>
            </w:pPr>
          </w:p>
        </w:tc>
        <w:tc>
          <w:tcPr>
            <w:tcW w:w="1474" w:type="dxa"/>
            <w:vAlign w:val="center"/>
          </w:tcPr>
          <w:p>
            <w:pPr>
              <w:pStyle w:val="12"/>
            </w:pPr>
            <w:r>
              <w:t>300.00</w:t>
            </w: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35.92</w:t>
            </w:r>
          </w:p>
        </w:tc>
        <w:tc>
          <w:tcPr>
            <w:tcW w:w="1474" w:type="dxa"/>
            <w:vAlign w:val="center"/>
          </w:tcPr>
          <w:p>
            <w:pPr>
              <w:pStyle w:val="12"/>
            </w:pPr>
            <w:r>
              <w:t>35.92</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1494.31</w:t>
            </w:r>
          </w:p>
        </w:tc>
        <w:tc>
          <w:tcPr>
            <w:tcW w:w="3402" w:type="dxa"/>
            <w:vAlign w:val="center"/>
          </w:tcPr>
          <w:p>
            <w:pPr>
              <w:pStyle w:val="15"/>
            </w:pPr>
            <w:r>
              <w:t>本年支出合计</w:t>
            </w:r>
          </w:p>
        </w:tc>
        <w:tc>
          <w:tcPr>
            <w:tcW w:w="1474" w:type="dxa"/>
            <w:vAlign w:val="center"/>
          </w:tcPr>
          <w:p>
            <w:pPr>
              <w:pStyle w:val="16"/>
            </w:pPr>
            <w:r>
              <w:t>1494.31</w:t>
            </w:r>
          </w:p>
        </w:tc>
        <w:tc>
          <w:tcPr>
            <w:tcW w:w="1474" w:type="dxa"/>
            <w:vAlign w:val="center"/>
          </w:tcPr>
          <w:p>
            <w:pPr>
              <w:pStyle w:val="16"/>
            </w:pPr>
            <w:r>
              <w:t>1194.31</w:t>
            </w:r>
          </w:p>
        </w:tc>
        <w:tc>
          <w:tcPr>
            <w:tcW w:w="1474" w:type="dxa"/>
            <w:vAlign w:val="center"/>
          </w:tcPr>
          <w:p>
            <w:pPr>
              <w:pStyle w:val="16"/>
            </w:pPr>
            <w:r>
              <w:t>300.00</w:t>
            </w:r>
          </w:p>
        </w:tc>
        <w:tc>
          <w:tcPr>
            <w:tcW w:w="1474" w:type="dxa"/>
            <w:vAlign w:val="center"/>
          </w:tcPr>
          <w:p>
            <w:pPr>
              <w:pStyle w:val="16"/>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1494.31</w:t>
            </w:r>
          </w:p>
        </w:tc>
        <w:tc>
          <w:tcPr>
            <w:tcW w:w="3402" w:type="dxa"/>
            <w:vAlign w:val="center"/>
          </w:tcPr>
          <w:p>
            <w:pPr>
              <w:pStyle w:val="15"/>
            </w:pPr>
            <w:r>
              <w:t>支出总计</w:t>
            </w:r>
          </w:p>
        </w:tc>
        <w:tc>
          <w:tcPr>
            <w:tcW w:w="1474" w:type="dxa"/>
            <w:vAlign w:val="center"/>
          </w:tcPr>
          <w:p>
            <w:pPr>
              <w:pStyle w:val="16"/>
            </w:pPr>
            <w:r>
              <w:t>1494.31</w:t>
            </w:r>
          </w:p>
        </w:tc>
        <w:tc>
          <w:tcPr>
            <w:tcW w:w="1474" w:type="dxa"/>
            <w:vAlign w:val="center"/>
          </w:tcPr>
          <w:p>
            <w:pPr>
              <w:pStyle w:val="16"/>
            </w:pPr>
            <w:r>
              <w:t>1194.31</w:t>
            </w:r>
          </w:p>
        </w:tc>
        <w:tc>
          <w:tcPr>
            <w:tcW w:w="1474" w:type="dxa"/>
            <w:vAlign w:val="center"/>
          </w:tcPr>
          <w:p>
            <w:pPr>
              <w:pStyle w:val="16"/>
            </w:pPr>
            <w:r>
              <w:t>300.00</w:t>
            </w: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321石家庄市鹿泉区投资促进局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1194.31</w:t>
            </w:r>
          </w:p>
        </w:tc>
        <w:tc>
          <w:tcPr>
            <w:tcW w:w="2551" w:type="dxa"/>
            <w:vAlign w:val="center"/>
          </w:tcPr>
          <w:p>
            <w:pPr>
              <w:pStyle w:val="16"/>
            </w:pPr>
            <w:r>
              <w:t>464.31</w:t>
            </w:r>
          </w:p>
        </w:tc>
        <w:tc>
          <w:tcPr>
            <w:tcW w:w="2551" w:type="dxa"/>
            <w:vAlign w:val="center"/>
          </w:tcPr>
          <w:p>
            <w:pPr>
              <w:pStyle w:val="16"/>
            </w:pPr>
            <w:r>
              <w:t>730.00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1012.29</w:t>
            </w:r>
          </w:p>
        </w:tc>
        <w:tc>
          <w:tcPr>
            <w:tcW w:w="2551" w:type="dxa"/>
            <w:vAlign w:val="center"/>
          </w:tcPr>
          <w:p>
            <w:pPr>
              <w:pStyle w:val="12"/>
            </w:pPr>
            <w:r>
              <w:t>362.29</w:t>
            </w:r>
          </w:p>
        </w:tc>
        <w:tc>
          <w:tcPr>
            <w:tcW w:w="2551" w:type="dxa"/>
            <w:vAlign w:val="center"/>
          </w:tcPr>
          <w:p>
            <w:pPr>
              <w:pStyle w:val="12"/>
            </w:pPr>
            <w:r>
              <w:t>650.00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20113</w:t>
            </w:r>
          </w:p>
        </w:tc>
        <w:tc>
          <w:tcPr>
            <w:tcW w:w="4535" w:type="dxa"/>
            <w:vAlign w:val="center"/>
          </w:tcPr>
          <w:p>
            <w:pPr>
              <w:pStyle w:val="13"/>
            </w:pPr>
            <w:r>
              <w:t>商贸事务</w:t>
            </w:r>
          </w:p>
        </w:tc>
        <w:tc>
          <w:tcPr>
            <w:tcW w:w="2551" w:type="dxa"/>
            <w:vAlign w:val="center"/>
          </w:tcPr>
          <w:p>
            <w:pPr>
              <w:pStyle w:val="12"/>
            </w:pPr>
            <w:r>
              <w:t>1002.29</w:t>
            </w:r>
          </w:p>
        </w:tc>
        <w:tc>
          <w:tcPr>
            <w:tcW w:w="2551" w:type="dxa"/>
            <w:vAlign w:val="center"/>
          </w:tcPr>
          <w:p>
            <w:pPr>
              <w:pStyle w:val="12"/>
            </w:pPr>
            <w:r>
              <w:t>362.29</w:t>
            </w:r>
          </w:p>
        </w:tc>
        <w:tc>
          <w:tcPr>
            <w:tcW w:w="2551" w:type="dxa"/>
            <w:vAlign w:val="center"/>
          </w:tcPr>
          <w:p>
            <w:pPr>
              <w:pStyle w:val="12"/>
            </w:pPr>
            <w:r>
              <w:t>640.00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2011301</w:t>
            </w:r>
          </w:p>
        </w:tc>
        <w:tc>
          <w:tcPr>
            <w:tcW w:w="4535" w:type="dxa"/>
            <w:vAlign w:val="center"/>
          </w:tcPr>
          <w:p>
            <w:pPr>
              <w:pStyle w:val="13"/>
            </w:pPr>
            <w:r>
              <w:t>行政运行</w:t>
            </w:r>
          </w:p>
        </w:tc>
        <w:tc>
          <w:tcPr>
            <w:tcW w:w="2551" w:type="dxa"/>
            <w:vAlign w:val="center"/>
          </w:tcPr>
          <w:p>
            <w:pPr>
              <w:pStyle w:val="12"/>
            </w:pPr>
            <w:r>
              <w:t>362.29</w:t>
            </w:r>
          </w:p>
        </w:tc>
        <w:tc>
          <w:tcPr>
            <w:tcW w:w="2551" w:type="dxa"/>
            <w:vAlign w:val="center"/>
          </w:tcPr>
          <w:p>
            <w:pPr>
              <w:pStyle w:val="12"/>
            </w:pPr>
            <w:r>
              <w:t>362.29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2011302</w:t>
            </w:r>
          </w:p>
        </w:tc>
        <w:tc>
          <w:tcPr>
            <w:tcW w:w="4535" w:type="dxa"/>
            <w:vAlign w:val="center"/>
          </w:tcPr>
          <w:p>
            <w:pPr>
              <w:pStyle w:val="13"/>
            </w:pPr>
            <w:r>
              <w:t>一般行政管理事务</w:t>
            </w:r>
          </w:p>
        </w:tc>
        <w:tc>
          <w:tcPr>
            <w:tcW w:w="2551" w:type="dxa"/>
            <w:vAlign w:val="center"/>
          </w:tcPr>
          <w:p>
            <w:pPr>
              <w:pStyle w:val="12"/>
            </w:pPr>
            <w:r>
              <w:t>140.00</w:t>
            </w:r>
          </w:p>
        </w:tc>
        <w:tc>
          <w:tcPr>
            <w:tcW w:w="2551" w:type="dxa"/>
            <w:vAlign w:val="center"/>
          </w:tcPr>
          <w:p>
            <w:pPr>
              <w:pStyle w:val="12"/>
            </w:pPr>
          </w:p>
        </w:tc>
        <w:tc>
          <w:tcPr>
            <w:tcW w:w="2551" w:type="dxa"/>
            <w:vAlign w:val="center"/>
          </w:tcPr>
          <w:p>
            <w:pPr>
              <w:pStyle w:val="12"/>
            </w:pPr>
            <w:r>
              <w:t>140.00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2011308</w:t>
            </w:r>
          </w:p>
        </w:tc>
        <w:tc>
          <w:tcPr>
            <w:tcW w:w="4535" w:type="dxa"/>
            <w:vAlign w:val="center"/>
          </w:tcPr>
          <w:p>
            <w:pPr>
              <w:pStyle w:val="13"/>
            </w:pPr>
            <w:r>
              <w:t>招商引资</w:t>
            </w:r>
          </w:p>
        </w:tc>
        <w:tc>
          <w:tcPr>
            <w:tcW w:w="2551" w:type="dxa"/>
            <w:vAlign w:val="center"/>
          </w:tcPr>
          <w:p>
            <w:pPr>
              <w:pStyle w:val="12"/>
            </w:pPr>
            <w:r>
              <w:t>500.00</w:t>
            </w:r>
          </w:p>
        </w:tc>
        <w:tc>
          <w:tcPr>
            <w:tcW w:w="2551" w:type="dxa"/>
            <w:vAlign w:val="center"/>
          </w:tcPr>
          <w:p>
            <w:pPr>
              <w:pStyle w:val="12"/>
            </w:pPr>
          </w:p>
        </w:tc>
        <w:tc>
          <w:tcPr>
            <w:tcW w:w="2551" w:type="dxa"/>
            <w:vAlign w:val="center"/>
          </w:tcPr>
          <w:p>
            <w:pPr>
              <w:pStyle w:val="12"/>
            </w:pPr>
            <w:r>
              <w:t>500.00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20199</w:t>
            </w:r>
          </w:p>
        </w:tc>
        <w:tc>
          <w:tcPr>
            <w:tcW w:w="4535" w:type="dxa"/>
            <w:vAlign w:val="center"/>
          </w:tcPr>
          <w:p>
            <w:pPr>
              <w:pStyle w:val="13"/>
            </w:pPr>
            <w:r>
              <w:t>其他一般公共服务支出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2019999</w:t>
            </w:r>
          </w:p>
        </w:tc>
        <w:tc>
          <w:tcPr>
            <w:tcW w:w="4535" w:type="dxa"/>
            <w:vAlign w:val="center"/>
          </w:tcPr>
          <w:p>
            <w:pPr>
              <w:pStyle w:val="13"/>
            </w:pPr>
            <w:r>
              <w:t>其他一般公共服务支出</w:t>
            </w:r>
          </w:p>
        </w:tc>
        <w:tc>
          <w:tcPr>
            <w:tcW w:w="2551" w:type="dxa"/>
            <w:vAlign w:val="center"/>
          </w:tcPr>
          <w:p>
            <w:pPr>
              <w:pStyle w:val="12"/>
            </w:pPr>
            <w:r>
              <w:t>10.00</w:t>
            </w:r>
          </w:p>
        </w:tc>
        <w:tc>
          <w:tcPr>
            <w:tcW w:w="2551" w:type="dxa"/>
            <w:vAlign w:val="center"/>
          </w:tcPr>
          <w:p>
            <w:pPr>
              <w:pStyle w:val="12"/>
            </w:pPr>
          </w:p>
        </w:tc>
        <w:tc>
          <w:tcPr>
            <w:tcW w:w="2551" w:type="dxa"/>
            <w:vAlign w:val="center"/>
          </w:tcPr>
          <w:p>
            <w:pPr>
              <w:pStyle w:val="12"/>
            </w:pPr>
            <w:r>
              <w:t>10.00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206</w:t>
            </w:r>
          </w:p>
        </w:tc>
        <w:tc>
          <w:tcPr>
            <w:tcW w:w="4535" w:type="dxa"/>
            <w:vAlign w:val="center"/>
          </w:tcPr>
          <w:p>
            <w:pPr>
              <w:pStyle w:val="13"/>
            </w:pPr>
            <w:r>
              <w:t>科学技术支出</w:t>
            </w:r>
          </w:p>
        </w:tc>
        <w:tc>
          <w:tcPr>
            <w:tcW w:w="2551" w:type="dxa"/>
            <w:vAlign w:val="center"/>
          </w:tcPr>
          <w:p>
            <w:pPr>
              <w:pStyle w:val="12"/>
            </w:pPr>
            <w:r>
              <w:t>80.00</w:t>
            </w:r>
          </w:p>
        </w:tc>
        <w:tc>
          <w:tcPr>
            <w:tcW w:w="2551" w:type="dxa"/>
            <w:vAlign w:val="center"/>
          </w:tcPr>
          <w:p>
            <w:pPr>
              <w:pStyle w:val="12"/>
            </w:pPr>
          </w:p>
        </w:tc>
        <w:tc>
          <w:tcPr>
            <w:tcW w:w="2551" w:type="dxa"/>
            <w:vAlign w:val="center"/>
          </w:tcPr>
          <w:p>
            <w:pPr>
              <w:pStyle w:val="12"/>
            </w:pPr>
            <w:r>
              <w:t>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20604</w:t>
            </w:r>
          </w:p>
        </w:tc>
        <w:tc>
          <w:tcPr>
            <w:tcW w:w="4535" w:type="dxa"/>
            <w:vAlign w:val="center"/>
          </w:tcPr>
          <w:p>
            <w:pPr>
              <w:pStyle w:val="13"/>
            </w:pPr>
            <w:r>
              <w:t>技术研究与开发</w:t>
            </w:r>
          </w:p>
        </w:tc>
        <w:tc>
          <w:tcPr>
            <w:tcW w:w="2551" w:type="dxa"/>
            <w:vAlign w:val="center"/>
          </w:tcPr>
          <w:p>
            <w:pPr>
              <w:pStyle w:val="12"/>
            </w:pPr>
            <w:r>
              <w:t>80.00</w:t>
            </w:r>
          </w:p>
        </w:tc>
        <w:tc>
          <w:tcPr>
            <w:tcW w:w="2551" w:type="dxa"/>
            <w:vAlign w:val="center"/>
          </w:tcPr>
          <w:p>
            <w:pPr>
              <w:pStyle w:val="12"/>
            </w:pPr>
          </w:p>
        </w:tc>
        <w:tc>
          <w:tcPr>
            <w:tcW w:w="2551" w:type="dxa"/>
            <w:vAlign w:val="center"/>
          </w:tcPr>
          <w:p>
            <w:pPr>
              <w:pStyle w:val="12"/>
            </w:pPr>
            <w:r>
              <w:t>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2060499</w:t>
            </w:r>
          </w:p>
        </w:tc>
        <w:tc>
          <w:tcPr>
            <w:tcW w:w="4535" w:type="dxa"/>
            <w:vAlign w:val="center"/>
          </w:tcPr>
          <w:p>
            <w:pPr>
              <w:pStyle w:val="13"/>
            </w:pPr>
            <w:r>
              <w:t>其他技术研究与开发支出</w:t>
            </w:r>
          </w:p>
        </w:tc>
        <w:tc>
          <w:tcPr>
            <w:tcW w:w="2551" w:type="dxa"/>
            <w:vAlign w:val="center"/>
          </w:tcPr>
          <w:p>
            <w:pPr>
              <w:pStyle w:val="12"/>
            </w:pPr>
            <w:r>
              <w:t>80.00</w:t>
            </w:r>
          </w:p>
        </w:tc>
        <w:tc>
          <w:tcPr>
            <w:tcW w:w="2551" w:type="dxa"/>
            <w:vAlign w:val="center"/>
          </w:tcPr>
          <w:p>
            <w:pPr>
              <w:pStyle w:val="12"/>
            </w:pPr>
          </w:p>
        </w:tc>
        <w:tc>
          <w:tcPr>
            <w:tcW w:w="2551" w:type="dxa"/>
            <w:vAlign w:val="center"/>
          </w:tcPr>
          <w:p>
            <w:pPr>
              <w:pStyle w:val="12"/>
            </w:pPr>
            <w:r>
              <w:t>80.00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37.21</w:t>
            </w:r>
          </w:p>
        </w:tc>
        <w:tc>
          <w:tcPr>
            <w:tcW w:w="2551" w:type="dxa"/>
            <w:vAlign w:val="center"/>
          </w:tcPr>
          <w:p>
            <w:pPr>
              <w:pStyle w:val="12"/>
            </w:pPr>
            <w:r>
              <w:t>37.21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37.21</w:t>
            </w:r>
          </w:p>
        </w:tc>
        <w:tc>
          <w:tcPr>
            <w:tcW w:w="2551" w:type="dxa"/>
            <w:vAlign w:val="center"/>
          </w:tcPr>
          <w:p>
            <w:pPr>
              <w:pStyle w:val="12"/>
            </w:pPr>
            <w:r>
              <w:t>37.21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37.21</w:t>
            </w:r>
          </w:p>
        </w:tc>
        <w:tc>
          <w:tcPr>
            <w:tcW w:w="2551" w:type="dxa"/>
            <w:vAlign w:val="center"/>
          </w:tcPr>
          <w:p>
            <w:pPr>
              <w:pStyle w:val="12"/>
            </w:pPr>
            <w:r>
              <w:t>37.21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28.88</w:t>
            </w:r>
          </w:p>
        </w:tc>
        <w:tc>
          <w:tcPr>
            <w:tcW w:w="2551" w:type="dxa"/>
            <w:vAlign w:val="center"/>
          </w:tcPr>
          <w:p>
            <w:pPr>
              <w:pStyle w:val="12"/>
            </w:pPr>
            <w:r>
              <w:t>28.88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28.88</w:t>
            </w:r>
          </w:p>
        </w:tc>
        <w:tc>
          <w:tcPr>
            <w:tcW w:w="2551" w:type="dxa"/>
            <w:vAlign w:val="center"/>
          </w:tcPr>
          <w:p>
            <w:pPr>
              <w:pStyle w:val="12"/>
            </w:pPr>
            <w:r>
              <w:t>28.88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28.88</w:t>
            </w:r>
          </w:p>
        </w:tc>
        <w:tc>
          <w:tcPr>
            <w:tcW w:w="2551" w:type="dxa"/>
            <w:vAlign w:val="center"/>
          </w:tcPr>
          <w:p>
            <w:pPr>
              <w:pStyle w:val="12"/>
            </w:pPr>
            <w:r>
              <w:t>28.88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35.92</w:t>
            </w:r>
          </w:p>
        </w:tc>
        <w:tc>
          <w:tcPr>
            <w:tcW w:w="2551" w:type="dxa"/>
            <w:vAlign w:val="center"/>
          </w:tcPr>
          <w:p>
            <w:pPr>
              <w:pStyle w:val="12"/>
            </w:pPr>
            <w:r>
              <w:t>35.92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35.92</w:t>
            </w:r>
          </w:p>
        </w:tc>
        <w:tc>
          <w:tcPr>
            <w:tcW w:w="2551" w:type="dxa"/>
            <w:vAlign w:val="center"/>
          </w:tcPr>
          <w:p>
            <w:pPr>
              <w:pStyle w:val="12"/>
            </w:pPr>
            <w:r>
              <w:t>35.92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35.92</w:t>
            </w:r>
          </w:p>
        </w:tc>
        <w:tc>
          <w:tcPr>
            <w:tcW w:w="2551" w:type="dxa"/>
            <w:vAlign w:val="center"/>
          </w:tcPr>
          <w:p>
            <w:pPr>
              <w:pStyle w:val="12"/>
            </w:pPr>
            <w:r>
              <w:t>35.92</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321石家庄市鹿泉区投资促进局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464.31</w:t>
            </w:r>
          </w:p>
        </w:tc>
        <w:tc>
          <w:tcPr>
            <w:tcW w:w="2551" w:type="dxa"/>
            <w:vAlign w:val="center"/>
          </w:tcPr>
          <w:p>
            <w:pPr>
              <w:pStyle w:val="16"/>
            </w:pPr>
            <w:r>
              <w:t>394.97</w:t>
            </w:r>
          </w:p>
        </w:tc>
        <w:tc>
          <w:tcPr>
            <w:tcW w:w="2551" w:type="dxa"/>
            <w:vAlign w:val="center"/>
          </w:tcPr>
          <w:p>
            <w:pPr>
              <w:pStyle w:val="16"/>
            </w:pPr>
            <w:r>
              <w:t>69.33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394.97</w:t>
            </w:r>
          </w:p>
        </w:tc>
        <w:tc>
          <w:tcPr>
            <w:tcW w:w="2551" w:type="dxa"/>
            <w:vAlign w:val="center"/>
          </w:tcPr>
          <w:p>
            <w:pPr>
              <w:pStyle w:val="12"/>
            </w:pPr>
            <w:r>
              <w:t>394.97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89.17</w:t>
            </w:r>
          </w:p>
        </w:tc>
        <w:tc>
          <w:tcPr>
            <w:tcW w:w="2551" w:type="dxa"/>
            <w:vAlign w:val="center"/>
          </w:tcPr>
          <w:p>
            <w:pPr>
              <w:pStyle w:val="12"/>
            </w:pPr>
            <w:r>
              <w:t>89.17</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43.93</w:t>
            </w:r>
          </w:p>
        </w:tc>
        <w:tc>
          <w:tcPr>
            <w:tcW w:w="2551" w:type="dxa"/>
            <w:vAlign w:val="center"/>
          </w:tcPr>
          <w:p>
            <w:pPr>
              <w:pStyle w:val="12"/>
            </w:pPr>
            <w:r>
              <w:t>43.93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28.59</w:t>
            </w:r>
          </w:p>
        </w:tc>
        <w:tc>
          <w:tcPr>
            <w:tcW w:w="2551" w:type="dxa"/>
            <w:vAlign w:val="center"/>
          </w:tcPr>
          <w:p>
            <w:pPr>
              <w:pStyle w:val="12"/>
            </w:pPr>
            <w:r>
              <w:t>28.59</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129.54</w:t>
            </w:r>
          </w:p>
        </w:tc>
        <w:tc>
          <w:tcPr>
            <w:tcW w:w="2551" w:type="dxa"/>
            <w:vAlign w:val="center"/>
          </w:tcPr>
          <w:p>
            <w:pPr>
              <w:pStyle w:val="12"/>
            </w:pPr>
            <w:r>
              <w:t>129.54</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37.21</w:t>
            </w:r>
          </w:p>
        </w:tc>
        <w:tc>
          <w:tcPr>
            <w:tcW w:w="2551" w:type="dxa"/>
            <w:vAlign w:val="center"/>
          </w:tcPr>
          <w:p>
            <w:pPr>
              <w:pStyle w:val="12"/>
            </w:pPr>
            <w:r>
              <w:t>37.21</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16.28</w:t>
            </w:r>
          </w:p>
        </w:tc>
        <w:tc>
          <w:tcPr>
            <w:tcW w:w="2551" w:type="dxa"/>
            <w:vAlign w:val="center"/>
          </w:tcPr>
          <w:p>
            <w:pPr>
              <w:pStyle w:val="12"/>
            </w:pPr>
            <w:r>
              <w:t>16.28</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12.60</w:t>
            </w:r>
          </w:p>
        </w:tc>
        <w:tc>
          <w:tcPr>
            <w:tcW w:w="2551" w:type="dxa"/>
            <w:vAlign w:val="center"/>
          </w:tcPr>
          <w:p>
            <w:pPr>
              <w:pStyle w:val="12"/>
            </w:pPr>
            <w:r>
              <w:t>12.60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1.73</w:t>
            </w:r>
          </w:p>
        </w:tc>
        <w:tc>
          <w:tcPr>
            <w:tcW w:w="2551" w:type="dxa"/>
            <w:vAlign w:val="center"/>
          </w:tcPr>
          <w:p>
            <w:pPr>
              <w:pStyle w:val="12"/>
            </w:pPr>
            <w:r>
              <w:t>1.73</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35.92</w:t>
            </w:r>
          </w:p>
        </w:tc>
        <w:tc>
          <w:tcPr>
            <w:tcW w:w="2551" w:type="dxa"/>
            <w:vAlign w:val="center"/>
          </w:tcPr>
          <w:p>
            <w:pPr>
              <w:pStyle w:val="12"/>
            </w:pPr>
            <w:r>
              <w:t>35.92</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69.33</w:t>
            </w:r>
          </w:p>
        </w:tc>
        <w:tc>
          <w:tcPr>
            <w:tcW w:w="2551" w:type="dxa"/>
            <w:vAlign w:val="center"/>
          </w:tcPr>
          <w:p>
            <w:pPr>
              <w:pStyle w:val="12"/>
            </w:pPr>
          </w:p>
        </w:tc>
        <w:tc>
          <w:tcPr>
            <w:tcW w:w="2551" w:type="dxa"/>
            <w:vAlign w:val="center"/>
          </w:tcPr>
          <w:p>
            <w:pPr>
              <w:pStyle w:val="12"/>
            </w:pPr>
            <w:r>
              <w:t>69.33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15.60</w:t>
            </w:r>
          </w:p>
        </w:tc>
        <w:tc>
          <w:tcPr>
            <w:tcW w:w="2551" w:type="dxa"/>
            <w:vAlign w:val="center"/>
          </w:tcPr>
          <w:p>
            <w:pPr>
              <w:pStyle w:val="12"/>
            </w:pPr>
          </w:p>
        </w:tc>
        <w:tc>
          <w:tcPr>
            <w:tcW w:w="2551" w:type="dxa"/>
            <w:vAlign w:val="center"/>
          </w:tcPr>
          <w:p>
            <w:pPr>
              <w:pStyle w:val="12"/>
            </w:pPr>
            <w:r>
              <w:t>15.60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4.26</w:t>
            </w:r>
          </w:p>
        </w:tc>
        <w:tc>
          <w:tcPr>
            <w:tcW w:w="2551" w:type="dxa"/>
            <w:vAlign w:val="center"/>
          </w:tcPr>
          <w:p>
            <w:pPr>
              <w:pStyle w:val="12"/>
            </w:pPr>
          </w:p>
        </w:tc>
        <w:tc>
          <w:tcPr>
            <w:tcW w:w="2551" w:type="dxa"/>
            <w:vAlign w:val="center"/>
          </w:tcPr>
          <w:p>
            <w:pPr>
              <w:pStyle w:val="12"/>
            </w:pPr>
            <w:r>
              <w:t>4.26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3.42</w:t>
            </w:r>
          </w:p>
        </w:tc>
        <w:tc>
          <w:tcPr>
            <w:tcW w:w="2551" w:type="dxa"/>
            <w:vAlign w:val="center"/>
          </w:tcPr>
          <w:p>
            <w:pPr>
              <w:pStyle w:val="12"/>
            </w:pPr>
          </w:p>
        </w:tc>
        <w:tc>
          <w:tcPr>
            <w:tcW w:w="2551" w:type="dxa"/>
            <w:vAlign w:val="center"/>
          </w:tcPr>
          <w:p>
            <w:pPr>
              <w:pStyle w:val="12"/>
            </w:pPr>
            <w:r>
              <w:t>3.42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35.30</w:t>
            </w:r>
          </w:p>
        </w:tc>
        <w:tc>
          <w:tcPr>
            <w:tcW w:w="2551" w:type="dxa"/>
            <w:vAlign w:val="center"/>
          </w:tcPr>
          <w:p>
            <w:pPr>
              <w:pStyle w:val="12"/>
            </w:pPr>
          </w:p>
        </w:tc>
        <w:tc>
          <w:tcPr>
            <w:tcW w:w="2551" w:type="dxa"/>
            <w:vAlign w:val="center"/>
          </w:tcPr>
          <w:p>
            <w:pPr>
              <w:pStyle w:val="12"/>
            </w:pPr>
            <w:r>
              <w:t>35.30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2.03</w:t>
            </w:r>
          </w:p>
        </w:tc>
        <w:tc>
          <w:tcPr>
            <w:tcW w:w="2551" w:type="dxa"/>
            <w:vAlign w:val="center"/>
          </w:tcPr>
          <w:p>
            <w:pPr>
              <w:pStyle w:val="12"/>
            </w:pPr>
          </w:p>
        </w:tc>
        <w:tc>
          <w:tcPr>
            <w:tcW w:w="2551" w:type="dxa"/>
            <w:vAlign w:val="center"/>
          </w:tcPr>
          <w:p>
            <w:pPr>
              <w:pStyle w:val="12"/>
            </w:pPr>
            <w:r>
              <w:t>2.03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30229</w:t>
            </w:r>
          </w:p>
        </w:tc>
        <w:tc>
          <w:tcPr>
            <w:tcW w:w="4535" w:type="dxa"/>
            <w:vAlign w:val="center"/>
          </w:tcPr>
          <w:p>
            <w:pPr>
              <w:pStyle w:val="13"/>
            </w:pPr>
            <w:r>
              <w:t>福利费</w:t>
            </w:r>
          </w:p>
        </w:tc>
        <w:tc>
          <w:tcPr>
            <w:tcW w:w="2551" w:type="dxa"/>
            <w:vAlign w:val="center"/>
          </w:tcPr>
          <w:p>
            <w:pPr>
              <w:pStyle w:val="12"/>
            </w:pPr>
            <w:r>
              <w:t>2.23</w:t>
            </w:r>
          </w:p>
        </w:tc>
        <w:tc>
          <w:tcPr>
            <w:tcW w:w="2551" w:type="dxa"/>
            <w:vAlign w:val="center"/>
          </w:tcPr>
          <w:p>
            <w:pPr>
              <w:pStyle w:val="12"/>
            </w:pPr>
          </w:p>
        </w:tc>
        <w:tc>
          <w:tcPr>
            <w:tcW w:w="2551" w:type="dxa"/>
            <w:vAlign w:val="center"/>
          </w:tcPr>
          <w:p>
            <w:pPr>
              <w:pStyle w:val="12"/>
            </w:pPr>
            <w:r>
              <w:t>2.23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0.49</w:t>
            </w:r>
          </w:p>
        </w:tc>
        <w:tc>
          <w:tcPr>
            <w:tcW w:w="2551" w:type="dxa"/>
            <w:vAlign w:val="center"/>
          </w:tcPr>
          <w:p>
            <w:pPr>
              <w:pStyle w:val="12"/>
            </w:pPr>
          </w:p>
        </w:tc>
        <w:tc>
          <w:tcPr>
            <w:tcW w:w="2551" w:type="dxa"/>
            <w:vAlign w:val="center"/>
          </w:tcPr>
          <w:p>
            <w:pPr>
              <w:pStyle w:val="12"/>
            </w:pPr>
            <w:r>
              <w:t>0.49</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321石家庄市鹿泉区投资促进局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300.00</w:t>
            </w:r>
          </w:p>
        </w:tc>
        <w:tc>
          <w:tcPr>
            <w:tcW w:w="2551" w:type="dxa"/>
            <w:vAlign w:val="center"/>
          </w:tcPr>
          <w:p>
            <w:pPr>
              <w:pStyle w:val="16"/>
            </w:pPr>
          </w:p>
        </w:tc>
        <w:tc>
          <w:tcPr>
            <w:tcW w:w="2551" w:type="dxa"/>
            <w:vAlign w:val="center"/>
          </w:tcPr>
          <w:p>
            <w:pPr>
              <w:pStyle w:val="16"/>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300.00</w:t>
            </w:r>
          </w:p>
        </w:tc>
        <w:tc>
          <w:tcPr>
            <w:tcW w:w="2551" w:type="dxa"/>
            <w:vAlign w:val="center"/>
          </w:tcPr>
          <w:p>
            <w:pPr>
              <w:pStyle w:val="12"/>
            </w:pPr>
          </w:p>
        </w:tc>
        <w:tc>
          <w:tcPr>
            <w:tcW w:w="2551" w:type="dxa"/>
            <w:vAlign w:val="center"/>
          </w:tcPr>
          <w:p>
            <w:pPr>
              <w:pStyle w:val="12"/>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300.00</w:t>
            </w:r>
          </w:p>
        </w:tc>
        <w:tc>
          <w:tcPr>
            <w:tcW w:w="2551" w:type="dxa"/>
            <w:vAlign w:val="center"/>
          </w:tcPr>
          <w:p>
            <w:pPr>
              <w:pStyle w:val="12"/>
            </w:pPr>
          </w:p>
        </w:tc>
        <w:tc>
          <w:tcPr>
            <w:tcW w:w="2551" w:type="dxa"/>
            <w:vAlign w:val="center"/>
          </w:tcPr>
          <w:p>
            <w:pPr>
              <w:pStyle w:val="12"/>
            </w:pPr>
            <w:r>
              <w:t>300.00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2120899</w:t>
            </w:r>
          </w:p>
        </w:tc>
        <w:tc>
          <w:tcPr>
            <w:tcW w:w="4535" w:type="dxa"/>
            <w:vAlign w:val="center"/>
          </w:tcPr>
          <w:p>
            <w:pPr>
              <w:pStyle w:val="13"/>
            </w:pPr>
            <w:r>
              <w:t>其他国有土地使用权出让收入安排的支出</w:t>
            </w:r>
          </w:p>
        </w:tc>
        <w:tc>
          <w:tcPr>
            <w:tcW w:w="2551" w:type="dxa"/>
            <w:vAlign w:val="center"/>
          </w:tcPr>
          <w:p>
            <w:pPr>
              <w:pStyle w:val="12"/>
            </w:pPr>
            <w:r>
              <w:t>300.00</w:t>
            </w:r>
          </w:p>
        </w:tc>
        <w:tc>
          <w:tcPr>
            <w:tcW w:w="2551" w:type="dxa"/>
            <w:vAlign w:val="center"/>
          </w:tcPr>
          <w:p>
            <w:pPr>
              <w:pStyle w:val="12"/>
            </w:pPr>
          </w:p>
        </w:tc>
        <w:tc>
          <w:tcPr>
            <w:tcW w:w="2551" w:type="dxa"/>
            <w:vAlign w:val="center"/>
          </w:tcPr>
          <w:p>
            <w:pPr>
              <w:pStyle w:val="12"/>
            </w:pPr>
            <w:r>
              <w:t>300.00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321石家庄市鹿泉区投资促进局</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321石家庄市鹿泉区投资促进局</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石家庄市鹿泉区投资促进局2025年部门预算信息公开情况说明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石家庄市鹿泉区投资促进局2025年部门预算信息公开情况说明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按照《中华人民共和国预算法》、《地方预决算公开操作规程》和《关于进一步推进预算公开工作的实施意见》规定，现将石家庄市鹿泉区投资促进局2025年部门预算公开如下：</w:t>
      </w:r>
    </w:p>
    <w:p>
      <w:pPr>
        <w:spacing w:before="10" w:after="10" w:line="240" w:lineRule="auto"/>
        <w:ind w:firstLine="640"/>
        <w:jc w:val="left"/>
        <w:outlineLvl w:val="5"/>
        <w:rPr>
          <w:rFonts w:ascii="黑体" w:hAnsi="黑体" w:eastAsia="黑体" w:cs="黑体"/>
          <w:color w:val="000000"/>
          <w:sz w:val="32"/>
        </w:rPr>
      </w:pPr>
      <w:bookmarkStart w:id="9" w:name="_Toc_3_3_0000000010"/>
      <w:r>
        <w:rPr>
          <w:rFonts w:ascii="黑体" w:hAnsi="黑体" w:eastAsia="黑体" w:cs="黑体"/>
          <w:color w:val="000000"/>
          <w:sz w:val="32"/>
        </w:rPr>
        <w:t>一、部门职责及机构设置情况</w:t>
      </w:r>
      <w:bookmarkEnd w:id="9"/>
    </w:p>
    <w:p>
      <w:pPr>
        <w:spacing w:before="10" w:after="10" w:line="240" w:lineRule="auto"/>
        <w:ind w:firstLine="640"/>
        <w:jc w:val="left"/>
        <w:outlineLvl w:val="5"/>
        <w:rPr>
          <w:rFonts w:ascii="黑体" w:hAnsi="黑体" w:eastAsia="黑体" w:cs="黑体"/>
          <w:color w:val="000000"/>
          <w:sz w:val="32"/>
        </w:rPr>
      </w:pPr>
      <w:r>
        <w:rPr>
          <w:rFonts w:ascii="方正楷体_GBK" w:hAnsi="方正楷体_GBK" w:eastAsia="方正楷体_GBK" w:cs="方正楷体_GBK"/>
          <w:b/>
          <w:color w:val="000000"/>
          <w:sz w:val="32"/>
        </w:rPr>
        <w:t>部门职责</w:t>
      </w:r>
      <w:r>
        <w:rPr>
          <w:rFonts w:ascii="黑体" w:hAnsi="黑体" w:eastAsia="黑体" w:cs="黑体"/>
          <w:color w:val="000000"/>
          <w:sz w:val="32"/>
        </w:rPr>
        <w:t>：</w:t>
      </w:r>
    </w:p>
    <w:p>
      <w:pPr>
        <w:pStyle w:val="26"/>
      </w:pPr>
      <w:r>
        <w:t>根据《石家庄市鹿泉区投资促进局职能配置、内设机构和人员编制规定》，石家庄市鹿泉区投资促进局的主要职责是：</w:t>
      </w:r>
    </w:p>
    <w:p>
      <w:pPr>
        <w:pStyle w:val="26"/>
      </w:pPr>
      <w:r>
        <w:t>1.负责拟定招商引资、利用外资、区域协作、开发区管理中长期发展规划、年度计划并组织实施；贯彻落实投资促进方面地方性法规、政府规章，研究拟定投资促进政策。</w:t>
      </w:r>
    </w:p>
    <w:p>
      <w:pPr>
        <w:pStyle w:val="26"/>
      </w:pPr>
      <w:r>
        <w:t>2.负责建立投资促进工作体系、工作机制，对利用国内外资金和经济技术合作、开发区发展情况进行统计、汇总、分析。</w:t>
      </w:r>
    </w:p>
    <w:p>
      <w:pPr>
        <w:pStyle w:val="26"/>
      </w:pPr>
      <w:r>
        <w:t>3.负责促进资金、技术、人才、项目引进和产业对接，争取招商引资相关政策、资金和项目支持。</w:t>
      </w:r>
    </w:p>
    <w:p>
      <w:pPr>
        <w:pStyle w:val="26"/>
      </w:pPr>
      <w:r>
        <w:t>4.负责投资环境营销和宣传推广，负责重点区域、重点产业、重大招商引资项目谋划、包装、推介；负责国内外投资项目信息的收集、筛选工作，建立投资促进工作平台和信息网络；负责对国（境）内外重要招商项目的谋划、包装、发</w:t>
      </w:r>
    </w:p>
    <w:p>
      <w:pPr>
        <w:pStyle w:val="26"/>
        <w:ind w:left="0" w:leftChars="0" w:firstLine="0" w:firstLineChars="0"/>
      </w:pPr>
      <w:r>
        <w:t>布、推介工作，建立项目库。</w:t>
      </w:r>
    </w:p>
    <w:p>
      <w:pPr>
        <w:pStyle w:val="26"/>
      </w:pPr>
      <w:r>
        <w:t>5.负责国（境）内外重大投资促进活动的谋划、方案制定和组织实施；牵头组织专业型、行业性投资促进活动；复制到协调各乡镇和开发区（园区）开展招商活动。</w:t>
      </w:r>
    </w:p>
    <w:p>
      <w:pPr>
        <w:pStyle w:val="26"/>
      </w:pPr>
      <w:r>
        <w:t>6.负责与国（境）内外大集团、大企业合作及引进重大招商引资项目洽谈、签约、选址、流转的统筹和协调，规范招商引资产业布局和秩序，协调处理有关问题；负责利用国内外资金项目洽谈、签约工作的组织、指导、协调、调度，负责签约项目的履约落实。</w:t>
      </w:r>
    </w:p>
    <w:p>
      <w:pPr>
        <w:pStyle w:val="26"/>
      </w:pPr>
      <w:r>
        <w:t>7.负责对国（境）内外重要客户的联络拓展、重要团组和客户来访考察、洽谈的组织。</w:t>
      </w:r>
    </w:p>
    <w:p>
      <w:pPr>
        <w:pStyle w:val="26"/>
      </w:pPr>
      <w:r>
        <w:t>8.组织和促进委托招商、代理招商、中介招商、专业招商、网上招商等多种形式的招商活动，制定并落实奖励政策；加强招商引资专业人才队伍建设。</w:t>
      </w:r>
    </w:p>
    <w:p>
      <w:pPr>
        <w:pStyle w:val="26"/>
      </w:pPr>
      <w:r>
        <w:t>9.负责引进央企资金、项目及各项合作，促进合作项目的建设，负责为央企服务工作；负责外商投资项目建设的跟踪、协调和服务工作，负责引进资金到位统计工作。</w:t>
      </w:r>
    </w:p>
    <w:p>
      <w:pPr>
        <w:pStyle w:val="26"/>
      </w:pPr>
      <w:r>
        <w:t>10.负责指导全区经济技术交流与区域经济技术合作工作；负责区域间资金、项目、人才、科研成果及产业合作工作，开展与省外重点大专院校、科研院所合作；负责区所、区校科研合作开发资金的监督管理工作。</w:t>
      </w:r>
    </w:p>
    <w:p>
      <w:pPr>
        <w:pStyle w:val="26"/>
      </w:pPr>
      <w:r>
        <w:t>11.负责经济开发区（园区）管理工作，负责经济开发区（园区）建立、升级、扩区工作，指导经济开发区（园区）建设、招商引资和体制、机制创新，负责对经济开发区（园区）招商引资工作的调度，协助做好经济开发区（园区）绩</w:t>
      </w:r>
    </w:p>
    <w:p>
      <w:pPr>
        <w:pStyle w:val="26"/>
        <w:ind w:left="0" w:leftChars="0" w:firstLine="0" w:firstLineChars="0"/>
      </w:pPr>
      <w:r>
        <w:t>效评估、考核认定工作。</w:t>
      </w:r>
    </w:p>
    <w:p>
      <w:pPr>
        <w:pStyle w:val="26"/>
      </w:pPr>
      <w:r>
        <w:t>12.完成区委、区政府交办的其他任务。</w:t>
      </w:r>
    </w:p>
    <w:p>
      <w:pPr>
        <w:pStyle w:val="26"/>
      </w:pPr>
      <w:r>
        <w:t>13.有关职责分工。与区市场监督管理局的有关职责分工。区投资促进局负责指导外商投资项目核准和备案工作，指导、监督、监察外商投资企业设立及变更的备案工作。区市场监督管理局根据上级要求，配合做好外商投资企业监督管</w:t>
      </w:r>
    </w:p>
    <w:p>
      <w:pPr>
        <w:pStyle w:val="26"/>
        <w:ind w:left="0" w:leftChars="0" w:firstLine="0" w:firstLineChars="0"/>
      </w:pPr>
      <w:r>
        <w:t>理工作。</w:t>
      </w:r>
    </w:p>
    <w:p>
      <w:pPr>
        <w:spacing w:before="0" w:after="0" w:line="240" w:lineRule="auto"/>
        <w:jc w:val="left"/>
        <w:outlineLvl w:val="9"/>
        <w:rPr>
          <w:rFonts w:ascii="方正楷体_GBK" w:hAnsi="方正楷体_GBK" w:eastAsia="方正楷体_GBK" w:cs="方正楷体_GBK"/>
          <w:b/>
          <w:color w:val="000000"/>
          <w:sz w:val="32"/>
        </w:rPr>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石家庄市鹿泉区投资促进局本级</w:t>
            </w:r>
            <w:r>
              <w:tab/>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按照预算管理有关规定，目前部门预算的编制实行综合预算管理，即全部收入和支出都反映在预算中。石家庄市鹿泉区投资促进局机关及所属事业单位的收支包含在部门预算中。</w:t>
      </w:r>
    </w:p>
    <w:p>
      <w:pPr>
        <w:pStyle w:val="19"/>
      </w:pPr>
      <w:r>
        <w:t>1、收入说明</w:t>
      </w:r>
    </w:p>
    <w:p>
      <w:pPr>
        <w:pStyle w:val="19"/>
      </w:pPr>
      <w:r>
        <w:t>反映本部门当年全部收入。2025年预算收入1494.31万元，其中：一般公共预算收入1194.31万元，基金预算收入300.00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石家庄市鹿泉区投资促进局年度部门预算中支出预算的总体情况。2025年支出预算1494.31万元，其中基本支出464.31万元，包括人员经费394.97万元和日常公用经费69.33万元；项目支出1030.00万元，主要为 2025 年度重点研发专项资金 80 万元、房屋装修费20 万元、专项公用经费 10 万元、（部分）房屋租赁费120 万元、委托招商服务费 300 万元、招商引资费 100万元和中关村（鹿泉）创新中心租金及运营费 400万元</w:t>
      </w:r>
    </w:p>
    <w:p>
      <w:pPr>
        <w:pStyle w:val="19"/>
      </w:pPr>
      <w:r>
        <w:t>3、比上年增减情况</w:t>
      </w:r>
    </w:p>
    <w:p>
      <w:pPr>
        <w:pStyle w:val="19"/>
      </w:pPr>
      <w:r>
        <w:t>2025年预算收支安排1494.31万元，较2024年预算减少197.87万元，其中：基本支出增加57.53万元，主要为人员较去年增长 5人，基本支出随之增加项目支出减少255.40万元，主要为中关村（鹿泉）创新中心租金及运营费减少。</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2025年，我部门机关运行经费共计安排69.33万元，主要用于日常维修、办公用房水电费、办公用房取暖费、办公用房物业管理费等日常运行支出。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无增减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keepNext w:val="0"/>
        <w:keepLines w:val="0"/>
        <w:pageBreakBefore w:val="0"/>
        <w:widowControl w:val="0"/>
        <w:kinsoku/>
        <w:wordWrap/>
        <w:overflowPunct/>
        <w:topLinePunct w:val="0"/>
        <w:autoSpaceDE/>
        <w:autoSpaceDN/>
        <w:bidi w:val="0"/>
        <w:adjustRightInd/>
        <w:snapToGrid/>
        <w:spacing w:line="578" w:lineRule="exact"/>
        <w:ind w:firstLine="560" w:firstLineChars="200"/>
        <w:textAlignment w:val="auto"/>
      </w:pPr>
      <w:r>
        <w:rPr>
          <w:rFonts w:hint="eastAsia" w:ascii="Times New Roman" w:hAnsi="Times New Roman" w:eastAsia="方正仿宋_GBK" w:cs="Times New Roman"/>
          <w:sz w:val="28"/>
          <w:szCs w:val="24"/>
          <w:lang w:val="en-US" w:eastAsia="zh-CN" w:bidi="ar-SA"/>
        </w:rPr>
        <w:t>持续加大京津冀、长三角、大湾区招商力度，全年计划引进项目100个以上。将基金建设和招引项目作为工作重点，围绕单一产业和领域设立专项基金，提供优惠让利政策，吸进资本和项目落地，重点支持成果转化和高端科技产业化项目培育。充分发挥智算中心的带动作用，大力招引机器人、人工智能等相关产业落地，率先布局新产业基础。</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keepNext w:val="0"/>
        <w:keepLines w:val="0"/>
        <w:pageBreakBefore w:val="0"/>
        <w:widowControl w:val="0"/>
        <w:kinsoku/>
        <w:wordWrap/>
        <w:overflowPunct/>
        <w:topLinePunct w:val="0"/>
        <w:autoSpaceDE/>
        <w:autoSpaceDN/>
        <w:bidi w:val="0"/>
        <w:adjustRightInd/>
        <w:snapToGrid/>
        <w:spacing w:line="578" w:lineRule="exact"/>
        <w:ind w:firstLine="560" w:firstLineChars="200"/>
        <w:textAlignment w:val="auto"/>
      </w:pPr>
      <w:r>
        <w:rPr>
          <w:rFonts w:hint="eastAsia" w:ascii="Times New Roman" w:hAnsi="Times New Roman" w:eastAsia="方正仿宋_GBK" w:cs="Times New Roman"/>
          <w:sz w:val="28"/>
          <w:szCs w:val="24"/>
          <w:lang w:val="en-US" w:eastAsia="zh-CN" w:bidi="ar-SA"/>
        </w:rPr>
        <w:t>京津冀区域重点围绕央企二三级子公司、电子信息创新类项目和军工项目开展招商引资。力争落地央企三级以上子公司2家以上。力争谋划1个超30亿元以上项目。</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keepNext w:val="0"/>
        <w:keepLines w:val="0"/>
        <w:pageBreakBefore w:val="0"/>
        <w:widowControl w:val="0"/>
        <w:kinsoku/>
        <w:wordWrap/>
        <w:overflowPunct/>
        <w:topLinePunct w:val="0"/>
        <w:autoSpaceDE/>
        <w:autoSpaceDN/>
        <w:bidi w:val="0"/>
        <w:adjustRightInd/>
        <w:snapToGrid/>
        <w:spacing w:line="578" w:lineRule="exact"/>
        <w:ind w:firstLine="560" w:firstLineChars="200"/>
        <w:textAlignment w:val="auto"/>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t>聚焦服务国家重大战略。聚焦京津冀协同发展战略措施，对标国际高标准经贸规则，构建高水平社会主义市场经济体制，吸引更多资源配置能力强、辐射能级高的经营主体集聚。加快构建现代化产业体系。强化高端产业引领功能，重点围绕电子信息产业集群建设，数字经济、绿色低碳、元宇宙和智能终端新赛道开展招商引资工作。加强场景招商。用好本地应用场景优势，面向电子信息、智能制造、绿色食品重点领域，加大低空经济、元宇宙等等新兴应用场景开放力度，以重大产业项目为支撑，吸引创新型企业落地发展。加大招商培训力度。依托投资促进局、开发区招商局和市场化专业力量，提升招商队伍素质，提高专业招商能力，增强招商服务意识，规范招商引资行为。</w:t>
      </w:r>
    </w:p>
    <w:p>
      <w:pPr>
        <w:keepNext w:val="0"/>
        <w:keepLines w:val="0"/>
        <w:pageBreakBefore w:val="0"/>
        <w:widowControl w:val="0"/>
        <w:kinsoku/>
        <w:wordWrap/>
        <w:overflowPunct/>
        <w:topLinePunct w:val="0"/>
        <w:autoSpaceDE/>
        <w:autoSpaceDN/>
        <w:bidi w:val="0"/>
        <w:adjustRightInd/>
        <w:snapToGrid/>
        <w:spacing w:line="578" w:lineRule="exact"/>
        <w:ind w:firstLine="560" w:firstLineChars="200"/>
        <w:textAlignment w:val="auto"/>
        <w:rPr>
          <w:rFonts w:hint="eastAsia" w:ascii="Times New Roman" w:hAnsi="Times New Roman" w:eastAsia="方正仿宋_GBK" w:cs="Times New Roman"/>
          <w:sz w:val="28"/>
          <w:szCs w:val="24"/>
          <w:lang w:val="en-US" w:eastAsia="zh-CN" w:bidi="ar-SA"/>
        </w:rPr>
      </w:pPr>
    </w:p>
    <w:p>
      <w:pPr>
        <w:keepNext w:val="0"/>
        <w:keepLines w:val="0"/>
        <w:pageBreakBefore w:val="0"/>
        <w:widowControl w:val="0"/>
        <w:numPr>
          <w:ilvl w:val="0"/>
          <w:numId w:val="1"/>
        </w:numPr>
        <w:kinsoku/>
        <w:wordWrap/>
        <w:overflowPunct/>
        <w:topLinePunct w:val="0"/>
        <w:autoSpaceDE/>
        <w:autoSpaceDN/>
        <w:bidi w:val="0"/>
        <w:adjustRightInd/>
        <w:snapToGrid/>
        <w:spacing w:line="578" w:lineRule="exact"/>
        <w:textAlignment w:val="auto"/>
        <w:rPr>
          <w:rFonts w:hint="eastAsia" w:ascii="黑体" w:hAnsi="黑体" w:eastAsia="黑体" w:cs="黑体"/>
          <w:color w:val="000000"/>
          <w:sz w:val="32"/>
          <w:lang w:val="en-US" w:eastAsia="zh-CN"/>
        </w:rPr>
      </w:pPr>
      <w:r>
        <w:rPr>
          <w:rFonts w:ascii="黑体" w:hAnsi="黑体" w:eastAsia="黑体" w:cs="黑体"/>
          <w:color w:val="000000"/>
          <w:sz w:val="32"/>
        </w:rPr>
        <w:t>部门主管专项资金预算安排情况及</w:t>
      </w:r>
      <w:r>
        <w:rPr>
          <w:rFonts w:hint="eastAsia" w:ascii="黑体" w:hAnsi="黑体" w:eastAsia="黑体" w:cs="黑体"/>
          <w:color w:val="000000"/>
          <w:sz w:val="32"/>
          <w:lang w:val="en-US" w:eastAsia="zh-CN"/>
        </w:rPr>
        <w:t>绩效</w:t>
      </w:r>
    </w:p>
    <w:p>
      <w:pPr>
        <w:keepNext w:val="0"/>
        <w:keepLines w:val="0"/>
        <w:pageBreakBefore w:val="0"/>
        <w:widowControl w:val="0"/>
        <w:numPr>
          <w:numId w:val="0"/>
        </w:numPr>
        <w:kinsoku/>
        <w:wordWrap/>
        <w:overflowPunct/>
        <w:topLinePunct w:val="0"/>
        <w:autoSpaceDE/>
        <w:autoSpaceDN/>
        <w:bidi w:val="0"/>
        <w:adjustRightInd/>
        <w:snapToGrid/>
        <w:spacing w:line="578" w:lineRule="exact"/>
        <w:textAlignment w:val="auto"/>
        <w:rPr>
          <w:rFonts w:hint="eastAsia" w:ascii="黑体" w:hAnsi="黑体" w:eastAsia="黑体" w:cs="黑体"/>
          <w:color w:val="000000"/>
          <w:sz w:val="32"/>
          <w:lang w:val="en-US" w:eastAsia="zh-CN"/>
        </w:rPr>
      </w:pPr>
    </w:p>
    <w:p>
      <w:pPr>
        <w:keepNext w:val="0"/>
        <w:keepLines w:val="0"/>
        <w:pageBreakBefore w:val="0"/>
        <w:widowControl w:val="0"/>
        <w:numPr>
          <w:numId w:val="0"/>
        </w:numPr>
        <w:kinsoku/>
        <w:wordWrap/>
        <w:overflowPunct/>
        <w:topLinePunct w:val="0"/>
        <w:autoSpaceDE/>
        <w:autoSpaceDN/>
        <w:bidi w:val="0"/>
        <w:adjustRightInd/>
        <w:snapToGrid/>
        <w:spacing w:line="578" w:lineRule="exact"/>
        <w:textAlignment w:val="auto"/>
        <w:rPr>
          <w:rFonts w:hint="default" w:ascii="黑体" w:hAnsi="黑体" w:eastAsia="黑体" w:cs="黑体"/>
          <w:color w:val="000000"/>
          <w:sz w:val="32"/>
          <w:lang w:val="en-US" w:eastAsia="zh-CN"/>
        </w:rPr>
        <w:sectPr>
          <w:pgSz w:w="16840" w:h="11900" w:orient="landscape"/>
          <w:pgMar w:top="1361" w:right="1020" w:bottom="1361" w:left="1020" w:header="720" w:footer="720" w:gutter="0"/>
          <w:cols w:space="720" w:num="1"/>
        </w:sectPr>
      </w:pPr>
      <w:r>
        <w:rPr>
          <w:rFonts w:hint="eastAsia" w:ascii="黑体" w:hAnsi="黑体" w:eastAsia="黑体" w:cs="黑体"/>
          <w:color w:val="000000"/>
          <w:sz w:val="32"/>
          <w:lang w:val="en-US" w:eastAsia="zh-CN"/>
        </w:rPr>
        <w:t>无</w:t>
      </w:r>
    </w:p>
    <w:p>
      <w:pPr>
        <w:spacing w:before="10" w:after="10" w:line="360" w:lineRule="auto"/>
        <w:jc w:val="left"/>
        <w:outlineLvl w:val="2"/>
        <w:sectPr>
          <w:pgSz w:w="16840" w:h="11900" w:orient="landscape"/>
          <w:pgMar w:top="1361" w:right="1020" w:bottom="1134" w:left="1020" w:header="720" w:footer="720" w:gutter="0"/>
          <w:cols w:space="720" w:num="1"/>
        </w:sectPr>
      </w:pPr>
      <w:bookmarkStart w:id="14" w:name="_Toc_3_3_0000000016"/>
      <w:r>
        <w:rPr>
          <w:rFonts w:ascii="黑体" w:hAnsi="黑体" w:eastAsia="黑体" w:cs="黑体"/>
          <w:color w:val="000000"/>
          <w:sz w:val="32"/>
        </w:rPr>
        <w:t>七、部门项目预算安排情况及绩效目标</w:t>
      </w:r>
      <w:bookmarkEnd w:id="14"/>
    </w:p>
    <w:p>
      <w:pPr>
        <w:spacing w:before="0" w:after="0"/>
        <w:ind w:firstLine="560"/>
        <w:jc w:val="left"/>
        <w:outlineLvl w:val="9"/>
      </w:pPr>
      <w:r>
        <w:rPr>
          <w:rFonts w:ascii="方正仿宋_GBK" w:hAnsi="方正仿宋_GBK" w:eastAsia="方正仿宋_GBK" w:cs="方正仿宋_GBK"/>
          <w:color w:val="000000"/>
          <w:sz w:val="28"/>
        </w:rPr>
        <w:t>1、房屋装修费绩效目标表</w:t>
      </w:r>
      <w:bookmarkStart w:id="19" w:name="_GoBack"/>
      <w:bookmarkEnd w:id="19"/>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13011025P003223100034</w:t>
            </w:r>
          </w:p>
        </w:tc>
        <w:tc>
          <w:tcPr>
            <w:tcW w:w="2835" w:type="dxa"/>
            <w:vAlign w:val="center"/>
          </w:tcPr>
          <w:p>
            <w:pPr>
              <w:pStyle w:val="11"/>
            </w:pPr>
            <w:r>
              <w:t>项目名称</w:t>
            </w:r>
          </w:p>
        </w:tc>
        <w:tc>
          <w:tcPr>
            <w:tcW w:w="6095" w:type="dxa"/>
            <w:gridSpan w:val="3"/>
            <w:vAlign w:val="center"/>
          </w:tcPr>
          <w:p>
            <w:pPr>
              <w:pStyle w:val="13"/>
            </w:pPr>
            <w:r>
              <w:t>房屋装修费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办公场所装修费用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1.投促局于2022年6月成立，租赁居然之家1单元4楼为办公场所，总面积为1710平方米，于2022年8月聘请第三方为我单位装修房屋，费用总成本56.19万元，2023年和2024年共支付15万元，尚欠41.19万元，现申请41.19万元。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装修面积</w:t>
            </w:r>
          </w:p>
        </w:tc>
        <w:tc>
          <w:tcPr>
            <w:tcW w:w="5386" w:type="dxa"/>
            <w:vAlign w:val="center"/>
          </w:tcPr>
          <w:p>
            <w:pPr>
              <w:pStyle w:val="13"/>
            </w:pPr>
            <w:r>
              <w:t>装修面积</w:t>
            </w:r>
          </w:p>
        </w:tc>
        <w:tc>
          <w:tcPr>
            <w:tcW w:w="2268" w:type="dxa"/>
            <w:vAlign w:val="center"/>
          </w:tcPr>
          <w:p>
            <w:pPr>
              <w:pStyle w:val="13"/>
            </w:pPr>
            <w:r>
              <w:t>1710平方米</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装修合格率</w:t>
            </w:r>
          </w:p>
        </w:tc>
        <w:tc>
          <w:tcPr>
            <w:tcW w:w="5386" w:type="dxa"/>
            <w:vAlign w:val="center"/>
          </w:tcPr>
          <w:p>
            <w:pPr>
              <w:pStyle w:val="13"/>
            </w:pPr>
            <w:r>
              <w:t>房屋装修合格率</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按时完成率</w:t>
            </w:r>
          </w:p>
        </w:tc>
        <w:tc>
          <w:tcPr>
            <w:tcW w:w="5386" w:type="dxa"/>
            <w:vAlign w:val="center"/>
          </w:tcPr>
          <w:p>
            <w:pPr>
              <w:pStyle w:val="13"/>
            </w:pPr>
            <w:r>
              <w:t>按时完成率（2023年6月前）</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装修成本</w:t>
            </w:r>
          </w:p>
        </w:tc>
        <w:tc>
          <w:tcPr>
            <w:tcW w:w="5386" w:type="dxa"/>
            <w:vAlign w:val="center"/>
          </w:tcPr>
          <w:p>
            <w:pPr>
              <w:pStyle w:val="13"/>
            </w:pPr>
            <w:r>
              <w:t>部分装修成本</w:t>
            </w:r>
          </w:p>
        </w:tc>
        <w:tc>
          <w:tcPr>
            <w:tcW w:w="2268" w:type="dxa"/>
            <w:vAlign w:val="center"/>
          </w:tcPr>
          <w:p>
            <w:pPr>
              <w:pStyle w:val="13"/>
            </w:pPr>
            <w:r>
              <w:t>≤60万元</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持续使用</w:t>
            </w:r>
          </w:p>
        </w:tc>
        <w:tc>
          <w:tcPr>
            <w:tcW w:w="5386" w:type="dxa"/>
            <w:vAlign w:val="center"/>
          </w:tcPr>
          <w:p>
            <w:pPr>
              <w:pStyle w:val="13"/>
            </w:pPr>
            <w:r>
              <w:t>持续使用</w:t>
            </w:r>
          </w:p>
        </w:tc>
        <w:tc>
          <w:tcPr>
            <w:tcW w:w="2268" w:type="dxa"/>
            <w:vAlign w:val="center"/>
          </w:tcPr>
          <w:p>
            <w:pPr>
              <w:pStyle w:val="13"/>
            </w:pPr>
            <w:r>
              <w:t>长期</w:t>
            </w:r>
          </w:p>
        </w:tc>
        <w:tc>
          <w:tcPr>
            <w:tcW w:w="1276" w:type="dxa"/>
            <w:vAlign w:val="center"/>
          </w:tcPr>
          <w:p>
            <w:pPr>
              <w:pStyle w:val="13"/>
            </w:pPr>
            <w:r>
              <w:t>历史经验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2、房屋租赁费绩效目标表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13011025P00322110003Q</w:t>
            </w:r>
          </w:p>
        </w:tc>
        <w:tc>
          <w:tcPr>
            <w:tcW w:w="2835" w:type="dxa"/>
            <w:vAlign w:val="center"/>
          </w:tcPr>
          <w:p>
            <w:pPr>
              <w:pStyle w:val="11"/>
            </w:pPr>
            <w:r>
              <w:t>项目名称</w:t>
            </w:r>
          </w:p>
        </w:tc>
        <w:tc>
          <w:tcPr>
            <w:tcW w:w="6095" w:type="dxa"/>
            <w:gridSpan w:val="3"/>
            <w:vAlign w:val="center"/>
          </w:tcPr>
          <w:p>
            <w:pPr>
              <w:pStyle w:val="13"/>
            </w:pPr>
            <w:r>
              <w:t>房屋租赁费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120.00</w:t>
            </w:r>
          </w:p>
        </w:tc>
        <w:tc>
          <w:tcPr>
            <w:tcW w:w="2835" w:type="dxa"/>
            <w:vAlign w:val="center"/>
          </w:tcPr>
          <w:p>
            <w:pPr>
              <w:pStyle w:val="11"/>
            </w:pPr>
            <w:r>
              <w:t>其中：财政    资金</w:t>
            </w:r>
          </w:p>
        </w:tc>
        <w:tc>
          <w:tcPr>
            <w:tcW w:w="2551" w:type="dxa"/>
            <w:vAlign w:val="center"/>
          </w:tcPr>
          <w:p>
            <w:pPr>
              <w:pStyle w:val="13"/>
            </w:pPr>
            <w:r>
              <w:t>120.00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办公场所租赁费用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1.租用1710平方米办公场所，确保投资促进局的工作有序开展。</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办公用房面积</w:t>
            </w:r>
          </w:p>
        </w:tc>
        <w:tc>
          <w:tcPr>
            <w:tcW w:w="5386" w:type="dxa"/>
            <w:vAlign w:val="center"/>
          </w:tcPr>
          <w:p>
            <w:pPr>
              <w:pStyle w:val="13"/>
            </w:pPr>
            <w:r>
              <w:t>办公用房面积</w:t>
            </w:r>
          </w:p>
        </w:tc>
        <w:tc>
          <w:tcPr>
            <w:tcW w:w="2268" w:type="dxa"/>
            <w:vAlign w:val="center"/>
          </w:tcPr>
          <w:p>
            <w:pPr>
              <w:pStyle w:val="13"/>
            </w:pPr>
            <w:r>
              <w:t>1710平方米</w:t>
            </w:r>
          </w:p>
        </w:tc>
        <w:tc>
          <w:tcPr>
            <w:tcW w:w="1276" w:type="dxa"/>
            <w:vAlign w:val="center"/>
          </w:tcPr>
          <w:p>
            <w:pPr>
              <w:pStyle w:val="13"/>
            </w:pPr>
            <w:r>
              <w:t>发改投资【2014】2674号</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办公用房质量</w:t>
            </w:r>
          </w:p>
        </w:tc>
        <w:tc>
          <w:tcPr>
            <w:tcW w:w="5386" w:type="dxa"/>
            <w:vAlign w:val="center"/>
          </w:tcPr>
          <w:p>
            <w:pPr>
              <w:pStyle w:val="13"/>
            </w:pPr>
            <w:r>
              <w:t>办公用房质量</w:t>
            </w:r>
          </w:p>
        </w:tc>
        <w:tc>
          <w:tcPr>
            <w:tcW w:w="2268" w:type="dxa"/>
            <w:vAlign w:val="center"/>
          </w:tcPr>
          <w:p>
            <w:pPr>
              <w:pStyle w:val="13"/>
            </w:pPr>
            <w:r>
              <w:t>办公用房质量优良</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完成房屋租赁支付时间</w:t>
            </w:r>
          </w:p>
        </w:tc>
        <w:tc>
          <w:tcPr>
            <w:tcW w:w="5386" w:type="dxa"/>
            <w:vAlign w:val="center"/>
          </w:tcPr>
          <w:p>
            <w:pPr>
              <w:pStyle w:val="13"/>
            </w:pPr>
            <w:r>
              <w:t>完成房屋租赁支付时间</w:t>
            </w:r>
          </w:p>
        </w:tc>
        <w:tc>
          <w:tcPr>
            <w:tcW w:w="2268" w:type="dxa"/>
            <w:vAlign w:val="center"/>
          </w:tcPr>
          <w:p>
            <w:pPr>
              <w:pStyle w:val="13"/>
            </w:pPr>
            <w:r>
              <w:t>12月底前完成房屋部分租赁费用</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单位成本</w:t>
            </w:r>
          </w:p>
        </w:tc>
        <w:tc>
          <w:tcPr>
            <w:tcW w:w="5386" w:type="dxa"/>
            <w:vAlign w:val="center"/>
          </w:tcPr>
          <w:p>
            <w:pPr>
              <w:pStyle w:val="13"/>
            </w:pPr>
            <w:r>
              <w:t>租赁办公场所的单位成本</w:t>
            </w:r>
          </w:p>
        </w:tc>
        <w:tc>
          <w:tcPr>
            <w:tcW w:w="2268" w:type="dxa"/>
            <w:vAlign w:val="center"/>
          </w:tcPr>
          <w:p>
            <w:pPr>
              <w:pStyle w:val="13"/>
            </w:pPr>
            <w:r>
              <w:t>≤40元/天/平米</w:t>
            </w:r>
          </w:p>
        </w:tc>
        <w:tc>
          <w:tcPr>
            <w:tcW w:w="1276" w:type="dxa"/>
            <w:vAlign w:val="center"/>
          </w:tcPr>
          <w:p>
            <w:pPr>
              <w:pStyle w:val="13"/>
            </w:pPr>
            <w:r>
              <w:t>市场行情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2024年部分房屋租赁费用</w:t>
            </w:r>
          </w:p>
        </w:tc>
        <w:tc>
          <w:tcPr>
            <w:tcW w:w="5386" w:type="dxa"/>
            <w:vAlign w:val="center"/>
          </w:tcPr>
          <w:p>
            <w:pPr>
              <w:pStyle w:val="13"/>
            </w:pPr>
            <w:r>
              <w:t>2024年部分房屋租赁费用</w:t>
            </w:r>
          </w:p>
        </w:tc>
        <w:tc>
          <w:tcPr>
            <w:tcW w:w="2268" w:type="dxa"/>
            <w:vAlign w:val="center"/>
          </w:tcPr>
          <w:p>
            <w:pPr>
              <w:pStyle w:val="13"/>
            </w:pPr>
            <w:r>
              <w:t>≤30万元</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房屋租赁期限</w:t>
            </w:r>
          </w:p>
        </w:tc>
        <w:tc>
          <w:tcPr>
            <w:tcW w:w="5386" w:type="dxa"/>
            <w:vAlign w:val="center"/>
          </w:tcPr>
          <w:p>
            <w:pPr>
              <w:pStyle w:val="13"/>
            </w:pPr>
            <w:r>
              <w:t>房屋租赁期限</w:t>
            </w:r>
          </w:p>
        </w:tc>
        <w:tc>
          <w:tcPr>
            <w:tcW w:w="2268" w:type="dxa"/>
            <w:vAlign w:val="center"/>
          </w:tcPr>
          <w:p>
            <w:pPr>
              <w:pStyle w:val="13"/>
            </w:pPr>
            <w:r>
              <w:t>≥3年</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办公人员满意度</w:t>
            </w:r>
          </w:p>
        </w:tc>
        <w:tc>
          <w:tcPr>
            <w:tcW w:w="5386" w:type="dxa"/>
            <w:vAlign w:val="center"/>
          </w:tcPr>
          <w:p>
            <w:pPr>
              <w:pStyle w:val="13"/>
            </w:pPr>
            <w:r>
              <w:t>办公人员满意度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3、河北绿岛科技委托招商费绩效目标表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13011025P00323110006T</w:t>
            </w:r>
          </w:p>
        </w:tc>
        <w:tc>
          <w:tcPr>
            <w:tcW w:w="2835" w:type="dxa"/>
            <w:vAlign w:val="center"/>
          </w:tcPr>
          <w:p>
            <w:pPr>
              <w:pStyle w:val="11"/>
            </w:pPr>
            <w:r>
              <w:t>项目名称</w:t>
            </w:r>
          </w:p>
        </w:tc>
        <w:tc>
          <w:tcPr>
            <w:tcW w:w="6095" w:type="dxa"/>
            <w:gridSpan w:val="3"/>
            <w:vAlign w:val="center"/>
          </w:tcPr>
          <w:p>
            <w:pPr>
              <w:pStyle w:val="13"/>
            </w:pPr>
            <w:r>
              <w:t>河北绿岛科技委托招商费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绿岛科技委托招商费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1.根据协议完成委托的招商任务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签订招商代理个数</w:t>
            </w:r>
          </w:p>
        </w:tc>
        <w:tc>
          <w:tcPr>
            <w:tcW w:w="5386" w:type="dxa"/>
            <w:vAlign w:val="center"/>
          </w:tcPr>
          <w:p>
            <w:pPr>
              <w:pStyle w:val="13"/>
            </w:pPr>
            <w:r>
              <w:t>签订招商代理个数</w:t>
            </w:r>
          </w:p>
        </w:tc>
        <w:tc>
          <w:tcPr>
            <w:tcW w:w="2268" w:type="dxa"/>
            <w:vAlign w:val="center"/>
          </w:tcPr>
          <w:p>
            <w:pPr>
              <w:pStyle w:val="13"/>
            </w:pPr>
            <w:r>
              <w:t>1个</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招商代理完成率</w:t>
            </w:r>
          </w:p>
        </w:tc>
        <w:tc>
          <w:tcPr>
            <w:tcW w:w="5386" w:type="dxa"/>
            <w:vAlign w:val="center"/>
          </w:tcPr>
          <w:p>
            <w:pPr>
              <w:pStyle w:val="13"/>
            </w:pPr>
            <w:r>
              <w:t>招商代理按照合同约定完成率</w:t>
            </w:r>
          </w:p>
        </w:tc>
        <w:tc>
          <w:tcPr>
            <w:tcW w:w="2268" w:type="dxa"/>
            <w:vAlign w:val="center"/>
          </w:tcPr>
          <w:p>
            <w:pPr>
              <w:pStyle w:val="13"/>
            </w:pPr>
            <w:r>
              <w:t>100%</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招商代理按时完成率</w:t>
            </w:r>
          </w:p>
        </w:tc>
        <w:tc>
          <w:tcPr>
            <w:tcW w:w="5386" w:type="dxa"/>
            <w:vAlign w:val="center"/>
          </w:tcPr>
          <w:p>
            <w:pPr>
              <w:pStyle w:val="13"/>
            </w:pPr>
            <w:r>
              <w:t>按预定进度完成招商代理的签订</w:t>
            </w:r>
          </w:p>
        </w:tc>
        <w:tc>
          <w:tcPr>
            <w:tcW w:w="2268" w:type="dxa"/>
            <w:vAlign w:val="center"/>
          </w:tcPr>
          <w:p>
            <w:pPr>
              <w:pStyle w:val="13"/>
            </w:pPr>
            <w:r>
              <w:t>≤1年</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签约代理商单位成本</w:t>
            </w:r>
          </w:p>
        </w:tc>
        <w:tc>
          <w:tcPr>
            <w:tcW w:w="5386" w:type="dxa"/>
            <w:vAlign w:val="center"/>
          </w:tcPr>
          <w:p>
            <w:pPr>
              <w:pStyle w:val="13"/>
            </w:pPr>
            <w:r>
              <w:t>签约代理商单位成本</w:t>
            </w:r>
          </w:p>
        </w:tc>
        <w:tc>
          <w:tcPr>
            <w:tcW w:w="2268" w:type="dxa"/>
            <w:vAlign w:val="center"/>
          </w:tcPr>
          <w:p>
            <w:pPr>
              <w:pStyle w:val="13"/>
            </w:pPr>
            <w:r>
              <w:t>≤300万元/地区</w:t>
            </w:r>
          </w:p>
        </w:tc>
        <w:tc>
          <w:tcPr>
            <w:tcW w:w="1276" w:type="dxa"/>
            <w:vAlign w:val="center"/>
          </w:tcPr>
          <w:p>
            <w:pPr>
              <w:pStyle w:val="13"/>
            </w:pPr>
            <w:r>
              <w:t>市场行情</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长期为我区扩大招商引资力量</w:t>
            </w:r>
          </w:p>
        </w:tc>
        <w:tc>
          <w:tcPr>
            <w:tcW w:w="5386" w:type="dxa"/>
            <w:vAlign w:val="center"/>
          </w:tcPr>
          <w:p>
            <w:pPr>
              <w:pStyle w:val="13"/>
            </w:pPr>
            <w:r>
              <w:t>长期为我区扩大招商引资力量</w:t>
            </w:r>
          </w:p>
        </w:tc>
        <w:tc>
          <w:tcPr>
            <w:tcW w:w="2268" w:type="dxa"/>
            <w:vAlign w:val="center"/>
          </w:tcPr>
          <w:p>
            <w:pPr>
              <w:pStyle w:val="13"/>
            </w:pPr>
            <w:r>
              <w:t>长期</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签约客商满意度</w:t>
            </w:r>
          </w:p>
        </w:tc>
        <w:tc>
          <w:tcPr>
            <w:tcW w:w="5386" w:type="dxa"/>
            <w:vAlign w:val="center"/>
          </w:tcPr>
          <w:p>
            <w:pPr>
              <w:pStyle w:val="13"/>
            </w:pPr>
            <w:r>
              <w:t>签约客商满意度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4、基于粮食安全的肉禽饲粮蛋白减量制剂应用绩效目标表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13011025P00001211099K</w:t>
            </w:r>
          </w:p>
        </w:tc>
        <w:tc>
          <w:tcPr>
            <w:tcW w:w="2835" w:type="dxa"/>
            <w:vAlign w:val="center"/>
          </w:tcPr>
          <w:p>
            <w:pPr>
              <w:pStyle w:val="11"/>
            </w:pPr>
            <w:r>
              <w:t>项目名称</w:t>
            </w:r>
          </w:p>
        </w:tc>
        <w:tc>
          <w:tcPr>
            <w:tcW w:w="6095" w:type="dxa"/>
            <w:gridSpan w:val="3"/>
            <w:vAlign w:val="center"/>
          </w:tcPr>
          <w:p>
            <w:pPr>
              <w:pStyle w:val="13"/>
            </w:pPr>
            <w:r>
              <w:t>基于粮食安全的肉禽饲粮蛋白减量制剂应用</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80.00</w:t>
            </w:r>
          </w:p>
        </w:tc>
        <w:tc>
          <w:tcPr>
            <w:tcW w:w="2835" w:type="dxa"/>
            <w:vAlign w:val="center"/>
          </w:tcPr>
          <w:p>
            <w:pPr>
              <w:pStyle w:val="11"/>
            </w:pPr>
            <w:r>
              <w:t>其中：财政    资金</w:t>
            </w:r>
          </w:p>
        </w:tc>
        <w:tc>
          <w:tcPr>
            <w:tcW w:w="2551" w:type="dxa"/>
            <w:vAlign w:val="center"/>
          </w:tcPr>
          <w:p>
            <w:pPr>
              <w:pStyle w:val="13"/>
            </w:pPr>
            <w:r>
              <w:t>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主要用于引进转化中国农业科学院饲料研究所基于粮食安全的肉禽蛋白减量制剂方面创新成果及技术服务</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60%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 引进中国农业科学院饲料研究所基于粮食安全的肉禽饲量蛋白减量制剂方面创新成果及技术服务，建立应用示范基地，助力我省肉禽产业新质生产力发展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 xml:space="preserve"> 引进技术数</w:t>
            </w:r>
          </w:p>
        </w:tc>
        <w:tc>
          <w:tcPr>
            <w:tcW w:w="5386" w:type="dxa"/>
            <w:vAlign w:val="center"/>
          </w:tcPr>
          <w:p>
            <w:pPr>
              <w:pStyle w:val="13"/>
            </w:pPr>
            <w:r>
              <w:t xml:space="preserve"> 引进省外院校创新成果数量</w:t>
            </w:r>
          </w:p>
        </w:tc>
        <w:tc>
          <w:tcPr>
            <w:tcW w:w="2268" w:type="dxa"/>
            <w:vAlign w:val="center"/>
          </w:tcPr>
          <w:p>
            <w:pPr>
              <w:pStyle w:val="13"/>
            </w:pPr>
            <w:r>
              <w:t>≥1 个</w:t>
            </w:r>
          </w:p>
        </w:tc>
        <w:tc>
          <w:tcPr>
            <w:tcW w:w="1276" w:type="dxa"/>
            <w:vAlign w:val="center"/>
          </w:tcPr>
          <w:p>
            <w:pPr>
              <w:pStyle w:val="13"/>
            </w:pPr>
            <w:r>
              <w:t xml:space="preserve"> 合作协议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 xml:space="preserve"> 技术水平</w:t>
            </w:r>
          </w:p>
        </w:tc>
        <w:tc>
          <w:tcPr>
            <w:tcW w:w="5386" w:type="dxa"/>
            <w:vAlign w:val="center"/>
          </w:tcPr>
          <w:p>
            <w:pPr>
              <w:pStyle w:val="13"/>
            </w:pPr>
            <w:r>
              <w:t xml:space="preserve"> 引进技术达到的技术水平</w:t>
            </w:r>
          </w:p>
        </w:tc>
        <w:tc>
          <w:tcPr>
            <w:tcW w:w="2268" w:type="dxa"/>
            <w:vAlign w:val="center"/>
          </w:tcPr>
          <w:p>
            <w:pPr>
              <w:pStyle w:val="13"/>
            </w:pPr>
            <w:r>
              <w:t>国内先进水平及以上</w:t>
            </w:r>
          </w:p>
        </w:tc>
        <w:tc>
          <w:tcPr>
            <w:tcW w:w="1276" w:type="dxa"/>
            <w:vAlign w:val="center"/>
          </w:tcPr>
          <w:p>
            <w:pPr>
              <w:pStyle w:val="13"/>
            </w:pPr>
            <w:r>
              <w:t xml:space="preserve"> 专家评审报告</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 xml:space="preserve"> 支付及时率</w:t>
            </w:r>
          </w:p>
        </w:tc>
        <w:tc>
          <w:tcPr>
            <w:tcW w:w="5386" w:type="dxa"/>
            <w:vAlign w:val="center"/>
          </w:tcPr>
          <w:p>
            <w:pPr>
              <w:pStyle w:val="13"/>
            </w:pPr>
            <w:r>
              <w:t xml:space="preserve"> 项目单位将所引进技术费用支付合作院校的时间</w:t>
            </w:r>
          </w:p>
        </w:tc>
        <w:tc>
          <w:tcPr>
            <w:tcW w:w="2268" w:type="dxa"/>
            <w:vAlign w:val="center"/>
          </w:tcPr>
          <w:p>
            <w:pPr>
              <w:pStyle w:val="13"/>
            </w:pPr>
            <w:r>
              <w:t>100%</w:t>
            </w:r>
          </w:p>
        </w:tc>
        <w:tc>
          <w:tcPr>
            <w:tcW w:w="1276" w:type="dxa"/>
            <w:vAlign w:val="center"/>
          </w:tcPr>
          <w:p>
            <w:pPr>
              <w:pStyle w:val="13"/>
            </w:pPr>
            <w:r>
              <w:t>财务票据、合作协议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 xml:space="preserve"> 省级财政资金支持</w:t>
            </w:r>
          </w:p>
        </w:tc>
        <w:tc>
          <w:tcPr>
            <w:tcW w:w="5386" w:type="dxa"/>
            <w:vAlign w:val="center"/>
          </w:tcPr>
          <w:p>
            <w:pPr>
              <w:pStyle w:val="13"/>
            </w:pPr>
            <w:r>
              <w:t xml:space="preserve"> 申报项目获得省级财政专项支持资金数</w:t>
            </w:r>
          </w:p>
        </w:tc>
        <w:tc>
          <w:tcPr>
            <w:tcW w:w="2268" w:type="dxa"/>
            <w:vAlign w:val="center"/>
          </w:tcPr>
          <w:p>
            <w:pPr>
              <w:pStyle w:val="13"/>
            </w:pPr>
            <w:r>
              <w:t>80 万</w:t>
            </w:r>
          </w:p>
        </w:tc>
        <w:tc>
          <w:tcPr>
            <w:tcW w:w="1276" w:type="dxa"/>
            <w:vAlign w:val="center"/>
          </w:tcPr>
          <w:p>
            <w:pPr>
              <w:pStyle w:val="13"/>
            </w:pPr>
            <w:r>
              <w:t>项目申报材料</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 xml:space="preserve"> 拉动投资数</w:t>
            </w:r>
          </w:p>
        </w:tc>
        <w:tc>
          <w:tcPr>
            <w:tcW w:w="5386" w:type="dxa"/>
            <w:vAlign w:val="center"/>
          </w:tcPr>
          <w:p>
            <w:pPr>
              <w:pStyle w:val="13"/>
            </w:pPr>
            <w:r>
              <w:t xml:space="preserve"> 创新成果转化落地拉动企业投资数</w:t>
            </w:r>
          </w:p>
        </w:tc>
        <w:tc>
          <w:tcPr>
            <w:tcW w:w="2268" w:type="dxa"/>
            <w:vAlign w:val="center"/>
          </w:tcPr>
          <w:p>
            <w:pPr>
              <w:pStyle w:val="13"/>
            </w:pPr>
            <w:r>
              <w:t>≥80 万</w:t>
            </w:r>
          </w:p>
        </w:tc>
        <w:tc>
          <w:tcPr>
            <w:tcW w:w="1276" w:type="dxa"/>
            <w:vAlign w:val="center"/>
          </w:tcPr>
          <w:p>
            <w:pPr>
              <w:pStyle w:val="13"/>
            </w:pPr>
            <w:r>
              <w:t>项目申报材料及进展情况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 xml:space="preserve"> 促进成果转化项目数量</w:t>
            </w:r>
          </w:p>
        </w:tc>
        <w:tc>
          <w:tcPr>
            <w:tcW w:w="5386" w:type="dxa"/>
            <w:vAlign w:val="center"/>
          </w:tcPr>
          <w:p>
            <w:pPr>
              <w:pStyle w:val="13"/>
            </w:pPr>
            <w:r>
              <w:t xml:space="preserve"> 引进省外院校创新成果转化项目数量</w:t>
            </w:r>
          </w:p>
        </w:tc>
        <w:tc>
          <w:tcPr>
            <w:tcW w:w="2268" w:type="dxa"/>
            <w:vAlign w:val="center"/>
          </w:tcPr>
          <w:p>
            <w:pPr>
              <w:pStyle w:val="13"/>
            </w:pPr>
            <w:r>
              <w:t>≥1 个</w:t>
            </w:r>
          </w:p>
        </w:tc>
        <w:tc>
          <w:tcPr>
            <w:tcW w:w="1276" w:type="dxa"/>
            <w:vAlign w:val="center"/>
          </w:tcPr>
          <w:p>
            <w:pPr>
              <w:pStyle w:val="13"/>
            </w:pPr>
            <w:r>
              <w:t>项目申报材料及进展情况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 xml:space="preserve"> 持续促进成果转化</w:t>
            </w:r>
          </w:p>
        </w:tc>
        <w:tc>
          <w:tcPr>
            <w:tcW w:w="5386" w:type="dxa"/>
            <w:vAlign w:val="center"/>
          </w:tcPr>
          <w:p>
            <w:pPr>
              <w:pStyle w:val="13"/>
            </w:pPr>
            <w:r>
              <w:t xml:space="preserve"> 持续促进成果转化</w:t>
            </w:r>
          </w:p>
        </w:tc>
        <w:tc>
          <w:tcPr>
            <w:tcW w:w="2268" w:type="dxa"/>
            <w:vAlign w:val="center"/>
          </w:tcPr>
          <w:p>
            <w:pPr>
              <w:pStyle w:val="13"/>
            </w:pPr>
            <w:r>
              <w:t xml:space="preserve"> 持续影响</w:t>
            </w:r>
          </w:p>
        </w:tc>
        <w:tc>
          <w:tcPr>
            <w:tcW w:w="1276" w:type="dxa"/>
            <w:vAlign w:val="center"/>
          </w:tcPr>
          <w:p>
            <w:pPr>
              <w:pStyle w:val="13"/>
            </w:pPr>
            <w:r>
              <w:t>项目申报材料及进展情况</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相关人员满意程度</w:t>
            </w:r>
          </w:p>
        </w:tc>
        <w:tc>
          <w:tcPr>
            <w:tcW w:w="5386" w:type="dxa"/>
            <w:vAlign w:val="center"/>
          </w:tcPr>
          <w:p>
            <w:pPr>
              <w:pStyle w:val="13"/>
            </w:pPr>
            <w:r>
              <w:t>相关人员满意程度</w:t>
            </w:r>
          </w:p>
        </w:tc>
        <w:tc>
          <w:tcPr>
            <w:tcW w:w="2268" w:type="dxa"/>
            <w:vAlign w:val="center"/>
          </w:tcPr>
          <w:p>
            <w:pPr>
              <w:pStyle w:val="13"/>
            </w:pPr>
            <w:r>
              <w:t>≥80%</w:t>
            </w:r>
          </w:p>
        </w:tc>
        <w:tc>
          <w:tcPr>
            <w:tcW w:w="1276" w:type="dxa"/>
            <w:vAlign w:val="center"/>
          </w:tcPr>
          <w:p>
            <w:pPr>
              <w:pStyle w:val="13"/>
            </w:pPr>
            <w:r>
              <w:t xml:space="preserve"> 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5、招商引资绩效目标表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13011025P00323310003B</w:t>
            </w:r>
          </w:p>
        </w:tc>
        <w:tc>
          <w:tcPr>
            <w:tcW w:w="2835" w:type="dxa"/>
            <w:vAlign w:val="center"/>
          </w:tcPr>
          <w:p>
            <w:pPr>
              <w:pStyle w:val="11"/>
            </w:pPr>
            <w:r>
              <w:t>项目名称</w:t>
            </w:r>
          </w:p>
        </w:tc>
        <w:tc>
          <w:tcPr>
            <w:tcW w:w="6095" w:type="dxa"/>
            <w:gridSpan w:val="3"/>
            <w:vAlign w:val="center"/>
          </w:tcPr>
          <w:p>
            <w:pPr>
              <w:pStyle w:val="13"/>
            </w:pPr>
            <w:r>
              <w:t>招商引资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招商引资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1.为扩大鹿泉区招商引资力量，我局常规出差，所花费的差旅费、商务接待费、出差期间伙食补助及交通补助、举办会议等相关费用，预计865.37万元，现申请150万支付正常工作，保障业务部门常规出差。</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举办常规活动次数</w:t>
            </w:r>
          </w:p>
        </w:tc>
        <w:tc>
          <w:tcPr>
            <w:tcW w:w="5386" w:type="dxa"/>
            <w:vAlign w:val="center"/>
          </w:tcPr>
          <w:p>
            <w:pPr>
              <w:pStyle w:val="13"/>
            </w:pPr>
            <w:r>
              <w:t>举办常规活动次数</w:t>
            </w:r>
          </w:p>
        </w:tc>
        <w:tc>
          <w:tcPr>
            <w:tcW w:w="2268" w:type="dxa"/>
            <w:vAlign w:val="center"/>
          </w:tcPr>
          <w:p>
            <w:pPr>
              <w:pStyle w:val="13"/>
            </w:pPr>
            <w:r>
              <w:t>≥5次</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全年出差天数</w:t>
            </w:r>
          </w:p>
        </w:tc>
        <w:tc>
          <w:tcPr>
            <w:tcW w:w="5386" w:type="dxa"/>
            <w:vAlign w:val="center"/>
          </w:tcPr>
          <w:p>
            <w:pPr>
              <w:pStyle w:val="13"/>
            </w:pPr>
            <w:r>
              <w:t>全年出差天数</w:t>
            </w:r>
          </w:p>
        </w:tc>
        <w:tc>
          <w:tcPr>
            <w:tcW w:w="2268" w:type="dxa"/>
            <w:vAlign w:val="center"/>
          </w:tcPr>
          <w:p>
            <w:pPr>
              <w:pStyle w:val="13"/>
            </w:pPr>
            <w:r>
              <w:t>≥180天</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本年度签约客商落地率</w:t>
            </w:r>
          </w:p>
        </w:tc>
        <w:tc>
          <w:tcPr>
            <w:tcW w:w="5386" w:type="dxa"/>
            <w:vAlign w:val="center"/>
          </w:tcPr>
          <w:p>
            <w:pPr>
              <w:pStyle w:val="13"/>
            </w:pPr>
            <w:r>
              <w:t>本年度签约客商落地率</w:t>
            </w:r>
          </w:p>
        </w:tc>
        <w:tc>
          <w:tcPr>
            <w:tcW w:w="2268" w:type="dxa"/>
            <w:vAlign w:val="center"/>
          </w:tcPr>
          <w:p>
            <w:pPr>
              <w:pStyle w:val="13"/>
            </w:pPr>
            <w:r>
              <w:t>≥60%</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招商完成时间</w:t>
            </w:r>
          </w:p>
        </w:tc>
        <w:tc>
          <w:tcPr>
            <w:tcW w:w="5386" w:type="dxa"/>
            <w:vAlign w:val="center"/>
          </w:tcPr>
          <w:p>
            <w:pPr>
              <w:pStyle w:val="13"/>
            </w:pPr>
            <w:r>
              <w:t>招商完成时间</w:t>
            </w:r>
          </w:p>
        </w:tc>
        <w:tc>
          <w:tcPr>
            <w:tcW w:w="2268" w:type="dxa"/>
            <w:vAlign w:val="center"/>
          </w:tcPr>
          <w:p>
            <w:pPr>
              <w:pStyle w:val="13"/>
            </w:pPr>
            <w:r>
              <w:t>1年</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差旅费部分费用</w:t>
            </w:r>
          </w:p>
        </w:tc>
        <w:tc>
          <w:tcPr>
            <w:tcW w:w="5386" w:type="dxa"/>
            <w:vAlign w:val="center"/>
          </w:tcPr>
          <w:p>
            <w:pPr>
              <w:pStyle w:val="13"/>
            </w:pPr>
            <w:r>
              <w:t>差旅费部分费用</w:t>
            </w:r>
          </w:p>
        </w:tc>
        <w:tc>
          <w:tcPr>
            <w:tcW w:w="2268" w:type="dxa"/>
            <w:vAlign w:val="center"/>
          </w:tcPr>
          <w:p>
            <w:pPr>
              <w:pStyle w:val="13"/>
            </w:pPr>
            <w:r>
              <w:t>≤100万元</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签约客商持续影响力</w:t>
            </w:r>
          </w:p>
        </w:tc>
        <w:tc>
          <w:tcPr>
            <w:tcW w:w="5386" w:type="dxa"/>
            <w:vAlign w:val="center"/>
          </w:tcPr>
          <w:p>
            <w:pPr>
              <w:pStyle w:val="13"/>
            </w:pPr>
            <w:r>
              <w:t>签约客商持续影响力</w:t>
            </w:r>
          </w:p>
        </w:tc>
        <w:tc>
          <w:tcPr>
            <w:tcW w:w="2268" w:type="dxa"/>
            <w:vAlign w:val="center"/>
          </w:tcPr>
          <w:p>
            <w:pPr>
              <w:pStyle w:val="13"/>
            </w:pPr>
            <w:r>
              <w:t>长期</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客商满意度</w:t>
            </w:r>
          </w:p>
        </w:tc>
        <w:tc>
          <w:tcPr>
            <w:tcW w:w="5386" w:type="dxa"/>
            <w:vAlign w:val="center"/>
          </w:tcPr>
          <w:p>
            <w:pPr>
              <w:pStyle w:val="13"/>
            </w:pPr>
            <w:r>
              <w:t>客商满意度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6、中关村鹿泉创新中心租金和运营服务费绩效目标表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13011025P00323510004A</w:t>
            </w:r>
          </w:p>
        </w:tc>
        <w:tc>
          <w:tcPr>
            <w:tcW w:w="2835" w:type="dxa"/>
            <w:vAlign w:val="center"/>
          </w:tcPr>
          <w:p>
            <w:pPr>
              <w:pStyle w:val="11"/>
            </w:pPr>
            <w:r>
              <w:t>项目名称</w:t>
            </w:r>
          </w:p>
        </w:tc>
        <w:tc>
          <w:tcPr>
            <w:tcW w:w="6095" w:type="dxa"/>
            <w:gridSpan w:val="3"/>
            <w:vAlign w:val="center"/>
          </w:tcPr>
          <w:p>
            <w:pPr>
              <w:pStyle w:val="13"/>
            </w:pPr>
            <w:r>
              <w:t>中关村鹿泉创新中心租金和运营服务费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100.00</w:t>
            </w:r>
          </w:p>
        </w:tc>
        <w:tc>
          <w:tcPr>
            <w:tcW w:w="2835" w:type="dxa"/>
            <w:vAlign w:val="center"/>
          </w:tcPr>
          <w:p>
            <w:pPr>
              <w:pStyle w:val="11"/>
            </w:pPr>
            <w:r>
              <w:t>其中：财政    资金</w:t>
            </w:r>
          </w:p>
        </w:tc>
        <w:tc>
          <w:tcPr>
            <w:tcW w:w="2551" w:type="dxa"/>
            <w:vAlign w:val="center"/>
          </w:tcPr>
          <w:p>
            <w:pPr>
              <w:pStyle w:val="13"/>
            </w:pPr>
            <w:r>
              <w:t>100.00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委托中关村进行招商引资</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1.支付中关村房屋租赁、运营费，争取为我区引进更多优质项目，强化与北京交流对接，推进电子信息做大做强。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补贴企业数量</w:t>
            </w:r>
          </w:p>
        </w:tc>
        <w:tc>
          <w:tcPr>
            <w:tcW w:w="5386" w:type="dxa"/>
            <w:vAlign w:val="center"/>
          </w:tcPr>
          <w:p>
            <w:pPr>
              <w:pStyle w:val="13"/>
            </w:pPr>
            <w:r>
              <w:t>补贴企业数量</w:t>
            </w:r>
          </w:p>
        </w:tc>
        <w:tc>
          <w:tcPr>
            <w:tcW w:w="2268" w:type="dxa"/>
            <w:vAlign w:val="center"/>
          </w:tcPr>
          <w:p>
            <w:pPr>
              <w:pStyle w:val="13"/>
            </w:pPr>
            <w:r>
              <w:t>1个</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补贴完成率</w:t>
            </w:r>
          </w:p>
        </w:tc>
        <w:tc>
          <w:tcPr>
            <w:tcW w:w="5386" w:type="dxa"/>
            <w:vAlign w:val="center"/>
          </w:tcPr>
          <w:p>
            <w:pPr>
              <w:pStyle w:val="13"/>
            </w:pPr>
            <w:r>
              <w:t>补贴中关村项目的完成率</w:t>
            </w:r>
          </w:p>
        </w:tc>
        <w:tc>
          <w:tcPr>
            <w:tcW w:w="2268" w:type="dxa"/>
            <w:vAlign w:val="center"/>
          </w:tcPr>
          <w:p>
            <w:pPr>
              <w:pStyle w:val="13"/>
            </w:pPr>
            <w:r>
              <w:t>100%</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补贴按时完成率</w:t>
            </w:r>
          </w:p>
        </w:tc>
        <w:tc>
          <w:tcPr>
            <w:tcW w:w="5386" w:type="dxa"/>
            <w:vAlign w:val="center"/>
          </w:tcPr>
          <w:p>
            <w:pPr>
              <w:pStyle w:val="13"/>
            </w:pPr>
            <w:r>
              <w:t>补贴按时完成率（截止到2024年12月底）</w:t>
            </w:r>
          </w:p>
        </w:tc>
        <w:tc>
          <w:tcPr>
            <w:tcW w:w="2268" w:type="dxa"/>
            <w:vAlign w:val="center"/>
          </w:tcPr>
          <w:p>
            <w:pPr>
              <w:pStyle w:val="13"/>
            </w:pPr>
            <w:r>
              <w:t>100%</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项目部分成本</w:t>
            </w:r>
          </w:p>
        </w:tc>
        <w:tc>
          <w:tcPr>
            <w:tcW w:w="5386" w:type="dxa"/>
            <w:vAlign w:val="center"/>
          </w:tcPr>
          <w:p>
            <w:pPr>
              <w:pStyle w:val="13"/>
            </w:pPr>
            <w:r>
              <w:t>项目部分成本</w:t>
            </w:r>
          </w:p>
        </w:tc>
        <w:tc>
          <w:tcPr>
            <w:tcW w:w="2268" w:type="dxa"/>
            <w:vAlign w:val="center"/>
          </w:tcPr>
          <w:p>
            <w:pPr>
              <w:pStyle w:val="13"/>
            </w:pPr>
            <w:r>
              <w:t>100万元</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持续推进我区电子信息企业做大做强</w:t>
            </w:r>
          </w:p>
        </w:tc>
        <w:tc>
          <w:tcPr>
            <w:tcW w:w="5386" w:type="dxa"/>
            <w:vAlign w:val="center"/>
          </w:tcPr>
          <w:p>
            <w:pPr>
              <w:pStyle w:val="13"/>
            </w:pPr>
            <w:r>
              <w:t>持续推进我区电子信息企业做大做强</w:t>
            </w:r>
          </w:p>
        </w:tc>
        <w:tc>
          <w:tcPr>
            <w:tcW w:w="2268" w:type="dxa"/>
            <w:vAlign w:val="center"/>
          </w:tcPr>
          <w:p>
            <w:pPr>
              <w:pStyle w:val="13"/>
            </w:pPr>
            <w:r>
              <w:t>长期</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入驻中关村创新平台的企业满意度</w:t>
            </w:r>
          </w:p>
        </w:tc>
        <w:tc>
          <w:tcPr>
            <w:tcW w:w="5386" w:type="dxa"/>
            <w:vAlign w:val="center"/>
          </w:tcPr>
          <w:p>
            <w:pPr>
              <w:pStyle w:val="13"/>
            </w:pPr>
            <w:r>
              <w:t>入驻中关村创新平台的企业满意度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7、中关村鹿泉创新中心租金和运营服务费绩效目标表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13011025P00323510005X</w:t>
            </w:r>
          </w:p>
        </w:tc>
        <w:tc>
          <w:tcPr>
            <w:tcW w:w="2835" w:type="dxa"/>
            <w:vAlign w:val="center"/>
          </w:tcPr>
          <w:p>
            <w:pPr>
              <w:pStyle w:val="11"/>
            </w:pPr>
            <w:r>
              <w:t>项目名称</w:t>
            </w:r>
          </w:p>
        </w:tc>
        <w:tc>
          <w:tcPr>
            <w:tcW w:w="6095" w:type="dxa"/>
            <w:gridSpan w:val="3"/>
            <w:vAlign w:val="center"/>
          </w:tcPr>
          <w:p>
            <w:pPr>
              <w:pStyle w:val="13"/>
            </w:pPr>
            <w:r>
              <w:t>中关村鹿泉创新中心租金和运营服务费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w:t>
            </w:r>
          </w:p>
        </w:tc>
        <w:tc>
          <w:tcPr>
            <w:tcW w:w="2835" w:type="dxa"/>
            <w:vAlign w:val="center"/>
          </w:tcPr>
          <w:p>
            <w:pPr>
              <w:pStyle w:val="11"/>
            </w:pPr>
            <w:r>
              <w:t>其中：财政    资金</w:t>
            </w:r>
          </w:p>
        </w:tc>
        <w:tc>
          <w:tcPr>
            <w:tcW w:w="2551" w:type="dxa"/>
            <w:vAlign w:val="center"/>
          </w:tcPr>
          <w:p>
            <w:pPr>
              <w:pStyle w:val="13"/>
            </w:pPr>
            <w:r>
              <w:t>300.00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委托中关村进行招商引资</w:t>
            </w:r>
            <w:r>
              <w:tab/>
            </w:r>
            <w:r>
              <w:tab/>
            </w:r>
            <w:r>
              <w:tab/>
            </w:r>
            <w:r>
              <w:tab/>
            </w:r>
            <w:r>
              <w:tab/>
            </w:r>
            <w:r>
              <w:tab/>
            </w:r>
            <w:r>
              <w:tab/>
            </w:r>
          </w:p>
          <w:p>
            <w:pPr>
              <w:pStyle w:val="13"/>
            </w:pP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1.支付中关村房屋租赁、运营费，争取为我区引进更多优质项目，强化与北京交流对接，推进电子信息做大做强。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补贴企业数量</w:t>
            </w:r>
          </w:p>
        </w:tc>
        <w:tc>
          <w:tcPr>
            <w:tcW w:w="5386" w:type="dxa"/>
            <w:vAlign w:val="center"/>
          </w:tcPr>
          <w:p>
            <w:pPr>
              <w:pStyle w:val="13"/>
            </w:pPr>
            <w:r>
              <w:t>补贴企业数量</w:t>
            </w:r>
          </w:p>
        </w:tc>
        <w:tc>
          <w:tcPr>
            <w:tcW w:w="2268" w:type="dxa"/>
            <w:vAlign w:val="center"/>
          </w:tcPr>
          <w:p>
            <w:pPr>
              <w:pStyle w:val="13"/>
            </w:pPr>
            <w:r>
              <w:t>1个</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补贴完成率</w:t>
            </w:r>
          </w:p>
        </w:tc>
        <w:tc>
          <w:tcPr>
            <w:tcW w:w="5386" w:type="dxa"/>
            <w:vAlign w:val="center"/>
          </w:tcPr>
          <w:p>
            <w:pPr>
              <w:pStyle w:val="13"/>
            </w:pPr>
            <w:r>
              <w:t>补贴中关村项目的完成率</w:t>
            </w:r>
          </w:p>
        </w:tc>
        <w:tc>
          <w:tcPr>
            <w:tcW w:w="2268" w:type="dxa"/>
            <w:vAlign w:val="center"/>
          </w:tcPr>
          <w:p>
            <w:pPr>
              <w:pStyle w:val="13"/>
            </w:pPr>
            <w:r>
              <w:t>100%</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补贴按时完成率</w:t>
            </w:r>
          </w:p>
        </w:tc>
        <w:tc>
          <w:tcPr>
            <w:tcW w:w="5386" w:type="dxa"/>
            <w:vAlign w:val="center"/>
          </w:tcPr>
          <w:p>
            <w:pPr>
              <w:pStyle w:val="13"/>
            </w:pPr>
            <w:r>
              <w:t>补贴按时完成率（截止到2024年12月底）</w:t>
            </w:r>
          </w:p>
        </w:tc>
        <w:tc>
          <w:tcPr>
            <w:tcW w:w="2268" w:type="dxa"/>
            <w:vAlign w:val="center"/>
          </w:tcPr>
          <w:p>
            <w:pPr>
              <w:pStyle w:val="13"/>
            </w:pPr>
            <w:r>
              <w:t>100%</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项目部分成本</w:t>
            </w:r>
          </w:p>
        </w:tc>
        <w:tc>
          <w:tcPr>
            <w:tcW w:w="5386" w:type="dxa"/>
            <w:vAlign w:val="center"/>
          </w:tcPr>
          <w:p>
            <w:pPr>
              <w:pStyle w:val="13"/>
            </w:pPr>
            <w:r>
              <w:t>项目部分成本</w:t>
            </w:r>
          </w:p>
        </w:tc>
        <w:tc>
          <w:tcPr>
            <w:tcW w:w="2268" w:type="dxa"/>
            <w:vAlign w:val="center"/>
          </w:tcPr>
          <w:p>
            <w:pPr>
              <w:pStyle w:val="13"/>
            </w:pPr>
            <w:r>
              <w:t>100万元</w:t>
            </w:r>
          </w:p>
        </w:tc>
        <w:tc>
          <w:tcPr>
            <w:tcW w:w="1276" w:type="dxa"/>
            <w:vAlign w:val="center"/>
          </w:tcPr>
          <w:p>
            <w:pPr>
              <w:pStyle w:val="13"/>
            </w:pPr>
            <w:r>
              <w:t>实施方案</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持续推进我区电子信息企业做大做强</w:t>
            </w:r>
          </w:p>
        </w:tc>
        <w:tc>
          <w:tcPr>
            <w:tcW w:w="5386" w:type="dxa"/>
            <w:vAlign w:val="center"/>
          </w:tcPr>
          <w:p>
            <w:pPr>
              <w:pStyle w:val="13"/>
            </w:pPr>
            <w:r>
              <w:t>持续推进我区电子信息企业做大做强</w:t>
            </w:r>
          </w:p>
        </w:tc>
        <w:tc>
          <w:tcPr>
            <w:tcW w:w="2268" w:type="dxa"/>
            <w:vAlign w:val="center"/>
          </w:tcPr>
          <w:p>
            <w:pPr>
              <w:pStyle w:val="13"/>
            </w:pPr>
            <w:r>
              <w:t>长期</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入驻中关村创新平台的企业满意度</w:t>
            </w:r>
          </w:p>
        </w:tc>
        <w:tc>
          <w:tcPr>
            <w:tcW w:w="5386" w:type="dxa"/>
            <w:vAlign w:val="center"/>
          </w:tcPr>
          <w:p>
            <w:pPr>
              <w:pStyle w:val="13"/>
            </w:pPr>
            <w:r>
              <w:t>入驻中关村创新平台的企业满意度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8、专项公用经费绩效目标表</w:t>
      </w:r>
    </w:p>
    <w:tbl>
      <w:tblPr>
        <w:tblStyle w:val="5"/>
        <w:tblW w:w="0" w:type="auto"/>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13011025P00322510003F</w:t>
            </w:r>
          </w:p>
        </w:tc>
        <w:tc>
          <w:tcPr>
            <w:tcW w:w="2835" w:type="dxa"/>
            <w:vAlign w:val="center"/>
          </w:tcPr>
          <w:p>
            <w:pPr>
              <w:pStyle w:val="11"/>
            </w:pPr>
            <w:r>
              <w:t>项目名称</w:t>
            </w:r>
          </w:p>
        </w:tc>
        <w:tc>
          <w:tcPr>
            <w:tcW w:w="6095" w:type="dxa"/>
            <w:gridSpan w:val="3"/>
            <w:vAlign w:val="center"/>
          </w:tcPr>
          <w:p>
            <w:pPr>
              <w:pStyle w:val="13"/>
            </w:pPr>
            <w:r>
              <w:t>专项公用经费</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物业费用、专项网络费用等</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30%</w:t>
            </w:r>
          </w:p>
        </w:tc>
        <w:tc>
          <w:tcPr>
            <w:tcW w:w="2835" w:type="dxa"/>
            <w:vAlign w:val="center"/>
          </w:tcPr>
          <w:p>
            <w:pPr>
              <w:pStyle w:val="14"/>
            </w:pPr>
            <w:r>
              <w:t>50%</w:t>
            </w:r>
          </w:p>
        </w:tc>
        <w:tc>
          <w:tcPr>
            <w:tcW w:w="2551" w:type="dxa"/>
            <w:vAlign w:val="center"/>
          </w:tcPr>
          <w:p>
            <w:pPr>
              <w:pStyle w:val="14"/>
            </w:pPr>
            <w:r>
              <w:t>80%</w:t>
            </w:r>
          </w:p>
        </w:tc>
        <w:tc>
          <w:tcPr>
            <w:tcW w:w="3544" w:type="dxa"/>
            <w:gridSpan w:val="2"/>
            <w:vAlign w:val="center"/>
          </w:tcPr>
          <w:p>
            <w:pPr>
              <w:pStyle w:val="14"/>
            </w:pPr>
            <w:r>
              <w:t>100%</w:t>
            </w:r>
          </w:p>
        </w:tc>
      </w:tr>
      <w:tr>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1.支付网络租赁费、物业管理等相关费用，保证投促局2024年正常运转。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保障正常运转单位数量</w:t>
            </w:r>
          </w:p>
        </w:tc>
        <w:tc>
          <w:tcPr>
            <w:tcW w:w="5386" w:type="dxa"/>
            <w:vAlign w:val="center"/>
          </w:tcPr>
          <w:p>
            <w:pPr>
              <w:pStyle w:val="13"/>
            </w:pPr>
            <w:r>
              <w:t>保障正常运转单位数量</w:t>
            </w:r>
          </w:p>
        </w:tc>
        <w:tc>
          <w:tcPr>
            <w:tcW w:w="2268" w:type="dxa"/>
            <w:vAlign w:val="center"/>
          </w:tcPr>
          <w:p>
            <w:pPr>
              <w:pStyle w:val="13"/>
            </w:pPr>
            <w:r>
              <w:t>1个</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网络及物业合格率</w:t>
            </w:r>
          </w:p>
        </w:tc>
        <w:tc>
          <w:tcPr>
            <w:tcW w:w="5386" w:type="dxa"/>
            <w:vAlign w:val="center"/>
          </w:tcPr>
          <w:p>
            <w:pPr>
              <w:pStyle w:val="13"/>
            </w:pPr>
            <w:r>
              <w:t>网络及物业合格率</w:t>
            </w:r>
          </w:p>
        </w:tc>
        <w:tc>
          <w:tcPr>
            <w:tcW w:w="2268" w:type="dxa"/>
            <w:vAlign w:val="center"/>
          </w:tcPr>
          <w:p>
            <w:pPr>
              <w:pStyle w:val="13"/>
            </w:pPr>
            <w:r>
              <w:t>≥90%</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及时支付相关费用</w:t>
            </w:r>
          </w:p>
        </w:tc>
        <w:tc>
          <w:tcPr>
            <w:tcW w:w="5386" w:type="dxa"/>
            <w:vAlign w:val="center"/>
          </w:tcPr>
          <w:p>
            <w:pPr>
              <w:pStyle w:val="13"/>
            </w:pPr>
            <w:r>
              <w:t>及时支付相关费用（2024年12月前）</w:t>
            </w:r>
          </w:p>
        </w:tc>
        <w:tc>
          <w:tcPr>
            <w:tcW w:w="2268" w:type="dxa"/>
            <w:vAlign w:val="center"/>
          </w:tcPr>
          <w:p>
            <w:pPr>
              <w:pStyle w:val="13"/>
            </w:pPr>
            <w:r>
              <w:t>1年</w:t>
            </w:r>
          </w:p>
        </w:tc>
        <w:tc>
          <w:tcPr>
            <w:tcW w:w="1276" w:type="dxa"/>
            <w:vAlign w:val="center"/>
          </w:tcPr>
          <w:p>
            <w:pPr>
              <w:pStyle w:val="13"/>
            </w:pPr>
            <w:r>
              <w:t>历年经验</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项目成本</w:t>
            </w:r>
          </w:p>
        </w:tc>
        <w:tc>
          <w:tcPr>
            <w:tcW w:w="5386" w:type="dxa"/>
            <w:vAlign w:val="center"/>
          </w:tcPr>
          <w:p>
            <w:pPr>
              <w:pStyle w:val="13"/>
            </w:pPr>
            <w:r>
              <w:t>部门项目成本</w:t>
            </w:r>
          </w:p>
        </w:tc>
        <w:tc>
          <w:tcPr>
            <w:tcW w:w="2268" w:type="dxa"/>
            <w:vAlign w:val="center"/>
          </w:tcPr>
          <w:p>
            <w:pPr>
              <w:pStyle w:val="13"/>
            </w:pPr>
            <w:r>
              <w:t>10万元</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长期正常运转</w:t>
            </w:r>
          </w:p>
        </w:tc>
        <w:tc>
          <w:tcPr>
            <w:tcW w:w="5386" w:type="dxa"/>
            <w:vAlign w:val="center"/>
          </w:tcPr>
          <w:p>
            <w:pPr>
              <w:pStyle w:val="13"/>
            </w:pPr>
            <w:r>
              <w:t>保障单位长期正常运转</w:t>
            </w:r>
          </w:p>
        </w:tc>
        <w:tc>
          <w:tcPr>
            <w:tcW w:w="2268" w:type="dxa"/>
            <w:vAlign w:val="center"/>
          </w:tcPr>
          <w:p>
            <w:pPr>
              <w:pStyle w:val="13"/>
            </w:pPr>
            <w:r>
              <w:t>1年</w:t>
            </w:r>
          </w:p>
        </w:tc>
        <w:tc>
          <w:tcPr>
            <w:tcW w:w="1276" w:type="dxa"/>
            <w:vAlign w:val="center"/>
          </w:tcPr>
          <w:p>
            <w:pPr>
              <w:pStyle w:val="13"/>
            </w:pPr>
            <w:r>
              <w:t>部门计划</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办公人员满意度</w:t>
            </w:r>
          </w:p>
        </w:tc>
        <w:tc>
          <w:tcPr>
            <w:tcW w:w="5386" w:type="dxa"/>
            <w:vAlign w:val="center"/>
          </w:tcPr>
          <w:p>
            <w:pPr>
              <w:pStyle w:val="13"/>
            </w:pPr>
            <w:r>
              <w:t>办公人员满意度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5" w:name="_Toc_3_3_0000000017"/>
      <w:r>
        <w:rPr>
          <w:rFonts w:ascii="黑体" w:hAnsi="黑体" w:eastAsia="黑体" w:cs="黑体"/>
          <w:color w:val="000000"/>
          <w:sz w:val="32"/>
        </w:rPr>
        <w:t>八、政府采购预算情况</w:t>
      </w:r>
      <w:bookmarkEnd w:id="15"/>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321石家庄市鹿泉区投资促进局</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36.73</w:t>
            </w:r>
          </w:p>
        </w:tc>
        <w:tc>
          <w:tcPr>
            <w:tcW w:w="964" w:type="dxa"/>
            <w:vAlign w:val="center"/>
          </w:tcPr>
          <w:p>
            <w:pPr>
              <w:pStyle w:val="16"/>
            </w:pPr>
            <w:r>
              <w:t>36.73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36.73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5"/>
            </w:pPr>
            <w:r>
              <w:t>石家庄市鹿泉区投资促进局本级</w:t>
            </w:r>
            <w:r>
              <w:tab/>
            </w:r>
            <w:r>
              <w:t>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36.73</w:t>
            </w:r>
          </w:p>
        </w:tc>
        <w:tc>
          <w:tcPr>
            <w:tcW w:w="964" w:type="dxa"/>
            <w:vAlign w:val="center"/>
          </w:tcPr>
          <w:p>
            <w:pPr>
              <w:pStyle w:val="16"/>
            </w:pPr>
            <w:r>
              <w:t>36.73</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36.73</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15.60</w:t>
            </w:r>
          </w:p>
        </w:tc>
        <w:tc>
          <w:tcPr>
            <w:tcW w:w="1134" w:type="dxa"/>
            <w:vAlign w:val="center"/>
          </w:tcPr>
          <w:p>
            <w:pPr>
              <w:pStyle w:val="13"/>
            </w:pPr>
            <w:r>
              <w:t>台式计算机</w:t>
            </w:r>
          </w:p>
        </w:tc>
        <w:tc>
          <w:tcPr>
            <w:tcW w:w="1134" w:type="dxa"/>
            <w:vAlign w:val="center"/>
          </w:tcPr>
          <w:p>
            <w:pPr>
              <w:pStyle w:val="13"/>
            </w:pPr>
            <w:r>
              <w:t>A02010105</w:t>
            </w:r>
          </w:p>
        </w:tc>
        <w:tc>
          <w:tcPr>
            <w:tcW w:w="709" w:type="dxa"/>
            <w:vAlign w:val="center"/>
          </w:tcPr>
          <w:p>
            <w:pPr>
              <w:pStyle w:val="14"/>
            </w:pPr>
            <w:r>
              <w:t>台</w:t>
            </w:r>
          </w:p>
        </w:tc>
        <w:tc>
          <w:tcPr>
            <w:tcW w:w="850" w:type="dxa"/>
            <w:vAlign w:val="center"/>
          </w:tcPr>
          <w:p>
            <w:pPr>
              <w:pStyle w:val="12"/>
            </w:pPr>
            <w:r>
              <w:t>3</w:t>
            </w:r>
          </w:p>
        </w:tc>
        <w:tc>
          <w:tcPr>
            <w:tcW w:w="850" w:type="dxa"/>
            <w:vAlign w:val="center"/>
          </w:tcPr>
          <w:p>
            <w:pPr>
              <w:pStyle w:val="12"/>
            </w:pPr>
            <w:r>
              <w:t>0.50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15.60</w:t>
            </w:r>
          </w:p>
        </w:tc>
        <w:tc>
          <w:tcPr>
            <w:tcW w:w="1134" w:type="dxa"/>
            <w:vAlign w:val="center"/>
          </w:tcPr>
          <w:p>
            <w:pPr>
              <w:pStyle w:val="13"/>
            </w:pPr>
            <w:r>
              <w:t>多功能一体机</w:t>
            </w:r>
          </w:p>
        </w:tc>
        <w:tc>
          <w:tcPr>
            <w:tcW w:w="1134" w:type="dxa"/>
            <w:vAlign w:val="center"/>
          </w:tcPr>
          <w:p>
            <w:pPr>
              <w:pStyle w:val="13"/>
            </w:pPr>
            <w:r>
              <w:t>A02020400</w:t>
            </w:r>
          </w:p>
        </w:tc>
        <w:tc>
          <w:tcPr>
            <w:tcW w:w="709" w:type="dxa"/>
            <w:vAlign w:val="center"/>
          </w:tcPr>
          <w:p>
            <w:pPr>
              <w:pStyle w:val="14"/>
            </w:pPr>
            <w:r>
              <w:t>台</w:t>
            </w:r>
          </w:p>
        </w:tc>
        <w:tc>
          <w:tcPr>
            <w:tcW w:w="850" w:type="dxa"/>
            <w:vAlign w:val="center"/>
          </w:tcPr>
          <w:p>
            <w:pPr>
              <w:pStyle w:val="12"/>
            </w:pPr>
            <w:r>
              <w:t>5</w:t>
            </w:r>
          </w:p>
        </w:tc>
        <w:tc>
          <w:tcPr>
            <w:tcW w:w="850" w:type="dxa"/>
            <w:vAlign w:val="center"/>
          </w:tcPr>
          <w:p>
            <w:pPr>
              <w:pStyle w:val="12"/>
            </w:pPr>
            <w:r>
              <w:t>0.30</w:t>
            </w:r>
          </w:p>
        </w:tc>
        <w:tc>
          <w:tcPr>
            <w:tcW w:w="964" w:type="dxa"/>
            <w:vAlign w:val="center"/>
          </w:tcPr>
          <w:p>
            <w:pPr>
              <w:pStyle w:val="12"/>
            </w:pPr>
            <w:r>
              <w:t>1.50</w:t>
            </w:r>
          </w:p>
        </w:tc>
        <w:tc>
          <w:tcPr>
            <w:tcW w:w="964" w:type="dxa"/>
            <w:vAlign w:val="center"/>
          </w:tcPr>
          <w:p>
            <w:pPr>
              <w:pStyle w:val="12"/>
            </w:pPr>
            <w:r>
              <w:t>1.50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15.60</w:t>
            </w:r>
          </w:p>
        </w:tc>
        <w:tc>
          <w:tcPr>
            <w:tcW w:w="1134" w:type="dxa"/>
            <w:vAlign w:val="center"/>
          </w:tcPr>
          <w:p>
            <w:pPr>
              <w:pStyle w:val="13"/>
            </w:pPr>
            <w:r>
              <w:t>液晶显示器</w:t>
            </w:r>
          </w:p>
        </w:tc>
        <w:tc>
          <w:tcPr>
            <w:tcW w:w="1134" w:type="dxa"/>
            <w:vAlign w:val="center"/>
          </w:tcPr>
          <w:p>
            <w:pPr>
              <w:pStyle w:val="13"/>
            </w:pPr>
            <w:r>
              <w:t>A02021104</w:t>
            </w:r>
          </w:p>
        </w:tc>
        <w:tc>
          <w:tcPr>
            <w:tcW w:w="709" w:type="dxa"/>
            <w:vAlign w:val="center"/>
          </w:tcPr>
          <w:p>
            <w:pPr>
              <w:pStyle w:val="14"/>
            </w:pPr>
            <w:r>
              <w:t>台</w:t>
            </w:r>
          </w:p>
        </w:tc>
        <w:tc>
          <w:tcPr>
            <w:tcW w:w="850" w:type="dxa"/>
            <w:vAlign w:val="center"/>
          </w:tcPr>
          <w:p>
            <w:pPr>
              <w:pStyle w:val="12"/>
            </w:pPr>
            <w:r>
              <w:t>4</w:t>
            </w:r>
          </w:p>
        </w:tc>
        <w:tc>
          <w:tcPr>
            <w:tcW w:w="850" w:type="dxa"/>
            <w:vAlign w:val="center"/>
          </w:tcPr>
          <w:p>
            <w:pPr>
              <w:pStyle w:val="12"/>
            </w:pPr>
            <w:r>
              <w:t>0.10</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15.60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15.60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5</w:t>
            </w:r>
          </w:p>
        </w:tc>
        <w:tc>
          <w:tcPr>
            <w:tcW w:w="850" w:type="dxa"/>
            <w:vAlign w:val="center"/>
          </w:tcPr>
          <w:p>
            <w:pPr>
              <w:pStyle w:val="12"/>
            </w:pPr>
            <w:r>
              <w:t>0.15</w:t>
            </w:r>
          </w:p>
        </w:tc>
        <w:tc>
          <w:tcPr>
            <w:tcW w:w="964" w:type="dxa"/>
            <w:vAlign w:val="center"/>
          </w:tcPr>
          <w:p>
            <w:pPr>
              <w:pStyle w:val="12"/>
            </w:pPr>
            <w:r>
              <w:t>0.75</w:t>
            </w:r>
          </w:p>
        </w:tc>
        <w:tc>
          <w:tcPr>
            <w:tcW w:w="964" w:type="dxa"/>
            <w:vAlign w:val="center"/>
          </w:tcPr>
          <w:p>
            <w:pPr>
              <w:pStyle w:val="12"/>
            </w:pPr>
            <w:r>
              <w:t>0.75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15.60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5</w:t>
            </w:r>
          </w:p>
        </w:tc>
        <w:tc>
          <w:tcPr>
            <w:tcW w:w="850" w:type="dxa"/>
            <w:vAlign w:val="center"/>
          </w:tcPr>
          <w:p>
            <w:pPr>
              <w:pStyle w:val="12"/>
            </w:pPr>
            <w:r>
              <w:t>0.04</w:t>
            </w:r>
          </w:p>
        </w:tc>
        <w:tc>
          <w:tcPr>
            <w:tcW w:w="964" w:type="dxa"/>
            <w:vAlign w:val="center"/>
          </w:tcPr>
          <w:p>
            <w:pPr>
              <w:pStyle w:val="12"/>
            </w:pPr>
            <w:r>
              <w:t>0.18</w:t>
            </w:r>
          </w:p>
        </w:tc>
        <w:tc>
          <w:tcPr>
            <w:tcW w:w="964" w:type="dxa"/>
            <w:vAlign w:val="center"/>
          </w:tcPr>
          <w:p>
            <w:pPr>
              <w:pStyle w:val="12"/>
            </w:pPr>
            <w:r>
              <w:t>0.18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0.18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15.60</w:t>
            </w:r>
          </w:p>
        </w:tc>
        <w:tc>
          <w:tcPr>
            <w:tcW w:w="1134" w:type="dxa"/>
            <w:vAlign w:val="center"/>
          </w:tcPr>
          <w:p>
            <w:pPr>
              <w:pStyle w:val="13"/>
            </w:pPr>
            <w:r>
              <w:t>书柜</w:t>
            </w:r>
          </w:p>
        </w:tc>
        <w:tc>
          <w:tcPr>
            <w:tcW w:w="1134" w:type="dxa"/>
            <w:vAlign w:val="center"/>
          </w:tcPr>
          <w:p>
            <w:pPr>
              <w:pStyle w:val="13"/>
            </w:pPr>
            <w:r>
              <w:t>A05010501</w:t>
            </w:r>
          </w:p>
        </w:tc>
        <w:tc>
          <w:tcPr>
            <w:tcW w:w="709" w:type="dxa"/>
            <w:vAlign w:val="center"/>
          </w:tcPr>
          <w:p>
            <w:pPr>
              <w:pStyle w:val="14"/>
            </w:pPr>
            <w:r>
              <w:t>件</w:t>
            </w:r>
          </w:p>
        </w:tc>
        <w:tc>
          <w:tcPr>
            <w:tcW w:w="850" w:type="dxa"/>
            <w:vAlign w:val="center"/>
          </w:tcPr>
          <w:p>
            <w:pPr>
              <w:pStyle w:val="12"/>
            </w:pPr>
            <w:r>
              <w:t>5</w:t>
            </w:r>
          </w:p>
        </w:tc>
        <w:tc>
          <w:tcPr>
            <w:tcW w:w="850" w:type="dxa"/>
            <w:vAlign w:val="center"/>
          </w:tcPr>
          <w:p>
            <w:pPr>
              <w:pStyle w:val="12"/>
            </w:pPr>
            <w:r>
              <w:t>0.12</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15.60</w:t>
            </w:r>
          </w:p>
        </w:tc>
        <w:tc>
          <w:tcPr>
            <w:tcW w:w="1134" w:type="dxa"/>
            <w:vAlign w:val="center"/>
          </w:tcPr>
          <w:p>
            <w:pPr>
              <w:pStyle w:val="13"/>
            </w:pPr>
            <w:r>
              <w:t>文件柜</w:t>
            </w:r>
          </w:p>
        </w:tc>
        <w:tc>
          <w:tcPr>
            <w:tcW w:w="1134" w:type="dxa"/>
            <w:vAlign w:val="center"/>
          </w:tcPr>
          <w:p>
            <w:pPr>
              <w:pStyle w:val="13"/>
            </w:pPr>
            <w:r>
              <w:t>A05010502</w:t>
            </w:r>
          </w:p>
        </w:tc>
        <w:tc>
          <w:tcPr>
            <w:tcW w:w="709" w:type="dxa"/>
            <w:vAlign w:val="center"/>
          </w:tcPr>
          <w:p>
            <w:pPr>
              <w:pStyle w:val="14"/>
            </w:pPr>
            <w:r>
              <w:t>件</w:t>
            </w:r>
          </w:p>
        </w:tc>
        <w:tc>
          <w:tcPr>
            <w:tcW w:w="850" w:type="dxa"/>
            <w:vAlign w:val="center"/>
          </w:tcPr>
          <w:p>
            <w:pPr>
              <w:pStyle w:val="12"/>
            </w:pPr>
            <w:r>
              <w:t>5</w:t>
            </w:r>
          </w:p>
        </w:tc>
        <w:tc>
          <w:tcPr>
            <w:tcW w:w="850" w:type="dxa"/>
            <w:vAlign w:val="center"/>
          </w:tcPr>
          <w:p>
            <w:pPr>
              <w:pStyle w:val="12"/>
            </w:pPr>
            <w:r>
              <w:t>0.08</w:t>
            </w:r>
          </w:p>
        </w:tc>
        <w:tc>
          <w:tcPr>
            <w:tcW w:w="964" w:type="dxa"/>
            <w:vAlign w:val="center"/>
          </w:tcPr>
          <w:p>
            <w:pPr>
              <w:pStyle w:val="12"/>
            </w:pPr>
            <w:r>
              <w:t>0.40</w:t>
            </w:r>
          </w:p>
        </w:tc>
        <w:tc>
          <w:tcPr>
            <w:tcW w:w="964" w:type="dxa"/>
            <w:vAlign w:val="center"/>
          </w:tcPr>
          <w:p>
            <w:pPr>
              <w:pStyle w:val="12"/>
            </w:pPr>
            <w:r>
              <w:t>0.40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0.40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公用经费一</w:t>
            </w:r>
          </w:p>
        </w:tc>
        <w:tc>
          <w:tcPr>
            <w:tcW w:w="964" w:type="dxa"/>
            <w:vAlign w:val="center"/>
          </w:tcPr>
          <w:p>
            <w:pPr>
              <w:pStyle w:val="12"/>
            </w:pPr>
            <w:r>
              <w:t>15.60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箱</w:t>
            </w:r>
          </w:p>
        </w:tc>
        <w:tc>
          <w:tcPr>
            <w:tcW w:w="850" w:type="dxa"/>
            <w:vAlign w:val="center"/>
          </w:tcPr>
          <w:p>
            <w:pPr>
              <w:pStyle w:val="12"/>
            </w:pPr>
            <w:r>
              <w:t>50</w:t>
            </w:r>
          </w:p>
        </w:tc>
        <w:tc>
          <w:tcPr>
            <w:tcW w:w="850" w:type="dxa"/>
            <w:vAlign w:val="center"/>
          </w:tcPr>
          <w:p>
            <w:pPr>
              <w:pStyle w:val="12"/>
            </w:pPr>
            <w:r>
              <w:t>0.02</w:t>
            </w:r>
          </w:p>
        </w:tc>
        <w:tc>
          <w:tcPr>
            <w:tcW w:w="964" w:type="dxa"/>
            <w:vAlign w:val="center"/>
          </w:tcPr>
          <w:p>
            <w:pPr>
              <w:pStyle w:val="12"/>
            </w:pPr>
            <w:r>
              <w:t>1.20</w:t>
            </w:r>
          </w:p>
        </w:tc>
        <w:tc>
          <w:tcPr>
            <w:tcW w:w="964" w:type="dxa"/>
            <w:vAlign w:val="center"/>
          </w:tcPr>
          <w:p>
            <w:pPr>
              <w:pStyle w:val="12"/>
            </w:pPr>
            <w:r>
              <w:t>1.20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pPr>
              <w:pStyle w:val="13"/>
            </w:pPr>
            <w:r>
              <w:t>房屋租赁费</w:t>
            </w:r>
          </w:p>
        </w:tc>
        <w:tc>
          <w:tcPr>
            <w:tcW w:w="964" w:type="dxa"/>
            <w:vAlign w:val="center"/>
          </w:tcPr>
          <w:p>
            <w:pPr>
              <w:pStyle w:val="12"/>
            </w:pPr>
            <w:r>
              <w:t>120.00</w:t>
            </w:r>
          </w:p>
        </w:tc>
        <w:tc>
          <w:tcPr>
            <w:tcW w:w="1134" w:type="dxa"/>
            <w:vAlign w:val="center"/>
          </w:tcPr>
          <w:p>
            <w:pPr>
              <w:pStyle w:val="13"/>
            </w:pPr>
            <w:r>
              <w:t>房屋租赁服务</w:t>
            </w:r>
          </w:p>
        </w:tc>
        <w:tc>
          <w:tcPr>
            <w:tcW w:w="1134" w:type="dxa"/>
            <w:vAlign w:val="center"/>
          </w:tcPr>
          <w:p>
            <w:pPr>
              <w:pStyle w:val="13"/>
            </w:pPr>
            <w:r>
              <w:t>C21020000</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30.00</w:t>
            </w:r>
          </w:p>
        </w:tc>
        <w:tc>
          <w:tcPr>
            <w:tcW w:w="964" w:type="dxa"/>
            <w:vAlign w:val="center"/>
          </w:tcPr>
          <w:p>
            <w:pPr>
              <w:pStyle w:val="12"/>
            </w:pPr>
            <w:r>
              <w:t>30.00</w:t>
            </w:r>
          </w:p>
        </w:tc>
        <w:tc>
          <w:tcPr>
            <w:tcW w:w="964" w:type="dxa"/>
            <w:vAlign w:val="center"/>
          </w:tcPr>
          <w:p>
            <w:pPr>
              <w:pStyle w:val="12"/>
            </w:pPr>
            <w:r>
              <w:t>30.00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30.00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6" w:name="_Toc_3_3_0000000018"/>
      <w:r>
        <w:rPr>
          <w:rFonts w:ascii="黑体" w:hAnsi="黑体" w:eastAsia="黑体" w:cs="黑体"/>
          <w:color w:val="000000"/>
          <w:sz w:val="32"/>
        </w:rPr>
        <w:t>九、国有资产信息</w:t>
      </w:r>
      <w:bookmarkEnd w:id="16"/>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石家庄市鹿泉区投资促进局（含所属单位）上年末固定资产金额为48.35万元（详见下表）。本年度拟购置固定资产总额为0.00万元，已按要求列入政府采购预算，详见政府采购预算表。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pPr>
              <w:pStyle w:val="10"/>
            </w:pPr>
            <w:r>
              <w:t>321石家庄市鹿泉区投资促进局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48.35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pPr>
              <w:pStyle w:val="13"/>
            </w:pPr>
            <w:r>
              <w:t>4、其他固定资产</w:t>
            </w:r>
          </w:p>
        </w:tc>
        <w:tc>
          <w:tcPr>
            <w:tcW w:w="2835" w:type="dxa"/>
            <w:vAlign w:val="center"/>
          </w:tcPr>
          <w:p>
            <w:pPr>
              <w:pStyle w:val="14"/>
            </w:pPr>
            <w:r>
              <w:t>294</w:t>
            </w:r>
          </w:p>
        </w:tc>
        <w:tc>
          <w:tcPr>
            <w:tcW w:w="2835" w:type="dxa"/>
            <w:vAlign w:val="center"/>
          </w:tcPr>
          <w:p>
            <w:pPr>
              <w:pStyle w:val="12"/>
            </w:pPr>
            <w:r>
              <w:t>48.35</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9"/>
      <w:r>
        <w:rPr>
          <w:rFonts w:ascii="黑体" w:hAnsi="黑体" w:eastAsia="黑体" w:cs="黑体"/>
          <w:color w:val="000000"/>
          <w:sz w:val="32"/>
        </w:rPr>
        <w:t>十、名词解释</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8" w:name="_Toc_3_3_0000000020"/>
      <w:r>
        <w:rPr>
          <w:rFonts w:ascii="黑体" w:hAnsi="黑体" w:eastAsia="黑体" w:cs="黑体"/>
          <w:color w:val="000000"/>
          <w:sz w:val="32"/>
        </w:rPr>
        <w:t>十一、其他需要说明的事项</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仿宋_GB2312">
    <w:panose1 w:val="02010609030101010101"/>
    <w:charset w:val="86"/>
    <w:family w:val="auto"/>
    <w:pitch w:val="default"/>
    <w:sig w:usb0="00000001" w:usb1="080E0000" w:usb2="00000000" w:usb3="00000000" w:csb0="00040000" w:csb1="00000000"/>
  </w:font>
  <w:font w:name="Arial">
    <w:panose1 w:val="020B0604020202020204"/>
    <w:charset w:val="00"/>
    <w:family w:val="auto"/>
    <w:pitch w:val="default"/>
    <w:sig w:usb0="E0002EFF" w:usb1="C000785B"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31</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32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B022ED3"/>
    <w:multiLevelType w:val="singleLevel"/>
    <w:tmpl w:val="0B022ED3"/>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57AA03D9"/>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6">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34</Pages>
  <TotalTime>1</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2025-02-18T15:46:00Z</dcterms:created>
  <dc:creator>Lenovo</dc:creator>
  <cp:lastModifiedBy>微小</cp:lastModifiedBy>
  <dcterms:modified xsi:type="dcterms:W3CDTF">2025-02-21T03:30:42Z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