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39</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40</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41</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383石家庄市鹿泉区市场监督管理局</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3760.54</w:t>
            </w:r>
          </w:p>
        </w:tc>
        <w:tc>
          <w:tcPr>
            <w:tcW w:w="4535" w:type="dxa"/>
            <w:vAlign w:val="center"/>
          </w:tcPr>
          <w:p>
            <w:pPr>
              <w:pStyle w:val="13"/>
            </w:pPr>
            <w:r>
              <w:t>一、一般公共服务支出</w:t>
            </w:r>
          </w:p>
        </w:tc>
        <w:tc>
          <w:tcPr>
            <w:tcW w:w="2126" w:type="dxa"/>
            <w:vAlign w:val="center"/>
          </w:tcPr>
          <w:p>
            <w:pPr>
              <w:pStyle w:val="12"/>
            </w:pPr>
            <w:r>
              <w:t>2630.38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793.77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145.13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191.26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3760.54</w:t>
            </w:r>
          </w:p>
        </w:tc>
        <w:tc>
          <w:tcPr>
            <w:tcW w:w="4535" w:type="dxa"/>
            <w:vAlign w:val="center"/>
          </w:tcPr>
          <w:p>
            <w:pPr>
              <w:pStyle w:val="15"/>
            </w:pPr>
            <w:r>
              <w:t>本年支出合计</w:t>
            </w:r>
          </w:p>
        </w:tc>
        <w:tc>
          <w:tcPr>
            <w:tcW w:w="2126" w:type="dxa"/>
            <w:vAlign w:val="center"/>
          </w:tcPr>
          <w:p>
            <w:pPr>
              <w:pStyle w:val="16"/>
            </w:pPr>
            <w:r>
              <w:t>3760.54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3760.54</w:t>
            </w:r>
          </w:p>
        </w:tc>
        <w:tc>
          <w:tcPr>
            <w:tcW w:w="4535" w:type="dxa"/>
            <w:vAlign w:val="center"/>
          </w:tcPr>
          <w:p>
            <w:pPr>
              <w:pStyle w:val="15"/>
            </w:pPr>
            <w:r>
              <w:t>支出总计</w:t>
            </w:r>
          </w:p>
        </w:tc>
        <w:tc>
          <w:tcPr>
            <w:tcW w:w="2126" w:type="dxa"/>
            <w:vAlign w:val="center"/>
          </w:tcPr>
          <w:p>
            <w:pPr>
              <w:pStyle w:val="16"/>
            </w:pPr>
            <w:r>
              <w:t>3760.54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383石家庄市鹿泉区市场监督管理局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3760.54</w:t>
            </w:r>
          </w:p>
        </w:tc>
        <w:tc>
          <w:tcPr>
            <w:tcW w:w="1134" w:type="dxa"/>
            <w:vAlign w:val="center"/>
          </w:tcPr>
          <w:p>
            <w:pPr>
              <w:pStyle w:val="16"/>
            </w:pPr>
            <w:r>
              <w:t>3760.54</w:t>
            </w:r>
          </w:p>
        </w:tc>
        <w:tc>
          <w:tcPr>
            <w:tcW w:w="1134" w:type="dxa"/>
            <w:vAlign w:val="center"/>
          </w:tcPr>
          <w:p>
            <w:pPr>
              <w:pStyle w:val="16"/>
            </w:pPr>
            <w:r>
              <w:t>3760.54</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2630.38</w:t>
            </w:r>
          </w:p>
        </w:tc>
        <w:tc>
          <w:tcPr>
            <w:tcW w:w="1134" w:type="dxa"/>
            <w:vAlign w:val="center"/>
          </w:tcPr>
          <w:p>
            <w:pPr>
              <w:pStyle w:val="12"/>
            </w:pPr>
            <w:r>
              <w:t>2630.38</w:t>
            </w:r>
          </w:p>
        </w:tc>
        <w:tc>
          <w:tcPr>
            <w:tcW w:w="1134" w:type="dxa"/>
            <w:vAlign w:val="center"/>
          </w:tcPr>
          <w:p>
            <w:pPr>
              <w:pStyle w:val="12"/>
            </w:pPr>
            <w:r>
              <w:t>2630.38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20138</w:t>
            </w:r>
          </w:p>
        </w:tc>
        <w:tc>
          <w:tcPr>
            <w:tcW w:w="1559" w:type="dxa"/>
            <w:vAlign w:val="center"/>
          </w:tcPr>
          <w:p>
            <w:pPr>
              <w:pStyle w:val="13"/>
            </w:pPr>
            <w:r>
              <w:t>市场监督管理事务</w:t>
            </w:r>
          </w:p>
        </w:tc>
        <w:tc>
          <w:tcPr>
            <w:tcW w:w="1134" w:type="dxa"/>
            <w:vAlign w:val="center"/>
          </w:tcPr>
          <w:p>
            <w:pPr>
              <w:pStyle w:val="12"/>
            </w:pPr>
            <w:r>
              <w:t>2630.38</w:t>
            </w:r>
          </w:p>
        </w:tc>
        <w:tc>
          <w:tcPr>
            <w:tcW w:w="1134" w:type="dxa"/>
            <w:vAlign w:val="center"/>
          </w:tcPr>
          <w:p>
            <w:pPr>
              <w:pStyle w:val="12"/>
            </w:pPr>
            <w:r>
              <w:t>2630.38</w:t>
            </w:r>
          </w:p>
        </w:tc>
        <w:tc>
          <w:tcPr>
            <w:tcW w:w="1134" w:type="dxa"/>
            <w:vAlign w:val="center"/>
          </w:tcPr>
          <w:p>
            <w:pPr>
              <w:pStyle w:val="12"/>
            </w:pPr>
            <w:r>
              <w:t>2630.38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2013801</w:t>
            </w:r>
          </w:p>
        </w:tc>
        <w:tc>
          <w:tcPr>
            <w:tcW w:w="1559" w:type="dxa"/>
            <w:vAlign w:val="center"/>
          </w:tcPr>
          <w:p>
            <w:pPr>
              <w:pStyle w:val="13"/>
            </w:pPr>
            <w:r>
              <w:t>行政运行</w:t>
            </w:r>
          </w:p>
        </w:tc>
        <w:tc>
          <w:tcPr>
            <w:tcW w:w="1134" w:type="dxa"/>
            <w:vAlign w:val="center"/>
          </w:tcPr>
          <w:p>
            <w:pPr>
              <w:pStyle w:val="12"/>
            </w:pPr>
            <w:r>
              <w:t>2093.30</w:t>
            </w:r>
          </w:p>
        </w:tc>
        <w:tc>
          <w:tcPr>
            <w:tcW w:w="1134" w:type="dxa"/>
            <w:vAlign w:val="center"/>
          </w:tcPr>
          <w:p>
            <w:pPr>
              <w:pStyle w:val="12"/>
            </w:pPr>
            <w:r>
              <w:t>2093.30</w:t>
            </w:r>
          </w:p>
        </w:tc>
        <w:tc>
          <w:tcPr>
            <w:tcW w:w="1134" w:type="dxa"/>
            <w:vAlign w:val="center"/>
          </w:tcPr>
          <w:p>
            <w:pPr>
              <w:pStyle w:val="12"/>
            </w:pPr>
            <w:r>
              <w:t>2093.30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2013802</w:t>
            </w:r>
          </w:p>
        </w:tc>
        <w:tc>
          <w:tcPr>
            <w:tcW w:w="1559" w:type="dxa"/>
            <w:vAlign w:val="center"/>
          </w:tcPr>
          <w:p>
            <w:pPr>
              <w:pStyle w:val="13"/>
            </w:pPr>
            <w:r>
              <w:t>一般行政管理事务</w:t>
            </w:r>
          </w:p>
        </w:tc>
        <w:tc>
          <w:tcPr>
            <w:tcW w:w="1134" w:type="dxa"/>
            <w:vAlign w:val="center"/>
          </w:tcPr>
          <w:p>
            <w:pPr>
              <w:pStyle w:val="12"/>
            </w:pPr>
            <w:r>
              <w:t>130.08</w:t>
            </w:r>
          </w:p>
        </w:tc>
        <w:tc>
          <w:tcPr>
            <w:tcW w:w="1134" w:type="dxa"/>
            <w:vAlign w:val="center"/>
          </w:tcPr>
          <w:p>
            <w:pPr>
              <w:pStyle w:val="12"/>
            </w:pPr>
            <w:r>
              <w:t>130.08</w:t>
            </w:r>
          </w:p>
        </w:tc>
        <w:tc>
          <w:tcPr>
            <w:tcW w:w="1134" w:type="dxa"/>
            <w:vAlign w:val="center"/>
          </w:tcPr>
          <w:p>
            <w:pPr>
              <w:pStyle w:val="12"/>
            </w:pPr>
            <w:r>
              <w:t>130.08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2013804</w:t>
            </w:r>
          </w:p>
        </w:tc>
        <w:tc>
          <w:tcPr>
            <w:tcW w:w="1559" w:type="dxa"/>
            <w:vAlign w:val="center"/>
          </w:tcPr>
          <w:p>
            <w:pPr>
              <w:pStyle w:val="13"/>
            </w:pPr>
            <w:r>
              <w:t>经营主体管理</w:t>
            </w:r>
          </w:p>
        </w:tc>
        <w:tc>
          <w:tcPr>
            <w:tcW w:w="1134" w:type="dxa"/>
            <w:vAlign w:val="center"/>
          </w:tcPr>
          <w:p>
            <w:pPr>
              <w:pStyle w:val="12"/>
            </w:pPr>
            <w:r>
              <w:t>32.00</w:t>
            </w:r>
          </w:p>
        </w:tc>
        <w:tc>
          <w:tcPr>
            <w:tcW w:w="1134" w:type="dxa"/>
            <w:vAlign w:val="center"/>
          </w:tcPr>
          <w:p>
            <w:pPr>
              <w:pStyle w:val="12"/>
            </w:pPr>
            <w:r>
              <w:t>32.00</w:t>
            </w:r>
          </w:p>
        </w:tc>
        <w:tc>
          <w:tcPr>
            <w:tcW w:w="1134" w:type="dxa"/>
            <w:vAlign w:val="center"/>
          </w:tcPr>
          <w:p>
            <w:pPr>
              <w:pStyle w:val="12"/>
            </w:pPr>
            <w:r>
              <w:t>32.00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2013805</w:t>
            </w:r>
          </w:p>
        </w:tc>
        <w:tc>
          <w:tcPr>
            <w:tcW w:w="1559" w:type="dxa"/>
            <w:vAlign w:val="center"/>
          </w:tcPr>
          <w:p>
            <w:pPr>
              <w:pStyle w:val="13"/>
            </w:pPr>
            <w:r>
              <w:t>市场秩序执法</w:t>
            </w:r>
          </w:p>
        </w:tc>
        <w:tc>
          <w:tcPr>
            <w:tcW w:w="1134" w:type="dxa"/>
            <w:vAlign w:val="center"/>
          </w:tcPr>
          <w:p>
            <w:pPr>
              <w:pStyle w:val="12"/>
            </w:pPr>
            <w:r>
              <w:t>130.00</w:t>
            </w:r>
          </w:p>
        </w:tc>
        <w:tc>
          <w:tcPr>
            <w:tcW w:w="1134" w:type="dxa"/>
            <w:vAlign w:val="center"/>
          </w:tcPr>
          <w:p>
            <w:pPr>
              <w:pStyle w:val="12"/>
            </w:pPr>
            <w:r>
              <w:t>130.00</w:t>
            </w:r>
          </w:p>
        </w:tc>
        <w:tc>
          <w:tcPr>
            <w:tcW w:w="1134" w:type="dxa"/>
            <w:vAlign w:val="center"/>
          </w:tcPr>
          <w:p>
            <w:pPr>
              <w:pStyle w:val="12"/>
            </w:pPr>
            <w:r>
              <w:t>130.00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2013810</w:t>
            </w:r>
          </w:p>
        </w:tc>
        <w:tc>
          <w:tcPr>
            <w:tcW w:w="1559" w:type="dxa"/>
            <w:vAlign w:val="center"/>
          </w:tcPr>
          <w:p>
            <w:pPr>
              <w:pStyle w:val="13"/>
            </w:pPr>
            <w:r>
              <w:t>质量基础</w:t>
            </w:r>
          </w:p>
        </w:tc>
        <w:tc>
          <w:tcPr>
            <w:tcW w:w="1134" w:type="dxa"/>
            <w:vAlign w:val="center"/>
          </w:tcPr>
          <w:p>
            <w:pPr>
              <w:pStyle w:val="12"/>
            </w:pPr>
            <w:r>
              <w:t>50.00</w:t>
            </w:r>
          </w:p>
        </w:tc>
        <w:tc>
          <w:tcPr>
            <w:tcW w:w="1134" w:type="dxa"/>
            <w:vAlign w:val="center"/>
          </w:tcPr>
          <w:p>
            <w:pPr>
              <w:pStyle w:val="12"/>
            </w:pPr>
            <w:r>
              <w:t>50.00</w:t>
            </w:r>
          </w:p>
        </w:tc>
        <w:tc>
          <w:tcPr>
            <w:tcW w:w="1134" w:type="dxa"/>
            <w:vAlign w:val="center"/>
          </w:tcPr>
          <w:p>
            <w:pPr>
              <w:pStyle w:val="12"/>
            </w:pPr>
            <w:r>
              <w:t>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2013816</w:t>
            </w:r>
          </w:p>
        </w:tc>
        <w:tc>
          <w:tcPr>
            <w:tcW w:w="1559" w:type="dxa"/>
            <w:vAlign w:val="center"/>
          </w:tcPr>
          <w:p>
            <w:pPr>
              <w:pStyle w:val="13"/>
            </w:pPr>
            <w:r>
              <w:t>食品安全监管</w:t>
            </w:r>
          </w:p>
        </w:tc>
        <w:tc>
          <w:tcPr>
            <w:tcW w:w="1134" w:type="dxa"/>
            <w:vAlign w:val="center"/>
          </w:tcPr>
          <w:p>
            <w:pPr>
              <w:pStyle w:val="12"/>
            </w:pPr>
            <w:r>
              <w:t>195.00</w:t>
            </w:r>
          </w:p>
        </w:tc>
        <w:tc>
          <w:tcPr>
            <w:tcW w:w="1134" w:type="dxa"/>
            <w:vAlign w:val="center"/>
          </w:tcPr>
          <w:p>
            <w:pPr>
              <w:pStyle w:val="12"/>
            </w:pPr>
            <w:r>
              <w:t>195.00</w:t>
            </w:r>
          </w:p>
        </w:tc>
        <w:tc>
          <w:tcPr>
            <w:tcW w:w="1134" w:type="dxa"/>
            <w:vAlign w:val="center"/>
          </w:tcPr>
          <w:p>
            <w:pPr>
              <w:pStyle w:val="12"/>
            </w:pPr>
            <w:r>
              <w:t>195.00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793.77</w:t>
            </w:r>
          </w:p>
        </w:tc>
        <w:tc>
          <w:tcPr>
            <w:tcW w:w="1134" w:type="dxa"/>
            <w:vAlign w:val="center"/>
          </w:tcPr>
          <w:p>
            <w:pPr>
              <w:pStyle w:val="12"/>
            </w:pPr>
            <w:r>
              <w:t>793.77</w:t>
            </w:r>
          </w:p>
        </w:tc>
        <w:tc>
          <w:tcPr>
            <w:tcW w:w="1134" w:type="dxa"/>
            <w:vAlign w:val="center"/>
          </w:tcPr>
          <w:p>
            <w:pPr>
              <w:pStyle w:val="12"/>
            </w:pPr>
            <w:r>
              <w:t>793.77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758.39</w:t>
            </w:r>
          </w:p>
        </w:tc>
        <w:tc>
          <w:tcPr>
            <w:tcW w:w="1134" w:type="dxa"/>
            <w:vAlign w:val="center"/>
          </w:tcPr>
          <w:p>
            <w:pPr>
              <w:pStyle w:val="12"/>
            </w:pPr>
            <w:r>
              <w:t>758.39</w:t>
            </w:r>
          </w:p>
        </w:tc>
        <w:tc>
          <w:tcPr>
            <w:tcW w:w="1134" w:type="dxa"/>
            <w:vAlign w:val="center"/>
          </w:tcPr>
          <w:p>
            <w:pPr>
              <w:pStyle w:val="12"/>
            </w:pPr>
            <w:r>
              <w:t>758.39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558.99</w:t>
            </w:r>
          </w:p>
        </w:tc>
        <w:tc>
          <w:tcPr>
            <w:tcW w:w="1134" w:type="dxa"/>
            <w:vAlign w:val="center"/>
          </w:tcPr>
          <w:p>
            <w:pPr>
              <w:pStyle w:val="12"/>
            </w:pPr>
            <w:r>
              <w:t>558.99</w:t>
            </w:r>
          </w:p>
        </w:tc>
        <w:tc>
          <w:tcPr>
            <w:tcW w:w="1134" w:type="dxa"/>
            <w:vAlign w:val="center"/>
          </w:tcPr>
          <w:p>
            <w:pPr>
              <w:pStyle w:val="12"/>
            </w:pPr>
            <w:r>
              <w:t>558.99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199.40</w:t>
            </w:r>
          </w:p>
        </w:tc>
        <w:tc>
          <w:tcPr>
            <w:tcW w:w="1134" w:type="dxa"/>
            <w:vAlign w:val="center"/>
          </w:tcPr>
          <w:p>
            <w:pPr>
              <w:pStyle w:val="12"/>
            </w:pPr>
            <w:r>
              <w:t>199.40</w:t>
            </w:r>
          </w:p>
        </w:tc>
        <w:tc>
          <w:tcPr>
            <w:tcW w:w="1134" w:type="dxa"/>
            <w:vAlign w:val="center"/>
          </w:tcPr>
          <w:p>
            <w:pPr>
              <w:pStyle w:val="12"/>
            </w:pPr>
            <w:r>
              <w:t>199.40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20809</w:t>
            </w:r>
          </w:p>
        </w:tc>
        <w:tc>
          <w:tcPr>
            <w:tcW w:w="1559" w:type="dxa"/>
            <w:vAlign w:val="center"/>
          </w:tcPr>
          <w:p>
            <w:pPr>
              <w:pStyle w:val="13"/>
            </w:pPr>
            <w:r>
              <w:t>退役安置</w:t>
            </w:r>
          </w:p>
        </w:tc>
        <w:tc>
          <w:tcPr>
            <w:tcW w:w="1134" w:type="dxa"/>
            <w:vAlign w:val="center"/>
          </w:tcPr>
          <w:p>
            <w:pPr>
              <w:pStyle w:val="12"/>
            </w:pPr>
            <w:r>
              <w:t>35.38</w:t>
            </w:r>
          </w:p>
        </w:tc>
        <w:tc>
          <w:tcPr>
            <w:tcW w:w="1134" w:type="dxa"/>
            <w:vAlign w:val="center"/>
          </w:tcPr>
          <w:p>
            <w:pPr>
              <w:pStyle w:val="12"/>
            </w:pPr>
            <w:r>
              <w:t>35.38</w:t>
            </w:r>
          </w:p>
        </w:tc>
        <w:tc>
          <w:tcPr>
            <w:tcW w:w="1134" w:type="dxa"/>
            <w:vAlign w:val="center"/>
          </w:tcPr>
          <w:p>
            <w:pPr>
              <w:pStyle w:val="12"/>
            </w:pPr>
            <w:r>
              <w:t>35.38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2080901</w:t>
            </w:r>
          </w:p>
        </w:tc>
        <w:tc>
          <w:tcPr>
            <w:tcW w:w="1559" w:type="dxa"/>
            <w:vAlign w:val="center"/>
          </w:tcPr>
          <w:p>
            <w:pPr>
              <w:pStyle w:val="13"/>
            </w:pPr>
            <w:r>
              <w:t>退役士兵安置</w:t>
            </w:r>
          </w:p>
        </w:tc>
        <w:tc>
          <w:tcPr>
            <w:tcW w:w="1134" w:type="dxa"/>
            <w:vAlign w:val="center"/>
          </w:tcPr>
          <w:p>
            <w:pPr>
              <w:pStyle w:val="12"/>
            </w:pPr>
            <w:r>
              <w:t>35.38</w:t>
            </w:r>
          </w:p>
        </w:tc>
        <w:tc>
          <w:tcPr>
            <w:tcW w:w="1134" w:type="dxa"/>
            <w:vAlign w:val="center"/>
          </w:tcPr>
          <w:p>
            <w:pPr>
              <w:pStyle w:val="12"/>
            </w:pPr>
            <w:r>
              <w:t>35.38</w:t>
            </w:r>
          </w:p>
        </w:tc>
        <w:tc>
          <w:tcPr>
            <w:tcW w:w="1134" w:type="dxa"/>
            <w:vAlign w:val="center"/>
          </w:tcPr>
          <w:p>
            <w:pPr>
              <w:pStyle w:val="12"/>
            </w:pPr>
            <w:r>
              <w:t>35.38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145.13</w:t>
            </w:r>
          </w:p>
        </w:tc>
        <w:tc>
          <w:tcPr>
            <w:tcW w:w="1134" w:type="dxa"/>
            <w:vAlign w:val="center"/>
          </w:tcPr>
          <w:p>
            <w:pPr>
              <w:pStyle w:val="12"/>
            </w:pPr>
            <w:r>
              <w:t>145.13</w:t>
            </w:r>
          </w:p>
        </w:tc>
        <w:tc>
          <w:tcPr>
            <w:tcW w:w="1134" w:type="dxa"/>
            <w:vAlign w:val="center"/>
          </w:tcPr>
          <w:p>
            <w:pPr>
              <w:pStyle w:val="12"/>
            </w:pPr>
            <w:r>
              <w:t>145.13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145.13</w:t>
            </w:r>
          </w:p>
        </w:tc>
        <w:tc>
          <w:tcPr>
            <w:tcW w:w="1134" w:type="dxa"/>
            <w:vAlign w:val="center"/>
          </w:tcPr>
          <w:p>
            <w:pPr>
              <w:pStyle w:val="12"/>
            </w:pPr>
            <w:r>
              <w:t>145.13</w:t>
            </w:r>
          </w:p>
        </w:tc>
        <w:tc>
          <w:tcPr>
            <w:tcW w:w="1134" w:type="dxa"/>
            <w:vAlign w:val="center"/>
          </w:tcPr>
          <w:p>
            <w:pPr>
              <w:pStyle w:val="12"/>
            </w:pPr>
            <w:r>
              <w:t>145.13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145.13</w:t>
            </w:r>
          </w:p>
        </w:tc>
        <w:tc>
          <w:tcPr>
            <w:tcW w:w="1134" w:type="dxa"/>
            <w:vAlign w:val="center"/>
          </w:tcPr>
          <w:p>
            <w:pPr>
              <w:pStyle w:val="12"/>
            </w:pPr>
            <w:r>
              <w:t>145.13</w:t>
            </w:r>
          </w:p>
        </w:tc>
        <w:tc>
          <w:tcPr>
            <w:tcW w:w="1134" w:type="dxa"/>
            <w:vAlign w:val="center"/>
          </w:tcPr>
          <w:p>
            <w:pPr>
              <w:pStyle w:val="12"/>
            </w:pPr>
            <w:r>
              <w:t>145.13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191.26</w:t>
            </w:r>
          </w:p>
        </w:tc>
        <w:tc>
          <w:tcPr>
            <w:tcW w:w="1134" w:type="dxa"/>
            <w:vAlign w:val="center"/>
          </w:tcPr>
          <w:p>
            <w:pPr>
              <w:pStyle w:val="12"/>
            </w:pPr>
            <w:r>
              <w:t>191.26</w:t>
            </w:r>
          </w:p>
        </w:tc>
        <w:tc>
          <w:tcPr>
            <w:tcW w:w="1134" w:type="dxa"/>
            <w:vAlign w:val="center"/>
          </w:tcPr>
          <w:p>
            <w:pPr>
              <w:pStyle w:val="12"/>
            </w:pPr>
            <w:r>
              <w:t>191.26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191.26</w:t>
            </w:r>
          </w:p>
        </w:tc>
        <w:tc>
          <w:tcPr>
            <w:tcW w:w="1134" w:type="dxa"/>
            <w:vAlign w:val="center"/>
          </w:tcPr>
          <w:p>
            <w:pPr>
              <w:pStyle w:val="12"/>
            </w:pPr>
            <w:r>
              <w:t>191.26</w:t>
            </w:r>
          </w:p>
        </w:tc>
        <w:tc>
          <w:tcPr>
            <w:tcW w:w="1134" w:type="dxa"/>
            <w:vAlign w:val="center"/>
          </w:tcPr>
          <w:p>
            <w:pPr>
              <w:pStyle w:val="12"/>
            </w:pPr>
            <w:r>
              <w:t>191.26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191.26</w:t>
            </w:r>
          </w:p>
        </w:tc>
        <w:tc>
          <w:tcPr>
            <w:tcW w:w="1134" w:type="dxa"/>
            <w:vAlign w:val="center"/>
          </w:tcPr>
          <w:p>
            <w:pPr>
              <w:pStyle w:val="12"/>
            </w:pPr>
            <w:r>
              <w:t>191.26</w:t>
            </w:r>
          </w:p>
        </w:tc>
        <w:tc>
          <w:tcPr>
            <w:tcW w:w="1134" w:type="dxa"/>
            <w:vAlign w:val="center"/>
          </w:tcPr>
          <w:p>
            <w:pPr>
              <w:pStyle w:val="12"/>
            </w:pPr>
            <w:r>
              <w:t>191.26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383石家庄市鹿泉区市场监督管理局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3760.54</w:t>
            </w:r>
          </w:p>
        </w:tc>
        <w:tc>
          <w:tcPr>
            <w:tcW w:w="1361" w:type="dxa"/>
            <w:vAlign w:val="center"/>
          </w:tcPr>
          <w:p>
            <w:pPr>
              <w:pStyle w:val="16"/>
            </w:pPr>
            <w:r>
              <w:t>3188.08</w:t>
            </w:r>
          </w:p>
        </w:tc>
        <w:tc>
          <w:tcPr>
            <w:tcW w:w="1361" w:type="dxa"/>
            <w:vAlign w:val="center"/>
          </w:tcPr>
          <w:p>
            <w:pPr>
              <w:pStyle w:val="16"/>
            </w:pPr>
            <w:r>
              <w:t>572.46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2630.38</w:t>
            </w:r>
          </w:p>
        </w:tc>
        <w:tc>
          <w:tcPr>
            <w:tcW w:w="1361" w:type="dxa"/>
            <w:vAlign w:val="center"/>
          </w:tcPr>
          <w:p>
            <w:pPr>
              <w:pStyle w:val="12"/>
            </w:pPr>
            <w:r>
              <w:t>2093.30</w:t>
            </w:r>
          </w:p>
        </w:tc>
        <w:tc>
          <w:tcPr>
            <w:tcW w:w="1361" w:type="dxa"/>
            <w:vAlign w:val="center"/>
          </w:tcPr>
          <w:p>
            <w:pPr>
              <w:pStyle w:val="12"/>
            </w:pPr>
            <w:r>
              <w:t>537.08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20138</w:t>
            </w:r>
          </w:p>
        </w:tc>
        <w:tc>
          <w:tcPr>
            <w:tcW w:w="4535" w:type="dxa"/>
            <w:vAlign w:val="center"/>
          </w:tcPr>
          <w:p>
            <w:pPr>
              <w:pStyle w:val="13"/>
            </w:pPr>
            <w:r>
              <w:t>市场监督管理事务</w:t>
            </w:r>
          </w:p>
        </w:tc>
        <w:tc>
          <w:tcPr>
            <w:tcW w:w="1361" w:type="dxa"/>
            <w:vAlign w:val="center"/>
          </w:tcPr>
          <w:p>
            <w:pPr>
              <w:pStyle w:val="12"/>
            </w:pPr>
            <w:r>
              <w:t>2630.38</w:t>
            </w:r>
          </w:p>
        </w:tc>
        <w:tc>
          <w:tcPr>
            <w:tcW w:w="1361" w:type="dxa"/>
            <w:vAlign w:val="center"/>
          </w:tcPr>
          <w:p>
            <w:pPr>
              <w:pStyle w:val="12"/>
            </w:pPr>
            <w:r>
              <w:t>2093.30</w:t>
            </w:r>
          </w:p>
        </w:tc>
        <w:tc>
          <w:tcPr>
            <w:tcW w:w="1361" w:type="dxa"/>
            <w:vAlign w:val="center"/>
          </w:tcPr>
          <w:p>
            <w:pPr>
              <w:pStyle w:val="12"/>
            </w:pPr>
            <w:r>
              <w:t>537.08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2013801</w:t>
            </w:r>
          </w:p>
        </w:tc>
        <w:tc>
          <w:tcPr>
            <w:tcW w:w="4535" w:type="dxa"/>
            <w:vAlign w:val="center"/>
          </w:tcPr>
          <w:p>
            <w:pPr>
              <w:pStyle w:val="13"/>
            </w:pPr>
            <w:r>
              <w:t>行政运行</w:t>
            </w:r>
          </w:p>
        </w:tc>
        <w:tc>
          <w:tcPr>
            <w:tcW w:w="1361" w:type="dxa"/>
            <w:vAlign w:val="center"/>
          </w:tcPr>
          <w:p>
            <w:pPr>
              <w:pStyle w:val="12"/>
            </w:pPr>
            <w:r>
              <w:t>2093.30</w:t>
            </w:r>
          </w:p>
        </w:tc>
        <w:tc>
          <w:tcPr>
            <w:tcW w:w="1361" w:type="dxa"/>
            <w:vAlign w:val="center"/>
          </w:tcPr>
          <w:p>
            <w:pPr>
              <w:pStyle w:val="12"/>
            </w:pPr>
            <w:r>
              <w:t>2093.30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2013802</w:t>
            </w:r>
          </w:p>
        </w:tc>
        <w:tc>
          <w:tcPr>
            <w:tcW w:w="4535" w:type="dxa"/>
            <w:vAlign w:val="center"/>
          </w:tcPr>
          <w:p>
            <w:pPr>
              <w:pStyle w:val="13"/>
            </w:pPr>
            <w:r>
              <w:t>一般行政管理事务</w:t>
            </w:r>
          </w:p>
        </w:tc>
        <w:tc>
          <w:tcPr>
            <w:tcW w:w="1361" w:type="dxa"/>
            <w:vAlign w:val="center"/>
          </w:tcPr>
          <w:p>
            <w:pPr>
              <w:pStyle w:val="12"/>
            </w:pPr>
            <w:r>
              <w:t>130.08</w:t>
            </w:r>
          </w:p>
        </w:tc>
        <w:tc>
          <w:tcPr>
            <w:tcW w:w="1361" w:type="dxa"/>
            <w:vAlign w:val="center"/>
          </w:tcPr>
          <w:p>
            <w:pPr>
              <w:pStyle w:val="12"/>
            </w:pPr>
          </w:p>
        </w:tc>
        <w:tc>
          <w:tcPr>
            <w:tcW w:w="1361" w:type="dxa"/>
            <w:vAlign w:val="center"/>
          </w:tcPr>
          <w:p>
            <w:pPr>
              <w:pStyle w:val="12"/>
            </w:pPr>
            <w:r>
              <w:t>130.08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2013804</w:t>
            </w:r>
          </w:p>
        </w:tc>
        <w:tc>
          <w:tcPr>
            <w:tcW w:w="4535" w:type="dxa"/>
            <w:vAlign w:val="center"/>
          </w:tcPr>
          <w:p>
            <w:pPr>
              <w:pStyle w:val="13"/>
            </w:pPr>
            <w:r>
              <w:t>经营主体管理</w:t>
            </w:r>
          </w:p>
        </w:tc>
        <w:tc>
          <w:tcPr>
            <w:tcW w:w="1361" w:type="dxa"/>
            <w:vAlign w:val="center"/>
          </w:tcPr>
          <w:p>
            <w:pPr>
              <w:pStyle w:val="12"/>
            </w:pPr>
            <w:r>
              <w:t>32.00</w:t>
            </w:r>
          </w:p>
        </w:tc>
        <w:tc>
          <w:tcPr>
            <w:tcW w:w="1361" w:type="dxa"/>
            <w:vAlign w:val="center"/>
          </w:tcPr>
          <w:p>
            <w:pPr>
              <w:pStyle w:val="12"/>
            </w:pPr>
          </w:p>
        </w:tc>
        <w:tc>
          <w:tcPr>
            <w:tcW w:w="1361" w:type="dxa"/>
            <w:vAlign w:val="center"/>
          </w:tcPr>
          <w:p>
            <w:pPr>
              <w:pStyle w:val="12"/>
            </w:pPr>
            <w:r>
              <w:t>32.00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2013805</w:t>
            </w:r>
          </w:p>
        </w:tc>
        <w:tc>
          <w:tcPr>
            <w:tcW w:w="4535" w:type="dxa"/>
            <w:vAlign w:val="center"/>
          </w:tcPr>
          <w:p>
            <w:pPr>
              <w:pStyle w:val="13"/>
            </w:pPr>
            <w:r>
              <w:t>市场秩序执法</w:t>
            </w:r>
          </w:p>
        </w:tc>
        <w:tc>
          <w:tcPr>
            <w:tcW w:w="1361" w:type="dxa"/>
            <w:vAlign w:val="center"/>
          </w:tcPr>
          <w:p>
            <w:pPr>
              <w:pStyle w:val="12"/>
            </w:pPr>
            <w:r>
              <w:t>130.00</w:t>
            </w:r>
          </w:p>
        </w:tc>
        <w:tc>
          <w:tcPr>
            <w:tcW w:w="1361" w:type="dxa"/>
            <w:vAlign w:val="center"/>
          </w:tcPr>
          <w:p>
            <w:pPr>
              <w:pStyle w:val="12"/>
            </w:pPr>
          </w:p>
        </w:tc>
        <w:tc>
          <w:tcPr>
            <w:tcW w:w="1361" w:type="dxa"/>
            <w:vAlign w:val="center"/>
          </w:tcPr>
          <w:p>
            <w:pPr>
              <w:pStyle w:val="12"/>
            </w:pPr>
            <w:r>
              <w:t>130.00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2013810</w:t>
            </w:r>
          </w:p>
        </w:tc>
        <w:tc>
          <w:tcPr>
            <w:tcW w:w="4535" w:type="dxa"/>
            <w:vAlign w:val="center"/>
          </w:tcPr>
          <w:p>
            <w:pPr>
              <w:pStyle w:val="13"/>
            </w:pPr>
            <w:r>
              <w:t>质量基础</w:t>
            </w:r>
          </w:p>
        </w:tc>
        <w:tc>
          <w:tcPr>
            <w:tcW w:w="1361" w:type="dxa"/>
            <w:vAlign w:val="center"/>
          </w:tcPr>
          <w:p>
            <w:pPr>
              <w:pStyle w:val="12"/>
            </w:pPr>
            <w:r>
              <w:t>50.00</w:t>
            </w:r>
          </w:p>
        </w:tc>
        <w:tc>
          <w:tcPr>
            <w:tcW w:w="1361" w:type="dxa"/>
            <w:vAlign w:val="center"/>
          </w:tcPr>
          <w:p>
            <w:pPr>
              <w:pStyle w:val="12"/>
            </w:pPr>
          </w:p>
        </w:tc>
        <w:tc>
          <w:tcPr>
            <w:tcW w:w="1361" w:type="dxa"/>
            <w:vAlign w:val="center"/>
          </w:tcPr>
          <w:p>
            <w:pPr>
              <w:pStyle w:val="12"/>
            </w:pPr>
            <w:r>
              <w:t>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2013816</w:t>
            </w:r>
          </w:p>
        </w:tc>
        <w:tc>
          <w:tcPr>
            <w:tcW w:w="4535" w:type="dxa"/>
            <w:vAlign w:val="center"/>
          </w:tcPr>
          <w:p>
            <w:pPr>
              <w:pStyle w:val="13"/>
            </w:pPr>
            <w:r>
              <w:t>食品安全监管</w:t>
            </w:r>
          </w:p>
        </w:tc>
        <w:tc>
          <w:tcPr>
            <w:tcW w:w="1361" w:type="dxa"/>
            <w:vAlign w:val="center"/>
          </w:tcPr>
          <w:p>
            <w:pPr>
              <w:pStyle w:val="12"/>
            </w:pPr>
            <w:r>
              <w:t>195.00</w:t>
            </w:r>
          </w:p>
        </w:tc>
        <w:tc>
          <w:tcPr>
            <w:tcW w:w="1361" w:type="dxa"/>
            <w:vAlign w:val="center"/>
          </w:tcPr>
          <w:p>
            <w:pPr>
              <w:pStyle w:val="12"/>
            </w:pPr>
          </w:p>
        </w:tc>
        <w:tc>
          <w:tcPr>
            <w:tcW w:w="1361" w:type="dxa"/>
            <w:vAlign w:val="center"/>
          </w:tcPr>
          <w:p>
            <w:pPr>
              <w:pStyle w:val="12"/>
            </w:pPr>
            <w:r>
              <w:t>195.00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793.77</w:t>
            </w:r>
          </w:p>
        </w:tc>
        <w:tc>
          <w:tcPr>
            <w:tcW w:w="1361" w:type="dxa"/>
            <w:vAlign w:val="center"/>
          </w:tcPr>
          <w:p>
            <w:pPr>
              <w:pStyle w:val="12"/>
            </w:pPr>
            <w:r>
              <w:t>758.39</w:t>
            </w:r>
          </w:p>
        </w:tc>
        <w:tc>
          <w:tcPr>
            <w:tcW w:w="1361" w:type="dxa"/>
            <w:vAlign w:val="center"/>
          </w:tcPr>
          <w:p>
            <w:pPr>
              <w:pStyle w:val="12"/>
            </w:pPr>
            <w:r>
              <w:t>35.38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758.39</w:t>
            </w:r>
          </w:p>
        </w:tc>
        <w:tc>
          <w:tcPr>
            <w:tcW w:w="1361" w:type="dxa"/>
            <w:vAlign w:val="center"/>
          </w:tcPr>
          <w:p>
            <w:pPr>
              <w:pStyle w:val="12"/>
            </w:pPr>
            <w:r>
              <w:t>758.39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558.99</w:t>
            </w:r>
          </w:p>
        </w:tc>
        <w:tc>
          <w:tcPr>
            <w:tcW w:w="1361" w:type="dxa"/>
            <w:vAlign w:val="center"/>
          </w:tcPr>
          <w:p>
            <w:pPr>
              <w:pStyle w:val="12"/>
            </w:pPr>
            <w:r>
              <w:t>558.99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199.40</w:t>
            </w:r>
          </w:p>
        </w:tc>
        <w:tc>
          <w:tcPr>
            <w:tcW w:w="1361" w:type="dxa"/>
            <w:vAlign w:val="center"/>
          </w:tcPr>
          <w:p>
            <w:pPr>
              <w:pStyle w:val="12"/>
            </w:pPr>
            <w:r>
              <w:t>199.40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20809</w:t>
            </w:r>
          </w:p>
        </w:tc>
        <w:tc>
          <w:tcPr>
            <w:tcW w:w="4535" w:type="dxa"/>
            <w:vAlign w:val="center"/>
          </w:tcPr>
          <w:p>
            <w:pPr>
              <w:pStyle w:val="13"/>
            </w:pPr>
            <w:r>
              <w:t>退役安置</w:t>
            </w:r>
          </w:p>
        </w:tc>
        <w:tc>
          <w:tcPr>
            <w:tcW w:w="1361" w:type="dxa"/>
            <w:vAlign w:val="center"/>
          </w:tcPr>
          <w:p>
            <w:pPr>
              <w:pStyle w:val="12"/>
            </w:pPr>
            <w:r>
              <w:t>35.38</w:t>
            </w:r>
          </w:p>
        </w:tc>
        <w:tc>
          <w:tcPr>
            <w:tcW w:w="1361" w:type="dxa"/>
            <w:vAlign w:val="center"/>
          </w:tcPr>
          <w:p>
            <w:pPr>
              <w:pStyle w:val="12"/>
            </w:pPr>
          </w:p>
        </w:tc>
        <w:tc>
          <w:tcPr>
            <w:tcW w:w="1361" w:type="dxa"/>
            <w:vAlign w:val="center"/>
          </w:tcPr>
          <w:p>
            <w:pPr>
              <w:pStyle w:val="12"/>
            </w:pPr>
            <w:r>
              <w:t>35.38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2080901</w:t>
            </w:r>
          </w:p>
        </w:tc>
        <w:tc>
          <w:tcPr>
            <w:tcW w:w="4535" w:type="dxa"/>
            <w:vAlign w:val="center"/>
          </w:tcPr>
          <w:p>
            <w:pPr>
              <w:pStyle w:val="13"/>
            </w:pPr>
            <w:r>
              <w:t>退役士兵安置</w:t>
            </w:r>
          </w:p>
        </w:tc>
        <w:tc>
          <w:tcPr>
            <w:tcW w:w="1361" w:type="dxa"/>
            <w:vAlign w:val="center"/>
          </w:tcPr>
          <w:p>
            <w:pPr>
              <w:pStyle w:val="12"/>
            </w:pPr>
            <w:r>
              <w:t>35.38</w:t>
            </w:r>
          </w:p>
        </w:tc>
        <w:tc>
          <w:tcPr>
            <w:tcW w:w="1361" w:type="dxa"/>
            <w:vAlign w:val="center"/>
          </w:tcPr>
          <w:p>
            <w:pPr>
              <w:pStyle w:val="12"/>
            </w:pPr>
          </w:p>
        </w:tc>
        <w:tc>
          <w:tcPr>
            <w:tcW w:w="1361" w:type="dxa"/>
            <w:vAlign w:val="center"/>
          </w:tcPr>
          <w:p>
            <w:pPr>
              <w:pStyle w:val="12"/>
            </w:pPr>
            <w:r>
              <w:t>35.38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145.13</w:t>
            </w:r>
          </w:p>
        </w:tc>
        <w:tc>
          <w:tcPr>
            <w:tcW w:w="1361" w:type="dxa"/>
            <w:vAlign w:val="center"/>
          </w:tcPr>
          <w:p>
            <w:pPr>
              <w:pStyle w:val="12"/>
            </w:pPr>
            <w:r>
              <w:t>145.13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145.13</w:t>
            </w:r>
          </w:p>
        </w:tc>
        <w:tc>
          <w:tcPr>
            <w:tcW w:w="1361" w:type="dxa"/>
            <w:vAlign w:val="center"/>
          </w:tcPr>
          <w:p>
            <w:pPr>
              <w:pStyle w:val="12"/>
            </w:pPr>
            <w:r>
              <w:t>145.13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145.13</w:t>
            </w:r>
          </w:p>
        </w:tc>
        <w:tc>
          <w:tcPr>
            <w:tcW w:w="1361" w:type="dxa"/>
            <w:vAlign w:val="center"/>
          </w:tcPr>
          <w:p>
            <w:pPr>
              <w:pStyle w:val="12"/>
            </w:pPr>
            <w:r>
              <w:t>145.13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191.26</w:t>
            </w:r>
          </w:p>
        </w:tc>
        <w:tc>
          <w:tcPr>
            <w:tcW w:w="1361" w:type="dxa"/>
            <w:vAlign w:val="center"/>
          </w:tcPr>
          <w:p>
            <w:pPr>
              <w:pStyle w:val="12"/>
            </w:pPr>
            <w:r>
              <w:t>191.26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191.26</w:t>
            </w:r>
          </w:p>
        </w:tc>
        <w:tc>
          <w:tcPr>
            <w:tcW w:w="1361" w:type="dxa"/>
            <w:vAlign w:val="center"/>
          </w:tcPr>
          <w:p>
            <w:pPr>
              <w:pStyle w:val="12"/>
            </w:pPr>
            <w:r>
              <w:t>191.26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191.26</w:t>
            </w:r>
          </w:p>
        </w:tc>
        <w:tc>
          <w:tcPr>
            <w:tcW w:w="1361" w:type="dxa"/>
            <w:vAlign w:val="center"/>
          </w:tcPr>
          <w:p>
            <w:pPr>
              <w:pStyle w:val="12"/>
            </w:pPr>
            <w:r>
              <w:t>191.26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383石家庄市鹿泉区市场监督管理局</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3760.54</w:t>
            </w:r>
          </w:p>
        </w:tc>
        <w:tc>
          <w:tcPr>
            <w:tcW w:w="3402" w:type="dxa"/>
            <w:vAlign w:val="center"/>
          </w:tcPr>
          <w:p>
            <w:pPr>
              <w:pStyle w:val="13"/>
            </w:pPr>
            <w:r>
              <w:t>一、一般公共服务支出</w:t>
            </w:r>
          </w:p>
        </w:tc>
        <w:tc>
          <w:tcPr>
            <w:tcW w:w="1474" w:type="dxa"/>
            <w:vAlign w:val="center"/>
          </w:tcPr>
          <w:p>
            <w:pPr>
              <w:pStyle w:val="12"/>
            </w:pPr>
            <w:r>
              <w:t>2630.38</w:t>
            </w:r>
          </w:p>
        </w:tc>
        <w:tc>
          <w:tcPr>
            <w:tcW w:w="1474" w:type="dxa"/>
            <w:vAlign w:val="center"/>
          </w:tcPr>
          <w:p>
            <w:pPr>
              <w:pStyle w:val="12"/>
            </w:pPr>
            <w:r>
              <w:t>2630.38</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793.77</w:t>
            </w:r>
          </w:p>
        </w:tc>
        <w:tc>
          <w:tcPr>
            <w:tcW w:w="1474" w:type="dxa"/>
            <w:vAlign w:val="center"/>
          </w:tcPr>
          <w:p>
            <w:pPr>
              <w:pStyle w:val="12"/>
            </w:pPr>
            <w:r>
              <w:t>793.77</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145.13</w:t>
            </w:r>
          </w:p>
        </w:tc>
        <w:tc>
          <w:tcPr>
            <w:tcW w:w="1474" w:type="dxa"/>
            <w:vAlign w:val="center"/>
          </w:tcPr>
          <w:p>
            <w:pPr>
              <w:pStyle w:val="12"/>
            </w:pPr>
            <w:r>
              <w:t>145.13</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191.26</w:t>
            </w:r>
          </w:p>
        </w:tc>
        <w:tc>
          <w:tcPr>
            <w:tcW w:w="1474" w:type="dxa"/>
            <w:vAlign w:val="center"/>
          </w:tcPr>
          <w:p>
            <w:pPr>
              <w:pStyle w:val="12"/>
            </w:pPr>
            <w:r>
              <w:t>191.26</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3760.54</w:t>
            </w:r>
          </w:p>
        </w:tc>
        <w:tc>
          <w:tcPr>
            <w:tcW w:w="3402" w:type="dxa"/>
            <w:vAlign w:val="center"/>
          </w:tcPr>
          <w:p>
            <w:pPr>
              <w:pStyle w:val="15"/>
            </w:pPr>
            <w:r>
              <w:t>本年支出合计</w:t>
            </w:r>
          </w:p>
        </w:tc>
        <w:tc>
          <w:tcPr>
            <w:tcW w:w="1474" w:type="dxa"/>
            <w:vAlign w:val="center"/>
          </w:tcPr>
          <w:p>
            <w:pPr>
              <w:pStyle w:val="16"/>
            </w:pPr>
            <w:r>
              <w:t>3760.54</w:t>
            </w:r>
          </w:p>
        </w:tc>
        <w:tc>
          <w:tcPr>
            <w:tcW w:w="1474" w:type="dxa"/>
            <w:vAlign w:val="center"/>
          </w:tcPr>
          <w:p>
            <w:pPr>
              <w:pStyle w:val="16"/>
            </w:pPr>
            <w:r>
              <w:t>3760.54</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3760.54</w:t>
            </w:r>
          </w:p>
        </w:tc>
        <w:tc>
          <w:tcPr>
            <w:tcW w:w="3402" w:type="dxa"/>
            <w:vAlign w:val="center"/>
          </w:tcPr>
          <w:p>
            <w:pPr>
              <w:pStyle w:val="15"/>
            </w:pPr>
            <w:r>
              <w:t>支出总计</w:t>
            </w:r>
          </w:p>
        </w:tc>
        <w:tc>
          <w:tcPr>
            <w:tcW w:w="1474" w:type="dxa"/>
            <w:vAlign w:val="center"/>
          </w:tcPr>
          <w:p>
            <w:pPr>
              <w:pStyle w:val="16"/>
            </w:pPr>
            <w:r>
              <w:t>3760.54</w:t>
            </w:r>
          </w:p>
        </w:tc>
        <w:tc>
          <w:tcPr>
            <w:tcW w:w="1474" w:type="dxa"/>
            <w:vAlign w:val="center"/>
          </w:tcPr>
          <w:p>
            <w:pPr>
              <w:pStyle w:val="16"/>
            </w:pPr>
            <w:r>
              <w:t>3760.54</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383石家庄市鹿泉区市场监督管理局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3760.54</w:t>
            </w:r>
          </w:p>
        </w:tc>
        <w:tc>
          <w:tcPr>
            <w:tcW w:w="2551" w:type="dxa"/>
            <w:vAlign w:val="center"/>
          </w:tcPr>
          <w:p>
            <w:pPr>
              <w:pStyle w:val="16"/>
            </w:pPr>
            <w:r>
              <w:t>3188.08</w:t>
            </w:r>
          </w:p>
        </w:tc>
        <w:tc>
          <w:tcPr>
            <w:tcW w:w="2551" w:type="dxa"/>
            <w:vAlign w:val="center"/>
          </w:tcPr>
          <w:p>
            <w:pPr>
              <w:pStyle w:val="16"/>
            </w:pPr>
            <w:r>
              <w:t>572.46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2630.38</w:t>
            </w:r>
          </w:p>
        </w:tc>
        <w:tc>
          <w:tcPr>
            <w:tcW w:w="2551" w:type="dxa"/>
            <w:vAlign w:val="center"/>
          </w:tcPr>
          <w:p>
            <w:pPr>
              <w:pStyle w:val="12"/>
            </w:pPr>
            <w:r>
              <w:t>2093.30</w:t>
            </w:r>
          </w:p>
        </w:tc>
        <w:tc>
          <w:tcPr>
            <w:tcW w:w="2551" w:type="dxa"/>
            <w:vAlign w:val="center"/>
          </w:tcPr>
          <w:p>
            <w:pPr>
              <w:pStyle w:val="12"/>
            </w:pPr>
            <w:r>
              <w:t>537.08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20138</w:t>
            </w:r>
          </w:p>
        </w:tc>
        <w:tc>
          <w:tcPr>
            <w:tcW w:w="4535" w:type="dxa"/>
            <w:vAlign w:val="center"/>
          </w:tcPr>
          <w:p>
            <w:pPr>
              <w:pStyle w:val="13"/>
            </w:pPr>
            <w:r>
              <w:t>市场监督管理事务</w:t>
            </w:r>
          </w:p>
        </w:tc>
        <w:tc>
          <w:tcPr>
            <w:tcW w:w="2551" w:type="dxa"/>
            <w:vAlign w:val="center"/>
          </w:tcPr>
          <w:p>
            <w:pPr>
              <w:pStyle w:val="12"/>
            </w:pPr>
            <w:r>
              <w:t>2630.38</w:t>
            </w:r>
          </w:p>
        </w:tc>
        <w:tc>
          <w:tcPr>
            <w:tcW w:w="2551" w:type="dxa"/>
            <w:vAlign w:val="center"/>
          </w:tcPr>
          <w:p>
            <w:pPr>
              <w:pStyle w:val="12"/>
            </w:pPr>
            <w:r>
              <w:t>2093.30</w:t>
            </w:r>
          </w:p>
        </w:tc>
        <w:tc>
          <w:tcPr>
            <w:tcW w:w="2551" w:type="dxa"/>
            <w:vAlign w:val="center"/>
          </w:tcPr>
          <w:p>
            <w:pPr>
              <w:pStyle w:val="12"/>
            </w:pPr>
            <w:r>
              <w:t>537.08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2013801</w:t>
            </w:r>
          </w:p>
        </w:tc>
        <w:tc>
          <w:tcPr>
            <w:tcW w:w="4535" w:type="dxa"/>
            <w:vAlign w:val="center"/>
          </w:tcPr>
          <w:p>
            <w:pPr>
              <w:pStyle w:val="13"/>
            </w:pPr>
            <w:r>
              <w:t>行政运行</w:t>
            </w:r>
          </w:p>
        </w:tc>
        <w:tc>
          <w:tcPr>
            <w:tcW w:w="2551" w:type="dxa"/>
            <w:vAlign w:val="center"/>
          </w:tcPr>
          <w:p>
            <w:pPr>
              <w:pStyle w:val="12"/>
            </w:pPr>
            <w:r>
              <w:t>2093.30</w:t>
            </w:r>
          </w:p>
        </w:tc>
        <w:tc>
          <w:tcPr>
            <w:tcW w:w="2551" w:type="dxa"/>
            <w:vAlign w:val="center"/>
          </w:tcPr>
          <w:p>
            <w:pPr>
              <w:pStyle w:val="12"/>
            </w:pPr>
            <w:r>
              <w:t>2093.30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2013802</w:t>
            </w:r>
          </w:p>
        </w:tc>
        <w:tc>
          <w:tcPr>
            <w:tcW w:w="4535" w:type="dxa"/>
            <w:vAlign w:val="center"/>
          </w:tcPr>
          <w:p>
            <w:pPr>
              <w:pStyle w:val="13"/>
            </w:pPr>
            <w:r>
              <w:t>一般行政管理事务</w:t>
            </w:r>
          </w:p>
        </w:tc>
        <w:tc>
          <w:tcPr>
            <w:tcW w:w="2551" w:type="dxa"/>
            <w:vAlign w:val="center"/>
          </w:tcPr>
          <w:p>
            <w:pPr>
              <w:pStyle w:val="12"/>
            </w:pPr>
            <w:r>
              <w:t>130.08</w:t>
            </w:r>
          </w:p>
        </w:tc>
        <w:tc>
          <w:tcPr>
            <w:tcW w:w="2551" w:type="dxa"/>
            <w:vAlign w:val="center"/>
          </w:tcPr>
          <w:p>
            <w:pPr>
              <w:pStyle w:val="12"/>
            </w:pPr>
          </w:p>
        </w:tc>
        <w:tc>
          <w:tcPr>
            <w:tcW w:w="2551" w:type="dxa"/>
            <w:vAlign w:val="center"/>
          </w:tcPr>
          <w:p>
            <w:pPr>
              <w:pStyle w:val="12"/>
            </w:pPr>
            <w:r>
              <w:t>130.08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2013804</w:t>
            </w:r>
          </w:p>
        </w:tc>
        <w:tc>
          <w:tcPr>
            <w:tcW w:w="4535" w:type="dxa"/>
            <w:vAlign w:val="center"/>
          </w:tcPr>
          <w:p>
            <w:pPr>
              <w:pStyle w:val="13"/>
            </w:pPr>
            <w:r>
              <w:t>经营主体管理</w:t>
            </w:r>
          </w:p>
        </w:tc>
        <w:tc>
          <w:tcPr>
            <w:tcW w:w="2551" w:type="dxa"/>
            <w:vAlign w:val="center"/>
          </w:tcPr>
          <w:p>
            <w:pPr>
              <w:pStyle w:val="12"/>
            </w:pPr>
            <w:r>
              <w:t>32.00</w:t>
            </w:r>
          </w:p>
        </w:tc>
        <w:tc>
          <w:tcPr>
            <w:tcW w:w="2551" w:type="dxa"/>
            <w:vAlign w:val="center"/>
          </w:tcPr>
          <w:p>
            <w:pPr>
              <w:pStyle w:val="12"/>
            </w:pPr>
          </w:p>
        </w:tc>
        <w:tc>
          <w:tcPr>
            <w:tcW w:w="2551" w:type="dxa"/>
            <w:vAlign w:val="center"/>
          </w:tcPr>
          <w:p>
            <w:pPr>
              <w:pStyle w:val="12"/>
            </w:pPr>
            <w:r>
              <w:t>32.00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2013805</w:t>
            </w:r>
          </w:p>
        </w:tc>
        <w:tc>
          <w:tcPr>
            <w:tcW w:w="4535" w:type="dxa"/>
            <w:vAlign w:val="center"/>
          </w:tcPr>
          <w:p>
            <w:pPr>
              <w:pStyle w:val="13"/>
            </w:pPr>
            <w:r>
              <w:t>市场秩序执法</w:t>
            </w:r>
          </w:p>
        </w:tc>
        <w:tc>
          <w:tcPr>
            <w:tcW w:w="2551" w:type="dxa"/>
            <w:vAlign w:val="center"/>
          </w:tcPr>
          <w:p>
            <w:pPr>
              <w:pStyle w:val="12"/>
            </w:pPr>
            <w:r>
              <w:t>130.00</w:t>
            </w:r>
          </w:p>
        </w:tc>
        <w:tc>
          <w:tcPr>
            <w:tcW w:w="2551" w:type="dxa"/>
            <w:vAlign w:val="center"/>
          </w:tcPr>
          <w:p>
            <w:pPr>
              <w:pStyle w:val="12"/>
            </w:pPr>
          </w:p>
        </w:tc>
        <w:tc>
          <w:tcPr>
            <w:tcW w:w="2551" w:type="dxa"/>
            <w:vAlign w:val="center"/>
          </w:tcPr>
          <w:p>
            <w:pPr>
              <w:pStyle w:val="12"/>
            </w:pPr>
            <w:r>
              <w:t>130.00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2013810</w:t>
            </w:r>
          </w:p>
        </w:tc>
        <w:tc>
          <w:tcPr>
            <w:tcW w:w="4535" w:type="dxa"/>
            <w:vAlign w:val="center"/>
          </w:tcPr>
          <w:p>
            <w:pPr>
              <w:pStyle w:val="13"/>
            </w:pPr>
            <w:r>
              <w:t>质量基础</w:t>
            </w:r>
          </w:p>
        </w:tc>
        <w:tc>
          <w:tcPr>
            <w:tcW w:w="2551" w:type="dxa"/>
            <w:vAlign w:val="center"/>
          </w:tcPr>
          <w:p>
            <w:pPr>
              <w:pStyle w:val="12"/>
            </w:pPr>
            <w:r>
              <w:t>50.00</w:t>
            </w:r>
          </w:p>
        </w:tc>
        <w:tc>
          <w:tcPr>
            <w:tcW w:w="2551" w:type="dxa"/>
            <w:vAlign w:val="center"/>
          </w:tcPr>
          <w:p>
            <w:pPr>
              <w:pStyle w:val="12"/>
            </w:pPr>
          </w:p>
        </w:tc>
        <w:tc>
          <w:tcPr>
            <w:tcW w:w="2551" w:type="dxa"/>
            <w:vAlign w:val="center"/>
          </w:tcPr>
          <w:p>
            <w:pPr>
              <w:pStyle w:val="12"/>
            </w:pPr>
            <w:r>
              <w:t>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2013816</w:t>
            </w:r>
          </w:p>
        </w:tc>
        <w:tc>
          <w:tcPr>
            <w:tcW w:w="4535" w:type="dxa"/>
            <w:vAlign w:val="center"/>
          </w:tcPr>
          <w:p>
            <w:pPr>
              <w:pStyle w:val="13"/>
            </w:pPr>
            <w:r>
              <w:t>食品安全监管</w:t>
            </w:r>
          </w:p>
        </w:tc>
        <w:tc>
          <w:tcPr>
            <w:tcW w:w="2551" w:type="dxa"/>
            <w:vAlign w:val="center"/>
          </w:tcPr>
          <w:p>
            <w:pPr>
              <w:pStyle w:val="12"/>
            </w:pPr>
            <w:r>
              <w:t>195.00</w:t>
            </w:r>
          </w:p>
        </w:tc>
        <w:tc>
          <w:tcPr>
            <w:tcW w:w="2551" w:type="dxa"/>
            <w:vAlign w:val="center"/>
          </w:tcPr>
          <w:p>
            <w:pPr>
              <w:pStyle w:val="12"/>
            </w:pPr>
          </w:p>
        </w:tc>
        <w:tc>
          <w:tcPr>
            <w:tcW w:w="2551" w:type="dxa"/>
            <w:vAlign w:val="center"/>
          </w:tcPr>
          <w:p>
            <w:pPr>
              <w:pStyle w:val="12"/>
            </w:pPr>
            <w:r>
              <w:t>195.00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793.77</w:t>
            </w:r>
          </w:p>
        </w:tc>
        <w:tc>
          <w:tcPr>
            <w:tcW w:w="2551" w:type="dxa"/>
            <w:vAlign w:val="center"/>
          </w:tcPr>
          <w:p>
            <w:pPr>
              <w:pStyle w:val="12"/>
            </w:pPr>
            <w:r>
              <w:t>758.39</w:t>
            </w:r>
          </w:p>
        </w:tc>
        <w:tc>
          <w:tcPr>
            <w:tcW w:w="2551" w:type="dxa"/>
            <w:vAlign w:val="center"/>
          </w:tcPr>
          <w:p>
            <w:pPr>
              <w:pStyle w:val="12"/>
            </w:pPr>
            <w:r>
              <w:t>35.38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758.39</w:t>
            </w:r>
          </w:p>
        </w:tc>
        <w:tc>
          <w:tcPr>
            <w:tcW w:w="2551" w:type="dxa"/>
            <w:vAlign w:val="center"/>
          </w:tcPr>
          <w:p>
            <w:pPr>
              <w:pStyle w:val="12"/>
            </w:pPr>
            <w:r>
              <w:t>758.39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558.99</w:t>
            </w:r>
          </w:p>
        </w:tc>
        <w:tc>
          <w:tcPr>
            <w:tcW w:w="2551" w:type="dxa"/>
            <w:vAlign w:val="center"/>
          </w:tcPr>
          <w:p>
            <w:pPr>
              <w:pStyle w:val="12"/>
            </w:pPr>
            <w:r>
              <w:t>558.99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199.40</w:t>
            </w:r>
          </w:p>
        </w:tc>
        <w:tc>
          <w:tcPr>
            <w:tcW w:w="2551" w:type="dxa"/>
            <w:vAlign w:val="center"/>
          </w:tcPr>
          <w:p>
            <w:pPr>
              <w:pStyle w:val="12"/>
            </w:pPr>
            <w:r>
              <w:t>199.40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20809</w:t>
            </w:r>
          </w:p>
        </w:tc>
        <w:tc>
          <w:tcPr>
            <w:tcW w:w="4535" w:type="dxa"/>
            <w:vAlign w:val="center"/>
          </w:tcPr>
          <w:p>
            <w:pPr>
              <w:pStyle w:val="13"/>
            </w:pPr>
            <w:r>
              <w:t>退役安置</w:t>
            </w:r>
          </w:p>
        </w:tc>
        <w:tc>
          <w:tcPr>
            <w:tcW w:w="2551" w:type="dxa"/>
            <w:vAlign w:val="center"/>
          </w:tcPr>
          <w:p>
            <w:pPr>
              <w:pStyle w:val="12"/>
            </w:pPr>
            <w:r>
              <w:t>35.38</w:t>
            </w:r>
          </w:p>
        </w:tc>
        <w:tc>
          <w:tcPr>
            <w:tcW w:w="2551" w:type="dxa"/>
            <w:vAlign w:val="center"/>
          </w:tcPr>
          <w:p>
            <w:pPr>
              <w:pStyle w:val="12"/>
            </w:pPr>
          </w:p>
        </w:tc>
        <w:tc>
          <w:tcPr>
            <w:tcW w:w="2551" w:type="dxa"/>
            <w:vAlign w:val="center"/>
          </w:tcPr>
          <w:p>
            <w:pPr>
              <w:pStyle w:val="12"/>
            </w:pPr>
            <w:r>
              <w:t>35.38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2080901</w:t>
            </w:r>
          </w:p>
        </w:tc>
        <w:tc>
          <w:tcPr>
            <w:tcW w:w="4535" w:type="dxa"/>
            <w:vAlign w:val="center"/>
          </w:tcPr>
          <w:p>
            <w:pPr>
              <w:pStyle w:val="13"/>
            </w:pPr>
            <w:r>
              <w:t>退役士兵安置</w:t>
            </w:r>
          </w:p>
        </w:tc>
        <w:tc>
          <w:tcPr>
            <w:tcW w:w="2551" w:type="dxa"/>
            <w:vAlign w:val="center"/>
          </w:tcPr>
          <w:p>
            <w:pPr>
              <w:pStyle w:val="12"/>
            </w:pPr>
            <w:r>
              <w:t>35.38</w:t>
            </w:r>
          </w:p>
        </w:tc>
        <w:tc>
          <w:tcPr>
            <w:tcW w:w="2551" w:type="dxa"/>
            <w:vAlign w:val="center"/>
          </w:tcPr>
          <w:p>
            <w:pPr>
              <w:pStyle w:val="12"/>
            </w:pPr>
          </w:p>
        </w:tc>
        <w:tc>
          <w:tcPr>
            <w:tcW w:w="2551" w:type="dxa"/>
            <w:vAlign w:val="center"/>
          </w:tcPr>
          <w:p>
            <w:pPr>
              <w:pStyle w:val="12"/>
            </w:pPr>
            <w:r>
              <w:t>35.38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145.13</w:t>
            </w:r>
          </w:p>
        </w:tc>
        <w:tc>
          <w:tcPr>
            <w:tcW w:w="2551" w:type="dxa"/>
            <w:vAlign w:val="center"/>
          </w:tcPr>
          <w:p>
            <w:pPr>
              <w:pStyle w:val="12"/>
            </w:pPr>
            <w:r>
              <w:t>145.13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145.13</w:t>
            </w:r>
          </w:p>
        </w:tc>
        <w:tc>
          <w:tcPr>
            <w:tcW w:w="2551" w:type="dxa"/>
            <w:vAlign w:val="center"/>
          </w:tcPr>
          <w:p>
            <w:pPr>
              <w:pStyle w:val="12"/>
            </w:pPr>
            <w:r>
              <w:t>145.13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145.13</w:t>
            </w:r>
          </w:p>
        </w:tc>
        <w:tc>
          <w:tcPr>
            <w:tcW w:w="2551" w:type="dxa"/>
            <w:vAlign w:val="center"/>
          </w:tcPr>
          <w:p>
            <w:pPr>
              <w:pStyle w:val="12"/>
            </w:pPr>
            <w:r>
              <w:t>145.13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191.26</w:t>
            </w:r>
          </w:p>
        </w:tc>
        <w:tc>
          <w:tcPr>
            <w:tcW w:w="2551" w:type="dxa"/>
            <w:vAlign w:val="center"/>
          </w:tcPr>
          <w:p>
            <w:pPr>
              <w:pStyle w:val="12"/>
            </w:pPr>
            <w:r>
              <w:t>191.26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191.26</w:t>
            </w:r>
          </w:p>
        </w:tc>
        <w:tc>
          <w:tcPr>
            <w:tcW w:w="2551" w:type="dxa"/>
            <w:vAlign w:val="center"/>
          </w:tcPr>
          <w:p>
            <w:pPr>
              <w:pStyle w:val="12"/>
            </w:pPr>
            <w:r>
              <w:t>191.26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191.26</w:t>
            </w:r>
          </w:p>
        </w:tc>
        <w:tc>
          <w:tcPr>
            <w:tcW w:w="2551" w:type="dxa"/>
            <w:vAlign w:val="center"/>
          </w:tcPr>
          <w:p>
            <w:pPr>
              <w:pStyle w:val="12"/>
            </w:pPr>
            <w:r>
              <w:t>191.26</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383石家庄市鹿泉区市场监督管理局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3188.08</w:t>
            </w:r>
          </w:p>
        </w:tc>
        <w:tc>
          <w:tcPr>
            <w:tcW w:w="2551" w:type="dxa"/>
            <w:vAlign w:val="center"/>
          </w:tcPr>
          <w:p>
            <w:pPr>
              <w:pStyle w:val="16"/>
            </w:pPr>
            <w:r>
              <w:t>2642.18</w:t>
            </w:r>
          </w:p>
        </w:tc>
        <w:tc>
          <w:tcPr>
            <w:tcW w:w="2551" w:type="dxa"/>
            <w:vAlign w:val="center"/>
          </w:tcPr>
          <w:p>
            <w:pPr>
              <w:pStyle w:val="16"/>
            </w:pPr>
            <w:r>
              <w:t>545.90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2079.99</w:t>
            </w:r>
          </w:p>
        </w:tc>
        <w:tc>
          <w:tcPr>
            <w:tcW w:w="2551" w:type="dxa"/>
            <w:vAlign w:val="center"/>
          </w:tcPr>
          <w:p>
            <w:pPr>
              <w:pStyle w:val="12"/>
            </w:pPr>
            <w:r>
              <w:t>2079.99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545.04</w:t>
            </w:r>
          </w:p>
        </w:tc>
        <w:tc>
          <w:tcPr>
            <w:tcW w:w="2551" w:type="dxa"/>
            <w:vAlign w:val="center"/>
          </w:tcPr>
          <w:p>
            <w:pPr>
              <w:pStyle w:val="12"/>
            </w:pPr>
            <w:r>
              <w:t>545.04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263.97</w:t>
            </w:r>
          </w:p>
        </w:tc>
        <w:tc>
          <w:tcPr>
            <w:tcW w:w="2551" w:type="dxa"/>
            <w:vAlign w:val="center"/>
          </w:tcPr>
          <w:p>
            <w:pPr>
              <w:pStyle w:val="12"/>
            </w:pPr>
            <w:r>
              <w:t>263.97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229.52</w:t>
            </w:r>
          </w:p>
        </w:tc>
        <w:tc>
          <w:tcPr>
            <w:tcW w:w="2551" w:type="dxa"/>
            <w:vAlign w:val="center"/>
          </w:tcPr>
          <w:p>
            <w:pPr>
              <w:pStyle w:val="12"/>
            </w:pPr>
            <w:r>
              <w:t>229.52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497.34</w:t>
            </w:r>
          </w:p>
        </w:tc>
        <w:tc>
          <w:tcPr>
            <w:tcW w:w="2551" w:type="dxa"/>
            <w:vAlign w:val="center"/>
          </w:tcPr>
          <w:p>
            <w:pPr>
              <w:pStyle w:val="12"/>
            </w:pPr>
            <w:r>
              <w:t>497.34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199.40</w:t>
            </w:r>
          </w:p>
        </w:tc>
        <w:tc>
          <w:tcPr>
            <w:tcW w:w="2551" w:type="dxa"/>
            <w:vAlign w:val="center"/>
          </w:tcPr>
          <w:p>
            <w:pPr>
              <w:pStyle w:val="12"/>
            </w:pPr>
            <w:r>
              <w:t>199.40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81.82</w:t>
            </w:r>
          </w:p>
        </w:tc>
        <w:tc>
          <w:tcPr>
            <w:tcW w:w="2551" w:type="dxa"/>
            <w:vAlign w:val="center"/>
          </w:tcPr>
          <w:p>
            <w:pPr>
              <w:pStyle w:val="12"/>
            </w:pPr>
            <w:r>
              <w:t>81.82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63.31</w:t>
            </w:r>
          </w:p>
        </w:tc>
        <w:tc>
          <w:tcPr>
            <w:tcW w:w="2551" w:type="dxa"/>
            <w:vAlign w:val="center"/>
          </w:tcPr>
          <w:p>
            <w:pPr>
              <w:pStyle w:val="12"/>
            </w:pPr>
            <w:r>
              <w:t>63.31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8.33</w:t>
            </w:r>
          </w:p>
        </w:tc>
        <w:tc>
          <w:tcPr>
            <w:tcW w:w="2551" w:type="dxa"/>
            <w:vAlign w:val="center"/>
          </w:tcPr>
          <w:p>
            <w:pPr>
              <w:pStyle w:val="12"/>
            </w:pPr>
            <w:r>
              <w:t>8.33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191.26</w:t>
            </w:r>
          </w:p>
        </w:tc>
        <w:tc>
          <w:tcPr>
            <w:tcW w:w="2551" w:type="dxa"/>
            <w:vAlign w:val="center"/>
          </w:tcPr>
          <w:p>
            <w:pPr>
              <w:pStyle w:val="12"/>
            </w:pPr>
            <w:r>
              <w:t>191.26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545.90</w:t>
            </w:r>
          </w:p>
        </w:tc>
        <w:tc>
          <w:tcPr>
            <w:tcW w:w="2551" w:type="dxa"/>
            <w:vAlign w:val="center"/>
          </w:tcPr>
          <w:p>
            <w:pPr>
              <w:pStyle w:val="12"/>
            </w:pPr>
          </w:p>
        </w:tc>
        <w:tc>
          <w:tcPr>
            <w:tcW w:w="2551" w:type="dxa"/>
            <w:vAlign w:val="center"/>
          </w:tcPr>
          <w:p>
            <w:pPr>
              <w:pStyle w:val="12"/>
            </w:pPr>
            <w:r>
              <w:t>545.90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75.00</w:t>
            </w:r>
          </w:p>
        </w:tc>
        <w:tc>
          <w:tcPr>
            <w:tcW w:w="2551" w:type="dxa"/>
            <w:vAlign w:val="center"/>
          </w:tcPr>
          <w:p>
            <w:pPr>
              <w:pStyle w:val="12"/>
            </w:pPr>
          </w:p>
        </w:tc>
        <w:tc>
          <w:tcPr>
            <w:tcW w:w="2551" w:type="dxa"/>
            <w:vAlign w:val="center"/>
          </w:tcPr>
          <w:p>
            <w:pPr>
              <w:pStyle w:val="12"/>
            </w:pPr>
            <w:r>
              <w:t>75.00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29.54</w:t>
            </w:r>
          </w:p>
        </w:tc>
        <w:tc>
          <w:tcPr>
            <w:tcW w:w="2551" w:type="dxa"/>
            <w:vAlign w:val="center"/>
          </w:tcPr>
          <w:p>
            <w:pPr>
              <w:pStyle w:val="12"/>
            </w:pPr>
          </w:p>
        </w:tc>
        <w:tc>
          <w:tcPr>
            <w:tcW w:w="2551" w:type="dxa"/>
            <w:vAlign w:val="center"/>
          </w:tcPr>
          <w:p>
            <w:pPr>
              <w:pStyle w:val="12"/>
            </w:pPr>
            <w:r>
              <w:t>29.54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18.52</w:t>
            </w:r>
          </w:p>
        </w:tc>
        <w:tc>
          <w:tcPr>
            <w:tcW w:w="2551" w:type="dxa"/>
            <w:vAlign w:val="center"/>
          </w:tcPr>
          <w:p>
            <w:pPr>
              <w:pStyle w:val="12"/>
            </w:pPr>
          </w:p>
        </w:tc>
        <w:tc>
          <w:tcPr>
            <w:tcW w:w="2551" w:type="dxa"/>
            <w:vAlign w:val="center"/>
          </w:tcPr>
          <w:p>
            <w:pPr>
              <w:pStyle w:val="12"/>
            </w:pPr>
            <w:r>
              <w:t>18.52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330.99</w:t>
            </w:r>
          </w:p>
        </w:tc>
        <w:tc>
          <w:tcPr>
            <w:tcW w:w="2551" w:type="dxa"/>
            <w:vAlign w:val="center"/>
          </w:tcPr>
          <w:p>
            <w:pPr>
              <w:pStyle w:val="12"/>
            </w:pPr>
          </w:p>
        </w:tc>
        <w:tc>
          <w:tcPr>
            <w:tcW w:w="2551" w:type="dxa"/>
            <w:vAlign w:val="center"/>
          </w:tcPr>
          <w:p>
            <w:pPr>
              <w:pStyle w:val="12"/>
            </w:pPr>
            <w:r>
              <w:t>330.99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11.29</w:t>
            </w:r>
          </w:p>
        </w:tc>
        <w:tc>
          <w:tcPr>
            <w:tcW w:w="2551" w:type="dxa"/>
            <w:vAlign w:val="center"/>
          </w:tcPr>
          <w:p>
            <w:pPr>
              <w:pStyle w:val="12"/>
            </w:pPr>
          </w:p>
        </w:tc>
        <w:tc>
          <w:tcPr>
            <w:tcW w:w="2551" w:type="dxa"/>
            <w:vAlign w:val="center"/>
          </w:tcPr>
          <w:p>
            <w:pPr>
              <w:pStyle w:val="12"/>
            </w:pPr>
            <w:r>
              <w:t>11.29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13.63</w:t>
            </w:r>
          </w:p>
        </w:tc>
        <w:tc>
          <w:tcPr>
            <w:tcW w:w="2551" w:type="dxa"/>
            <w:vAlign w:val="center"/>
          </w:tcPr>
          <w:p>
            <w:pPr>
              <w:pStyle w:val="12"/>
            </w:pPr>
          </w:p>
        </w:tc>
        <w:tc>
          <w:tcPr>
            <w:tcW w:w="2551" w:type="dxa"/>
            <w:vAlign w:val="center"/>
          </w:tcPr>
          <w:p>
            <w:pPr>
              <w:pStyle w:val="12"/>
            </w:pPr>
            <w:r>
              <w:t>13.63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16.20</w:t>
            </w:r>
          </w:p>
        </w:tc>
        <w:tc>
          <w:tcPr>
            <w:tcW w:w="2551" w:type="dxa"/>
            <w:vAlign w:val="center"/>
          </w:tcPr>
          <w:p>
            <w:pPr>
              <w:pStyle w:val="12"/>
            </w:pPr>
          </w:p>
        </w:tc>
        <w:tc>
          <w:tcPr>
            <w:tcW w:w="2551" w:type="dxa"/>
            <w:vAlign w:val="center"/>
          </w:tcPr>
          <w:p>
            <w:pPr>
              <w:pStyle w:val="12"/>
            </w:pPr>
            <w:r>
              <w:t>16.20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34.56</w:t>
            </w:r>
          </w:p>
        </w:tc>
        <w:tc>
          <w:tcPr>
            <w:tcW w:w="2551" w:type="dxa"/>
            <w:vAlign w:val="center"/>
          </w:tcPr>
          <w:p>
            <w:pPr>
              <w:pStyle w:val="12"/>
            </w:pPr>
          </w:p>
        </w:tc>
        <w:tc>
          <w:tcPr>
            <w:tcW w:w="2551" w:type="dxa"/>
            <w:vAlign w:val="center"/>
          </w:tcPr>
          <w:p>
            <w:pPr>
              <w:pStyle w:val="12"/>
            </w:pPr>
            <w:r>
              <w:t>34.56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16.17</w:t>
            </w:r>
          </w:p>
        </w:tc>
        <w:tc>
          <w:tcPr>
            <w:tcW w:w="2551" w:type="dxa"/>
            <w:vAlign w:val="center"/>
          </w:tcPr>
          <w:p>
            <w:pPr>
              <w:pStyle w:val="12"/>
            </w:pPr>
          </w:p>
        </w:tc>
        <w:tc>
          <w:tcPr>
            <w:tcW w:w="2551" w:type="dxa"/>
            <w:vAlign w:val="center"/>
          </w:tcPr>
          <w:p>
            <w:pPr>
              <w:pStyle w:val="12"/>
            </w:pPr>
            <w:r>
              <w:t>16.17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562.19</w:t>
            </w:r>
          </w:p>
        </w:tc>
        <w:tc>
          <w:tcPr>
            <w:tcW w:w="2551" w:type="dxa"/>
            <w:vAlign w:val="center"/>
          </w:tcPr>
          <w:p>
            <w:pPr>
              <w:pStyle w:val="12"/>
            </w:pPr>
            <w:r>
              <w:t>562.19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545.18</w:t>
            </w:r>
          </w:p>
        </w:tc>
        <w:tc>
          <w:tcPr>
            <w:tcW w:w="2551" w:type="dxa"/>
            <w:vAlign w:val="center"/>
          </w:tcPr>
          <w:p>
            <w:pPr>
              <w:pStyle w:val="12"/>
            </w:pPr>
            <w:r>
              <w:t>545.18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17.01</w:t>
            </w:r>
          </w:p>
        </w:tc>
        <w:tc>
          <w:tcPr>
            <w:tcW w:w="2551" w:type="dxa"/>
            <w:vAlign w:val="center"/>
          </w:tcPr>
          <w:p>
            <w:pPr>
              <w:pStyle w:val="12"/>
            </w:pPr>
            <w:r>
              <w:t>17.01</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383石家庄市鹿泉区市场监督管理局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383石家庄市鹿泉区市场监督管理局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383石家庄市鹿泉区市场监督管理局</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35.10</w:t>
            </w:r>
          </w:p>
        </w:tc>
        <w:tc>
          <w:tcPr>
            <w:tcW w:w="2381" w:type="dxa"/>
            <w:vAlign w:val="center"/>
          </w:tcPr>
          <w:p>
            <w:pPr>
              <w:pStyle w:val="16"/>
            </w:pPr>
            <w:r>
              <w:t>35.10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35.10</w:t>
            </w:r>
          </w:p>
        </w:tc>
        <w:tc>
          <w:tcPr>
            <w:tcW w:w="2381" w:type="dxa"/>
            <w:vAlign w:val="center"/>
          </w:tcPr>
          <w:p>
            <w:pPr>
              <w:pStyle w:val="12"/>
            </w:pPr>
            <w:r>
              <w:t>35.10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35.10</w:t>
            </w:r>
          </w:p>
        </w:tc>
        <w:tc>
          <w:tcPr>
            <w:tcW w:w="2381" w:type="dxa"/>
            <w:vAlign w:val="center"/>
          </w:tcPr>
          <w:p>
            <w:pPr>
              <w:pStyle w:val="12"/>
            </w:pPr>
            <w:r>
              <w:t>35.10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35.10</w:t>
            </w:r>
          </w:p>
        </w:tc>
        <w:tc>
          <w:tcPr>
            <w:tcW w:w="2381" w:type="dxa"/>
            <w:vAlign w:val="center"/>
          </w:tcPr>
          <w:p>
            <w:pPr>
              <w:pStyle w:val="12"/>
            </w:pPr>
            <w:r>
              <w:t>35.10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石家庄市鹿泉区市场监督管理局2025年部门预算信息公开情况说明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石家庄市鹿泉区市场监督管理局2025年部门预算信息公开情况说明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按照《中华人民共和国预算法》、《地方预决算公开操作规程》和《关于进一步推进预算公开工作的实施意见》规定，现将石家庄市鹿泉区市场监督管理局2025年部门预算公开如下：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据《石家庄市鹿泉区市场监督管理局职能配置、内设机构和人员编制规定》， 石家庄市鹿泉区市场监督管理局的主要职责是：</w:t>
      </w:r>
    </w:p>
    <w:p>
      <w:pPr>
        <w:pStyle w:val="18"/>
      </w:pPr>
      <w:r>
        <w:t>（一）贯彻落实市场监督管理有关法律法规、规章政策和标准规范，起草全区市场监督管理有关规范性文件草案，组织实施质量强区战略、食品安全战略、标准化战略、知识产权战略，拟订市场监督管理规划并组织实施，规范和维护市场秩序，营造诚实守信、公平竞争的市场环境。</w:t>
      </w:r>
    </w:p>
    <w:p>
      <w:pPr>
        <w:pStyle w:val="18"/>
      </w:pPr>
      <w:r>
        <w:t>（二）负责市场主体信用建设工作，负责建立市场主体信息公示和共享机制，依法公示和共享有关信息，加强信用监管，推动市场主体信用体系建设。</w:t>
      </w:r>
    </w:p>
    <w:p>
      <w:pPr>
        <w:pStyle w:val="18"/>
      </w:pPr>
      <w:r>
        <w:t>（三）负责市场监管综合执法工作，负责市场监管综合执法队伍建设，推动实行统一的市场监管；组织查处违法案件；规范市场监管行政执法行为。</w:t>
      </w:r>
    </w:p>
    <w:p>
      <w:pPr>
        <w:pStyle w:val="18"/>
      </w:pPr>
      <w:r>
        <w:t>（四）负责监督管理市场秩序，依法监督管理市场交易、网络商品交易及有关服务的行为；依法查处价格收费违法违规、不正当竞争、违法直销、传销、侵犯商标专利知识产权和制售假冒伪劣行为；负责全区广告业发展，监督管理广告活动；依法查处无照生产经营和相关无证生产经营行为；负责维护消费者权益；根据上级授权，负责对经营者集中行为进行反垄断审查，负责垄断协议、滥用市场支配地位和滥用行政权力排除、限制竞争等反垄断执法工作。指导企业在国外的反垄断应诉工作。</w:t>
      </w:r>
    </w:p>
    <w:p>
      <w:pPr>
        <w:pStyle w:val="18"/>
      </w:pPr>
      <w:r>
        <w:t>（五）负责全区宏观质量管理工作，拟订全区质量发展制度和措施并组织实施；统筹全区质量基础设施建设与应用，会同有关部门组织实施工程设备质量监理制度，组织质量事故调查，组织实施缺陷产品召回制度，监督管理产品防伪工作。</w:t>
      </w:r>
    </w:p>
    <w:p>
      <w:pPr>
        <w:pStyle w:val="18"/>
      </w:pPr>
      <w:r>
        <w:t>（六）负责全区产品质量安全监督管理工作，承担区级产品质量安全风险监控、监督抽查工作；组织实施质量分级制度、质量安全追溯制度；负责纤维质量监督工作。</w:t>
      </w:r>
    </w:p>
    <w:p>
      <w:pPr>
        <w:pStyle w:val="18"/>
      </w:pPr>
      <w:r>
        <w:t>（七）负责全区特种设备安全监督管理工作，负责特种设备安全监察、监督管理工作，监督检查高耗能特种设备节能标准和锅炉环境保护标准的执行情况。</w:t>
      </w:r>
    </w:p>
    <w:p>
      <w:pPr>
        <w:pStyle w:val="18"/>
      </w:pPr>
      <w:r>
        <w:t>（八）负责综合协调食品安全监督管理工作，贯彻落实食品安全政策，推动健全食品安全地方党政同责和跨部门协调联动机制，负责食品安全应急体系建设，负责食品安全事件应急处置和调查处理工作，建立健全食品安全信息统一公布和重要信息直报制度；承担石家庄市鹿泉区人民政府食品安全委员会日常工作。</w:t>
      </w:r>
    </w:p>
    <w:p>
      <w:pPr>
        <w:pStyle w:val="18"/>
      </w:pPr>
      <w:r>
        <w:t>（九）负责食品安全监督管理工作，建立覆盖食品生产、流通、消费全过程的监督检查制度和隐患排查治理机制并组织实施，防范食品安全风险；推动建立食品生产经营者落实主体责任的机制，健全食品安全追溯体系。参与食品安全风险监测，组织开展食品安全监督抽检、核查处置和风险预警、风险交流工作；按职责分工负责特殊食品监督管理工作；负责重大活动食品安全保障。</w:t>
      </w:r>
    </w:p>
    <w:p>
      <w:pPr>
        <w:pStyle w:val="18"/>
      </w:pPr>
      <w:r>
        <w:t>（十）负责统一管理全区计量工作，推行法定计量单位和国家计量制度，管理计量器具及量值传递和比对工作；规范、监督商品量和市场计量行为。</w:t>
      </w:r>
    </w:p>
    <w:p>
      <w:pPr>
        <w:pStyle w:val="18"/>
      </w:pPr>
      <w:r>
        <w:t>（十一）负责统一管理全区标准化工作，宣传贯彻强制性、推荐性国家标准和行业标准、地方标准；依法协调指导和监督团体标准、企业标准制定工作；组织开展标准化国际、区域合作和参与制定、采用国际标准工作。</w:t>
      </w:r>
    </w:p>
    <w:p>
      <w:pPr>
        <w:pStyle w:val="18"/>
      </w:pPr>
      <w:r>
        <w:t>（十二）负责统一管理全区检验检测工作，推进检验检测机构改革，规范检验检测市场，完善检验检测体系，指导协调检验检测行业发展。</w:t>
      </w:r>
    </w:p>
    <w:p>
      <w:pPr>
        <w:pStyle w:val="18"/>
      </w:pPr>
      <w:r>
        <w:t>（十三）负责统一管理、监督和协调全区认证认可工作。组织实施国家统一的认证认可和合格评定监督管理制度。</w:t>
      </w:r>
    </w:p>
    <w:p>
      <w:pPr>
        <w:pStyle w:val="18"/>
      </w:pPr>
      <w:r>
        <w:t>（十四）负责推进全区知识产权管理工作，拟订加强知识产权强区建设发展规划并组织实施，拟订强化知识产权创造、保护和运用的政策和制度并组织实施。</w:t>
      </w:r>
    </w:p>
    <w:p>
      <w:pPr>
        <w:pStyle w:val="18"/>
      </w:pPr>
      <w:r>
        <w:t>（十五）负责保护知识产权工作，组织实施严格保护商标、专利、原产地地理标志、集成电路布图设计等知识产权地方性法规、政府规章；按照国家知识产权保护体系建设方案，推动建设知识产权保护体系；负责商标、专利执法工作，负责知识产权争议处理、维权援助和纠纷调处，承担京津冀知识产权执法协作工作。</w:t>
      </w:r>
    </w:p>
    <w:p>
      <w:pPr>
        <w:pStyle w:val="18"/>
      </w:pPr>
      <w:r>
        <w:t xml:space="preserve">（十六）负责促进知识产权运用工作，贯彻落实知识产权运用和规范交易管理办法，促进知识产权转移转化；规范知识产权无形资产评估工作；负责知识产权中介服务发展的监督管理工作。 </w:t>
      </w:r>
    </w:p>
    <w:p>
      <w:pPr>
        <w:pStyle w:val="18"/>
      </w:pPr>
      <w:r>
        <w:t>（十七）负责建立知识产权公共服务体系，建设利用便企利民、互联互通的知识产权信息公共服务平台，推动商标、专利等知识产权信息的传播利用。</w:t>
      </w:r>
    </w:p>
    <w:p>
      <w:pPr>
        <w:pStyle w:val="18"/>
      </w:pPr>
      <w:r>
        <w:t>（十八）承担上级授权的知识产权代办工作任务，组织实施原产地地理标志统一认定制度。</w:t>
      </w:r>
    </w:p>
    <w:p>
      <w:pPr>
        <w:pStyle w:val="18"/>
      </w:pPr>
      <w:r>
        <w:t>（十九）负责市场监督管理科技和信息化建设、新闻宣传、对外交流与合作；按规定承担技术性贸易措施有关工作；负责协调涉外知识产权事宜，承担知识产权对外转让审查有关工作。</w:t>
      </w:r>
    </w:p>
    <w:p>
      <w:pPr>
        <w:pStyle w:val="18"/>
      </w:pPr>
      <w:r>
        <w:t>（二十）负责药品（含中药、民族药，下同）、医疗器械和化妆品安全监督管理工作，贯彻执行国家、省、市药品、医疗器械和化妆品法律法规，以及鼓励药品、医疗器械和化妆品新技术新产品的管理与服务政策，拟订监督管理措施并组织实施。</w:t>
      </w:r>
    </w:p>
    <w:p>
      <w:pPr>
        <w:pStyle w:val="18"/>
      </w:pPr>
      <w:r>
        <w:t>（二十一）负责药品、医疗器械和化妆品质量管理工作，依职责监督实施药品、医疗器械经营质量管理规范。</w:t>
      </w:r>
    </w:p>
    <w:p>
      <w:pPr>
        <w:pStyle w:val="18"/>
      </w:pPr>
      <w:r>
        <w:t>（二十二）组织开展药品、化妆品不良反应监测、医疗器械不良事件监测、药物滥用监测工作，依法承担药品、医疗器械和化妆品安全应急管理工作。</w:t>
      </w:r>
    </w:p>
    <w:p>
      <w:pPr>
        <w:pStyle w:val="18"/>
      </w:pPr>
      <w:r>
        <w:t>（二十三）负责药品、医疗器械和化妆品监督检查工作，贯彻落实国家、省、市检查制度，依法查处药品、医疗器械和化妆品经营、使用环节的违法行为。</w:t>
      </w:r>
    </w:p>
    <w:p>
      <w:pPr>
        <w:pStyle w:val="18"/>
      </w:pPr>
      <w:r>
        <w:t>（二十四）组织开展药品、医疗器械和化妆品安全宣传、教育培训，推进诚信体系建设。</w:t>
      </w:r>
    </w:p>
    <w:p>
      <w:pPr>
        <w:pStyle w:val="18"/>
      </w:pPr>
      <w:r>
        <w:t>（二十五）推动落实药品、医疗器械和化妆品安全企业主体责任，落实药品、医疗器械和化妆品安全考核有关工作。</w:t>
      </w:r>
    </w:p>
    <w:p>
      <w:pPr>
        <w:pStyle w:val="18"/>
      </w:pPr>
      <w:r>
        <w:t>（二十六）推进全区药品、医疗器械和化妆品安全监管信息化建设，负责制定药品、医疗器械和化妆品的安全科技发展规划并组织实施，推动检验检测体系、电子监管追溯体系和信息化建设；完善药品、医疗器械和化妆品安全信息统一公布制度和重大信息直报制度，公布重大安全信息。</w:t>
      </w:r>
    </w:p>
    <w:p>
      <w:pPr>
        <w:pStyle w:val="18"/>
      </w:pPr>
      <w:r>
        <w:t>（二十七）承接市市场监督管理局委托区级实施的管理事项。</w:t>
      </w:r>
    </w:p>
    <w:p>
      <w:pPr>
        <w:pStyle w:val="18"/>
      </w:pPr>
      <w:r>
        <w:t>（二十八）完成区委、区政府交办的其他任务。</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石家庄市鹿泉区市场监督管理局本级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按照预算管理有关规定，目前部门预算的编制实行综合预算管理，即全部收入和支出都反映在预算中。石家庄市鹿泉区市场监督管理局机关及所属事业单位的收支包含在部门预算中。</w:t>
      </w:r>
    </w:p>
    <w:p>
      <w:pPr>
        <w:pStyle w:val="19"/>
      </w:pPr>
      <w:r>
        <w:t>1、收入说明</w:t>
      </w:r>
    </w:p>
    <w:p>
      <w:pPr>
        <w:pStyle w:val="19"/>
      </w:pPr>
      <w:r>
        <w:t>反映本部门当年全部收入。2025年预算收入3760.54万元，其中：一般公共预算收入3760.54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石家庄市鹿泉区市场监督管理局年度部门预算中支出预算的总体情况。2025年支出预算3760.54万元，其中基本支出3188.08万元，包括人员经费2642.18万元和日常公用经费545.90万元；项目支出572.46万元，主要</w:t>
      </w:r>
      <w:r>
        <w:rPr>
          <w:rFonts w:hint="eastAsia"/>
          <w:lang w:eastAsia="zh-CN"/>
        </w:rPr>
        <w:t>为</w:t>
      </w:r>
      <w:bookmarkStart w:id="20" w:name="_GoBack"/>
      <w:bookmarkEnd w:id="20"/>
      <w:r>
        <w:t>食品安全综合监管、食品和农产品抽检、执法业务费等支出。</w:t>
      </w:r>
    </w:p>
    <w:p>
      <w:pPr>
        <w:pStyle w:val="19"/>
      </w:pPr>
      <w:r>
        <w:t>3、比上年增减情况</w:t>
      </w:r>
    </w:p>
    <w:p>
      <w:pPr>
        <w:pStyle w:val="19"/>
      </w:pPr>
      <w:r>
        <w:t>2025年预算收支安排3760.54万元，较2024年预算减少302.30万元，其中：基本支出减少131.18万元，主要为在职人员减少，在职人员工资福利等减少；取暖面积等减少，日常公用经费减少。项目支出减少171.12万元，主要为压缩食品安全综合监管等项目资金，减少预算项目。</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rPr>
          <w:rFonts w:hint="eastAsia" w:eastAsia="方正仿宋_GBK"/>
          <w:lang w:eastAsia="zh-CN"/>
        </w:rPr>
      </w:pPr>
      <w:r>
        <w:t>202</w:t>
      </w:r>
      <w:r>
        <w:rPr>
          <w:rFonts w:hint="eastAsia"/>
          <w:lang w:val="en-US" w:eastAsia="zh-CN"/>
        </w:rPr>
        <w:t>5</w:t>
      </w:r>
      <w:r>
        <w:t>年，我部门机关运行经费共计安排</w:t>
      </w:r>
      <w:r>
        <w:rPr>
          <w:rFonts w:hint="eastAsia"/>
          <w:lang w:val="en-US" w:eastAsia="zh-CN"/>
        </w:rPr>
        <w:t>545.9</w:t>
      </w:r>
      <w:r>
        <w:t>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35.10万元，其中因公出国（境）费0.00万元；公务用车购置及运维费35.10万元（其中：公务用车购置费为0.00万元，公务用车运维费35.10万元)；公务接待费0.00万元。与上年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一、完善制度建设。制定并完善我局的预算绩效管理制度、资金管理办法、工作保障制度等，为全年预算绩效目标的实现奠定制度基础。</w:t>
      </w:r>
    </w:p>
    <w:p>
      <w:pPr>
        <w:pStyle w:val="22"/>
      </w:pPr>
      <w:r>
        <w:t>二、加强支出管理。通过优化支出结构、编细编实预算、加快履行政府采购手续、尽快启动项目、及时支付资金、按规定及时下达资金等多种措施，确保支出进度达标。</w:t>
      </w:r>
    </w:p>
    <w:p>
      <w:pPr>
        <w:pStyle w:val="22"/>
      </w:pPr>
      <w:r>
        <w:t>三、加强绩效运行监控。按要求开展绩效运行监控，发现问题及时采取措施，确保绩效目标如期保质实现。</w:t>
      </w:r>
    </w:p>
    <w:p>
      <w:pPr>
        <w:pStyle w:val="22"/>
      </w:pPr>
      <w:r>
        <w:t>四、做好绩效自评。按要求开展上年度部门预算绩效自评和重点评价工作，对评价中发现的问题及时整改，调整优化支出结构，提高财政资金使用效益。</w:t>
      </w:r>
    </w:p>
    <w:p>
      <w:pPr>
        <w:pStyle w:val="22"/>
      </w:pPr>
      <w:r>
        <w:t>五、规范财务资产管理。完善财务管理制度，严格要求审批程序，加强固定资产登记、使用和报废处置管理，做到出动合理，物尽其用。</w:t>
      </w:r>
    </w:p>
    <w:p>
      <w:pPr>
        <w:pStyle w:val="22"/>
      </w:pPr>
      <w:r>
        <w:t>六、加强内部监督。加强内部监督制度建设，对绩效运行情况、重大支出决策、对外投资、资产处置及其他重要经济业务事项的决策和招待进行督导，对会计资料进行内部审计，并配合做好审计、财政监督等外部监督工作，确保财政资金安全有效。</w:t>
      </w:r>
    </w:p>
    <w:p>
      <w:pPr>
        <w:pStyle w:val="22"/>
      </w:pPr>
      <w:r>
        <w:t>七、加强宣传培训调研等。加强人员培训，提高本部门职工业务素质；加强调研，提出优化财政资金配置、提高资金使用效益的意见建议；加大宣传力度，强化预算绩效管理意识，促进预算绩效管理水平进一步提升。</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p>
    <w:p>
      <w:pPr>
        <w:pStyle w:val="23"/>
      </w:pPr>
    </w:p>
    <w:p>
      <w:pPr>
        <w:pStyle w:val="23"/>
      </w:pPr>
      <w:r>
        <w:t>（一）规范市场监督与管理</w:t>
      </w:r>
    </w:p>
    <w:p>
      <w:pPr>
        <w:pStyle w:val="23"/>
      </w:pPr>
      <w:r>
        <w:t>绩效目标：依法规范和维护全市各类市场经营秩序，监督管理市场交易行为。开展各项专项整治活动（如成品油、假驴肉、注水肉等），开展对化肥、成品油、电器等流通领域商品质量进行分批次抽检，打击假冒伪劣产品，规范各类市场主体的经营行为，确保各类市场不出现重大事故，使全区的市场秩序好于上年；加强对食品生产、流通、餐饮、保健品各环节进行强力监管，及时发现和排除食品安全问题，确保食品生产、流通、餐饮环节和保健品不出现重大事故；规范重大活动餐饮服务单位食品监管，确保大型政治、经济、文化、体育活动以及在我区范围内举办各类大型会议、展览会和赛事等活动期间的餐饮服务食品安全；全面加强对基本药物（医疗器械及包装材料）及化妆品的质量监管指导，监督药品生产企业严格按照药品标准进行生产，及时发现制假售假问题，做好药物不良反应监测及调查处置；建立统一的市场监管信息平台，对网络市场进行监管；加快部门之间、上下级之间监管信息的互联互通，依托河北省市场主体信用信息公示系统，整合形成统一的市场监管信息平台；对户外非法广告，餐厨废弃物收集，农贸市场规范管理，各类食杂店监管，无照经营查处。</w:t>
      </w:r>
    </w:p>
    <w:p>
      <w:pPr>
        <w:pStyle w:val="23"/>
      </w:pPr>
      <w:r>
        <w:t>绩效指标：完成全区加油站和加油点成品油50批次以上抽检，对成品油进行100%全覆盖抽检，规范成品油市场，要求成品油达到国家标准；对生产流通领域商品进行检测30批次，完成率须达到100%，抽查覆盖率达到100%。依法查处无照经营，查处传销违法行为，打假治劣，发现的企业违法行为查办及时，查办及时率达到100%；对食品和食品农产品抽检2066批次，抽查覆盖率达到95%以上，抽查产品平均合格率达到95%以上。</w:t>
      </w:r>
    </w:p>
    <w:p>
      <w:pPr>
        <w:pStyle w:val="23"/>
      </w:pPr>
    </w:p>
    <w:p>
      <w:pPr>
        <w:pStyle w:val="23"/>
      </w:pPr>
      <w:r>
        <w:t>（二）提升执法监管能力建设</w:t>
      </w:r>
    </w:p>
    <w:p>
      <w:pPr>
        <w:pStyle w:val="23"/>
      </w:pPr>
      <w:r>
        <w:t>绩效目标：加强社会信用体系衔接，实现“一处违法、处处受限”，配合有关部门建立健全跨部门联动响应机制和失信惩戒机制，对存在违法行为的市场主体，加大行政处罚和信用约束力度；开展“市场秩序优化”专项行动，切实维护良好市场秩序，加强重点领域执法力度，坚持查处与规范并重，加大打击侵权假冒案件力度，强化打击传销力度，开展反不正当竞争执法工作，加强广告市场监管，加强商标专用权保护力度，加大无照经营查处力度，进一步增强排查力度，确保同一辖区内的无照经营比例低于上一年度，深入推进合同格式条款整治行动，开展“12315护民生”专项行动，切实维护消费者合法权益。</w:t>
      </w:r>
    </w:p>
    <w:p>
      <w:pPr>
        <w:pStyle w:val="23"/>
      </w:pPr>
      <w:r>
        <w:t>绩效指标：组织开展各类专项执法行动5次以上，对企业开展行政指导至少5次，查处性质恶劣、跨区域、社会影响大、严重损害群众利益和破坏市场秩序的大案要案，规范企业市场行为。执法案件查处率要达到90%以上，违法案件受理办结率达到100%。</w:t>
      </w:r>
    </w:p>
    <w:p>
      <w:pPr>
        <w:pStyle w:val="23"/>
      </w:pPr>
      <w:r>
        <w:t>。</w:t>
      </w:r>
    </w:p>
    <w:p>
      <w:pPr>
        <w:pStyle w:val="23"/>
      </w:pPr>
    </w:p>
    <w:p>
      <w:pPr>
        <w:pStyle w:val="23"/>
      </w:pPr>
    </w:p>
    <w:p>
      <w:pPr>
        <w:pStyle w:val="23"/>
      </w:pPr>
      <w:r>
        <w:t>（三）做好产品质量检验检测及特种设备监察工作</w:t>
      </w:r>
    </w:p>
    <w:p>
      <w:pPr>
        <w:pStyle w:val="23"/>
      </w:pPr>
      <w:r>
        <w:t>绩效目标：负责好全区计量器具检定工作；对各执法科特种设备安全监察工作进行协调、沟通、监督、指导并做好特种设备安全事故现场调查处理及上报工作，负责全区燃气、供热、气体充装、旅游景点、仓储物流企业的管理；负责本辖区的特种设备定检完成情况。</w:t>
      </w:r>
    </w:p>
    <w:p>
      <w:pPr>
        <w:pStyle w:val="23"/>
      </w:pPr>
    </w:p>
    <w:p>
      <w:pPr>
        <w:pStyle w:val="23"/>
      </w:pPr>
      <w:r>
        <w:t>绩效指标：特种设备检验检测不少于5批次；特种设备检验检测完成率要达到95%以上；完成285台标准计量器具及安全阀门的周期检定，标准计量器具的周期检定率100%。</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一、完善制度建设。制定并完善我局的预算绩效管理制度、资金管理办法、工作保障制度等，为全年预算绩效目标的实现奠定制度基础。</w:t>
      </w:r>
    </w:p>
    <w:p>
      <w:pPr>
        <w:pStyle w:val="24"/>
      </w:pPr>
      <w:r>
        <w:t>二、加强支出管理。通过优化支出结构、编细编实预算、加快履行政府采购手续、尽快启动项目、及时支付资金、按规定及时下达资金等多种措施，确保支出进度达标。</w:t>
      </w:r>
    </w:p>
    <w:p>
      <w:pPr>
        <w:pStyle w:val="24"/>
      </w:pPr>
      <w:r>
        <w:t>三、加强绩效运行监控。按要求开展绩效运行监控，发现问题及时采取措施，确保绩效目标如期保质实现。</w:t>
      </w:r>
    </w:p>
    <w:p>
      <w:pPr>
        <w:pStyle w:val="24"/>
      </w:pPr>
      <w:r>
        <w:t>四、做好绩效自评。按要求开展上年度部门预算绩效自评和重点评价工作，对评价中发现的问题及时整改，调整优化支出结构，提高财政资金使用效益。</w:t>
      </w:r>
    </w:p>
    <w:p>
      <w:pPr>
        <w:pStyle w:val="24"/>
      </w:pPr>
      <w:r>
        <w:t>五、规范财务资产管理。完善财务管理制度，严格要求审批程序，加强固定资产登记、使用和报废处置管理，做到出动合理，物尽其用。</w:t>
      </w:r>
    </w:p>
    <w:p>
      <w:pPr>
        <w:pStyle w:val="24"/>
      </w:pPr>
      <w:r>
        <w:t>六、加强内部监督。加强内部监督制度建设，对绩效运行情况、重大支出决策、对外投资、资产处置及其他重要经济业务事项的决策和招待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七、加强宣传培训调研等。加强人员培训，提高本部门职工业务素质；加强调研，提出优化财政资金配置、提高资金使用效益的意见建议；加大宣传力度，强化预算绩效管理意识，促进预算绩效管理水平进一步提升。</w:t>
      </w:r>
    </w:p>
    <w:p>
      <w:pPr>
        <w:tabs>
          <w:tab w:val="left" w:pos="8233"/>
        </w:tabs>
        <w:spacing w:before="10" w:after="10" w:line="360" w:lineRule="auto"/>
        <w:ind w:firstLine="640"/>
        <w:jc w:val="left"/>
        <w:outlineLvl w:val="2"/>
        <w:rPr>
          <w:rFonts w:hint="eastAsia" w:ascii="黑体" w:hAnsi="黑体" w:eastAsia="黑体" w:cs="黑体"/>
          <w:color w:val="000000"/>
          <w:sz w:val="32"/>
          <w:lang w:eastAsia="zh-CN"/>
        </w:rPr>
      </w:pPr>
      <w:bookmarkStart w:id="14" w:name="_Toc_3_3_0000000015"/>
      <w:r>
        <w:rPr>
          <w:rFonts w:ascii="黑体" w:hAnsi="黑体" w:eastAsia="黑体" w:cs="黑体"/>
          <w:color w:val="000000"/>
          <w:sz w:val="32"/>
        </w:rPr>
        <w:t>六、部门主管专项资金预算安排情况及绩效目标</w:t>
      </w:r>
      <w:bookmarkEnd w:id="14"/>
      <w:r>
        <w:rPr>
          <w:rFonts w:hint="eastAsia" w:ascii="黑体" w:hAnsi="黑体" w:eastAsia="黑体" w:cs="黑体"/>
          <w:color w:val="000000"/>
          <w:sz w:val="32"/>
          <w:lang w:eastAsia="zh-CN"/>
        </w:rPr>
        <w:tab/>
      </w:r>
    </w:p>
    <w:p>
      <w:pPr>
        <w:tabs>
          <w:tab w:val="left" w:pos="8233"/>
        </w:tabs>
        <w:spacing w:before="10" w:after="10" w:line="360" w:lineRule="auto"/>
        <w:ind w:firstLine="640"/>
        <w:jc w:val="left"/>
        <w:outlineLvl w:val="2"/>
        <w:rPr>
          <w:rFonts w:hint="eastAsia" w:ascii="黑体" w:hAnsi="黑体" w:eastAsia="黑体" w:cs="黑体"/>
          <w:color w:val="000000"/>
          <w:sz w:val="32"/>
          <w:lang w:eastAsia="zh-CN"/>
        </w:rPr>
      </w:pPr>
    </w:p>
    <w:p>
      <w:pPr>
        <w:tabs>
          <w:tab w:val="left" w:pos="8233"/>
        </w:tabs>
        <w:spacing w:before="10" w:after="10" w:line="360" w:lineRule="auto"/>
        <w:ind w:firstLine="1171" w:firstLineChars="366"/>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1、2025产品质量检验检测经费绩效目标表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13011025P00324710005G</w:t>
            </w:r>
          </w:p>
        </w:tc>
        <w:tc>
          <w:tcPr>
            <w:tcW w:w="2835" w:type="dxa"/>
            <w:vAlign w:val="center"/>
          </w:tcPr>
          <w:p>
            <w:pPr>
              <w:pStyle w:val="11"/>
            </w:pPr>
            <w:r>
              <w:t>项目名称</w:t>
            </w:r>
          </w:p>
        </w:tc>
        <w:tc>
          <w:tcPr>
            <w:tcW w:w="6095" w:type="dxa"/>
            <w:gridSpan w:val="3"/>
            <w:vAlign w:val="center"/>
          </w:tcPr>
          <w:p>
            <w:pPr>
              <w:pStyle w:val="13"/>
            </w:pPr>
            <w:r>
              <w:t>2025产品质量检验检测经费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835" w:type="dxa"/>
            <w:vAlign w:val="center"/>
          </w:tcPr>
          <w:p>
            <w:pPr>
              <w:pStyle w:val="11"/>
            </w:pPr>
            <w:r>
              <w:t>其中：财政    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保证所有人员均合格持证上岗；实验室耗材、实验室改造项目全部按时完成更新、购置工作；完成180台标准计量器具的周期检定，达到国家要求实验室验收合格标准。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1.保证所有人员均合格持证上岗；实验室耗材、实验室改造项目全部按时完成更新、购置工作；完成180台标准计量器具的周期检定，达到国家要求实验室验收合格标准。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维护专用技术车辆数量</w:t>
            </w:r>
          </w:p>
        </w:tc>
        <w:tc>
          <w:tcPr>
            <w:tcW w:w="5386" w:type="dxa"/>
            <w:vAlign w:val="center"/>
          </w:tcPr>
          <w:p>
            <w:pPr>
              <w:pStyle w:val="13"/>
            </w:pPr>
            <w:r>
              <w:t>维护专用技术车辆数量</w:t>
            </w:r>
          </w:p>
        </w:tc>
        <w:tc>
          <w:tcPr>
            <w:tcW w:w="2268" w:type="dxa"/>
            <w:vAlign w:val="center"/>
          </w:tcPr>
          <w:p>
            <w:pPr>
              <w:pStyle w:val="13"/>
            </w:pPr>
            <w:r>
              <w:t>2辆</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专用技术车辆维护费用标准</w:t>
            </w:r>
          </w:p>
        </w:tc>
        <w:tc>
          <w:tcPr>
            <w:tcW w:w="5386" w:type="dxa"/>
            <w:vAlign w:val="center"/>
          </w:tcPr>
          <w:p>
            <w:pPr>
              <w:pStyle w:val="13"/>
            </w:pPr>
            <w:r>
              <w:t>专用技术车辆维护费用标准</w:t>
            </w:r>
          </w:p>
        </w:tc>
        <w:tc>
          <w:tcPr>
            <w:tcW w:w="2268" w:type="dxa"/>
            <w:vAlign w:val="center"/>
          </w:tcPr>
          <w:p>
            <w:pPr>
              <w:pStyle w:val="13"/>
            </w:pPr>
            <w:r>
              <w:t>≤2.7万元/辆、年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检测技术人员参训、考核人次</w:t>
            </w:r>
          </w:p>
        </w:tc>
        <w:tc>
          <w:tcPr>
            <w:tcW w:w="5386" w:type="dxa"/>
            <w:vAlign w:val="center"/>
          </w:tcPr>
          <w:p>
            <w:pPr>
              <w:pStyle w:val="13"/>
            </w:pPr>
            <w:r>
              <w:t>检测技术人员参训、考核人次</w:t>
            </w:r>
          </w:p>
        </w:tc>
        <w:tc>
          <w:tcPr>
            <w:tcW w:w="2268" w:type="dxa"/>
            <w:vAlign w:val="center"/>
          </w:tcPr>
          <w:p>
            <w:pPr>
              <w:pStyle w:val="13"/>
            </w:pPr>
            <w:r>
              <w:t>≥30人次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检验检测设备达标率</w:t>
            </w:r>
          </w:p>
        </w:tc>
        <w:tc>
          <w:tcPr>
            <w:tcW w:w="5386" w:type="dxa"/>
            <w:vAlign w:val="center"/>
          </w:tcPr>
          <w:p>
            <w:pPr>
              <w:pStyle w:val="13"/>
            </w:pPr>
            <w:r>
              <w:t>检验检测设备达标率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完成产品检定检验任务及时率</w:t>
            </w:r>
          </w:p>
        </w:tc>
        <w:tc>
          <w:tcPr>
            <w:tcW w:w="5386" w:type="dxa"/>
            <w:vAlign w:val="center"/>
          </w:tcPr>
          <w:p>
            <w:pPr>
              <w:pStyle w:val="13"/>
            </w:pPr>
            <w:r>
              <w:t>完成产品检定检验任务及时率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办公费用、技术人员、标准计量检定委托业务费用</w:t>
            </w:r>
          </w:p>
        </w:tc>
        <w:tc>
          <w:tcPr>
            <w:tcW w:w="5386" w:type="dxa"/>
            <w:vAlign w:val="center"/>
          </w:tcPr>
          <w:p>
            <w:pPr>
              <w:pStyle w:val="13"/>
            </w:pPr>
            <w:r>
              <w:t>办公费用、技术人员、标准计量检定委托业务费用</w:t>
            </w:r>
          </w:p>
        </w:tc>
        <w:tc>
          <w:tcPr>
            <w:tcW w:w="2268" w:type="dxa"/>
            <w:vAlign w:val="center"/>
          </w:tcPr>
          <w:p>
            <w:pPr>
              <w:pStyle w:val="13"/>
            </w:pPr>
            <w:r>
              <w:t>≥34.6万元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标准计量器具的周期检定率(％)</w:t>
            </w:r>
          </w:p>
        </w:tc>
        <w:tc>
          <w:tcPr>
            <w:tcW w:w="5386" w:type="dxa"/>
            <w:vAlign w:val="center"/>
          </w:tcPr>
          <w:p>
            <w:pPr>
              <w:pStyle w:val="13"/>
            </w:pPr>
            <w:r>
              <w:t>标准计量器具的周期检定台数占应完成的标准计量器具的周期检定台数比率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检验检测计划完成率</w:t>
            </w:r>
          </w:p>
        </w:tc>
        <w:tc>
          <w:tcPr>
            <w:tcW w:w="5386" w:type="dxa"/>
            <w:vAlign w:val="center"/>
          </w:tcPr>
          <w:p>
            <w:pPr>
              <w:pStyle w:val="13"/>
            </w:pPr>
            <w:r>
              <w:t>检验检测计划完成率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检测企业满意度</w:t>
            </w:r>
          </w:p>
        </w:tc>
        <w:tc>
          <w:tcPr>
            <w:tcW w:w="5386" w:type="dxa"/>
            <w:vAlign w:val="center"/>
          </w:tcPr>
          <w:p>
            <w:pPr>
              <w:pStyle w:val="13"/>
            </w:pPr>
            <w:r>
              <w:t>检测企业满意度</w:t>
            </w:r>
          </w:p>
        </w:tc>
        <w:tc>
          <w:tcPr>
            <w:tcW w:w="2268" w:type="dxa"/>
            <w:vAlign w:val="center"/>
          </w:tcPr>
          <w:p>
            <w:pPr>
              <w:pStyle w:val="13"/>
            </w:pPr>
            <w:r>
              <w:t>≥95%</w:t>
            </w:r>
          </w:p>
        </w:tc>
        <w:tc>
          <w:tcPr>
            <w:tcW w:w="1276" w:type="dxa"/>
            <w:vAlign w:val="center"/>
          </w:tcPr>
          <w:p>
            <w:pPr>
              <w:pStyle w:val="13"/>
            </w:pPr>
            <w:r>
              <w:t>历史记录</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2、2025成品油整治及生产流通产品质量抽检经费绩效目标表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13011025P003247100064</w:t>
            </w:r>
          </w:p>
        </w:tc>
        <w:tc>
          <w:tcPr>
            <w:tcW w:w="2835" w:type="dxa"/>
            <w:vAlign w:val="center"/>
          </w:tcPr>
          <w:p>
            <w:pPr>
              <w:pStyle w:val="11"/>
            </w:pPr>
            <w:r>
              <w:t>项目名称</w:t>
            </w:r>
          </w:p>
        </w:tc>
        <w:tc>
          <w:tcPr>
            <w:tcW w:w="6095" w:type="dxa"/>
            <w:gridSpan w:val="3"/>
            <w:vAlign w:val="center"/>
          </w:tcPr>
          <w:p>
            <w:pPr>
              <w:pStyle w:val="13"/>
            </w:pPr>
            <w:r>
              <w:t>2025成品油整治及生产流通产品质量抽检经费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全区加油站和加油点成品油抽检，对成品油进行全覆盖抽检，规范成品油市场，要求成品油达到国家标准。完成生产流通领域抽检批次任务要求，规范流通市场，杜绝不合格产品存在，促进流通领域商品质量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全区加油站和加油点成品油抽检，对成品油进行全覆盖抽检，规范成品油市场，要求成品油达到国家标准。完成生产流通领域抽检批次任务要求，规范流通市场，杜绝不合格产品存在，促进流通领域商品质量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成品油抽检标准</w:t>
            </w:r>
          </w:p>
        </w:tc>
        <w:tc>
          <w:tcPr>
            <w:tcW w:w="5386" w:type="dxa"/>
            <w:vAlign w:val="center"/>
          </w:tcPr>
          <w:p>
            <w:pPr>
              <w:pStyle w:val="13"/>
            </w:pPr>
            <w:r>
              <w:t>成品油抽检标准</w:t>
            </w:r>
          </w:p>
        </w:tc>
        <w:tc>
          <w:tcPr>
            <w:tcW w:w="2268" w:type="dxa"/>
            <w:vAlign w:val="center"/>
          </w:tcPr>
          <w:p>
            <w:pPr>
              <w:pStyle w:val="13"/>
            </w:pPr>
            <w:r>
              <w:t>≤1200元/批次</w:t>
            </w:r>
          </w:p>
        </w:tc>
        <w:tc>
          <w:tcPr>
            <w:tcW w:w="1276" w:type="dxa"/>
            <w:vAlign w:val="center"/>
          </w:tcPr>
          <w:p>
            <w:pPr>
              <w:pStyle w:val="13"/>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成品油抽检批次数</w:t>
            </w:r>
          </w:p>
        </w:tc>
        <w:tc>
          <w:tcPr>
            <w:tcW w:w="5386" w:type="dxa"/>
            <w:vAlign w:val="center"/>
          </w:tcPr>
          <w:p>
            <w:pPr>
              <w:pStyle w:val="13"/>
            </w:pPr>
            <w:r>
              <w:t>成品油抽检批次数</w:t>
            </w:r>
          </w:p>
        </w:tc>
        <w:tc>
          <w:tcPr>
            <w:tcW w:w="2268" w:type="dxa"/>
            <w:vAlign w:val="center"/>
          </w:tcPr>
          <w:p>
            <w:pPr>
              <w:pStyle w:val="13"/>
            </w:pPr>
            <w:r>
              <w:t>≥50批次</w:t>
            </w:r>
          </w:p>
        </w:tc>
        <w:tc>
          <w:tcPr>
            <w:tcW w:w="1276" w:type="dxa"/>
            <w:vAlign w:val="center"/>
          </w:tcPr>
          <w:p>
            <w:pPr>
              <w:pStyle w:val="13"/>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对抽检不合格网点的复检率</w:t>
            </w:r>
          </w:p>
        </w:tc>
        <w:tc>
          <w:tcPr>
            <w:tcW w:w="5386" w:type="dxa"/>
            <w:vAlign w:val="center"/>
          </w:tcPr>
          <w:p>
            <w:pPr>
              <w:pStyle w:val="13"/>
            </w:pPr>
            <w:r>
              <w:t>抽检不合格网点的复检数量占抽检不合格的主体数量的比率</w:t>
            </w:r>
          </w:p>
        </w:tc>
        <w:tc>
          <w:tcPr>
            <w:tcW w:w="2268" w:type="dxa"/>
            <w:vAlign w:val="center"/>
          </w:tcPr>
          <w:p>
            <w:pPr>
              <w:pStyle w:val="13"/>
            </w:pPr>
            <w:r>
              <w:t>100%</w:t>
            </w:r>
          </w:p>
        </w:tc>
        <w:tc>
          <w:tcPr>
            <w:tcW w:w="1276" w:type="dxa"/>
            <w:vAlign w:val="center"/>
          </w:tcPr>
          <w:p>
            <w:pPr>
              <w:pStyle w:val="13"/>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对其它涉污产品及工业产品抽检批次</w:t>
            </w:r>
          </w:p>
        </w:tc>
        <w:tc>
          <w:tcPr>
            <w:tcW w:w="5386" w:type="dxa"/>
            <w:vAlign w:val="center"/>
          </w:tcPr>
          <w:p>
            <w:pPr>
              <w:pStyle w:val="13"/>
            </w:pPr>
            <w:r>
              <w:t>对其它涉污产品及工业产品抽检批次</w:t>
            </w:r>
          </w:p>
        </w:tc>
        <w:tc>
          <w:tcPr>
            <w:tcW w:w="2268" w:type="dxa"/>
            <w:vAlign w:val="center"/>
          </w:tcPr>
          <w:p>
            <w:pPr>
              <w:pStyle w:val="13"/>
            </w:pPr>
            <w:r>
              <w:t>≥30批次</w:t>
            </w:r>
          </w:p>
        </w:tc>
        <w:tc>
          <w:tcPr>
            <w:tcW w:w="1276" w:type="dxa"/>
            <w:vAlign w:val="center"/>
          </w:tcPr>
          <w:p>
            <w:pPr>
              <w:pStyle w:val="13"/>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各领域商品抽检标准</w:t>
            </w:r>
          </w:p>
        </w:tc>
        <w:tc>
          <w:tcPr>
            <w:tcW w:w="5386" w:type="dxa"/>
            <w:vAlign w:val="center"/>
          </w:tcPr>
          <w:p>
            <w:pPr>
              <w:pStyle w:val="13"/>
            </w:pPr>
            <w:r>
              <w:t>各领域商品抽检标准</w:t>
            </w:r>
          </w:p>
        </w:tc>
        <w:tc>
          <w:tcPr>
            <w:tcW w:w="2268" w:type="dxa"/>
            <w:vAlign w:val="center"/>
          </w:tcPr>
          <w:p>
            <w:pPr>
              <w:pStyle w:val="13"/>
            </w:pPr>
            <w:r>
              <w:t>≤1500元/批次</w:t>
            </w:r>
          </w:p>
        </w:tc>
        <w:tc>
          <w:tcPr>
            <w:tcW w:w="1276" w:type="dxa"/>
            <w:vAlign w:val="center"/>
          </w:tcPr>
          <w:p>
            <w:pPr>
              <w:pStyle w:val="13"/>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抽查批次完成率</w:t>
            </w:r>
          </w:p>
        </w:tc>
        <w:tc>
          <w:tcPr>
            <w:tcW w:w="5386" w:type="dxa"/>
            <w:vAlign w:val="center"/>
          </w:tcPr>
          <w:p>
            <w:pPr>
              <w:pStyle w:val="13"/>
            </w:pPr>
            <w:r>
              <w:t>实际抽查的批次量占计划抽查的比例</w:t>
            </w:r>
          </w:p>
        </w:tc>
        <w:tc>
          <w:tcPr>
            <w:tcW w:w="2268" w:type="dxa"/>
            <w:vAlign w:val="center"/>
          </w:tcPr>
          <w:p>
            <w:pPr>
              <w:pStyle w:val="13"/>
            </w:pPr>
            <w:r>
              <w:t>100%</w:t>
            </w:r>
          </w:p>
        </w:tc>
        <w:tc>
          <w:tcPr>
            <w:tcW w:w="1276" w:type="dxa"/>
            <w:vAlign w:val="center"/>
          </w:tcPr>
          <w:p>
            <w:pPr>
              <w:pStyle w:val="13"/>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抽查产品平均合格率(％)</w:t>
            </w:r>
          </w:p>
        </w:tc>
        <w:tc>
          <w:tcPr>
            <w:tcW w:w="5386" w:type="dxa"/>
            <w:vAlign w:val="center"/>
          </w:tcPr>
          <w:p>
            <w:pPr>
              <w:pStyle w:val="13"/>
            </w:pPr>
            <w:r>
              <w:t>合格产品批次占全部抽查批次的比率</w:t>
            </w:r>
          </w:p>
        </w:tc>
        <w:tc>
          <w:tcPr>
            <w:tcW w:w="2268" w:type="dxa"/>
            <w:vAlign w:val="center"/>
          </w:tcPr>
          <w:p>
            <w:pPr>
              <w:pStyle w:val="13"/>
            </w:pPr>
            <w:r>
              <w:t>≥90%</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任务计划完成率</w:t>
            </w:r>
          </w:p>
        </w:tc>
        <w:tc>
          <w:tcPr>
            <w:tcW w:w="5386" w:type="dxa"/>
            <w:vAlign w:val="center"/>
          </w:tcPr>
          <w:p>
            <w:pPr>
              <w:pStyle w:val="13"/>
            </w:pPr>
            <w:r>
              <w:t>任务计划完成率</w:t>
            </w:r>
          </w:p>
        </w:tc>
        <w:tc>
          <w:tcPr>
            <w:tcW w:w="2268" w:type="dxa"/>
            <w:vAlign w:val="center"/>
          </w:tcPr>
          <w:p>
            <w:pPr>
              <w:pStyle w:val="13"/>
            </w:pPr>
            <w:r>
              <w:t>≥98%</w:t>
            </w:r>
          </w:p>
        </w:tc>
        <w:tc>
          <w:tcPr>
            <w:tcW w:w="1276" w:type="dxa"/>
            <w:vAlign w:val="center"/>
          </w:tcPr>
          <w:p>
            <w:pPr>
              <w:pStyle w:val="13"/>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通过抽检对产品质量改善情况</w:t>
            </w:r>
          </w:p>
        </w:tc>
        <w:tc>
          <w:tcPr>
            <w:tcW w:w="5386" w:type="dxa"/>
            <w:vAlign w:val="center"/>
          </w:tcPr>
          <w:p>
            <w:pPr>
              <w:pStyle w:val="13"/>
            </w:pPr>
            <w:r>
              <w:t>规范成品油及流通领域市场，杜绝不合格产品存在，促进成品油及流通领域商品质量提升</w:t>
            </w:r>
          </w:p>
        </w:tc>
        <w:tc>
          <w:tcPr>
            <w:tcW w:w="2268" w:type="dxa"/>
            <w:vAlign w:val="center"/>
          </w:tcPr>
          <w:p>
            <w:pPr>
              <w:pStyle w:val="13"/>
            </w:pPr>
            <w:r>
              <w:t>明显改善</w:t>
            </w:r>
          </w:p>
        </w:tc>
        <w:tc>
          <w:tcPr>
            <w:tcW w:w="1276" w:type="dxa"/>
            <w:vAlign w:val="center"/>
          </w:tcPr>
          <w:p>
            <w:pPr>
              <w:pStyle w:val="13"/>
            </w:pPr>
            <w:r>
              <w:t>调查、测评</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3、2025农村食品药品监督协管员工作补贴绩效目标表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13011025P00323910008F</w:t>
            </w:r>
          </w:p>
        </w:tc>
        <w:tc>
          <w:tcPr>
            <w:tcW w:w="2835" w:type="dxa"/>
            <w:vAlign w:val="center"/>
          </w:tcPr>
          <w:p>
            <w:pPr>
              <w:pStyle w:val="11"/>
            </w:pPr>
            <w:r>
              <w:t>项目名称</w:t>
            </w:r>
          </w:p>
        </w:tc>
        <w:tc>
          <w:tcPr>
            <w:tcW w:w="6095" w:type="dxa"/>
            <w:gridSpan w:val="3"/>
            <w:vAlign w:val="center"/>
          </w:tcPr>
          <w:p>
            <w:pPr>
              <w:pStyle w:val="13"/>
            </w:pPr>
            <w:r>
              <w:t>2025农村食品药品监督协管员工作补贴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57.12</w:t>
            </w:r>
          </w:p>
        </w:tc>
        <w:tc>
          <w:tcPr>
            <w:tcW w:w="2835" w:type="dxa"/>
            <w:vAlign w:val="center"/>
          </w:tcPr>
          <w:p>
            <w:pPr>
              <w:pStyle w:val="11"/>
            </w:pPr>
            <w:r>
              <w:t>其中：财政    资金</w:t>
            </w:r>
          </w:p>
        </w:tc>
        <w:tc>
          <w:tcPr>
            <w:tcW w:w="2551" w:type="dxa"/>
            <w:vAlign w:val="center"/>
          </w:tcPr>
          <w:p>
            <w:pPr>
              <w:pStyle w:val="13"/>
            </w:pPr>
            <w:r>
              <w:t>57.12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在全区行政村设立乡镇食品药品协管员，协助乡镇监管办或有关部门食品、药品相关工作，达到农村食品药品监管全覆盖。</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1.在全区行政村设立乡镇食品药品协管员，协助乡镇监管办或有关部门食品、药品相关工作，达到农村食品药品监管全覆盖。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农村协管员补贴标准</w:t>
            </w:r>
          </w:p>
        </w:tc>
        <w:tc>
          <w:tcPr>
            <w:tcW w:w="5386" w:type="dxa"/>
            <w:vAlign w:val="center"/>
          </w:tcPr>
          <w:p>
            <w:pPr>
              <w:pStyle w:val="13"/>
            </w:pPr>
            <w:r>
              <w:t>农村协管员补贴标准</w:t>
            </w:r>
          </w:p>
        </w:tc>
        <w:tc>
          <w:tcPr>
            <w:tcW w:w="2268" w:type="dxa"/>
            <w:vAlign w:val="center"/>
          </w:tcPr>
          <w:p>
            <w:pPr>
              <w:pStyle w:val="13"/>
            </w:pPr>
            <w:r>
              <w:t>200元/人月</w:t>
            </w:r>
          </w:p>
        </w:tc>
        <w:tc>
          <w:tcPr>
            <w:tcW w:w="1276" w:type="dxa"/>
            <w:vAlign w:val="center"/>
          </w:tcPr>
          <w:p>
            <w:pPr>
              <w:pStyle w:val="13"/>
            </w:pPr>
            <w:r>
              <w:t>市局要求及领导批示等</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食安办考核协管员的合格率</w:t>
            </w:r>
          </w:p>
        </w:tc>
        <w:tc>
          <w:tcPr>
            <w:tcW w:w="5386" w:type="dxa"/>
            <w:vAlign w:val="center"/>
          </w:tcPr>
          <w:p>
            <w:pPr>
              <w:pStyle w:val="13"/>
            </w:pPr>
            <w:r>
              <w:t>食品安全办公室考核协管员合格人数占全部应考核协管员人数的比率</w:t>
            </w:r>
          </w:p>
        </w:tc>
        <w:tc>
          <w:tcPr>
            <w:tcW w:w="2268" w:type="dxa"/>
            <w:vAlign w:val="center"/>
          </w:tcPr>
          <w:p>
            <w:pPr>
              <w:pStyle w:val="13"/>
            </w:pPr>
            <w:r>
              <w:t>≥90%</w:t>
            </w:r>
          </w:p>
        </w:tc>
        <w:tc>
          <w:tcPr>
            <w:tcW w:w="1276" w:type="dxa"/>
            <w:vAlign w:val="center"/>
          </w:tcPr>
          <w:p>
            <w:pPr>
              <w:pStyle w:val="13"/>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资金发放准时率</w:t>
            </w:r>
          </w:p>
        </w:tc>
        <w:tc>
          <w:tcPr>
            <w:tcW w:w="5386" w:type="dxa"/>
            <w:vAlign w:val="center"/>
          </w:tcPr>
          <w:p>
            <w:pPr>
              <w:pStyle w:val="13"/>
            </w:pPr>
            <w:r>
              <w:t>资金发放准时率</w:t>
            </w:r>
          </w:p>
        </w:tc>
        <w:tc>
          <w:tcPr>
            <w:tcW w:w="2268" w:type="dxa"/>
            <w:vAlign w:val="center"/>
          </w:tcPr>
          <w:p>
            <w:pPr>
              <w:pStyle w:val="13"/>
            </w:pPr>
            <w:r>
              <w:t>100%</w:t>
            </w:r>
          </w:p>
        </w:tc>
        <w:tc>
          <w:tcPr>
            <w:tcW w:w="1276" w:type="dxa"/>
            <w:vAlign w:val="center"/>
          </w:tcPr>
          <w:p>
            <w:pPr>
              <w:pStyle w:val="13"/>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农村食药协管员人数</w:t>
            </w:r>
          </w:p>
        </w:tc>
        <w:tc>
          <w:tcPr>
            <w:tcW w:w="5386" w:type="dxa"/>
            <w:vAlign w:val="center"/>
          </w:tcPr>
          <w:p>
            <w:pPr>
              <w:pStyle w:val="13"/>
            </w:pPr>
            <w:r>
              <w:t>农村食药协管员人数</w:t>
            </w:r>
          </w:p>
        </w:tc>
        <w:tc>
          <w:tcPr>
            <w:tcW w:w="2268" w:type="dxa"/>
            <w:vAlign w:val="center"/>
          </w:tcPr>
          <w:p>
            <w:pPr>
              <w:pStyle w:val="13"/>
            </w:pPr>
            <w:r>
              <w:t>238人</w:t>
            </w:r>
          </w:p>
        </w:tc>
        <w:tc>
          <w:tcPr>
            <w:tcW w:w="1276" w:type="dxa"/>
            <w:vAlign w:val="center"/>
          </w:tcPr>
          <w:p>
            <w:pPr>
              <w:pStyle w:val="13"/>
            </w:pPr>
            <w:r>
              <w:t>市局要求及领导批示等</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农村食品药品监管覆盖率</w:t>
            </w:r>
          </w:p>
        </w:tc>
        <w:tc>
          <w:tcPr>
            <w:tcW w:w="5386" w:type="dxa"/>
            <w:vAlign w:val="center"/>
          </w:tcPr>
          <w:p>
            <w:pPr>
              <w:pStyle w:val="13"/>
            </w:pPr>
            <w:r>
              <w:t>设立协管员村、社区的数量占应设立协管员的村、社区数量的比率</w:t>
            </w:r>
          </w:p>
        </w:tc>
        <w:tc>
          <w:tcPr>
            <w:tcW w:w="2268" w:type="dxa"/>
            <w:vAlign w:val="center"/>
          </w:tcPr>
          <w:p>
            <w:pPr>
              <w:pStyle w:val="13"/>
            </w:pPr>
            <w:r>
              <w:t>100%</w:t>
            </w:r>
          </w:p>
        </w:tc>
        <w:tc>
          <w:tcPr>
            <w:tcW w:w="1276" w:type="dxa"/>
            <w:vAlign w:val="center"/>
          </w:tcPr>
          <w:p>
            <w:pPr>
              <w:pStyle w:val="13"/>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≥95百分比</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4、2025食品和农产品抽检经费绩效目标表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13011025P00325310008U</w:t>
            </w:r>
          </w:p>
        </w:tc>
        <w:tc>
          <w:tcPr>
            <w:tcW w:w="2835" w:type="dxa"/>
            <w:vAlign w:val="center"/>
          </w:tcPr>
          <w:p>
            <w:pPr>
              <w:pStyle w:val="11"/>
            </w:pPr>
            <w:r>
              <w:t>项目名称</w:t>
            </w:r>
          </w:p>
        </w:tc>
        <w:tc>
          <w:tcPr>
            <w:tcW w:w="6095" w:type="dxa"/>
            <w:gridSpan w:val="3"/>
            <w:vAlign w:val="center"/>
          </w:tcPr>
          <w:p>
            <w:pPr>
              <w:pStyle w:val="13"/>
            </w:pPr>
            <w:r>
              <w:t>2025食品和农产品抽检经费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185.00</w:t>
            </w:r>
          </w:p>
        </w:tc>
        <w:tc>
          <w:tcPr>
            <w:tcW w:w="2835" w:type="dxa"/>
            <w:vAlign w:val="center"/>
          </w:tcPr>
          <w:p>
            <w:pPr>
              <w:pStyle w:val="11"/>
            </w:pPr>
            <w:r>
              <w:t>其中：财政    资金</w:t>
            </w:r>
          </w:p>
        </w:tc>
        <w:tc>
          <w:tcPr>
            <w:tcW w:w="2551" w:type="dxa"/>
            <w:vAlign w:val="center"/>
          </w:tcPr>
          <w:p>
            <w:pPr>
              <w:pStyle w:val="13"/>
            </w:pPr>
            <w:r>
              <w:t>185.00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食品安全抽检工作，需由第三方按3.5份/千人年的标准，2024年我区考核人口约59.05万计进行食品抽检，2025年拟进行2066批次的食品(含食用农产品)抽检，平均约1500元/份，共计309.90万元，2066批次*1500元/批次=309.90（万元），2022年未拨付到位51.87万元，24年未拨付到位35万元，2025共计396.77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食品安全抽检工作，需由第三方按3.5份/千人年的标准，2024年我区考核人口约59.05万计进行食品抽检，2025年拟进行2066批次的食品(含食用农产品)抽检，平均约1500元/份，共计309.90万元，2066批次*1500元/批次=309.90（万元），2022年未拨付到位51.87万元，24年未拨付到位35万元，2025共计396.77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食品抽检批次</w:t>
            </w:r>
          </w:p>
        </w:tc>
        <w:tc>
          <w:tcPr>
            <w:tcW w:w="5386" w:type="dxa"/>
            <w:vAlign w:val="center"/>
          </w:tcPr>
          <w:p>
            <w:pPr>
              <w:pStyle w:val="13"/>
            </w:pPr>
            <w:r>
              <w:t>食品抽检批次</w:t>
            </w:r>
          </w:p>
        </w:tc>
        <w:tc>
          <w:tcPr>
            <w:tcW w:w="2268" w:type="dxa"/>
            <w:vAlign w:val="center"/>
          </w:tcPr>
          <w:p>
            <w:pPr>
              <w:pStyle w:val="13"/>
            </w:pPr>
            <w:r>
              <w:t>≥2066批次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食品、农产品抽检批次标准</w:t>
            </w:r>
          </w:p>
        </w:tc>
        <w:tc>
          <w:tcPr>
            <w:tcW w:w="5386" w:type="dxa"/>
            <w:vAlign w:val="center"/>
          </w:tcPr>
          <w:p>
            <w:pPr>
              <w:pStyle w:val="13"/>
            </w:pPr>
            <w:r>
              <w:t>食品、农产品抽检批次标准</w:t>
            </w:r>
          </w:p>
        </w:tc>
        <w:tc>
          <w:tcPr>
            <w:tcW w:w="2268" w:type="dxa"/>
            <w:vAlign w:val="center"/>
          </w:tcPr>
          <w:p>
            <w:pPr>
              <w:pStyle w:val="13"/>
            </w:pPr>
            <w:r>
              <w:t>3.5份/千人年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食品、农产品抽检费用标准</w:t>
            </w:r>
          </w:p>
        </w:tc>
        <w:tc>
          <w:tcPr>
            <w:tcW w:w="5386" w:type="dxa"/>
            <w:vAlign w:val="center"/>
          </w:tcPr>
          <w:p>
            <w:pPr>
              <w:pStyle w:val="13"/>
            </w:pPr>
            <w:r>
              <w:t>食品、农产品抽检费用标准</w:t>
            </w:r>
          </w:p>
        </w:tc>
        <w:tc>
          <w:tcPr>
            <w:tcW w:w="2268" w:type="dxa"/>
            <w:vAlign w:val="center"/>
          </w:tcPr>
          <w:p>
            <w:pPr>
              <w:pStyle w:val="13"/>
            </w:pPr>
            <w:r>
              <w:t>≤1500元/批次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抽查覆盖率（%）</w:t>
            </w:r>
          </w:p>
        </w:tc>
        <w:tc>
          <w:tcPr>
            <w:tcW w:w="5386" w:type="dxa"/>
            <w:vAlign w:val="center"/>
          </w:tcPr>
          <w:p>
            <w:pPr>
              <w:pStyle w:val="13"/>
            </w:pPr>
            <w:r>
              <w:t>抽查对象的数量占应抽查对象的比率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抽查批次完成率（%）</w:t>
            </w:r>
          </w:p>
        </w:tc>
        <w:tc>
          <w:tcPr>
            <w:tcW w:w="5386" w:type="dxa"/>
            <w:vAlign w:val="center"/>
          </w:tcPr>
          <w:p>
            <w:pPr>
              <w:pStyle w:val="13"/>
            </w:pPr>
            <w:r>
              <w:t>实际抽查的批次占计划抽查批次的比例</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抽查产品平均合格率(％)</w:t>
            </w:r>
          </w:p>
        </w:tc>
        <w:tc>
          <w:tcPr>
            <w:tcW w:w="5386" w:type="dxa"/>
            <w:vAlign w:val="center"/>
          </w:tcPr>
          <w:p>
            <w:pPr>
              <w:pStyle w:val="13"/>
            </w:pPr>
            <w:r>
              <w:t>合格产品批次占全部抽查批次的比率</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任务计划完成率</w:t>
            </w:r>
          </w:p>
        </w:tc>
        <w:tc>
          <w:tcPr>
            <w:tcW w:w="5386" w:type="dxa"/>
            <w:vAlign w:val="center"/>
          </w:tcPr>
          <w:p>
            <w:pPr>
              <w:pStyle w:val="13"/>
            </w:pPr>
            <w:r>
              <w:t>任务计划完成率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群众满意度</w:t>
            </w:r>
          </w:p>
        </w:tc>
        <w:tc>
          <w:tcPr>
            <w:tcW w:w="2268" w:type="dxa"/>
            <w:vAlign w:val="center"/>
          </w:tcPr>
          <w:p>
            <w:pPr>
              <w:pStyle w:val="13"/>
            </w:pPr>
            <w:r>
              <w:t>≥98%</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5、2025食品综合监管经费绩效目标表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13011025P003253100078</w:t>
            </w:r>
          </w:p>
        </w:tc>
        <w:tc>
          <w:tcPr>
            <w:tcW w:w="2835" w:type="dxa"/>
            <w:vAlign w:val="center"/>
          </w:tcPr>
          <w:p>
            <w:pPr>
              <w:pStyle w:val="11"/>
            </w:pPr>
            <w:r>
              <w:t>项目名称</w:t>
            </w:r>
          </w:p>
        </w:tc>
        <w:tc>
          <w:tcPr>
            <w:tcW w:w="6095" w:type="dxa"/>
            <w:gridSpan w:val="3"/>
            <w:vAlign w:val="center"/>
          </w:tcPr>
          <w:p>
            <w:pPr>
              <w:pStyle w:val="13"/>
            </w:pPr>
            <w:r>
              <w:t>2025食品综合监管经费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完成土门关、西部常青、奥莱、龙泉古镇、翠屏山等重大保障活动、临时性大型保障活动的食品快检及注水肉、假驴肉专项行动及时发现和排除食品安全问题，保证食品安全，保障公众身体健康和生命安全。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1.完成土门关、西部常青、奥莱、龙泉古镇、翠屏山等重大保障活动、临时性大型保障活动的食品快检及注水肉、假驴肉专项行动及时发现和排除食品安全问题，保证食品安全，保障公众身体健康和生命安全。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注水肉、假驴肉等食品专项整治</w:t>
            </w:r>
          </w:p>
        </w:tc>
        <w:tc>
          <w:tcPr>
            <w:tcW w:w="5386" w:type="dxa"/>
            <w:vAlign w:val="center"/>
          </w:tcPr>
          <w:p>
            <w:pPr>
              <w:pStyle w:val="13"/>
            </w:pPr>
            <w:r>
              <w:t>注水肉、假驴肉等食品专项整治</w:t>
            </w:r>
          </w:p>
        </w:tc>
        <w:tc>
          <w:tcPr>
            <w:tcW w:w="2268" w:type="dxa"/>
            <w:vAlign w:val="center"/>
          </w:tcPr>
          <w:p>
            <w:pPr>
              <w:pStyle w:val="13"/>
            </w:pPr>
            <w:r>
              <w:t>≥5次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对食品生产环节的监管抽检完成率</w:t>
            </w:r>
          </w:p>
        </w:tc>
        <w:tc>
          <w:tcPr>
            <w:tcW w:w="5386" w:type="dxa"/>
            <w:vAlign w:val="center"/>
          </w:tcPr>
          <w:p>
            <w:pPr>
              <w:pStyle w:val="13"/>
            </w:pPr>
            <w:r>
              <w:t>检查食品生产企业数与实有生产企业数的比例</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农药残留等速测试剂盒价格标准</w:t>
            </w:r>
          </w:p>
        </w:tc>
        <w:tc>
          <w:tcPr>
            <w:tcW w:w="5386" w:type="dxa"/>
            <w:vAlign w:val="center"/>
          </w:tcPr>
          <w:p>
            <w:pPr>
              <w:pStyle w:val="13"/>
            </w:pPr>
            <w:r>
              <w:t>农药残留、二氧化硫等速测试剂盒价格标准</w:t>
            </w:r>
          </w:p>
        </w:tc>
        <w:tc>
          <w:tcPr>
            <w:tcW w:w="2268" w:type="dxa"/>
            <w:vAlign w:val="center"/>
          </w:tcPr>
          <w:p>
            <w:pPr>
              <w:pStyle w:val="13"/>
            </w:pPr>
            <w:r>
              <w:t>≤300元/盒</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保障临时性、大型活动次数</w:t>
            </w:r>
          </w:p>
        </w:tc>
        <w:tc>
          <w:tcPr>
            <w:tcW w:w="5386" w:type="dxa"/>
            <w:vAlign w:val="center"/>
          </w:tcPr>
          <w:p>
            <w:pPr>
              <w:pStyle w:val="13"/>
            </w:pPr>
            <w:r>
              <w:t>保障临时性、大型活动次数</w:t>
            </w:r>
          </w:p>
        </w:tc>
        <w:tc>
          <w:tcPr>
            <w:tcW w:w="2268" w:type="dxa"/>
            <w:vAlign w:val="center"/>
          </w:tcPr>
          <w:p>
            <w:pPr>
              <w:pStyle w:val="13"/>
            </w:pPr>
            <w:r>
              <w:t>≥15次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食品安全监管技术操作标准情况</w:t>
            </w:r>
          </w:p>
        </w:tc>
        <w:tc>
          <w:tcPr>
            <w:tcW w:w="5386" w:type="dxa"/>
            <w:vAlign w:val="center"/>
          </w:tcPr>
          <w:p>
            <w:pPr>
              <w:pStyle w:val="13"/>
            </w:pPr>
            <w:r>
              <w:t>严格按照食品安全技术规范和保障标准进行监控</w:t>
            </w:r>
          </w:p>
        </w:tc>
        <w:tc>
          <w:tcPr>
            <w:tcW w:w="2268" w:type="dxa"/>
            <w:vAlign w:val="center"/>
          </w:tcPr>
          <w:p>
            <w:pPr>
              <w:pStyle w:val="13"/>
            </w:pPr>
            <w:r>
              <w:t>严格按照食品安全技术规范和保障标准进行监控</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不合格样品企业处置率</w:t>
            </w:r>
          </w:p>
        </w:tc>
        <w:tc>
          <w:tcPr>
            <w:tcW w:w="5386" w:type="dxa"/>
            <w:vAlign w:val="center"/>
          </w:tcPr>
          <w:p>
            <w:pPr>
              <w:pStyle w:val="13"/>
            </w:pPr>
            <w:r>
              <w:t>处理生产企业数占发现不合格样品生产企业数的比例</w:t>
            </w:r>
          </w:p>
        </w:tc>
        <w:tc>
          <w:tcPr>
            <w:tcW w:w="2268" w:type="dxa"/>
            <w:vAlign w:val="center"/>
          </w:tcPr>
          <w:p>
            <w:pPr>
              <w:pStyle w:val="13"/>
            </w:pPr>
            <w:r>
              <w:t>100%</w:t>
            </w:r>
          </w:p>
        </w:tc>
        <w:tc>
          <w:tcPr>
            <w:tcW w:w="1276" w:type="dxa"/>
            <w:vAlign w:val="center"/>
          </w:tcPr>
          <w:p>
            <w:pPr>
              <w:pStyle w:val="13"/>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餐饮服务接待单位达标率</w:t>
            </w:r>
          </w:p>
        </w:tc>
        <w:tc>
          <w:tcPr>
            <w:tcW w:w="5386" w:type="dxa"/>
            <w:vAlign w:val="center"/>
          </w:tcPr>
          <w:p>
            <w:pPr>
              <w:pStyle w:val="13"/>
            </w:pPr>
            <w:r>
              <w:t>餐饮服务接待单位达标数量占全部餐饮接待单位数量比率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群众对食品安全满意度</w:t>
            </w:r>
          </w:p>
        </w:tc>
        <w:tc>
          <w:tcPr>
            <w:tcW w:w="5386" w:type="dxa"/>
            <w:vAlign w:val="center"/>
          </w:tcPr>
          <w:p>
            <w:pPr>
              <w:pStyle w:val="13"/>
            </w:pPr>
            <w:r>
              <w:t>群众对食品安全满意度</w:t>
            </w:r>
          </w:p>
        </w:tc>
        <w:tc>
          <w:tcPr>
            <w:tcW w:w="2268" w:type="dxa"/>
            <w:vAlign w:val="center"/>
          </w:tcPr>
          <w:p>
            <w:pPr>
              <w:pStyle w:val="13"/>
            </w:pPr>
            <w:r>
              <w:t>≥95%</w:t>
            </w:r>
          </w:p>
        </w:tc>
        <w:tc>
          <w:tcPr>
            <w:tcW w:w="1276" w:type="dxa"/>
            <w:vAlign w:val="center"/>
          </w:tcPr>
          <w:p>
            <w:pPr>
              <w:pStyle w:val="13"/>
            </w:pPr>
            <w:r>
              <w:t>调查问卷等</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6、2025铜冶所房租绩效目标表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13011025P00323910010E</w:t>
            </w:r>
          </w:p>
        </w:tc>
        <w:tc>
          <w:tcPr>
            <w:tcW w:w="2835" w:type="dxa"/>
            <w:vAlign w:val="center"/>
          </w:tcPr>
          <w:p>
            <w:pPr>
              <w:pStyle w:val="11"/>
            </w:pPr>
            <w:r>
              <w:t>项目名称</w:t>
            </w:r>
          </w:p>
        </w:tc>
        <w:tc>
          <w:tcPr>
            <w:tcW w:w="6095" w:type="dxa"/>
            <w:gridSpan w:val="3"/>
            <w:vAlign w:val="center"/>
          </w:tcPr>
          <w:p>
            <w:pPr>
              <w:pStyle w:val="13"/>
            </w:pPr>
            <w:r>
              <w:t>2025铜冶所房租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租用256平方米办公场所，确保铜冶所的市场监管工作有序有效开展。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1.租用256平方米办公场所，确保铜冶所的市场监管工作有序有效开展。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租赁面积</w:t>
            </w:r>
          </w:p>
        </w:tc>
        <w:tc>
          <w:tcPr>
            <w:tcW w:w="5386" w:type="dxa"/>
            <w:vAlign w:val="center"/>
          </w:tcPr>
          <w:p>
            <w:pPr>
              <w:pStyle w:val="13"/>
            </w:pPr>
            <w:r>
              <w:t>租赁办公用房面积</w:t>
            </w:r>
          </w:p>
        </w:tc>
        <w:tc>
          <w:tcPr>
            <w:tcW w:w="2268" w:type="dxa"/>
            <w:vAlign w:val="center"/>
          </w:tcPr>
          <w:p>
            <w:pPr>
              <w:pStyle w:val="13"/>
            </w:pPr>
            <w:r>
              <w:t>256平方米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租赁办公楼质量情况</w:t>
            </w:r>
          </w:p>
        </w:tc>
        <w:tc>
          <w:tcPr>
            <w:tcW w:w="5386" w:type="dxa"/>
            <w:vAlign w:val="center"/>
          </w:tcPr>
          <w:p>
            <w:pPr>
              <w:pStyle w:val="13"/>
            </w:pPr>
            <w:r>
              <w:t>办公用房内各项设施齐全，运转正常</w:t>
            </w:r>
          </w:p>
        </w:tc>
        <w:tc>
          <w:tcPr>
            <w:tcW w:w="2268" w:type="dxa"/>
            <w:vAlign w:val="center"/>
          </w:tcPr>
          <w:p>
            <w:pPr>
              <w:pStyle w:val="13"/>
            </w:pPr>
            <w:r>
              <w:t>设施齐全，运转正常</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租赁合同签订时间</w:t>
            </w:r>
          </w:p>
        </w:tc>
        <w:tc>
          <w:tcPr>
            <w:tcW w:w="5386" w:type="dxa"/>
            <w:vAlign w:val="center"/>
          </w:tcPr>
          <w:p>
            <w:pPr>
              <w:pStyle w:val="13"/>
            </w:pPr>
            <w:r>
              <w:t>办公用房租赁合同签订日期</w:t>
            </w:r>
          </w:p>
        </w:tc>
        <w:tc>
          <w:tcPr>
            <w:tcW w:w="2268" w:type="dxa"/>
            <w:vAlign w:val="center"/>
          </w:tcPr>
          <w:p>
            <w:pPr>
              <w:pStyle w:val="13"/>
            </w:pPr>
            <w:r>
              <w:t>5月前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办公用房年度租赁费</w:t>
            </w:r>
          </w:p>
        </w:tc>
        <w:tc>
          <w:tcPr>
            <w:tcW w:w="5386" w:type="dxa"/>
            <w:vAlign w:val="center"/>
          </w:tcPr>
          <w:p>
            <w:pPr>
              <w:pStyle w:val="13"/>
            </w:pPr>
            <w:r>
              <w:t>办公用房年度租赁费</w:t>
            </w:r>
          </w:p>
        </w:tc>
        <w:tc>
          <w:tcPr>
            <w:tcW w:w="2268" w:type="dxa"/>
            <w:vAlign w:val="center"/>
          </w:tcPr>
          <w:p>
            <w:pPr>
              <w:pStyle w:val="13"/>
            </w:pPr>
            <w:r>
              <w:t>≤12万元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保障办公人数</w:t>
            </w:r>
          </w:p>
        </w:tc>
        <w:tc>
          <w:tcPr>
            <w:tcW w:w="5386" w:type="dxa"/>
            <w:vAlign w:val="center"/>
          </w:tcPr>
          <w:p>
            <w:pPr>
              <w:pStyle w:val="13"/>
            </w:pPr>
            <w:r>
              <w:t>租赁办公用房保障办公需要的人数</w:t>
            </w:r>
          </w:p>
        </w:tc>
        <w:tc>
          <w:tcPr>
            <w:tcW w:w="2268" w:type="dxa"/>
            <w:vAlign w:val="center"/>
          </w:tcPr>
          <w:p>
            <w:pPr>
              <w:pStyle w:val="13"/>
            </w:pPr>
            <w:r>
              <w:t>≥5人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租赁期限</w:t>
            </w:r>
          </w:p>
        </w:tc>
        <w:tc>
          <w:tcPr>
            <w:tcW w:w="5386" w:type="dxa"/>
            <w:vAlign w:val="center"/>
          </w:tcPr>
          <w:p>
            <w:pPr>
              <w:pStyle w:val="13"/>
            </w:pPr>
            <w:r>
              <w:t>办公用房租赁期限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办公用房使用人员满意度</w:t>
            </w:r>
          </w:p>
        </w:tc>
        <w:tc>
          <w:tcPr>
            <w:tcW w:w="2268" w:type="dxa"/>
            <w:vAlign w:val="center"/>
          </w:tcPr>
          <w:p>
            <w:pPr>
              <w:pStyle w:val="13"/>
            </w:pPr>
            <w:r>
              <w:t>≥98%</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7、2025退役军人公益岗工资绩效目标表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13011025P00321110018F</w:t>
            </w:r>
          </w:p>
        </w:tc>
        <w:tc>
          <w:tcPr>
            <w:tcW w:w="2835" w:type="dxa"/>
            <w:vAlign w:val="center"/>
          </w:tcPr>
          <w:p>
            <w:pPr>
              <w:pStyle w:val="11"/>
            </w:pPr>
            <w:r>
              <w:t>项目名称</w:t>
            </w:r>
          </w:p>
        </w:tc>
        <w:tc>
          <w:tcPr>
            <w:tcW w:w="6095" w:type="dxa"/>
            <w:gridSpan w:val="3"/>
            <w:vAlign w:val="center"/>
          </w:tcPr>
          <w:p>
            <w:pPr>
              <w:pStyle w:val="13"/>
            </w:pPr>
            <w:r>
              <w:t>2025退役军人公益岗工资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35.38</w:t>
            </w:r>
          </w:p>
        </w:tc>
        <w:tc>
          <w:tcPr>
            <w:tcW w:w="2835" w:type="dxa"/>
            <w:vAlign w:val="center"/>
          </w:tcPr>
          <w:p>
            <w:pPr>
              <w:pStyle w:val="11"/>
            </w:pPr>
            <w:r>
              <w:t>其中：财政    资金</w:t>
            </w:r>
          </w:p>
        </w:tc>
        <w:tc>
          <w:tcPr>
            <w:tcW w:w="2551" w:type="dxa"/>
            <w:vAlign w:val="center"/>
          </w:tcPr>
          <w:p>
            <w:pPr>
              <w:pStyle w:val="13"/>
            </w:pPr>
            <w:r>
              <w:t>35.38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对符合就业困难条件军队退役人员9名，实行托底安置；帮扶救助到位，加大就业援助，实现就业。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1.对符合就业困难条件军队退役人员9名，实行托底安置；帮扶救助到位，加大就业援助，实现就业。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资金发放到位人数</w:t>
            </w:r>
          </w:p>
        </w:tc>
        <w:tc>
          <w:tcPr>
            <w:tcW w:w="5386" w:type="dxa"/>
            <w:vAlign w:val="center"/>
          </w:tcPr>
          <w:p>
            <w:pPr>
              <w:pStyle w:val="13"/>
            </w:pPr>
            <w:r>
              <w:t>资金发放人数</w:t>
            </w:r>
          </w:p>
        </w:tc>
        <w:tc>
          <w:tcPr>
            <w:tcW w:w="2268" w:type="dxa"/>
            <w:vAlign w:val="center"/>
          </w:tcPr>
          <w:p>
            <w:pPr>
              <w:pStyle w:val="13"/>
            </w:pPr>
            <w:r>
              <w:t>8人</w:t>
            </w:r>
          </w:p>
        </w:tc>
        <w:tc>
          <w:tcPr>
            <w:tcW w:w="1276" w:type="dxa"/>
            <w:vAlign w:val="center"/>
          </w:tcPr>
          <w:p>
            <w:pPr>
              <w:pStyle w:val="13"/>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资金按时发放率</w:t>
            </w:r>
          </w:p>
        </w:tc>
        <w:tc>
          <w:tcPr>
            <w:tcW w:w="5386" w:type="dxa"/>
            <w:vAlign w:val="center"/>
          </w:tcPr>
          <w:p>
            <w:pPr>
              <w:pStyle w:val="13"/>
            </w:pPr>
            <w:r>
              <w:t>资金按时发放月数占资金应按时发放月数的比率</w:t>
            </w:r>
          </w:p>
        </w:tc>
        <w:tc>
          <w:tcPr>
            <w:tcW w:w="2268" w:type="dxa"/>
            <w:vAlign w:val="center"/>
          </w:tcPr>
          <w:p>
            <w:pPr>
              <w:pStyle w:val="13"/>
            </w:pPr>
            <w:r>
              <w:t>100%</w:t>
            </w:r>
          </w:p>
        </w:tc>
        <w:tc>
          <w:tcPr>
            <w:tcW w:w="1276" w:type="dxa"/>
            <w:vAlign w:val="center"/>
          </w:tcPr>
          <w:p>
            <w:pPr>
              <w:pStyle w:val="13"/>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退役军人发放标准</w:t>
            </w:r>
          </w:p>
        </w:tc>
        <w:tc>
          <w:tcPr>
            <w:tcW w:w="5386" w:type="dxa"/>
            <w:vAlign w:val="center"/>
          </w:tcPr>
          <w:p>
            <w:pPr>
              <w:pStyle w:val="13"/>
            </w:pPr>
            <w:r>
              <w:t>按照规定发放标准</w:t>
            </w:r>
          </w:p>
        </w:tc>
        <w:tc>
          <w:tcPr>
            <w:tcW w:w="2268" w:type="dxa"/>
            <w:vAlign w:val="center"/>
          </w:tcPr>
          <w:p>
            <w:pPr>
              <w:pStyle w:val="13"/>
            </w:pPr>
            <w:r>
              <w:t>≥3685元/月/人</w:t>
            </w:r>
          </w:p>
        </w:tc>
        <w:tc>
          <w:tcPr>
            <w:tcW w:w="1276" w:type="dxa"/>
            <w:vAlign w:val="center"/>
          </w:tcPr>
          <w:p>
            <w:pPr>
              <w:pStyle w:val="13"/>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资金发放准时率</w:t>
            </w:r>
          </w:p>
        </w:tc>
        <w:tc>
          <w:tcPr>
            <w:tcW w:w="5386" w:type="dxa"/>
            <w:vAlign w:val="center"/>
          </w:tcPr>
          <w:p>
            <w:pPr>
              <w:pStyle w:val="13"/>
            </w:pPr>
            <w:r>
              <w:t>资金发放准时率</w:t>
            </w:r>
          </w:p>
        </w:tc>
        <w:tc>
          <w:tcPr>
            <w:tcW w:w="2268" w:type="dxa"/>
            <w:vAlign w:val="center"/>
          </w:tcPr>
          <w:p>
            <w:pPr>
              <w:pStyle w:val="13"/>
            </w:pPr>
            <w:r>
              <w:t>100%</w:t>
            </w:r>
          </w:p>
        </w:tc>
        <w:tc>
          <w:tcPr>
            <w:tcW w:w="1276" w:type="dxa"/>
            <w:vAlign w:val="center"/>
          </w:tcPr>
          <w:p>
            <w:pPr>
              <w:pStyle w:val="13"/>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退役军人托底安置人数</w:t>
            </w:r>
          </w:p>
        </w:tc>
        <w:tc>
          <w:tcPr>
            <w:tcW w:w="5386" w:type="dxa"/>
            <w:vAlign w:val="center"/>
          </w:tcPr>
          <w:p>
            <w:pPr>
              <w:pStyle w:val="13"/>
            </w:pPr>
            <w:r>
              <w:t>退役军人托底安置人数</w:t>
            </w:r>
          </w:p>
        </w:tc>
        <w:tc>
          <w:tcPr>
            <w:tcW w:w="2268" w:type="dxa"/>
            <w:vAlign w:val="center"/>
          </w:tcPr>
          <w:p>
            <w:pPr>
              <w:pStyle w:val="13"/>
            </w:pPr>
            <w:r>
              <w:t>8人</w:t>
            </w:r>
          </w:p>
        </w:tc>
        <w:tc>
          <w:tcPr>
            <w:tcW w:w="1276" w:type="dxa"/>
            <w:vAlign w:val="center"/>
          </w:tcPr>
          <w:p>
            <w:pPr>
              <w:pStyle w:val="13"/>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持续影响效果</w:t>
            </w:r>
          </w:p>
        </w:tc>
        <w:tc>
          <w:tcPr>
            <w:tcW w:w="5386" w:type="dxa"/>
            <w:vAlign w:val="center"/>
          </w:tcPr>
          <w:p>
            <w:pPr>
              <w:pStyle w:val="13"/>
            </w:pPr>
            <w:r>
              <w:t>退役军人的获得感、幸福感、安全感进一步提高</w:t>
            </w:r>
          </w:p>
        </w:tc>
        <w:tc>
          <w:tcPr>
            <w:tcW w:w="2268" w:type="dxa"/>
            <w:vAlign w:val="center"/>
          </w:tcPr>
          <w:p>
            <w:pPr>
              <w:pStyle w:val="13"/>
            </w:pPr>
            <w:r>
              <w:t>扎实推动退役军人双拥保障措施</w:t>
            </w:r>
          </w:p>
        </w:tc>
        <w:tc>
          <w:tcPr>
            <w:tcW w:w="1276" w:type="dxa"/>
            <w:vAlign w:val="center"/>
          </w:tcPr>
          <w:p>
            <w:pPr>
              <w:pStyle w:val="13"/>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退役安置满意度（%）</w:t>
            </w:r>
          </w:p>
        </w:tc>
        <w:tc>
          <w:tcPr>
            <w:tcW w:w="5386" w:type="dxa"/>
            <w:vAlign w:val="center"/>
          </w:tcPr>
          <w:p>
            <w:pPr>
              <w:pStyle w:val="13"/>
            </w:pPr>
            <w:r>
              <w:t>对退役安置满意和较满意人数</w:t>
            </w:r>
          </w:p>
        </w:tc>
        <w:tc>
          <w:tcPr>
            <w:tcW w:w="2268" w:type="dxa"/>
            <w:vAlign w:val="center"/>
          </w:tcPr>
          <w:p>
            <w:pPr>
              <w:pStyle w:val="13"/>
            </w:pPr>
            <w:r>
              <w:t>100%</w:t>
            </w:r>
          </w:p>
        </w:tc>
        <w:tc>
          <w:tcPr>
            <w:tcW w:w="1276" w:type="dxa"/>
            <w:vAlign w:val="center"/>
          </w:tcPr>
          <w:p>
            <w:pPr>
              <w:pStyle w:val="13"/>
            </w:pPr>
            <w:r>
              <w:t>鹿办文【2017】31号文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8、2025网络运行经费绩效目标表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13011025P003239100112</w:t>
            </w:r>
          </w:p>
        </w:tc>
        <w:tc>
          <w:tcPr>
            <w:tcW w:w="2835" w:type="dxa"/>
            <w:vAlign w:val="center"/>
          </w:tcPr>
          <w:p>
            <w:pPr>
              <w:pStyle w:val="11"/>
            </w:pPr>
            <w:r>
              <w:t>项目名称</w:t>
            </w:r>
          </w:p>
        </w:tc>
        <w:tc>
          <w:tcPr>
            <w:tcW w:w="6095" w:type="dxa"/>
            <w:gridSpan w:val="3"/>
            <w:vAlign w:val="center"/>
          </w:tcPr>
          <w:p>
            <w:pPr>
              <w:pStyle w:val="13"/>
            </w:pPr>
            <w:r>
              <w:t>2025网络运行经费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3.96</w:t>
            </w:r>
          </w:p>
        </w:tc>
        <w:tc>
          <w:tcPr>
            <w:tcW w:w="2835" w:type="dxa"/>
            <w:vAlign w:val="center"/>
          </w:tcPr>
          <w:p>
            <w:pPr>
              <w:pStyle w:val="11"/>
            </w:pPr>
            <w:r>
              <w:t>其中：财政    资金</w:t>
            </w:r>
          </w:p>
        </w:tc>
        <w:tc>
          <w:tcPr>
            <w:tcW w:w="2551" w:type="dxa"/>
            <w:vAlign w:val="center"/>
          </w:tcPr>
          <w:p>
            <w:pPr>
              <w:pStyle w:val="13"/>
            </w:pPr>
            <w:r>
              <w:t>3.96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保证所有人员均合格持证上岗；实验室耗材、实验室改造项目全部按时完成更新、购置工作；完成180台标准计量器具的周期检定，达到国家要求实验室验收合格标准。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1.通过租赁网络线路，对基层企业商户实时监控，提升网络保障能力，保证网格监管平台达标。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租赁网络线路项目</w:t>
            </w:r>
          </w:p>
        </w:tc>
        <w:tc>
          <w:tcPr>
            <w:tcW w:w="5386" w:type="dxa"/>
            <w:vAlign w:val="center"/>
          </w:tcPr>
          <w:p>
            <w:pPr>
              <w:pStyle w:val="13"/>
            </w:pPr>
            <w:r>
              <w:t>租赁网络线路项目</w:t>
            </w:r>
          </w:p>
        </w:tc>
        <w:tc>
          <w:tcPr>
            <w:tcW w:w="2268" w:type="dxa"/>
            <w:vAlign w:val="center"/>
          </w:tcPr>
          <w:p>
            <w:pPr>
              <w:pStyle w:val="13"/>
            </w:pPr>
            <w:r>
              <w:t>2项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网络线路租赁费用</w:t>
            </w:r>
          </w:p>
        </w:tc>
        <w:tc>
          <w:tcPr>
            <w:tcW w:w="5386" w:type="dxa"/>
            <w:vAlign w:val="center"/>
          </w:tcPr>
          <w:p>
            <w:pPr>
              <w:pStyle w:val="13"/>
            </w:pPr>
            <w:r>
              <w:t>网络线路租赁、执法记录仪流量卡、云视频等费用</w:t>
            </w:r>
          </w:p>
        </w:tc>
        <w:tc>
          <w:tcPr>
            <w:tcW w:w="2268" w:type="dxa"/>
            <w:vAlign w:val="center"/>
          </w:tcPr>
          <w:p>
            <w:pPr>
              <w:pStyle w:val="13"/>
            </w:pPr>
            <w:r>
              <w:t>3.96万元/年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网络线路使用保证24小时畅通</w:t>
            </w:r>
          </w:p>
        </w:tc>
        <w:tc>
          <w:tcPr>
            <w:tcW w:w="5386" w:type="dxa"/>
            <w:vAlign w:val="center"/>
          </w:tcPr>
          <w:p>
            <w:pPr>
              <w:pStyle w:val="13"/>
            </w:pPr>
            <w:r>
              <w:t>网络线路使用保证24小时畅通</w:t>
            </w:r>
          </w:p>
        </w:tc>
        <w:tc>
          <w:tcPr>
            <w:tcW w:w="2268" w:type="dxa"/>
            <w:vAlign w:val="center"/>
          </w:tcPr>
          <w:p>
            <w:pPr>
              <w:pStyle w:val="13"/>
            </w:pPr>
            <w:r>
              <w:t>网络线路使用保证24小时畅通</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业务专网接入率</w:t>
            </w:r>
          </w:p>
        </w:tc>
        <w:tc>
          <w:tcPr>
            <w:tcW w:w="5386" w:type="dxa"/>
            <w:vAlign w:val="center"/>
          </w:tcPr>
          <w:p>
            <w:pPr>
              <w:pStyle w:val="13"/>
            </w:pPr>
            <w:r>
              <w:t>监管所业务专网接入个数占监管所总个数的比率</w:t>
            </w:r>
          </w:p>
        </w:tc>
        <w:tc>
          <w:tcPr>
            <w:tcW w:w="2268" w:type="dxa"/>
            <w:vAlign w:val="center"/>
          </w:tcPr>
          <w:p>
            <w:pPr>
              <w:pStyle w:val="13"/>
            </w:pPr>
            <w:r>
              <w:t>≥90%</w:t>
            </w:r>
          </w:p>
        </w:tc>
        <w:tc>
          <w:tcPr>
            <w:tcW w:w="1276" w:type="dxa"/>
            <w:vAlign w:val="center"/>
          </w:tcPr>
          <w:p>
            <w:pPr>
              <w:pStyle w:val="13"/>
            </w:pPr>
            <w:r>
              <w:t>检查记录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网络接入点实时监控率</w:t>
            </w:r>
          </w:p>
        </w:tc>
        <w:tc>
          <w:tcPr>
            <w:tcW w:w="5386" w:type="dxa"/>
            <w:vAlign w:val="center"/>
          </w:tcPr>
          <w:p>
            <w:pPr>
              <w:pStyle w:val="13"/>
            </w:pPr>
            <w:r>
              <w:t>网络接入点监控正常使用数量占需监控的网络接入点数量的比例</w:t>
            </w:r>
          </w:p>
        </w:tc>
        <w:tc>
          <w:tcPr>
            <w:tcW w:w="2268" w:type="dxa"/>
            <w:vAlign w:val="center"/>
          </w:tcPr>
          <w:p>
            <w:pPr>
              <w:pStyle w:val="13"/>
            </w:pPr>
            <w:r>
              <w:t>≥95%</w:t>
            </w:r>
          </w:p>
        </w:tc>
        <w:tc>
          <w:tcPr>
            <w:tcW w:w="1276" w:type="dxa"/>
            <w:vAlign w:val="center"/>
          </w:tcPr>
          <w:p>
            <w:pPr>
              <w:pStyle w:val="13"/>
            </w:pPr>
            <w:r>
              <w:t>检查记录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网络监管平台达标率</w:t>
            </w:r>
          </w:p>
        </w:tc>
        <w:tc>
          <w:tcPr>
            <w:tcW w:w="5386" w:type="dxa"/>
            <w:vAlign w:val="center"/>
          </w:tcPr>
          <w:p>
            <w:pPr>
              <w:pStyle w:val="13"/>
            </w:pPr>
            <w:r>
              <w:t>达标平台个数占总信息平台的比率</w:t>
            </w:r>
          </w:p>
        </w:tc>
        <w:tc>
          <w:tcPr>
            <w:tcW w:w="2268" w:type="dxa"/>
            <w:vAlign w:val="center"/>
          </w:tcPr>
          <w:p>
            <w:pPr>
              <w:pStyle w:val="13"/>
            </w:pPr>
            <w:r>
              <w:t>≥95%</w:t>
            </w:r>
          </w:p>
        </w:tc>
        <w:tc>
          <w:tcPr>
            <w:tcW w:w="1276" w:type="dxa"/>
            <w:vAlign w:val="center"/>
          </w:tcPr>
          <w:p>
            <w:pPr>
              <w:pStyle w:val="13"/>
            </w:pPr>
            <w:r>
              <w:t>检查记录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网络使用人员满意度</w:t>
            </w:r>
          </w:p>
        </w:tc>
        <w:tc>
          <w:tcPr>
            <w:tcW w:w="5386" w:type="dxa"/>
            <w:vAlign w:val="center"/>
          </w:tcPr>
          <w:p>
            <w:pPr>
              <w:pStyle w:val="13"/>
            </w:pPr>
            <w:r>
              <w:t>网络使用人员满意度</w:t>
            </w:r>
          </w:p>
        </w:tc>
        <w:tc>
          <w:tcPr>
            <w:tcW w:w="2268" w:type="dxa"/>
            <w:vAlign w:val="center"/>
          </w:tcPr>
          <w:p>
            <w:pPr>
              <w:pStyle w:val="13"/>
            </w:pPr>
            <w:r>
              <w:t>≥95%</w:t>
            </w:r>
          </w:p>
        </w:tc>
        <w:tc>
          <w:tcPr>
            <w:tcW w:w="1276" w:type="dxa"/>
            <w:vAlign w:val="center"/>
          </w:tcPr>
          <w:p>
            <w:pPr>
              <w:pStyle w:val="13"/>
            </w:pPr>
            <w:r>
              <w:t>历史记录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9、2025执法业务费绩效目标表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13011025P00324510003X</w:t>
            </w:r>
          </w:p>
        </w:tc>
        <w:tc>
          <w:tcPr>
            <w:tcW w:w="2835" w:type="dxa"/>
            <w:vAlign w:val="center"/>
          </w:tcPr>
          <w:p>
            <w:pPr>
              <w:pStyle w:val="11"/>
            </w:pPr>
            <w:r>
              <w:t>项目名称</w:t>
            </w:r>
          </w:p>
        </w:tc>
        <w:tc>
          <w:tcPr>
            <w:tcW w:w="6095" w:type="dxa"/>
            <w:gridSpan w:val="3"/>
            <w:vAlign w:val="center"/>
          </w:tcPr>
          <w:p>
            <w:pPr>
              <w:pStyle w:val="13"/>
            </w:pPr>
            <w:r>
              <w:t>2025执法业务费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130.00</w:t>
            </w:r>
          </w:p>
        </w:tc>
        <w:tc>
          <w:tcPr>
            <w:tcW w:w="2835" w:type="dxa"/>
            <w:vAlign w:val="center"/>
          </w:tcPr>
          <w:p>
            <w:pPr>
              <w:pStyle w:val="11"/>
            </w:pPr>
            <w:r>
              <w:t>其中：财政    资金</w:t>
            </w:r>
          </w:p>
        </w:tc>
        <w:tc>
          <w:tcPr>
            <w:tcW w:w="2551" w:type="dxa"/>
            <w:vAlign w:val="center"/>
          </w:tcPr>
          <w:p>
            <w:pPr>
              <w:pStyle w:val="13"/>
            </w:pPr>
            <w:r>
              <w:t>130.00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查处各类违法行为，开展专项执法行动，维护公平竞争的市场秩序。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1.查处各类违法行为，开展专项执法行动，维护公平竞争的市场秩序。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对企业行政指导工作次数</w:t>
            </w:r>
          </w:p>
        </w:tc>
        <w:tc>
          <w:tcPr>
            <w:tcW w:w="5386" w:type="dxa"/>
            <w:vAlign w:val="center"/>
          </w:tcPr>
          <w:p>
            <w:pPr>
              <w:pStyle w:val="13"/>
            </w:pPr>
            <w:r>
              <w:t>反映市场监管部门对企业开展行政指导次数</w:t>
            </w:r>
          </w:p>
        </w:tc>
        <w:tc>
          <w:tcPr>
            <w:tcW w:w="2268" w:type="dxa"/>
            <w:vAlign w:val="center"/>
          </w:tcPr>
          <w:p>
            <w:pPr>
              <w:pStyle w:val="13"/>
            </w:pPr>
            <w:r>
              <w:t>≥5次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开展专项活动</w:t>
            </w:r>
          </w:p>
        </w:tc>
        <w:tc>
          <w:tcPr>
            <w:tcW w:w="5386" w:type="dxa"/>
            <w:vAlign w:val="center"/>
          </w:tcPr>
          <w:p>
            <w:pPr>
              <w:pStyle w:val="13"/>
            </w:pPr>
            <w:r>
              <w:t>开展专项活动次数</w:t>
            </w:r>
          </w:p>
        </w:tc>
        <w:tc>
          <w:tcPr>
            <w:tcW w:w="2268" w:type="dxa"/>
            <w:vAlign w:val="center"/>
          </w:tcPr>
          <w:p>
            <w:pPr>
              <w:pStyle w:val="13"/>
            </w:pPr>
            <w:r>
              <w:t>≥5次</w:t>
            </w:r>
          </w:p>
        </w:tc>
        <w:tc>
          <w:tcPr>
            <w:tcW w:w="1276" w:type="dxa"/>
            <w:vAlign w:val="center"/>
          </w:tcPr>
          <w:p>
            <w:pPr>
              <w:pStyle w:val="13"/>
            </w:pPr>
            <w:r>
              <w:t>专项活动实施方案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执法车辆运行费用标准</w:t>
            </w:r>
          </w:p>
        </w:tc>
        <w:tc>
          <w:tcPr>
            <w:tcW w:w="5386" w:type="dxa"/>
            <w:vAlign w:val="center"/>
          </w:tcPr>
          <w:p>
            <w:pPr>
              <w:pStyle w:val="13"/>
            </w:pPr>
            <w:r>
              <w:t>执法车辆运行费用标准</w:t>
            </w:r>
          </w:p>
        </w:tc>
        <w:tc>
          <w:tcPr>
            <w:tcW w:w="2268" w:type="dxa"/>
            <w:vAlign w:val="center"/>
          </w:tcPr>
          <w:p>
            <w:pPr>
              <w:pStyle w:val="13"/>
            </w:pPr>
            <w:r>
              <w:t>≤2.7万元/车、年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印制执法宣传册数量</w:t>
            </w:r>
          </w:p>
        </w:tc>
        <w:tc>
          <w:tcPr>
            <w:tcW w:w="5386" w:type="dxa"/>
            <w:vAlign w:val="center"/>
          </w:tcPr>
          <w:p>
            <w:pPr>
              <w:pStyle w:val="13"/>
            </w:pPr>
            <w:r>
              <w:t>基层所印制三品一械等执法宣传册数量</w:t>
            </w:r>
          </w:p>
        </w:tc>
        <w:tc>
          <w:tcPr>
            <w:tcW w:w="2268" w:type="dxa"/>
            <w:vAlign w:val="center"/>
          </w:tcPr>
          <w:p>
            <w:pPr>
              <w:pStyle w:val="13"/>
            </w:pPr>
            <w:r>
              <w:t>≥36000份</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执法宣传册费用标准</w:t>
            </w:r>
          </w:p>
        </w:tc>
        <w:tc>
          <w:tcPr>
            <w:tcW w:w="5386" w:type="dxa"/>
            <w:vAlign w:val="center"/>
          </w:tcPr>
          <w:p>
            <w:pPr>
              <w:pStyle w:val="13"/>
            </w:pPr>
            <w:r>
              <w:t>印制三品一械等执法宣传册标准</w:t>
            </w:r>
          </w:p>
        </w:tc>
        <w:tc>
          <w:tcPr>
            <w:tcW w:w="2268" w:type="dxa"/>
            <w:vAlign w:val="center"/>
          </w:tcPr>
          <w:p>
            <w:pPr>
              <w:pStyle w:val="13"/>
            </w:pPr>
            <w:r>
              <w:t>≥20元/册</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维护执法车辆数量</w:t>
            </w:r>
          </w:p>
        </w:tc>
        <w:tc>
          <w:tcPr>
            <w:tcW w:w="5386" w:type="dxa"/>
            <w:vAlign w:val="center"/>
          </w:tcPr>
          <w:p>
            <w:pPr>
              <w:pStyle w:val="13"/>
            </w:pPr>
            <w:r>
              <w:t>执法车辆维护数量</w:t>
            </w:r>
          </w:p>
        </w:tc>
        <w:tc>
          <w:tcPr>
            <w:tcW w:w="2268" w:type="dxa"/>
            <w:vAlign w:val="center"/>
          </w:tcPr>
          <w:p>
            <w:pPr>
              <w:pStyle w:val="13"/>
            </w:pPr>
            <w:r>
              <w:t>7辆</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执法罚没物资运输保管等费用</w:t>
            </w:r>
          </w:p>
        </w:tc>
        <w:tc>
          <w:tcPr>
            <w:tcW w:w="5386" w:type="dxa"/>
            <w:vAlign w:val="center"/>
          </w:tcPr>
          <w:p>
            <w:pPr>
              <w:pStyle w:val="13"/>
            </w:pPr>
            <w:r>
              <w:t>执法罚没物资运输保管等费用</w:t>
            </w:r>
          </w:p>
        </w:tc>
        <w:tc>
          <w:tcPr>
            <w:tcW w:w="2268" w:type="dxa"/>
            <w:vAlign w:val="center"/>
          </w:tcPr>
          <w:p>
            <w:pPr>
              <w:pStyle w:val="13"/>
            </w:pPr>
            <w:r>
              <w:t>≤24万元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执法案件查处率</w:t>
            </w:r>
          </w:p>
        </w:tc>
        <w:tc>
          <w:tcPr>
            <w:tcW w:w="5386" w:type="dxa"/>
            <w:vAlign w:val="center"/>
          </w:tcPr>
          <w:p>
            <w:pPr>
              <w:pStyle w:val="13"/>
            </w:pPr>
            <w:r>
              <w:t>查处各类违法案件数占受理案件数的比率</w:t>
            </w:r>
          </w:p>
        </w:tc>
        <w:tc>
          <w:tcPr>
            <w:tcW w:w="2268" w:type="dxa"/>
            <w:vAlign w:val="center"/>
          </w:tcPr>
          <w:p>
            <w:pPr>
              <w:pStyle w:val="13"/>
            </w:pPr>
            <w:r>
              <w:t>≥90%</w:t>
            </w:r>
          </w:p>
        </w:tc>
        <w:tc>
          <w:tcPr>
            <w:tcW w:w="1276" w:type="dxa"/>
            <w:vAlign w:val="center"/>
          </w:tcPr>
          <w:p>
            <w:pPr>
              <w:pStyle w:val="13"/>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各专项执法任务完成及时率（%）</w:t>
            </w:r>
          </w:p>
        </w:tc>
        <w:tc>
          <w:tcPr>
            <w:tcW w:w="5386" w:type="dxa"/>
            <w:vAlign w:val="center"/>
          </w:tcPr>
          <w:p>
            <w:pPr>
              <w:pStyle w:val="13"/>
            </w:pPr>
            <w:r>
              <w:t>各专项执法任务完成及时率（%）</w:t>
            </w:r>
          </w:p>
        </w:tc>
        <w:tc>
          <w:tcPr>
            <w:tcW w:w="2268" w:type="dxa"/>
            <w:vAlign w:val="center"/>
          </w:tcPr>
          <w:p>
            <w:pPr>
              <w:pStyle w:val="13"/>
            </w:pPr>
            <w:r>
              <w:t>100%</w:t>
            </w:r>
          </w:p>
        </w:tc>
        <w:tc>
          <w:tcPr>
            <w:tcW w:w="1276" w:type="dxa"/>
            <w:vAlign w:val="center"/>
          </w:tcPr>
          <w:p>
            <w:pPr>
              <w:pStyle w:val="13"/>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基层市场监管执法的作用</w:t>
            </w:r>
          </w:p>
        </w:tc>
        <w:tc>
          <w:tcPr>
            <w:tcW w:w="5386" w:type="dxa"/>
            <w:vAlign w:val="center"/>
          </w:tcPr>
          <w:p>
            <w:pPr>
              <w:pStyle w:val="13"/>
            </w:pPr>
            <w:r>
              <w:t>促进社会和谐稳定，维护公平竞争的市场秩序。</w:t>
            </w:r>
          </w:p>
        </w:tc>
        <w:tc>
          <w:tcPr>
            <w:tcW w:w="2268" w:type="dxa"/>
            <w:vAlign w:val="center"/>
          </w:tcPr>
          <w:p>
            <w:pPr>
              <w:pStyle w:val="13"/>
            </w:pPr>
            <w:r>
              <w:t>促进社会和谐稳定，维护公平竞争的市场秩序。</w:t>
            </w:r>
          </w:p>
        </w:tc>
        <w:tc>
          <w:tcPr>
            <w:tcW w:w="1276" w:type="dxa"/>
            <w:vAlign w:val="center"/>
          </w:tcPr>
          <w:p>
            <w:pPr>
              <w:pStyle w:val="13"/>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执法监督成果使用部门满意度</w:t>
            </w:r>
          </w:p>
        </w:tc>
        <w:tc>
          <w:tcPr>
            <w:tcW w:w="5386" w:type="dxa"/>
            <w:vAlign w:val="center"/>
          </w:tcPr>
          <w:p>
            <w:pPr>
              <w:pStyle w:val="13"/>
            </w:pPr>
            <w:r>
              <w:t>执法监督成果使用部门满意度</w:t>
            </w:r>
          </w:p>
        </w:tc>
        <w:tc>
          <w:tcPr>
            <w:tcW w:w="2268" w:type="dxa"/>
            <w:vAlign w:val="center"/>
          </w:tcPr>
          <w:p>
            <w:pPr>
              <w:pStyle w:val="13"/>
            </w:pPr>
            <w:r>
              <w:t>≥95%</w:t>
            </w:r>
          </w:p>
        </w:tc>
        <w:tc>
          <w:tcPr>
            <w:tcW w:w="1276" w:type="dxa"/>
            <w:vAlign w:val="center"/>
          </w:tcPr>
          <w:p>
            <w:pPr>
              <w:pStyle w:val="13"/>
            </w:pPr>
            <w:r>
              <w:t>工作要求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10、2025质监大楼租赁费绩效目标表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13011025P003239100093</w:t>
            </w:r>
          </w:p>
        </w:tc>
        <w:tc>
          <w:tcPr>
            <w:tcW w:w="2835" w:type="dxa"/>
            <w:vAlign w:val="center"/>
          </w:tcPr>
          <w:p>
            <w:pPr>
              <w:pStyle w:val="11"/>
            </w:pPr>
            <w:r>
              <w:t>项目名称</w:t>
            </w:r>
          </w:p>
        </w:tc>
        <w:tc>
          <w:tcPr>
            <w:tcW w:w="6095" w:type="dxa"/>
            <w:gridSpan w:val="3"/>
            <w:vAlign w:val="center"/>
          </w:tcPr>
          <w:p>
            <w:pPr>
              <w:pStyle w:val="13"/>
            </w:pPr>
            <w:r>
              <w:t>2025质监大楼租赁费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57.00</w:t>
            </w:r>
          </w:p>
        </w:tc>
        <w:tc>
          <w:tcPr>
            <w:tcW w:w="2835" w:type="dxa"/>
            <w:vAlign w:val="center"/>
          </w:tcPr>
          <w:p>
            <w:pPr>
              <w:pStyle w:val="11"/>
            </w:pPr>
            <w:r>
              <w:t>其中：财政    资金</w:t>
            </w:r>
          </w:p>
        </w:tc>
        <w:tc>
          <w:tcPr>
            <w:tcW w:w="2551" w:type="dxa"/>
            <w:vAlign w:val="center"/>
          </w:tcPr>
          <w:p>
            <w:pPr>
              <w:pStyle w:val="13"/>
            </w:pPr>
            <w:r>
              <w:t>57.00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租用原质监大楼1297.95平方米办公场所，确保质量技术监督检验所的检验工作有序有效开展。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1.租用原质监大楼1297.95平方米办公场所，确保质量技术监督检验所的检验工作有序有效开展。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支付准时率</w:t>
            </w:r>
          </w:p>
        </w:tc>
        <w:tc>
          <w:tcPr>
            <w:tcW w:w="5386" w:type="dxa"/>
            <w:vAlign w:val="center"/>
          </w:tcPr>
          <w:p>
            <w:pPr>
              <w:pStyle w:val="13"/>
            </w:pPr>
            <w:r>
              <w:t>支付准时率</w:t>
            </w:r>
          </w:p>
        </w:tc>
        <w:tc>
          <w:tcPr>
            <w:tcW w:w="2268" w:type="dxa"/>
            <w:vAlign w:val="center"/>
          </w:tcPr>
          <w:p>
            <w:pPr>
              <w:pStyle w:val="13"/>
            </w:pPr>
            <w:r>
              <w:t>100%</w:t>
            </w:r>
          </w:p>
        </w:tc>
        <w:tc>
          <w:tcPr>
            <w:tcW w:w="1276" w:type="dxa"/>
            <w:vAlign w:val="center"/>
          </w:tcPr>
          <w:p>
            <w:pPr>
              <w:pStyle w:val="13"/>
            </w:pPr>
            <w:r>
              <w:t>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承租方租金按期交纳率</w:t>
            </w:r>
          </w:p>
        </w:tc>
        <w:tc>
          <w:tcPr>
            <w:tcW w:w="5386" w:type="dxa"/>
            <w:vAlign w:val="center"/>
          </w:tcPr>
          <w:p>
            <w:pPr>
              <w:pStyle w:val="13"/>
            </w:pPr>
            <w:r>
              <w:t>承租方按合同要求的租金交纳率</w:t>
            </w:r>
          </w:p>
        </w:tc>
        <w:tc>
          <w:tcPr>
            <w:tcW w:w="2268" w:type="dxa"/>
            <w:vAlign w:val="center"/>
          </w:tcPr>
          <w:p>
            <w:pPr>
              <w:pStyle w:val="13"/>
            </w:pPr>
            <w:r>
              <w:t>100%</w:t>
            </w:r>
          </w:p>
        </w:tc>
        <w:tc>
          <w:tcPr>
            <w:tcW w:w="1276" w:type="dxa"/>
            <w:vAlign w:val="center"/>
          </w:tcPr>
          <w:p>
            <w:pPr>
              <w:pStyle w:val="13"/>
            </w:pPr>
            <w:r>
              <w:t>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租赁办公楼面积</w:t>
            </w:r>
          </w:p>
        </w:tc>
        <w:tc>
          <w:tcPr>
            <w:tcW w:w="5386" w:type="dxa"/>
            <w:vAlign w:val="center"/>
          </w:tcPr>
          <w:p>
            <w:pPr>
              <w:pStyle w:val="13"/>
            </w:pPr>
            <w:r>
              <w:t>租赁办公楼面积</w:t>
            </w:r>
          </w:p>
        </w:tc>
        <w:tc>
          <w:tcPr>
            <w:tcW w:w="2268" w:type="dxa"/>
            <w:vAlign w:val="center"/>
          </w:tcPr>
          <w:p>
            <w:pPr>
              <w:pStyle w:val="13"/>
            </w:pPr>
            <w:r>
              <w:t>1297.95平方米</w:t>
            </w:r>
          </w:p>
        </w:tc>
        <w:tc>
          <w:tcPr>
            <w:tcW w:w="1276" w:type="dxa"/>
            <w:vAlign w:val="center"/>
          </w:tcPr>
          <w:p>
            <w:pPr>
              <w:pStyle w:val="13"/>
            </w:pPr>
            <w:r>
              <w:t>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租用办公用房所需经费</w:t>
            </w:r>
          </w:p>
        </w:tc>
        <w:tc>
          <w:tcPr>
            <w:tcW w:w="5386" w:type="dxa"/>
            <w:vAlign w:val="center"/>
          </w:tcPr>
          <w:p>
            <w:pPr>
              <w:pStyle w:val="13"/>
            </w:pPr>
            <w:r>
              <w:t>租用办公用房所需经费</w:t>
            </w:r>
          </w:p>
        </w:tc>
        <w:tc>
          <w:tcPr>
            <w:tcW w:w="2268" w:type="dxa"/>
            <w:vAlign w:val="center"/>
          </w:tcPr>
          <w:p>
            <w:pPr>
              <w:pStyle w:val="13"/>
            </w:pPr>
            <w:r>
              <w:t>57万元</w:t>
            </w:r>
          </w:p>
        </w:tc>
        <w:tc>
          <w:tcPr>
            <w:tcW w:w="1276" w:type="dxa"/>
            <w:vAlign w:val="center"/>
          </w:tcPr>
          <w:p>
            <w:pPr>
              <w:pStyle w:val="13"/>
            </w:pPr>
            <w:r>
              <w:t>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租金支付时间</w:t>
            </w:r>
          </w:p>
        </w:tc>
        <w:tc>
          <w:tcPr>
            <w:tcW w:w="5386" w:type="dxa"/>
            <w:vAlign w:val="center"/>
          </w:tcPr>
          <w:p>
            <w:pPr>
              <w:pStyle w:val="13"/>
            </w:pPr>
            <w:r>
              <w:t>租金支付时间</w:t>
            </w:r>
          </w:p>
        </w:tc>
        <w:tc>
          <w:tcPr>
            <w:tcW w:w="2268" w:type="dxa"/>
            <w:vAlign w:val="center"/>
          </w:tcPr>
          <w:p>
            <w:pPr>
              <w:pStyle w:val="13"/>
            </w:pPr>
            <w:r>
              <w:t>每年12月底前</w:t>
            </w:r>
          </w:p>
        </w:tc>
        <w:tc>
          <w:tcPr>
            <w:tcW w:w="1276" w:type="dxa"/>
            <w:vAlign w:val="center"/>
          </w:tcPr>
          <w:p>
            <w:pPr>
              <w:pStyle w:val="13"/>
            </w:pPr>
            <w:r>
              <w:t>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出租方保障办公楼的有效使用</w:t>
            </w:r>
          </w:p>
        </w:tc>
        <w:tc>
          <w:tcPr>
            <w:tcW w:w="5386" w:type="dxa"/>
            <w:vAlign w:val="center"/>
          </w:tcPr>
          <w:p>
            <w:pPr>
              <w:pStyle w:val="13"/>
            </w:pPr>
            <w:r>
              <w:t>能够提供办公楼使用，满足承租方的工作需求。</w:t>
            </w:r>
          </w:p>
        </w:tc>
        <w:tc>
          <w:tcPr>
            <w:tcW w:w="2268" w:type="dxa"/>
            <w:vAlign w:val="center"/>
          </w:tcPr>
          <w:p>
            <w:pPr>
              <w:pStyle w:val="13"/>
            </w:pPr>
            <w:r>
              <w:t>能够提供办公楼使用，满足承租方的工作需求。</w:t>
            </w:r>
          </w:p>
        </w:tc>
        <w:tc>
          <w:tcPr>
            <w:tcW w:w="1276" w:type="dxa"/>
            <w:vAlign w:val="center"/>
          </w:tcPr>
          <w:p>
            <w:pPr>
              <w:pStyle w:val="13"/>
            </w:pPr>
            <w:r>
              <w:t>租房合同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承租受益人数量</w:t>
            </w:r>
          </w:p>
        </w:tc>
        <w:tc>
          <w:tcPr>
            <w:tcW w:w="5386" w:type="dxa"/>
            <w:vAlign w:val="center"/>
          </w:tcPr>
          <w:p>
            <w:pPr>
              <w:pStyle w:val="13"/>
            </w:pPr>
            <w:r>
              <w:t>承租的质监所受益人数量</w:t>
            </w:r>
          </w:p>
        </w:tc>
        <w:tc>
          <w:tcPr>
            <w:tcW w:w="2268" w:type="dxa"/>
            <w:vAlign w:val="center"/>
          </w:tcPr>
          <w:p>
            <w:pPr>
              <w:pStyle w:val="13"/>
            </w:pPr>
            <w:r>
              <w:t>≥22人</w:t>
            </w:r>
          </w:p>
        </w:tc>
        <w:tc>
          <w:tcPr>
            <w:tcW w:w="1276" w:type="dxa"/>
            <w:vAlign w:val="center"/>
          </w:tcPr>
          <w:p>
            <w:pPr>
              <w:pStyle w:val="13"/>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承租方满意度</w:t>
            </w:r>
          </w:p>
        </w:tc>
        <w:tc>
          <w:tcPr>
            <w:tcW w:w="5386" w:type="dxa"/>
            <w:vAlign w:val="center"/>
          </w:tcPr>
          <w:p>
            <w:pPr>
              <w:pStyle w:val="13"/>
            </w:pPr>
            <w:r>
              <w:t>承租方满意度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11、提前下达2025年省级市场监管补助经费绩效目标表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13011025P00001210912U</w:t>
            </w:r>
          </w:p>
        </w:tc>
        <w:tc>
          <w:tcPr>
            <w:tcW w:w="2835" w:type="dxa"/>
            <w:vAlign w:val="center"/>
          </w:tcPr>
          <w:p>
            <w:pPr>
              <w:pStyle w:val="11"/>
            </w:pPr>
            <w:r>
              <w:t>项目名称</w:t>
            </w:r>
          </w:p>
        </w:tc>
        <w:tc>
          <w:tcPr>
            <w:tcW w:w="6095" w:type="dxa"/>
            <w:gridSpan w:val="3"/>
            <w:vAlign w:val="center"/>
          </w:tcPr>
          <w:p>
            <w:pPr>
              <w:pStyle w:val="13"/>
            </w:pPr>
            <w:r>
              <w:t>提前下达2025年省级市场监管补助经费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32.00</w:t>
            </w:r>
          </w:p>
        </w:tc>
        <w:tc>
          <w:tcPr>
            <w:tcW w:w="2835" w:type="dxa"/>
            <w:vAlign w:val="center"/>
          </w:tcPr>
          <w:p>
            <w:pPr>
              <w:pStyle w:val="11"/>
            </w:pPr>
            <w:r>
              <w:t>其中：财政    资金</w:t>
            </w:r>
          </w:p>
        </w:tc>
        <w:tc>
          <w:tcPr>
            <w:tcW w:w="2551" w:type="dxa"/>
            <w:vAlign w:val="center"/>
          </w:tcPr>
          <w:p>
            <w:pPr>
              <w:pStyle w:val="13"/>
            </w:pPr>
            <w:r>
              <w:t>32.00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提升改造一个基层所，加强基层所标准化建设，提升规划建设；开展特种设备检验检测10批次以上，确保特种设备安全；购置执法车辆1辆，开展执法监督3次以上，改善执法装备，提升基层市场监管部门执法能力</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1.提升改造一个基层所，加强基层所标准化建设，提升规划建设；开展特种设备检验检测10批次以上，确保特种设备安全；购置执法车辆1辆，开展执法监督3次以上，改善执法装备，提升基层市场监管部门执法能力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提升改造基层所数量</w:t>
            </w:r>
          </w:p>
        </w:tc>
        <w:tc>
          <w:tcPr>
            <w:tcW w:w="5386" w:type="dxa"/>
            <w:vAlign w:val="center"/>
          </w:tcPr>
          <w:p>
            <w:pPr>
              <w:pStyle w:val="13"/>
            </w:pPr>
            <w:r>
              <w:t>提升改造基层所数量</w:t>
            </w:r>
          </w:p>
        </w:tc>
        <w:tc>
          <w:tcPr>
            <w:tcW w:w="2268" w:type="dxa"/>
            <w:vAlign w:val="center"/>
          </w:tcPr>
          <w:p>
            <w:pPr>
              <w:pStyle w:val="13"/>
            </w:pPr>
            <w:r>
              <w:t>1个</w:t>
            </w:r>
          </w:p>
        </w:tc>
        <w:tc>
          <w:tcPr>
            <w:tcW w:w="1276" w:type="dxa"/>
            <w:vAlign w:val="center"/>
          </w:tcPr>
          <w:p>
            <w:pPr>
              <w:pStyle w:val="13"/>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特种设备检验检测批次</w:t>
            </w:r>
          </w:p>
        </w:tc>
        <w:tc>
          <w:tcPr>
            <w:tcW w:w="5386" w:type="dxa"/>
            <w:vAlign w:val="center"/>
          </w:tcPr>
          <w:p>
            <w:pPr>
              <w:pStyle w:val="13"/>
            </w:pPr>
            <w:r>
              <w:t>特种设备检验检测批次</w:t>
            </w:r>
          </w:p>
        </w:tc>
        <w:tc>
          <w:tcPr>
            <w:tcW w:w="2268" w:type="dxa"/>
            <w:vAlign w:val="center"/>
          </w:tcPr>
          <w:p>
            <w:pPr>
              <w:pStyle w:val="13"/>
            </w:pPr>
            <w:r>
              <w:t>≥10批次</w:t>
            </w:r>
          </w:p>
        </w:tc>
        <w:tc>
          <w:tcPr>
            <w:tcW w:w="1276" w:type="dxa"/>
            <w:vAlign w:val="center"/>
          </w:tcPr>
          <w:p>
            <w:pPr>
              <w:pStyle w:val="13"/>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执法监督数量</w:t>
            </w:r>
          </w:p>
        </w:tc>
        <w:tc>
          <w:tcPr>
            <w:tcW w:w="5386" w:type="dxa"/>
            <w:vAlign w:val="center"/>
          </w:tcPr>
          <w:p>
            <w:pPr>
              <w:pStyle w:val="13"/>
            </w:pPr>
            <w:r>
              <w:t>执法监督数量</w:t>
            </w:r>
          </w:p>
        </w:tc>
        <w:tc>
          <w:tcPr>
            <w:tcW w:w="2268" w:type="dxa"/>
            <w:vAlign w:val="center"/>
          </w:tcPr>
          <w:p>
            <w:pPr>
              <w:pStyle w:val="13"/>
            </w:pPr>
            <w:r>
              <w:t>≥3次</w:t>
            </w:r>
          </w:p>
        </w:tc>
        <w:tc>
          <w:tcPr>
            <w:tcW w:w="1276" w:type="dxa"/>
            <w:vAlign w:val="center"/>
          </w:tcPr>
          <w:p>
            <w:pPr>
              <w:pStyle w:val="13"/>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购置执法车辆数量</w:t>
            </w:r>
          </w:p>
        </w:tc>
        <w:tc>
          <w:tcPr>
            <w:tcW w:w="5386" w:type="dxa"/>
            <w:vAlign w:val="center"/>
          </w:tcPr>
          <w:p>
            <w:pPr>
              <w:pStyle w:val="13"/>
            </w:pPr>
            <w:r>
              <w:t>购置执法车辆数量</w:t>
            </w:r>
          </w:p>
        </w:tc>
        <w:tc>
          <w:tcPr>
            <w:tcW w:w="2268" w:type="dxa"/>
            <w:vAlign w:val="center"/>
          </w:tcPr>
          <w:p>
            <w:pPr>
              <w:pStyle w:val="13"/>
            </w:pPr>
            <w:r>
              <w:t>1辆</w:t>
            </w:r>
          </w:p>
        </w:tc>
        <w:tc>
          <w:tcPr>
            <w:tcW w:w="1276" w:type="dxa"/>
            <w:vAlign w:val="center"/>
          </w:tcPr>
          <w:p>
            <w:pPr>
              <w:pStyle w:val="13"/>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提升改造基层所完成率</w:t>
            </w:r>
          </w:p>
        </w:tc>
        <w:tc>
          <w:tcPr>
            <w:tcW w:w="5386" w:type="dxa"/>
            <w:vAlign w:val="center"/>
          </w:tcPr>
          <w:p>
            <w:pPr>
              <w:pStyle w:val="13"/>
            </w:pPr>
            <w:r>
              <w:t>提升改造基层所完成率</w:t>
            </w:r>
          </w:p>
        </w:tc>
        <w:tc>
          <w:tcPr>
            <w:tcW w:w="2268" w:type="dxa"/>
            <w:vAlign w:val="center"/>
          </w:tcPr>
          <w:p>
            <w:pPr>
              <w:pStyle w:val="13"/>
            </w:pPr>
            <w:r>
              <w:t>100%</w:t>
            </w:r>
          </w:p>
        </w:tc>
        <w:tc>
          <w:tcPr>
            <w:tcW w:w="1276" w:type="dxa"/>
            <w:vAlign w:val="center"/>
          </w:tcPr>
          <w:p>
            <w:pPr>
              <w:pStyle w:val="13"/>
            </w:pPr>
            <w:r>
              <w:t>文件要求</w:t>
            </w:r>
            <w:r>
              <w:tab/>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购置执法车辆验收合格率</w:t>
            </w:r>
          </w:p>
        </w:tc>
        <w:tc>
          <w:tcPr>
            <w:tcW w:w="5386" w:type="dxa"/>
            <w:vAlign w:val="center"/>
          </w:tcPr>
          <w:p>
            <w:pPr>
              <w:pStyle w:val="13"/>
            </w:pPr>
            <w:r>
              <w:t>购置执法车辆验收合格率</w:t>
            </w:r>
          </w:p>
        </w:tc>
        <w:tc>
          <w:tcPr>
            <w:tcW w:w="2268" w:type="dxa"/>
            <w:vAlign w:val="center"/>
          </w:tcPr>
          <w:p>
            <w:pPr>
              <w:pStyle w:val="13"/>
            </w:pPr>
            <w:r>
              <w:t>100%</w:t>
            </w:r>
          </w:p>
        </w:tc>
        <w:tc>
          <w:tcPr>
            <w:tcW w:w="1276" w:type="dxa"/>
            <w:vAlign w:val="center"/>
          </w:tcPr>
          <w:p>
            <w:pPr>
              <w:pStyle w:val="13"/>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特种设备检验检测完成率</w:t>
            </w:r>
          </w:p>
        </w:tc>
        <w:tc>
          <w:tcPr>
            <w:tcW w:w="5386" w:type="dxa"/>
            <w:vAlign w:val="center"/>
          </w:tcPr>
          <w:p>
            <w:pPr>
              <w:pStyle w:val="13"/>
            </w:pPr>
            <w:r>
              <w:t>特种设备检验检测完成率</w:t>
            </w:r>
          </w:p>
        </w:tc>
        <w:tc>
          <w:tcPr>
            <w:tcW w:w="2268" w:type="dxa"/>
            <w:vAlign w:val="center"/>
          </w:tcPr>
          <w:p>
            <w:pPr>
              <w:pStyle w:val="13"/>
            </w:pPr>
            <w:r>
              <w:t>≥95%</w:t>
            </w:r>
          </w:p>
        </w:tc>
        <w:tc>
          <w:tcPr>
            <w:tcW w:w="1276" w:type="dxa"/>
            <w:vAlign w:val="center"/>
          </w:tcPr>
          <w:p>
            <w:pPr>
              <w:pStyle w:val="13"/>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各项工作完成时间</w:t>
            </w:r>
          </w:p>
        </w:tc>
        <w:tc>
          <w:tcPr>
            <w:tcW w:w="5386" w:type="dxa"/>
            <w:vAlign w:val="center"/>
          </w:tcPr>
          <w:p>
            <w:pPr>
              <w:pStyle w:val="13"/>
            </w:pPr>
            <w:r>
              <w:t>各项工作完成时间</w:t>
            </w:r>
          </w:p>
        </w:tc>
        <w:tc>
          <w:tcPr>
            <w:tcW w:w="2268" w:type="dxa"/>
            <w:vAlign w:val="center"/>
          </w:tcPr>
          <w:p>
            <w:pPr>
              <w:pStyle w:val="13"/>
            </w:pPr>
            <w:r>
              <w:t>2025年12月31日前</w:t>
            </w:r>
          </w:p>
        </w:tc>
        <w:tc>
          <w:tcPr>
            <w:tcW w:w="1276" w:type="dxa"/>
            <w:vAlign w:val="center"/>
          </w:tcPr>
          <w:p>
            <w:pPr>
              <w:pStyle w:val="13"/>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提升改造基层所成本</w:t>
            </w:r>
          </w:p>
        </w:tc>
        <w:tc>
          <w:tcPr>
            <w:tcW w:w="5386" w:type="dxa"/>
            <w:vAlign w:val="center"/>
          </w:tcPr>
          <w:p>
            <w:pPr>
              <w:pStyle w:val="13"/>
            </w:pPr>
            <w:r>
              <w:t>提升改造基层所成本</w:t>
            </w:r>
          </w:p>
        </w:tc>
        <w:tc>
          <w:tcPr>
            <w:tcW w:w="2268" w:type="dxa"/>
            <w:vAlign w:val="center"/>
          </w:tcPr>
          <w:p>
            <w:pPr>
              <w:pStyle w:val="13"/>
            </w:pPr>
            <w:r>
              <w:t>≤20万元</w:t>
            </w:r>
          </w:p>
        </w:tc>
        <w:tc>
          <w:tcPr>
            <w:tcW w:w="1276" w:type="dxa"/>
            <w:vAlign w:val="center"/>
          </w:tcPr>
          <w:p>
            <w:pPr>
              <w:pStyle w:val="13"/>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购置执法车辆单价成本</w:t>
            </w:r>
          </w:p>
          <w:p>
            <w:pPr>
              <w:pStyle w:val="13"/>
            </w:pPr>
          </w:p>
        </w:tc>
        <w:tc>
          <w:tcPr>
            <w:tcW w:w="5386" w:type="dxa"/>
            <w:vAlign w:val="center"/>
          </w:tcPr>
          <w:p>
            <w:pPr>
              <w:pStyle w:val="13"/>
            </w:pPr>
            <w:r>
              <w:t>购置执法车辆单价成本</w:t>
            </w:r>
          </w:p>
          <w:p>
            <w:pPr>
              <w:pStyle w:val="13"/>
            </w:pPr>
          </w:p>
        </w:tc>
        <w:tc>
          <w:tcPr>
            <w:tcW w:w="2268" w:type="dxa"/>
            <w:vAlign w:val="center"/>
          </w:tcPr>
          <w:p>
            <w:pPr>
              <w:pStyle w:val="13"/>
            </w:pPr>
            <w:r>
              <w:t>≤10万元</w:t>
            </w:r>
          </w:p>
        </w:tc>
        <w:tc>
          <w:tcPr>
            <w:tcW w:w="1276" w:type="dxa"/>
            <w:vAlign w:val="center"/>
          </w:tcPr>
          <w:p>
            <w:pPr>
              <w:pStyle w:val="13"/>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检验检测单批次成本</w:t>
            </w:r>
          </w:p>
        </w:tc>
        <w:tc>
          <w:tcPr>
            <w:tcW w:w="5386" w:type="dxa"/>
            <w:vAlign w:val="center"/>
          </w:tcPr>
          <w:p>
            <w:pPr>
              <w:pStyle w:val="13"/>
            </w:pPr>
            <w:r>
              <w:t>检验检测单批次成本</w:t>
            </w:r>
          </w:p>
        </w:tc>
        <w:tc>
          <w:tcPr>
            <w:tcW w:w="2268" w:type="dxa"/>
            <w:vAlign w:val="center"/>
          </w:tcPr>
          <w:p>
            <w:pPr>
              <w:pStyle w:val="13"/>
            </w:pPr>
            <w:r>
              <w:t>≤0.19万元</w:t>
            </w:r>
          </w:p>
        </w:tc>
        <w:tc>
          <w:tcPr>
            <w:tcW w:w="1276" w:type="dxa"/>
            <w:vAlign w:val="center"/>
          </w:tcPr>
          <w:p>
            <w:pPr>
              <w:pStyle w:val="13"/>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重大案件发生次数</w:t>
            </w:r>
          </w:p>
        </w:tc>
        <w:tc>
          <w:tcPr>
            <w:tcW w:w="5386" w:type="dxa"/>
            <w:vAlign w:val="center"/>
          </w:tcPr>
          <w:p>
            <w:pPr>
              <w:pStyle w:val="13"/>
            </w:pPr>
            <w:r>
              <w:t>重大案件发生次数</w:t>
            </w:r>
          </w:p>
        </w:tc>
        <w:tc>
          <w:tcPr>
            <w:tcW w:w="2268" w:type="dxa"/>
            <w:vAlign w:val="center"/>
          </w:tcPr>
          <w:p>
            <w:pPr>
              <w:pStyle w:val="13"/>
            </w:pPr>
            <w:r>
              <w:t>0次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社会反馈意见对市场监管工作满意度</w:t>
            </w:r>
          </w:p>
        </w:tc>
        <w:tc>
          <w:tcPr>
            <w:tcW w:w="5386" w:type="dxa"/>
            <w:vAlign w:val="center"/>
          </w:tcPr>
          <w:p>
            <w:pPr>
              <w:pStyle w:val="13"/>
            </w:pPr>
            <w:r>
              <w:t>社会反馈意见对市场监管工作满意度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383石家庄市鹿泉区市场监督管理局</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64.43</w:t>
            </w:r>
          </w:p>
        </w:tc>
        <w:tc>
          <w:tcPr>
            <w:tcW w:w="964" w:type="dxa"/>
            <w:vAlign w:val="center"/>
          </w:tcPr>
          <w:p>
            <w:pPr>
              <w:pStyle w:val="16"/>
            </w:pPr>
            <w:r>
              <w:t>64.43</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64.43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石家庄市鹿泉区市场监督管理局本级小计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64.43</w:t>
            </w:r>
          </w:p>
        </w:tc>
        <w:tc>
          <w:tcPr>
            <w:tcW w:w="964" w:type="dxa"/>
            <w:vAlign w:val="center"/>
          </w:tcPr>
          <w:p>
            <w:pPr>
              <w:pStyle w:val="16"/>
            </w:pPr>
            <w:r>
              <w:t>64.43</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64.43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pPr>
            <w:r>
              <w:t>470.90</w:t>
            </w:r>
          </w:p>
        </w:tc>
        <w:tc>
          <w:tcPr>
            <w:tcW w:w="1134" w:type="dxa"/>
            <w:vAlign w:val="center"/>
          </w:tcPr>
          <w:p>
            <w:pPr>
              <w:pStyle w:val="13"/>
            </w:pPr>
            <w:r>
              <w:t>其他保险服务</w:t>
            </w:r>
          </w:p>
        </w:tc>
        <w:tc>
          <w:tcPr>
            <w:tcW w:w="1134" w:type="dxa"/>
            <w:vAlign w:val="center"/>
          </w:tcPr>
          <w:p>
            <w:pPr>
              <w:pStyle w:val="13"/>
            </w:pPr>
            <w:r>
              <w:t>C18049900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1.80</w:t>
            </w:r>
          </w:p>
        </w:tc>
        <w:tc>
          <w:tcPr>
            <w:tcW w:w="964" w:type="dxa"/>
            <w:vAlign w:val="center"/>
          </w:tcPr>
          <w:p>
            <w:pPr>
              <w:pStyle w:val="12"/>
            </w:pPr>
            <w:r>
              <w:t>1.80</w:t>
            </w:r>
          </w:p>
        </w:tc>
        <w:tc>
          <w:tcPr>
            <w:tcW w:w="964" w:type="dxa"/>
            <w:vAlign w:val="center"/>
          </w:tcPr>
          <w:p>
            <w:pPr>
              <w:pStyle w:val="12"/>
            </w:pPr>
            <w:r>
              <w:t>1.80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pPr>
            <w:r>
              <w:t>470.90</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8.80</w:t>
            </w:r>
          </w:p>
        </w:tc>
        <w:tc>
          <w:tcPr>
            <w:tcW w:w="964" w:type="dxa"/>
            <w:vAlign w:val="center"/>
          </w:tcPr>
          <w:p>
            <w:pPr>
              <w:pStyle w:val="12"/>
            </w:pPr>
            <w:r>
              <w:t>8.80</w:t>
            </w:r>
          </w:p>
        </w:tc>
        <w:tc>
          <w:tcPr>
            <w:tcW w:w="964" w:type="dxa"/>
            <w:vAlign w:val="center"/>
          </w:tcPr>
          <w:p>
            <w:pPr>
              <w:pStyle w:val="12"/>
            </w:pPr>
            <w:r>
              <w:t>8.80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pPr>
            <w:r>
              <w:t>470.90</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5.00</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75.00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箱</w:t>
            </w:r>
          </w:p>
        </w:tc>
        <w:tc>
          <w:tcPr>
            <w:tcW w:w="850" w:type="dxa"/>
            <w:vAlign w:val="center"/>
          </w:tcPr>
          <w:p>
            <w:pPr>
              <w:pStyle w:val="12"/>
            </w:pPr>
            <w:r>
              <w:t>250</w:t>
            </w:r>
          </w:p>
        </w:tc>
        <w:tc>
          <w:tcPr>
            <w:tcW w:w="850" w:type="dxa"/>
            <w:vAlign w:val="center"/>
          </w:tcPr>
          <w:p>
            <w:pPr>
              <w:pStyle w:val="12"/>
            </w:pPr>
            <w:r>
              <w:t>0.02</w:t>
            </w:r>
          </w:p>
        </w:tc>
        <w:tc>
          <w:tcPr>
            <w:tcW w:w="964" w:type="dxa"/>
            <w:vAlign w:val="center"/>
          </w:tcPr>
          <w:p>
            <w:pPr>
              <w:pStyle w:val="12"/>
            </w:pPr>
            <w:r>
              <w:t>5.50</w:t>
            </w:r>
          </w:p>
        </w:tc>
        <w:tc>
          <w:tcPr>
            <w:tcW w:w="964" w:type="dxa"/>
            <w:vAlign w:val="center"/>
          </w:tcPr>
          <w:p>
            <w:pPr>
              <w:pStyle w:val="12"/>
            </w:pPr>
            <w:r>
              <w:t>5.50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75.00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2025产品质量检验检测经费</w:t>
            </w:r>
          </w:p>
        </w:tc>
        <w:tc>
          <w:tcPr>
            <w:tcW w:w="964" w:type="dxa"/>
            <w:vAlign w:val="center"/>
          </w:tcPr>
          <w:p>
            <w:pPr>
              <w:pStyle w:val="12"/>
            </w:pPr>
            <w:r>
              <w:t>40.00</w:t>
            </w:r>
          </w:p>
        </w:tc>
        <w:tc>
          <w:tcPr>
            <w:tcW w:w="1134" w:type="dxa"/>
            <w:vAlign w:val="center"/>
          </w:tcPr>
          <w:p>
            <w:pPr>
              <w:pStyle w:val="13"/>
            </w:pPr>
            <w:r>
              <w:t>其他保险服务</w:t>
            </w:r>
          </w:p>
        </w:tc>
        <w:tc>
          <w:tcPr>
            <w:tcW w:w="1134" w:type="dxa"/>
            <w:vAlign w:val="center"/>
          </w:tcPr>
          <w:p>
            <w:pPr>
              <w:pStyle w:val="13"/>
            </w:pPr>
            <w:r>
              <w:t>C18049900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0.88</w:t>
            </w:r>
          </w:p>
        </w:tc>
        <w:tc>
          <w:tcPr>
            <w:tcW w:w="964" w:type="dxa"/>
            <w:vAlign w:val="center"/>
          </w:tcPr>
          <w:p>
            <w:pPr>
              <w:pStyle w:val="12"/>
            </w:pPr>
            <w:r>
              <w:t>0.88</w:t>
            </w:r>
          </w:p>
        </w:tc>
        <w:tc>
          <w:tcPr>
            <w:tcW w:w="964" w:type="dxa"/>
            <w:vAlign w:val="center"/>
          </w:tcPr>
          <w:p>
            <w:pPr>
              <w:pStyle w:val="12"/>
            </w:pPr>
            <w:r>
              <w:t>0.88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2025产品质量检验检测经费</w:t>
            </w:r>
          </w:p>
        </w:tc>
        <w:tc>
          <w:tcPr>
            <w:tcW w:w="964" w:type="dxa"/>
            <w:vAlign w:val="center"/>
          </w:tcPr>
          <w:p>
            <w:pPr>
              <w:pStyle w:val="12"/>
            </w:pPr>
            <w:r>
              <w:t>40.00</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1.45</w:t>
            </w:r>
          </w:p>
        </w:tc>
        <w:tc>
          <w:tcPr>
            <w:tcW w:w="964" w:type="dxa"/>
            <w:vAlign w:val="center"/>
          </w:tcPr>
          <w:p>
            <w:pPr>
              <w:pStyle w:val="12"/>
            </w:pPr>
            <w:r>
              <w:t>1.45</w:t>
            </w:r>
          </w:p>
        </w:tc>
        <w:tc>
          <w:tcPr>
            <w:tcW w:w="964" w:type="dxa"/>
            <w:vAlign w:val="center"/>
          </w:tcPr>
          <w:p>
            <w:pPr>
              <w:pStyle w:val="12"/>
            </w:pPr>
            <w:r>
              <w:t>1.45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2025产品质量检验检测经费</w:t>
            </w:r>
          </w:p>
        </w:tc>
        <w:tc>
          <w:tcPr>
            <w:tcW w:w="964" w:type="dxa"/>
            <w:vAlign w:val="center"/>
          </w:tcPr>
          <w:p>
            <w:pPr>
              <w:pStyle w:val="12"/>
            </w:pPr>
            <w:r>
              <w:t>40.00</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2.70</w:t>
            </w:r>
          </w:p>
        </w:tc>
        <w:tc>
          <w:tcPr>
            <w:tcW w:w="964" w:type="dxa"/>
            <w:vAlign w:val="center"/>
          </w:tcPr>
          <w:p>
            <w:pPr>
              <w:pStyle w:val="12"/>
            </w:pPr>
            <w:r>
              <w:t>2.70</w:t>
            </w:r>
          </w:p>
        </w:tc>
        <w:tc>
          <w:tcPr>
            <w:tcW w:w="964" w:type="dxa"/>
            <w:vAlign w:val="center"/>
          </w:tcPr>
          <w:p>
            <w:pPr>
              <w:pStyle w:val="12"/>
            </w:pPr>
            <w:r>
              <w:t>2.70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2025食品综合监管经费</w:t>
            </w:r>
          </w:p>
        </w:tc>
        <w:tc>
          <w:tcPr>
            <w:tcW w:w="964" w:type="dxa"/>
            <w:vAlign w:val="center"/>
          </w:tcPr>
          <w:p>
            <w:pPr>
              <w:pStyle w:val="12"/>
            </w:pPr>
            <w:r>
              <w:t>10.00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2025执法业务费</w:t>
            </w:r>
          </w:p>
        </w:tc>
        <w:tc>
          <w:tcPr>
            <w:tcW w:w="964" w:type="dxa"/>
            <w:vAlign w:val="center"/>
          </w:tcPr>
          <w:p>
            <w:pPr>
              <w:pStyle w:val="12"/>
            </w:pPr>
            <w:r>
              <w:t>130.00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3.50</w:t>
            </w:r>
          </w:p>
        </w:tc>
        <w:tc>
          <w:tcPr>
            <w:tcW w:w="964" w:type="dxa"/>
            <w:vAlign w:val="center"/>
          </w:tcPr>
          <w:p>
            <w:pPr>
              <w:pStyle w:val="12"/>
            </w:pPr>
            <w:r>
              <w:t>3.50</w:t>
            </w:r>
          </w:p>
        </w:tc>
        <w:tc>
          <w:tcPr>
            <w:tcW w:w="964" w:type="dxa"/>
            <w:vAlign w:val="center"/>
          </w:tcPr>
          <w:p>
            <w:pPr>
              <w:pStyle w:val="12"/>
            </w:pPr>
            <w:r>
              <w:t>3.50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2025执法业务费</w:t>
            </w:r>
          </w:p>
        </w:tc>
        <w:tc>
          <w:tcPr>
            <w:tcW w:w="964" w:type="dxa"/>
            <w:vAlign w:val="center"/>
          </w:tcPr>
          <w:p>
            <w:pPr>
              <w:pStyle w:val="12"/>
            </w:pPr>
            <w:r>
              <w:t>130.00</w:t>
            </w:r>
          </w:p>
        </w:tc>
        <w:tc>
          <w:tcPr>
            <w:tcW w:w="1134" w:type="dxa"/>
            <w:vAlign w:val="center"/>
          </w:tcPr>
          <w:p>
            <w:pPr>
              <w:pStyle w:val="13"/>
            </w:pPr>
            <w:r>
              <w:t>其他保险服务</w:t>
            </w:r>
          </w:p>
        </w:tc>
        <w:tc>
          <w:tcPr>
            <w:tcW w:w="1134" w:type="dxa"/>
            <w:vAlign w:val="center"/>
          </w:tcPr>
          <w:p>
            <w:pPr>
              <w:pStyle w:val="13"/>
            </w:pPr>
            <w:r>
              <w:t>C18049900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2025执法业务费</w:t>
            </w:r>
          </w:p>
        </w:tc>
        <w:tc>
          <w:tcPr>
            <w:tcW w:w="964" w:type="dxa"/>
            <w:vAlign w:val="center"/>
          </w:tcPr>
          <w:p>
            <w:pPr>
              <w:pStyle w:val="12"/>
            </w:pPr>
            <w:r>
              <w:t>130.00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12.00</w:t>
            </w:r>
          </w:p>
        </w:tc>
        <w:tc>
          <w:tcPr>
            <w:tcW w:w="964" w:type="dxa"/>
            <w:vAlign w:val="center"/>
          </w:tcPr>
          <w:p>
            <w:pPr>
              <w:pStyle w:val="12"/>
            </w:pPr>
            <w:r>
              <w:t>12.00</w:t>
            </w:r>
          </w:p>
        </w:tc>
        <w:tc>
          <w:tcPr>
            <w:tcW w:w="964" w:type="dxa"/>
            <w:vAlign w:val="center"/>
          </w:tcPr>
          <w:p>
            <w:pPr>
              <w:pStyle w:val="12"/>
            </w:pPr>
            <w:r>
              <w:t>12.00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2025执法业务费</w:t>
            </w:r>
          </w:p>
        </w:tc>
        <w:tc>
          <w:tcPr>
            <w:tcW w:w="964" w:type="dxa"/>
            <w:vAlign w:val="center"/>
          </w:tcPr>
          <w:p>
            <w:pPr>
              <w:pStyle w:val="12"/>
            </w:pPr>
            <w:r>
              <w:t>130.00</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10.20</w:t>
            </w:r>
          </w:p>
        </w:tc>
        <w:tc>
          <w:tcPr>
            <w:tcW w:w="964" w:type="dxa"/>
            <w:vAlign w:val="center"/>
          </w:tcPr>
          <w:p>
            <w:pPr>
              <w:pStyle w:val="12"/>
            </w:pPr>
            <w:r>
              <w:t>10.20</w:t>
            </w:r>
          </w:p>
        </w:tc>
        <w:tc>
          <w:tcPr>
            <w:tcW w:w="964" w:type="dxa"/>
            <w:vAlign w:val="center"/>
          </w:tcPr>
          <w:p>
            <w:pPr>
              <w:pStyle w:val="12"/>
            </w:pPr>
            <w:r>
              <w:t>10.20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2025执法业务费</w:t>
            </w:r>
          </w:p>
        </w:tc>
        <w:tc>
          <w:tcPr>
            <w:tcW w:w="964" w:type="dxa"/>
            <w:vAlign w:val="center"/>
          </w:tcPr>
          <w:p>
            <w:pPr>
              <w:pStyle w:val="12"/>
            </w:pPr>
            <w:r>
              <w:t>130.00</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6.00</w:t>
            </w:r>
          </w:p>
        </w:tc>
        <w:tc>
          <w:tcPr>
            <w:tcW w:w="964" w:type="dxa"/>
            <w:vAlign w:val="center"/>
          </w:tcPr>
          <w:p>
            <w:pPr>
              <w:pStyle w:val="12"/>
            </w:pPr>
            <w:r>
              <w:t>6.00</w:t>
            </w:r>
          </w:p>
        </w:tc>
        <w:tc>
          <w:tcPr>
            <w:tcW w:w="964" w:type="dxa"/>
            <w:vAlign w:val="center"/>
          </w:tcPr>
          <w:p>
            <w:pPr>
              <w:pStyle w:val="12"/>
            </w:pPr>
            <w:r>
              <w:t>6.00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提前下达2025年省级市场监管补助经费</w:t>
            </w:r>
          </w:p>
        </w:tc>
        <w:tc>
          <w:tcPr>
            <w:tcW w:w="964" w:type="dxa"/>
            <w:vAlign w:val="center"/>
          </w:tcPr>
          <w:p>
            <w:pPr>
              <w:pStyle w:val="12"/>
            </w:pPr>
            <w:r>
              <w:t>32.00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0.60</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石家庄市鹿泉区市场监督管理局（含所属单位）上年末固定资产金额为3469.64万元（详见下表）。本年度拟购置固定资产总额为10.00万元，已按要求列入政府采购预算，详见政府采购预算表。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383石家庄市鹿泉区市场监督管理局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3469.64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r>
              <w:t>6981.83</w:t>
            </w:r>
          </w:p>
        </w:tc>
        <w:tc>
          <w:tcPr>
            <w:tcW w:w="2835" w:type="dxa"/>
            <w:vAlign w:val="center"/>
          </w:tcPr>
          <w:p>
            <w:pPr>
              <w:pStyle w:val="12"/>
            </w:pPr>
            <w:r>
              <w:t>1150.35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r>
              <w:t>1281</w:t>
            </w:r>
          </w:p>
        </w:tc>
        <w:tc>
          <w:tcPr>
            <w:tcW w:w="2835" w:type="dxa"/>
            <w:vAlign w:val="center"/>
          </w:tcPr>
          <w:p>
            <w:pPr>
              <w:pStyle w:val="12"/>
            </w:pPr>
            <w:r>
              <w:t>256.51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15</w:t>
            </w:r>
          </w:p>
        </w:tc>
        <w:tc>
          <w:tcPr>
            <w:tcW w:w="2835" w:type="dxa"/>
            <w:vAlign w:val="center"/>
          </w:tcPr>
          <w:p>
            <w:pPr>
              <w:pStyle w:val="12"/>
            </w:pPr>
            <w:r>
              <w:t>230.04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4821</w:t>
            </w:r>
          </w:p>
        </w:tc>
        <w:tc>
          <w:tcPr>
            <w:tcW w:w="2835" w:type="dxa"/>
            <w:vAlign w:val="center"/>
          </w:tcPr>
          <w:p>
            <w:pPr>
              <w:pStyle w:val="12"/>
            </w:pPr>
            <w:r>
              <w:t>2089.25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WU4NjJmNDRkNmFkZWVjZmNkOGU3M2Q3NTI5NjRjMTkifQ=="/>
  </w:docVars>
  <w:rsids>
    <w:rsidRoot w:val="00000000"/>
    <w:rsid w:val="0795383B"/>
    <w:rsid w:val="14120624"/>
    <w:rsid w:val="1E256308"/>
    <w:rsid w:val="1EF34658"/>
    <w:rsid w:val="22A42230"/>
    <w:rsid w:val="2D5A10F4"/>
    <w:rsid w:val="2E5D389C"/>
    <w:rsid w:val="394A0EC1"/>
    <w:rsid w:val="3C896390"/>
    <w:rsid w:val="4DF13060"/>
    <w:rsid w:val="5DF47BDD"/>
    <w:rsid w:val="64597FCE"/>
    <w:rsid w:val="68257FA2"/>
    <w:rsid w:val="6ADA2D93"/>
    <w:rsid w:val="6CF74B54"/>
    <w:rsid w:val="715F65AA"/>
    <w:rsid w:val="79D6789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44</Pages>
  <TotalTime>3</TotalTime>
  <ScaleCrop>false</ScaleCrop>
  <LinksUpToDate>false</LinksUpToDate>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2025-02-17T10:29:00Z</dcterms:created>
  <dc:creator>admin8</dc:creator>
  <cp:lastModifiedBy>admin8</cp:lastModifiedBy>
  <dcterms:modified xsi:type="dcterms:W3CDTF">2025-02-18T01:40:45Z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81F43BB2A4A045649BE60E746C72DD07_12</vt:lpwstr>
  </property>
</Properties>
</file>