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简体" w:hAnsi="方正小标宋简体" w:eastAsia="方正小标宋简体" w:cs="方正小标宋简体"/>
          <w:b/>
          <w:color w:val="000000"/>
          <w:sz w:val="112"/>
          <w:szCs w:val="112"/>
          <w:lang w:eastAsia="zh-CN"/>
        </w:rPr>
        <w:t>202</w:t>
      </w:r>
      <w:r>
        <w:rPr>
          <w:rFonts w:hint="eastAsia" w:ascii="方正小标宋简体" w:hAnsi="方正小标宋简体" w:eastAsia="方正小标宋简体" w:cs="方正小标宋简体"/>
          <w:b/>
          <w:color w:val="000000"/>
          <w:sz w:val="112"/>
          <w:szCs w:val="112"/>
          <w:lang w:val="en-US" w:eastAsia="zh-CN"/>
        </w:rPr>
        <w:t>5</w:t>
      </w:r>
      <w:r>
        <w:rPr>
          <w:rFonts w:hint="eastAsia" w:ascii="方正小标宋简体" w:hAnsi="方正小标宋简体" w:eastAsia="方正小标宋简体" w:cs="方正小标宋简体"/>
          <w:b/>
          <w:color w:val="000000"/>
          <w:sz w:val="112"/>
          <w:szCs w:val="112"/>
          <w:lang w:eastAsia="zh-CN"/>
        </w:rPr>
        <w:t>年度部门预算信息公开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2453.81</w:t>
            </w:r>
          </w:p>
        </w:tc>
        <w:tc>
          <w:tcPr>
            <w:tcW w:w="4535" w:type="dxa"/>
            <w:vAlign w:val="center"/>
          </w:tcPr>
          <w:p>
            <w:pPr>
              <w:pStyle w:val="13"/>
            </w:pPr>
            <w:r>
              <w:t>一、一般公共服务支出</w:t>
            </w:r>
          </w:p>
        </w:tc>
        <w:tc>
          <w:tcPr>
            <w:tcW w:w="2126" w:type="dxa"/>
            <w:vAlign w:val="center"/>
          </w:tcPr>
          <w:p>
            <w:pPr>
              <w:pStyle w:val="12"/>
            </w:pPr>
            <w:r>
              <w:t>1902.69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2453.81</w:t>
            </w:r>
          </w:p>
        </w:tc>
        <w:tc>
          <w:tcPr>
            <w:tcW w:w="4535" w:type="dxa"/>
            <w:vAlign w:val="center"/>
          </w:tcPr>
          <w:p>
            <w:pPr>
              <w:pStyle w:val="15"/>
            </w:pPr>
            <w:r>
              <w:t>本年支出合计</w:t>
            </w:r>
          </w:p>
        </w:tc>
        <w:tc>
          <w:tcPr>
            <w:tcW w:w="2126" w:type="dxa"/>
            <w:vAlign w:val="center"/>
          </w:tcPr>
          <w:p>
            <w:pPr>
              <w:pStyle w:val="16"/>
            </w:pPr>
            <w:r>
              <w:t>2453.81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2453.81</w:t>
            </w:r>
          </w:p>
        </w:tc>
        <w:tc>
          <w:tcPr>
            <w:tcW w:w="4535" w:type="dxa"/>
            <w:vAlign w:val="center"/>
          </w:tcPr>
          <w:p>
            <w:pPr>
              <w:pStyle w:val="15"/>
            </w:pPr>
            <w:r>
              <w:t>支出总计</w:t>
            </w:r>
          </w:p>
        </w:tc>
        <w:tc>
          <w:tcPr>
            <w:tcW w:w="2126" w:type="dxa"/>
            <w:vAlign w:val="center"/>
          </w:tcPr>
          <w:p>
            <w:pPr>
              <w:pStyle w:val="16"/>
            </w:pPr>
            <w:r>
              <w:t>2453.81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2453.81</w:t>
            </w:r>
          </w:p>
        </w:tc>
        <w:tc>
          <w:tcPr>
            <w:tcW w:w="1134" w:type="dxa"/>
            <w:vAlign w:val="center"/>
          </w:tcPr>
          <w:p>
            <w:pPr>
              <w:pStyle w:val="16"/>
            </w:pPr>
            <w:r>
              <w:t>2453.81</w:t>
            </w:r>
          </w:p>
        </w:tc>
        <w:tc>
          <w:tcPr>
            <w:tcW w:w="1134" w:type="dxa"/>
            <w:vAlign w:val="center"/>
          </w:tcPr>
          <w:p>
            <w:pPr>
              <w:pStyle w:val="16"/>
            </w:pPr>
            <w:r>
              <w:t>2453.81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1902.69</w:t>
            </w:r>
          </w:p>
        </w:tc>
        <w:tc>
          <w:tcPr>
            <w:tcW w:w="1134" w:type="dxa"/>
            <w:vAlign w:val="center"/>
          </w:tcPr>
          <w:p>
            <w:pPr>
              <w:pStyle w:val="12"/>
            </w:pPr>
            <w:r>
              <w:t>1902.69</w:t>
            </w:r>
          </w:p>
        </w:tc>
        <w:tc>
          <w:tcPr>
            <w:tcW w:w="1134" w:type="dxa"/>
            <w:vAlign w:val="center"/>
          </w:tcPr>
          <w:p>
            <w:pPr>
              <w:pStyle w:val="12"/>
            </w:pPr>
            <w:r>
              <w:t>1902.69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1902.69</w:t>
            </w:r>
          </w:p>
        </w:tc>
        <w:tc>
          <w:tcPr>
            <w:tcW w:w="1134" w:type="dxa"/>
            <w:vAlign w:val="center"/>
          </w:tcPr>
          <w:p>
            <w:pPr>
              <w:pStyle w:val="12"/>
            </w:pPr>
            <w:r>
              <w:t>1902.69</w:t>
            </w:r>
          </w:p>
        </w:tc>
        <w:tc>
          <w:tcPr>
            <w:tcW w:w="1134" w:type="dxa"/>
            <w:vAlign w:val="center"/>
          </w:tcPr>
          <w:p>
            <w:pPr>
              <w:pStyle w:val="12"/>
            </w:pPr>
            <w:r>
              <w:t>1902.69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1425.69</w:t>
            </w:r>
          </w:p>
        </w:tc>
        <w:tc>
          <w:tcPr>
            <w:tcW w:w="1134" w:type="dxa"/>
            <w:vAlign w:val="center"/>
          </w:tcPr>
          <w:p>
            <w:pPr>
              <w:pStyle w:val="12"/>
            </w:pPr>
            <w:r>
              <w:t>1425.69</w:t>
            </w:r>
          </w:p>
        </w:tc>
        <w:tc>
          <w:tcPr>
            <w:tcW w:w="1134" w:type="dxa"/>
            <w:vAlign w:val="center"/>
          </w:tcPr>
          <w:p>
            <w:pPr>
              <w:pStyle w:val="12"/>
            </w:pPr>
            <w:r>
              <w:t>1425.69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296.95</w:t>
            </w:r>
          </w:p>
        </w:tc>
        <w:tc>
          <w:tcPr>
            <w:tcW w:w="1134" w:type="dxa"/>
            <w:vAlign w:val="center"/>
          </w:tcPr>
          <w:p>
            <w:pPr>
              <w:pStyle w:val="12"/>
            </w:pPr>
            <w:r>
              <w:t>296.95</w:t>
            </w:r>
          </w:p>
        </w:tc>
        <w:tc>
          <w:tcPr>
            <w:tcW w:w="1134" w:type="dxa"/>
            <w:vAlign w:val="center"/>
          </w:tcPr>
          <w:p>
            <w:pPr>
              <w:pStyle w:val="12"/>
            </w:pPr>
            <w:r>
              <w:t>296.95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296.95</w:t>
            </w:r>
          </w:p>
        </w:tc>
        <w:tc>
          <w:tcPr>
            <w:tcW w:w="1134" w:type="dxa"/>
            <w:vAlign w:val="center"/>
          </w:tcPr>
          <w:p>
            <w:pPr>
              <w:pStyle w:val="12"/>
            </w:pPr>
            <w:r>
              <w:t>296.95</w:t>
            </w:r>
          </w:p>
        </w:tc>
        <w:tc>
          <w:tcPr>
            <w:tcW w:w="1134" w:type="dxa"/>
            <w:vAlign w:val="center"/>
          </w:tcPr>
          <w:p>
            <w:pPr>
              <w:pStyle w:val="12"/>
            </w:pPr>
            <w:r>
              <w:t>296.95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150.16</w:t>
            </w:r>
          </w:p>
        </w:tc>
        <w:tc>
          <w:tcPr>
            <w:tcW w:w="1134" w:type="dxa"/>
            <w:vAlign w:val="center"/>
          </w:tcPr>
          <w:p>
            <w:pPr>
              <w:pStyle w:val="12"/>
            </w:pPr>
            <w:r>
              <w:t>150.16</w:t>
            </w:r>
          </w:p>
        </w:tc>
        <w:tc>
          <w:tcPr>
            <w:tcW w:w="1134" w:type="dxa"/>
            <w:vAlign w:val="center"/>
          </w:tcPr>
          <w:p>
            <w:pPr>
              <w:pStyle w:val="12"/>
            </w:pPr>
            <w:r>
              <w:t>150.16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146.79</w:t>
            </w:r>
          </w:p>
        </w:tc>
        <w:tc>
          <w:tcPr>
            <w:tcW w:w="1134" w:type="dxa"/>
            <w:vAlign w:val="center"/>
          </w:tcPr>
          <w:p>
            <w:pPr>
              <w:pStyle w:val="12"/>
            </w:pPr>
            <w:r>
              <w:t>146.79</w:t>
            </w:r>
          </w:p>
        </w:tc>
        <w:tc>
          <w:tcPr>
            <w:tcW w:w="1134" w:type="dxa"/>
            <w:vAlign w:val="center"/>
          </w:tcPr>
          <w:p>
            <w:pPr>
              <w:pStyle w:val="12"/>
            </w:pPr>
            <w:r>
              <w:t>146.79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r>
              <w:t>106.52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r>
              <w:t>147.65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2453.81</w:t>
            </w:r>
          </w:p>
        </w:tc>
        <w:tc>
          <w:tcPr>
            <w:tcW w:w="1361" w:type="dxa"/>
            <w:vAlign w:val="center"/>
          </w:tcPr>
          <w:p>
            <w:pPr>
              <w:pStyle w:val="16"/>
            </w:pPr>
            <w:r>
              <w:t>1976.81</w:t>
            </w:r>
          </w:p>
        </w:tc>
        <w:tc>
          <w:tcPr>
            <w:tcW w:w="1361" w:type="dxa"/>
            <w:vAlign w:val="center"/>
          </w:tcPr>
          <w:p>
            <w:pPr>
              <w:pStyle w:val="16"/>
            </w:pPr>
            <w:r>
              <w:t>477.00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1902.69</w:t>
            </w:r>
          </w:p>
        </w:tc>
        <w:tc>
          <w:tcPr>
            <w:tcW w:w="1361" w:type="dxa"/>
            <w:vAlign w:val="center"/>
          </w:tcPr>
          <w:p>
            <w:pPr>
              <w:pStyle w:val="12"/>
            </w:pPr>
            <w:r>
              <w:t>1425.69</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1902.69</w:t>
            </w:r>
          </w:p>
        </w:tc>
        <w:tc>
          <w:tcPr>
            <w:tcW w:w="1361" w:type="dxa"/>
            <w:vAlign w:val="center"/>
          </w:tcPr>
          <w:p>
            <w:pPr>
              <w:pStyle w:val="12"/>
            </w:pPr>
            <w:r>
              <w:t>1425.69</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1425.69</w:t>
            </w:r>
          </w:p>
        </w:tc>
        <w:tc>
          <w:tcPr>
            <w:tcW w:w="1361" w:type="dxa"/>
            <w:vAlign w:val="center"/>
          </w:tcPr>
          <w:p>
            <w:pPr>
              <w:pStyle w:val="12"/>
            </w:pPr>
            <w:r>
              <w:t>1425.69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296.95</w:t>
            </w:r>
          </w:p>
        </w:tc>
        <w:tc>
          <w:tcPr>
            <w:tcW w:w="1361" w:type="dxa"/>
            <w:vAlign w:val="center"/>
          </w:tcPr>
          <w:p>
            <w:pPr>
              <w:pStyle w:val="12"/>
            </w:pPr>
            <w:r>
              <w:t>296.95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296.95</w:t>
            </w:r>
          </w:p>
        </w:tc>
        <w:tc>
          <w:tcPr>
            <w:tcW w:w="1361" w:type="dxa"/>
            <w:vAlign w:val="center"/>
          </w:tcPr>
          <w:p>
            <w:pPr>
              <w:pStyle w:val="12"/>
            </w:pPr>
            <w:r>
              <w:t>296.95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150.16</w:t>
            </w:r>
          </w:p>
        </w:tc>
        <w:tc>
          <w:tcPr>
            <w:tcW w:w="1361" w:type="dxa"/>
            <w:vAlign w:val="center"/>
          </w:tcPr>
          <w:p>
            <w:pPr>
              <w:pStyle w:val="12"/>
            </w:pPr>
            <w:r>
              <w:t>150.16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146.79</w:t>
            </w:r>
          </w:p>
        </w:tc>
        <w:tc>
          <w:tcPr>
            <w:tcW w:w="1361" w:type="dxa"/>
            <w:vAlign w:val="center"/>
          </w:tcPr>
          <w:p>
            <w:pPr>
              <w:pStyle w:val="12"/>
            </w:pPr>
            <w:r>
              <w:t>146.79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106.52</w:t>
            </w:r>
          </w:p>
        </w:tc>
        <w:tc>
          <w:tcPr>
            <w:tcW w:w="1361" w:type="dxa"/>
            <w:vAlign w:val="center"/>
          </w:tcPr>
          <w:p>
            <w:pPr>
              <w:pStyle w:val="12"/>
            </w:pPr>
            <w:r>
              <w:t>106.52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106.52</w:t>
            </w:r>
          </w:p>
        </w:tc>
        <w:tc>
          <w:tcPr>
            <w:tcW w:w="1361" w:type="dxa"/>
            <w:vAlign w:val="center"/>
          </w:tcPr>
          <w:p>
            <w:pPr>
              <w:pStyle w:val="12"/>
            </w:pPr>
            <w:r>
              <w:t>106.52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106.52</w:t>
            </w:r>
          </w:p>
        </w:tc>
        <w:tc>
          <w:tcPr>
            <w:tcW w:w="1361" w:type="dxa"/>
            <w:vAlign w:val="center"/>
          </w:tcPr>
          <w:p>
            <w:pPr>
              <w:pStyle w:val="12"/>
            </w:pPr>
            <w:r>
              <w:t>106.52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147.65</w:t>
            </w:r>
          </w:p>
        </w:tc>
        <w:tc>
          <w:tcPr>
            <w:tcW w:w="1361" w:type="dxa"/>
            <w:vAlign w:val="center"/>
          </w:tcPr>
          <w:p>
            <w:pPr>
              <w:pStyle w:val="12"/>
            </w:pPr>
            <w:r>
              <w:t>147.65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147.65</w:t>
            </w:r>
          </w:p>
        </w:tc>
        <w:tc>
          <w:tcPr>
            <w:tcW w:w="1361" w:type="dxa"/>
            <w:vAlign w:val="center"/>
          </w:tcPr>
          <w:p>
            <w:pPr>
              <w:pStyle w:val="12"/>
            </w:pPr>
            <w:r>
              <w:t>147.65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147.65</w:t>
            </w:r>
          </w:p>
        </w:tc>
        <w:tc>
          <w:tcPr>
            <w:tcW w:w="1361" w:type="dxa"/>
            <w:vAlign w:val="center"/>
          </w:tcPr>
          <w:p>
            <w:pPr>
              <w:pStyle w:val="12"/>
            </w:pPr>
            <w:r>
              <w:t>147.65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2453.81</w:t>
            </w:r>
          </w:p>
        </w:tc>
        <w:tc>
          <w:tcPr>
            <w:tcW w:w="3402" w:type="dxa"/>
            <w:vAlign w:val="center"/>
          </w:tcPr>
          <w:p>
            <w:pPr>
              <w:pStyle w:val="13"/>
            </w:pPr>
            <w:r>
              <w:t>一、一般公共服务支出</w:t>
            </w:r>
          </w:p>
        </w:tc>
        <w:tc>
          <w:tcPr>
            <w:tcW w:w="1474" w:type="dxa"/>
            <w:vAlign w:val="center"/>
          </w:tcPr>
          <w:p>
            <w:pPr>
              <w:pStyle w:val="12"/>
            </w:pPr>
            <w:r>
              <w:t>1902.69</w:t>
            </w:r>
          </w:p>
        </w:tc>
        <w:tc>
          <w:tcPr>
            <w:tcW w:w="1474" w:type="dxa"/>
            <w:vAlign w:val="center"/>
          </w:tcPr>
          <w:p>
            <w:pPr>
              <w:pStyle w:val="12"/>
            </w:pPr>
            <w:r>
              <w:t>1902.69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296.95</w:t>
            </w:r>
          </w:p>
        </w:tc>
        <w:tc>
          <w:tcPr>
            <w:tcW w:w="1474" w:type="dxa"/>
            <w:vAlign w:val="center"/>
          </w:tcPr>
          <w:p>
            <w:pPr>
              <w:pStyle w:val="12"/>
            </w:pPr>
            <w:r>
              <w:t>296.95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106.52</w:t>
            </w:r>
          </w:p>
        </w:tc>
        <w:tc>
          <w:tcPr>
            <w:tcW w:w="1474" w:type="dxa"/>
            <w:vAlign w:val="center"/>
          </w:tcPr>
          <w:p>
            <w:pPr>
              <w:pStyle w:val="12"/>
            </w:pPr>
            <w:r>
              <w:t>106.52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147.65</w:t>
            </w:r>
          </w:p>
        </w:tc>
        <w:tc>
          <w:tcPr>
            <w:tcW w:w="1474" w:type="dxa"/>
            <w:vAlign w:val="center"/>
          </w:tcPr>
          <w:p>
            <w:pPr>
              <w:pStyle w:val="12"/>
            </w:pPr>
            <w:r>
              <w:t>147.65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2453.81</w:t>
            </w:r>
          </w:p>
        </w:tc>
        <w:tc>
          <w:tcPr>
            <w:tcW w:w="3402" w:type="dxa"/>
            <w:vAlign w:val="center"/>
          </w:tcPr>
          <w:p>
            <w:pPr>
              <w:pStyle w:val="15"/>
            </w:pPr>
            <w:r>
              <w:t>本年支出合计</w:t>
            </w:r>
          </w:p>
        </w:tc>
        <w:tc>
          <w:tcPr>
            <w:tcW w:w="1474" w:type="dxa"/>
            <w:vAlign w:val="center"/>
          </w:tcPr>
          <w:p>
            <w:pPr>
              <w:pStyle w:val="16"/>
            </w:pPr>
            <w:r>
              <w:t>2453.81</w:t>
            </w:r>
          </w:p>
        </w:tc>
        <w:tc>
          <w:tcPr>
            <w:tcW w:w="1474" w:type="dxa"/>
            <w:vAlign w:val="center"/>
          </w:tcPr>
          <w:p>
            <w:pPr>
              <w:pStyle w:val="16"/>
            </w:pPr>
            <w:r>
              <w:t>2453.81</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2453.81</w:t>
            </w:r>
          </w:p>
        </w:tc>
        <w:tc>
          <w:tcPr>
            <w:tcW w:w="3402" w:type="dxa"/>
            <w:vAlign w:val="center"/>
          </w:tcPr>
          <w:p>
            <w:pPr>
              <w:pStyle w:val="15"/>
            </w:pPr>
            <w:r>
              <w:t>支出总计</w:t>
            </w:r>
          </w:p>
        </w:tc>
        <w:tc>
          <w:tcPr>
            <w:tcW w:w="1474" w:type="dxa"/>
            <w:vAlign w:val="center"/>
          </w:tcPr>
          <w:p>
            <w:pPr>
              <w:pStyle w:val="16"/>
            </w:pPr>
            <w:r>
              <w:t>2453.81</w:t>
            </w:r>
          </w:p>
        </w:tc>
        <w:tc>
          <w:tcPr>
            <w:tcW w:w="1474" w:type="dxa"/>
            <w:vAlign w:val="center"/>
          </w:tcPr>
          <w:p>
            <w:pPr>
              <w:pStyle w:val="16"/>
            </w:pPr>
            <w:r>
              <w:t>2453.81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2453.81</w:t>
            </w:r>
          </w:p>
        </w:tc>
        <w:tc>
          <w:tcPr>
            <w:tcW w:w="2551" w:type="dxa"/>
            <w:vAlign w:val="center"/>
          </w:tcPr>
          <w:p>
            <w:pPr>
              <w:pStyle w:val="16"/>
            </w:pPr>
            <w:r>
              <w:t>1976.81</w:t>
            </w:r>
          </w:p>
        </w:tc>
        <w:tc>
          <w:tcPr>
            <w:tcW w:w="2551" w:type="dxa"/>
            <w:vAlign w:val="center"/>
          </w:tcPr>
          <w:p>
            <w:pPr>
              <w:pStyle w:val="16"/>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1902.69</w:t>
            </w:r>
          </w:p>
        </w:tc>
        <w:tc>
          <w:tcPr>
            <w:tcW w:w="2551" w:type="dxa"/>
            <w:vAlign w:val="center"/>
          </w:tcPr>
          <w:p>
            <w:pPr>
              <w:pStyle w:val="12"/>
            </w:pPr>
            <w:r>
              <w:t>1425.69</w:t>
            </w:r>
          </w:p>
        </w:tc>
        <w:tc>
          <w:tcPr>
            <w:tcW w:w="2551" w:type="dxa"/>
            <w:vAlign w:val="center"/>
          </w:tcPr>
          <w:p>
            <w:pPr>
              <w:pStyle w:val="12"/>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1902.69</w:t>
            </w:r>
          </w:p>
        </w:tc>
        <w:tc>
          <w:tcPr>
            <w:tcW w:w="2551" w:type="dxa"/>
            <w:vAlign w:val="center"/>
          </w:tcPr>
          <w:p>
            <w:pPr>
              <w:pStyle w:val="12"/>
            </w:pPr>
            <w:r>
              <w:t>1425.69</w:t>
            </w:r>
          </w:p>
        </w:tc>
        <w:tc>
          <w:tcPr>
            <w:tcW w:w="2551" w:type="dxa"/>
            <w:vAlign w:val="center"/>
          </w:tcPr>
          <w:p>
            <w:pPr>
              <w:pStyle w:val="12"/>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1425.69</w:t>
            </w:r>
          </w:p>
        </w:tc>
        <w:tc>
          <w:tcPr>
            <w:tcW w:w="2551" w:type="dxa"/>
            <w:vAlign w:val="center"/>
          </w:tcPr>
          <w:p>
            <w:pPr>
              <w:pStyle w:val="12"/>
            </w:pPr>
            <w:r>
              <w:t>1425.69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296.95</w:t>
            </w:r>
          </w:p>
        </w:tc>
        <w:tc>
          <w:tcPr>
            <w:tcW w:w="2551" w:type="dxa"/>
            <w:vAlign w:val="center"/>
          </w:tcPr>
          <w:p>
            <w:pPr>
              <w:pStyle w:val="12"/>
            </w:pPr>
            <w:r>
              <w:t>296.95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296.95</w:t>
            </w:r>
          </w:p>
        </w:tc>
        <w:tc>
          <w:tcPr>
            <w:tcW w:w="2551" w:type="dxa"/>
            <w:vAlign w:val="center"/>
          </w:tcPr>
          <w:p>
            <w:pPr>
              <w:pStyle w:val="12"/>
            </w:pPr>
            <w:r>
              <w:t>296.95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150.16</w:t>
            </w:r>
          </w:p>
        </w:tc>
        <w:tc>
          <w:tcPr>
            <w:tcW w:w="2551" w:type="dxa"/>
            <w:vAlign w:val="center"/>
          </w:tcPr>
          <w:p>
            <w:pPr>
              <w:pStyle w:val="12"/>
            </w:pPr>
            <w:r>
              <w:t>150.16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146.79</w:t>
            </w:r>
          </w:p>
        </w:tc>
        <w:tc>
          <w:tcPr>
            <w:tcW w:w="2551" w:type="dxa"/>
            <w:vAlign w:val="center"/>
          </w:tcPr>
          <w:p>
            <w:pPr>
              <w:pStyle w:val="12"/>
            </w:pPr>
            <w:r>
              <w:t>146.79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106.52</w:t>
            </w:r>
          </w:p>
        </w:tc>
        <w:tc>
          <w:tcPr>
            <w:tcW w:w="2551" w:type="dxa"/>
            <w:vAlign w:val="center"/>
          </w:tcPr>
          <w:p>
            <w:pPr>
              <w:pStyle w:val="12"/>
            </w:pPr>
            <w:r>
              <w:t>106.52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106.52</w:t>
            </w:r>
          </w:p>
        </w:tc>
        <w:tc>
          <w:tcPr>
            <w:tcW w:w="2551" w:type="dxa"/>
            <w:vAlign w:val="center"/>
          </w:tcPr>
          <w:p>
            <w:pPr>
              <w:pStyle w:val="12"/>
            </w:pPr>
            <w:r>
              <w:t>106.52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106.52</w:t>
            </w:r>
          </w:p>
        </w:tc>
        <w:tc>
          <w:tcPr>
            <w:tcW w:w="2551" w:type="dxa"/>
            <w:vAlign w:val="center"/>
          </w:tcPr>
          <w:p>
            <w:pPr>
              <w:pStyle w:val="12"/>
            </w:pPr>
            <w:r>
              <w:t>106.52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147.65</w:t>
            </w:r>
          </w:p>
        </w:tc>
        <w:tc>
          <w:tcPr>
            <w:tcW w:w="2551" w:type="dxa"/>
            <w:vAlign w:val="center"/>
          </w:tcPr>
          <w:p>
            <w:pPr>
              <w:pStyle w:val="12"/>
            </w:pPr>
            <w:r>
              <w:t>147.65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147.65</w:t>
            </w:r>
          </w:p>
        </w:tc>
        <w:tc>
          <w:tcPr>
            <w:tcW w:w="2551" w:type="dxa"/>
            <w:vAlign w:val="center"/>
          </w:tcPr>
          <w:p>
            <w:pPr>
              <w:pStyle w:val="12"/>
            </w:pPr>
            <w:r>
              <w:t>147.65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147.65</w:t>
            </w:r>
          </w:p>
        </w:tc>
        <w:tc>
          <w:tcPr>
            <w:tcW w:w="2551" w:type="dxa"/>
            <w:vAlign w:val="center"/>
          </w:tcPr>
          <w:p>
            <w:pPr>
              <w:pStyle w:val="12"/>
            </w:pPr>
            <w:r>
              <w:t>147.65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1976.81</w:t>
            </w:r>
          </w:p>
        </w:tc>
        <w:tc>
          <w:tcPr>
            <w:tcW w:w="2551" w:type="dxa"/>
            <w:vAlign w:val="center"/>
          </w:tcPr>
          <w:p>
            <w:pPr>
              <w:pStyle w:val="16"/>
            </w:pPr>
            <w:r>
              <w:t>1706.83</w:t>
            </w:r>
          </w:p>
        </w:tc>
        <w:tc>
          <w:tcPr>
            <w:tcW w:w="2551" w:type="dxa"/>
            <w:vAlign w:val="center"/>
          </w:tcPr>
          <w:p>
            <w:pPr>
              <w:pStyle w:val="16"/>
            </w:pPr>
            <w:r>
              <w:t>269.98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1560.49</w:t>
            </w:r>
          </w:p>
        </w:tc>
        <w:tc>
          <w:tcPr>
            <w:tcW w:w="2551" w:type="dxa"/>
            <w:vAlign w:val="center"/>
          </w:tcPr>
          <w:p>
            <w:pPr>
              <w:pStyle w:val="12"/>
            </w:pPr>
            <w:r>
              <w:t>1560.49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401.09</w:t>
            </w:r>
          </w:p>
        </w:tc>
        <w:tc>
          <w:tcPr>
            <w:tcW w:w="2551" w:type="dxa"/>
            <w:vAlign w:val="center"/>
          </w:tcPr>
          <w:p>
            <w:pPr>
              <w:pStyle w:val="12"/>
            </w:pPr>
            <w:r>
              <w:t>401.09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351.64</w:t>
            </w:r>
          </w:p>
        </w:tc>
        <w:tc>
          <w:tcPr>
            <w:tcW w:w="2551" w:type="dxa"/>
            <w:vAlign w:val="center"/>
          </w:tcPr>
          <w:p>
            <w:pPr>
              <w:pStyle w:val="12"/>
            </w:pPr>
            <w:r>
              <w:t>351.64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367.57</w:t>
            </w:r>
          </w:p>
        </w:tc>
        <w:tc>
          <w:tcPr>
            <w:tcW w:w="2551" w:type="dxa"/>
            <w:vAlign w:val="center"/>
          </w:tcPr>
          <w:p>
            <w:pPr>
              <w:pStyle w:val="12"/>
            </w:pPr>
            <w:r>
              <w:t>367.57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35.51</w:t>
            </w:r>
          </w:p>
        </w:tc>
        <w:tc>
          <w:tcPr>
            <w:tcW w:w="2551" w:type="dxa"/>
            <w:vAlign w:val="center"/>
          </w:tcPr>
          <w:p>
            <w:pPr>
              <w:pStyle w:val="12"/>
            </w:pPr>
            <w:r>
              <w:t>35.51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146.79</w:t>
            </w:r>
          </w:p>
        </w:tc>
        <w:tc>
          <w:tcPr>
            <w:tcW w:w="2551" w:type="dxa"/>
            <w:vAlign w:val="center"/>
          </w:tcPr>
          <w:p>
            <w:pPr>
              <w:pStyle w:val="12"/>
            </w:pPr>
            <w:r>
              <w:t>146.79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60.05</w:t>
            </w:r>
          </w:p>
        </w:tc>
        <w:tc>
          <w:tcPr>
            <w:tcW w:w="2551" w:type="dxa"/>
            <w:vAlign w:val="center"/>
          </w:tcPr>
          <w:p>
            <w:pPr>
              <w:pStyle w:val="12"/>
            </w:pPr>
            <w:r>
              <w:t>60.05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46.47</w:t>
            </w:r>
          </w:p>
        </w:tc>
        <w:tc>
          <w:tcPr>
            <w:tcW w:w="2551" w:type="dxa"/>
            <w:vAlign w:val="center"/>
          </w:tcPr>
          <w:p>
            <w:pPr>
              <w:pStyle w:val="12"/>
            </w:pPr>
            <w:r>
              <w:t>46.47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3.72</w:t>
            </w:r>
          </w:p>
        </w:tc>
        <w:tc>
          <w:tcPr>
            <w:tcW w:w="2551" w:type="dxa"/>
            <w:vAlign w:val="center"/>
          </w:tcPr>
          <w:p>
            <w:pPr>
              <w:pStyle w:val="12"/>
            </w:pPr>
            <w:r>
              <w:t>3.72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147.65</w:t>
            </w:r>
          </w:p>
        </w:tc>
        <w:tc>
          <w:tcPr>
            <w:tcW w:w="2551" w:type="dxa"/>
            <w:vAlign w:val="center"/>
          </w:tcPr>
          <w:p>
            <w:pPr>
              <w:pStyle w:val="12"/>
            </w:pPr>
            <w:r>
              <w:t>147.65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269.98</w:t>
            </w:r>
          </w:p>
        </w:tc>
        <w:tc>
          <w:tcPr>
            <w:tcW w:w="2551" w:type="dxa"/>
            <w:vAlign w:val="center"/>
          </w:tcPr>
          <w:p>
            <w:pPr>
              <w:pStyle w:val="12"/>
            </w:pPr>
          </w:p>
        </w:tc>
        <w:tc>
          <w:tcPr>
            <w:tcW w:w="2551" w:type="dxa"/>
            <w:vAlign w:val="center"/>
          </w:tcPr>
          <w:p>
            <w:pPr>
              <w:pStyle w:val="12"/>
            </w:pPr>
            <w:r>
              <w:t>269.98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51.40</w:t>
            </w:r>
          </w:p>
        </w:tc>
        <w:tc>
          <w:tcPr>
            <w:tcW w:w="2551" w:type="dxa"/>
            <w:vAlign w:val="center"/>
          </w:tcPr>
          <w:p>
            <w:pPr>
              <w:pStyle w:val="12"/>
            </w:pPr>
          </w:p>
        </w:tc>
        <w:tc>
          <w:tcPr>
            <w:tcW w:w="2551" w:type="dxa"/>
            <w:vAlign w:val="center"/>
          </w:tcPr>
          <w:p>
            <w:pPr>
              <w:pStyle w:val="12"/>
            </w:pPr>
            <w:r>
              <w:t>51.40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46.67</w:t>
            </w:r>
          </w:p>
        </w:tc>
        <w:tc>
          <w:tcPr>
            <w:tcW w:w="2551" w:type="dxa"/>
            <w:vAlign w:val="center"/>
          </w:tcPr>
          <w:p>
            <w:pPr>
              <w:pStyle w:val="12"/>
            </w:pPr>
          </w:p>
        </w:tc>
        <w:tc>
          <w:tcPr>
            <w:tcW w:w="2551" w:type="dxa"/>
            <w:vAlign w:val="center"/>
          </w:tcPr>
          <w:p>
            <w:pPr>
              <w:pStyle w:val="12"/>
            </w:pPr>
            <w:r>
              <w:t>46.67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75.69</w:t>
            </w:r>
          </w:p>
        </w:tc>
        <w:tc>
          <w:tcPr>
            <w:tcW w:w="2551" w:type="dxa"/>
            <w:vAlign w:val="center"/>
          </w:tcPr>
          <w:p>
            <w:pPr>
              <w:pStyle w:val="12"/>
            </w:pPr>
          </w:p>
        </w:tc>
        <w:tc>
          <w:tcPr>
            <w:tcW w:w="2551" w:type="dxa"/>
            <w:vAlign w:val="center"/>
          </w:tcPr>
          <w:p>
            <w:pPr>
              <w:pStyle w:val="12"/>
            </w:pPr>
            <w:r>
              <w:t>75.69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8.31</w:t>
            </w:r>
          </w:p>
        </w:tc>
        <w:tc>
          <w:tcPr>
            <w:tcW w:w="2551" w:type="dxa"/>
            <w:vAlign w:val="center"/>
          </w:tcPr>
          <w:p>
            <w:pPr>
              <w:pStyle w:val="12"/>
            </w:pPr>
          </w:p>
        </w:tc>
        <w:tc>
          <w:tcPr>
            <w:tcW w:w="2551" w:type="dxa"/>
            <w:vAlign w:val="center"/>
          </w:tcPr>
          <w:p>
            <w:pPr>
              <w:pStyle w:val="12"/>
            </w:pPr>
            <w:r>
              <w:t>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10.03</w:t>
            </w:r>
          </w:p>
        </w:tc>
        <w:tc>
          <w:tcPr>
            <w:tcW w:w="2551" w:type="dxa"/>
            <w:vAlign w:val="center"/>
          </w:tcPr>
          <w:p>
            <w:pPr>
              <w:pStyle w:val="12"/>
            </w:pPr>
          </w:p>
        </w:tc>
        <w:tc>
          <w:tcPr>
            <w:tcW w:w="2551" w:type="dxa"/>
            <w:vAlign w:val="center"/>
          </w:tcPr>
          <w:p>
            <w:pPr>
              <w:pStyle w:val="12"/>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56.88</w:t>
            </w:r>
          </w:p>
        </w:tc>
        <w:tc>
          <w:tcPr>
            <w:tcW w:w="2551" w:type="dxa"/>
            <w:vAlign w:val="center"/>
          </w:tcPr>
          <w:p>
            <w:pPr>
              <w:pStyle w:val="12"/>
            </w:pPr>
          </w:p>
        </w:tc>
        <w:tc>
          <w:tcPr>
            <w:tcW w:w="2551" w:type="dxa"/>
            <w:vAlign w:val="center"/>
          </w:tcPr>
          <w:p>
            <w:pPr>
              <w:pStyle w:val="12"/>
            </w:pPr>
            <w:r>
              <w:t>56.88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146.34</w:t>
            </w:r>
          </w:p>
        </w:tc>
        <w:tc>
          <w:tcPr>
            <w:tcW w:w="2551" w:type="dxa"/>
            <w:vAlign w:val="center"/>
          </w:tcPr>
          <w:p>
            <w:pPr>
              <w:pStyle w:val="12"/>
            </w:pPr>
            <w:r>
              <w:t>146.34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146.34</w:t>
            </w:r>
          </w:p>
        </w:tc>
        <w:tc>
          <w:tcPr>
            <w:tcW w:w="2551" w:type="dxa"/>
            <w:vAlign w:val="center"/>
          </w:tcPr>
          <w:p>
            <w:pPr>
              <w:pStyle w:val="12"/>
            </w:pPr>
            <w:r>
              <w:t>146.34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29.00</w:t>
            </w:r>
          </w:p>
        </w:tc>
        <w:tc>
          <w:tcPr>
            <w:tcW w:w="2381" w:type="dxa"/>
            <w:vAlign w:val="center"/>
          </w:tcPr>
          <w:p>
            <w:pPr>
              <w:pStyle w:val="16"/>
            </w:pPr>
            <w:r>
              <w:t>29.00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29.00</w:t>
            </w:r>
          </w:p>
        </w:tc>
        <w:tc>
          <w:tcPr>
            <w:tcW w:w="2381" w:type="dxa"/>
            <w:vAlign w:val="center"/>
          </w:tcPr>
          <w:p>
            <w:pPr>
              <w:pStyle w:val="12"/>
            </w:pPr>
            <w:r>
              <w:t>29.00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27.00</w:t>
            </w:r>
          </w:p>
        </w:tc>
        <w:tc>
          <w:tcPr>
            <w:tcW w:w="2381" w:type="dxa"/>
            <w:vAlign w:val="center"/>
          </w:tcPr>
          <w:p>
            <w:pPr>
              <w:pStyle w:val="12"/>
            </w:pPr>
            <w:r>
              <w:t>27.00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27.00</w:t>
            </w:r>
          </w:p>
        </w:tc>
        <w:tc>
          <w:tcPr>
            <w:tcW w:w="2381" w:type="dxa"/>
            <w:vAlign w:val="center"/>
          </w:tcPr>
          <w:p>
            <w:pPr>
              <w:pStyle w:val="12"/>
            </w:pPr>
            <w:r>
              <w:t>27.00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中国共产党石家庄市鹿泉区纪律检查委员会2025年部门预算信息公开情况说明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中国共产党石家庄市鹿泉区纪律检查委员会2025年部门预算信息公开情况说明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按照《中华人民共和国预算法》、《地方预决算公开操作规程》和《关于进一步推进预算公开工作的实施意见》规定，现将中国共产党石家庄市鹿泉区纪律检查委员会2025年部门预算公开如下：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8"/>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8"/>
      </w:pPr>
      <w:r>
        <w:t>（三）支持配合巡视、巡察工作。承担巡视、巡察整改日常监督责任，做好巡视、巡察整改督查督办工作，依规依纪依法处置巡视、巡察移交的反映领导干部问题线索。</w:t>
      </w:r>
    </w:p>
    <w:p>
      <w:pPr>
        <w:pStyle w:val="18"/>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8"/>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8"/>
      </w:pPr>
      <w:r>
        <w:t>（六）负责组织协调全面从严治党、党风廉政建设和反腐败宣传教育工作。</w:t>
      </w:r>
    </w:p>
    <w:p>
      <w:pPr>
        <w:pStyle w:val="18"/>
      </w:pPr>
      <w:r>
        <w:t>（七）负责综合分析全面从严治党、党风廉政建设和反腐败工作情况，对纪检监察工作重要理论及实践问题进行调查研究；制定或者修改全区纪检监察制度规定，参与起草有关规范性文件。</w:t>
      </w:r>
    </w:p>
    <w:p>
      <w:pPr>
        <w:pStyle w:val="18"/>
      </w:pPr>
      <w:r>
        <w:t>（八）负责组织协调全区反腐败追逃追赃和防逃工作，督促有关单位做好相关工作。</w:t>
      </w:r>
    </w:p>
    <w:p>
      <w:pPr>
        <w:pStyle w:val="18"/>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8"/>
      </w:pPr>
      <w:r>
        <w:t>（十）完成市纪委监委、区委交办的其他任务。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中国共产党石家庄市鹿泉区纪律检查委员会本级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按照预算管理有关规定，目前部门预算的编制实行综合预算管理，即全部收入和支出都反映在预算中。中国共产党石家庄市鹿泉区纪律检查委员会机关及所属事业单位的收支包含在部门预算中。</w:t>
      </w:r>
    </w:p>
    <w:p>
      <w:pPr>
        <w:pStyle w:val="19"/>
      </w:pPr>
      <w:r>
        <w:t>1、收入说明</w:t>
      </w:r>
    </w:p>
    <w:p>
      <w:pPr>
        <w:pStyle w:val="19"/>
      </w:pPr>
      <w:r>
        <w:t>反映本部门当年全部收入。2025年预算收入2453.81万元，其中：一般公共预算收入2453.81万元，基金预算收入0.00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中国共产党石家庄市鹿泉区纪律检查委员会年度部门预算中支出预算的总体情况。2025年支出预算2453.81万元，其中基本支出1976.81万元，包括人员经费1706.83万元和日常公用经费269.98万元；项目支出477.00万元，主要为纪检监察业务费、乡镇纪检监察业务费、巡视巡察专项经费、外查办案点运行费用、巡察信息化建设费用、办案一体化平台建设</w:t>
      </w:r>
      <w:r>
        <w:rPr>
          <w:rFonts w:hint="eastAsia"/>
          <w:lang w:eastAsia="zh-CN"/>
        </w:rPr>
        <w:t>。</w:t>
      </w:r>
    </w:p>
    <w:p>
      <w:pPr>
        <w:pStyle w:val="19"/>
      </w:pPr>
      <w:r>
        <w:t>3、比上年增减情况</w:t>
      </w:r>
    </w:p>
    <w:p>
      <w:pPr>
        <w:pStyle w:val="19"/>
        <w:rPr>
          <w:rFonts w:hint="eastAsia" w:eastAsia="方正仿宋_GBK"/>
          <w:lang w:eastAsia="zh-CN"/>
        </w:rPr>
      </w:pPr>
      <w:r>
        <w:t>2025年预算收支安排2453.81万元，较2024年预算增加141.40万元，其中：基本支出增加51.40万元，主要为我部门2025年初在职人员94人，较2024年初人员增加，人员经费增加项目支出增加90.00万元，主要为增加外查办案点运行费用</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2025年，我部门机关运行经费共计安排269.98万元，主要用于日常维修、办公用房水电费、办公用房取暖费、办公用房物业管理费等日常运行支出。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29.00万元，其中因公出国（境）费0.00万元；公务用车购置及运维费27.00万元（其中：公务用车购置费为0.00万元，公务用车运维费27.00万元)；公务接待费2.00万元。与2024年相比增加13.50万元，增减变化的主要原因是我部门共有10辆公车，按照每辆车2.7万元计算，公务用车运行费应为27万元，2024年在公用经费中列支了5辆车的公务用车运行费用，剩余5辆车公务运行费用从纪检业务费列支，做2024年预算时未从纪检业务费中调整出来，2024年8月已调整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今年是中华人民共和国成立75周年，是实现“十四五”规划目标任务的关键一年，也是全市经济总量过万亿、实现弯道超车的冲刺之年、决胜之年。做好纪检监察工作，要坚持以习近平新时代中国特色社会主义思想为指导，全面贯彻落实党的二十大和二十届二中全会精神，深入学习贯彻习近平总书记关于党的自我革命的重要思想，认真贯彻落实习近平总书记视察河北、视察石家庄重要讲话和重要指示精神，坚决落实全面从严治党战略方针，认真落实二十届中央纪委三次全会精神，省市纪委全会和区委全会工作部署，坚持稳中求进工作总基调，坚持严的基调、严的措施、严的氛围不动摇，纵深推进正风肃纪反腐，持续推进新征程纪检监察工作高质量发展，为加快建设现代化经济强区、魅力鹿泉、生态宜居宜业宜游新城区提供坚强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1、努力推进政治监督具体化精准化常态化取得新成效</w:t>
      </w:r>
    </w:p>
    <w:p>
      <w:pPr>
        <w:pStyle w:val="23"/>
      </w:pPr>
      <w:r>
        <w:t>（1）围绕贯彻习近平总书记重要指示批示精神和党中央重大决策部署强化政治监督。坚持党中央决策部署到哪里，政治监督就跟进到哪里。</w:t>
      </w:r>
    </w:p>
    <w:p>
      <w:pPr>
        <w:pStyle w:val="23"/>
      </w:pPr>
      <w:r>
        <w:t>（2）围绕省市区重点工作落实强化日常监督。找准服务保障经济社会高质量发展的切入点着力点，以强有力监督推动乡镇和职能部门抓好重点工作部署落实。</w:t>
      </w:r>
    </w:p>
    <w:p>
      <w:pPr>
        <w:pStyle w:val="23"/>
      </w:pPr>
      <w:r>
        <w:t>（3）围绕政治纪律和政治规矩执行强化专项监督。正确地处理好监督与信任、制约和促进、监督与监管的关系。大胆创新监督模式，灵活运用监督手段，着力提升监督质效，保障监督力量，提升监督能力和水平，做到精准发现问题、精准分析问题、精准推动解决问题。</w:t>
      </w:r>
    </w:p>
    <w:p>
      <w:pPr>
        <w:pStyle w:val="23"/>
      </w:pPr>
      <w:r>
        <w:t>2、努力推进不敢腐、不能腐、不想腐取得新成效</w:t>
      </w:r>
    </w:p>
    <w:p>
      <w:pPr>
        <w:pStyle w:val="23"/>
      </w:pPr>
      <w:r>
        <w:t>（1）坚决保持惩治腐败高压态势。严密防范各级“一把手”和党的二十大后新提任的、重要岗位的、年轻的、拟提拔重用的领导干部腐败问题。</w:t>
      </w:r>
    </w:p>
    <w:p>
      <w:pPr>
        <w:pStyle w:val="23"/>
      </w:pPr>
      <w:r>
        <w:t>（2）坚决锚定反腐败斗争惩治重点。紧盯政商勾连腐败问题，坚决打击以权力为依托的资本逐利行为，坚决防止各种利益集团、权势团体向政治领域渗透。</w:t>
      </w:r>
    </w:p>
    <w:p>
      <w:pPr>
        <w:pStyle w:val="23"/>
      </w:pPr>
      <w:r>
        <w:t>（3）坚决筑牢拒腐防变的思想防线。紧盯查办案件“后半篇文章”，加强类案分析，针对暴露出来的问题短板，提出有针对性、说服力的整改意见，督促协同有关部门开展专项治理，堵塞监管漏洞。</w:t>
      </w:r>
    </w:p>
    <w:p>
      <w:pPr>
        <w:pStyle w:val="23"/>
      </w:pPr>
      <w:r>
        <w:t>（4）坚决精准把握反腐败斗争基本要求。紧盯办案程序，把习近平法治思想的立场观点方法，运用到反腐败斗争全过程，严格按法定权限、规则、程序办事。紧盯案件质量，全面执行审查调查工作指导体系，打造“审调真用力、案管善监督、审理严把关、整体谋提升”的质量共建格局。</w:t>
      </w:r>
    </w:p>
    <w:p>
      <w:pPr>
        <w:pStyle w:val="23"/>
      </w:pPr>
      <w:r>
        <w:t>3、努力推进干部作风建设取得新成效</w:t>
      </w:r>
    </w:p>
    <w:p>
      <w:pPr>
        <w:pStyle w:val="23"/>
      </w:pPr>
      <w:r>
        <w:t>（1）坚决纠治官僚主义、形式主义。坚持从区直部门抓起、从领导干部改起，以抓好“关键少数”促进党风政风根本好转。紧盯官僚主义实际表现和阶段性特征。</w:t>
      </w:r>
    </w:p>
    <w:p>
      <w:pPr>
        <w:pStyle w:val="23"/>
      </w:pPr>
      <w:r>
        <w:t>（2）坚决整治享乐主义、奢靡之风。一是开展违规吃喝专项整治。二是坚持风腐同查同治。三是惩防并举整治铺张浪费。</w:t>
      </w:r>
    </w:p>
    <w:p>
      <w:pPr>
        <w:pStyle w:val="23"/>
      </w:pPr>
      <w:r>
        <w:t>（3）坚决纠治权力观扭曲、政绩观错位。对搞政绩工程、统计造假、举债过日子等问题集中开展整治，坚决纠治追求片面政绩、眼前政绩、表面政绩等问题。</w:t>
      </w:r>
    </w:p>
    <w:p>
      <w:pPr>
        <w:pStyle w:val="23"/>
      </w:pPr>
      <w:r>
        <w:t>4、努力推进党的纪律建设取得新成效</w:t>
      </w:r>
    </w:p>
    <w:p>
      <w:pPr>
        <w:pStyle w:val="23"/>
      </w:pPr>
      <w:r>
        <w:t>（1）深化纪律教育。深入学习习近平总书记关于党的纪律建设的重要论述，认真学好新修订的纪律处分条例，学习应知应会党内法规和国家法律清单。</w:t>
      </w:r>
    </w:p>
    <w:p>
      <w:pPr>
        <w:pStyle w:val="23"/>
      </w:pPr>
      <w:r>
        <w:t>（2）严格纪律执行。坚持严字当头，违纪必惩、惩之能戒。</w:t>
      </w:r>
    </w:p>
    <w:p>
      <w:pPr>
        <w:pStyle w:val="23"/>
      </w:pPr>
      <w:r>
        <w:t>（3）提升执纪效果。在坚持严的基调基础上，充分运用党的政策策略，释放最大的正向效应。注重维护党的形象，通过惩处党员错误挽回党的形象，避免丑化污名化。</w:t>
      </w:r>
    </w:p>
    <w:p>
      <w:pPr>
        <w:pStyle w:val="23"/>
      </w:pPr>
      <w:r>
        <w:t>5、努力推进巡察工作取得新成效</w:t>
      </w:r>
    </w:p>
    <w:p>
      <w:pPr>
        <w:pStyle w:val="23"/>
      </w:pPr>
      <w:r>
        <w:t>（1）坚守政治巡察定位，深入查找政治偏差，深化巡察整改和成果运用，更好发挥巡察综合监督作用。持续提升巡察工作质量。精准把握政治巡察定位，聚焦“两个维护”，紧盯“一把手”等“关键少数”，从政治忠诚、政治安全、政治责任、政治立场、党内政治生活上，严查巡察对象存在的问题。</w:t>
      </w:r>
    </w:p>
    <w:p>
      <w:pPr>
        <w:pStyle w:val="23"/>
      </w:pPr>
      <w:r>
        <w:t>（2）持续强化整改和成果运用。建立覆盖巡察整改全周期的责任体系和制度流程。</w:t>
      </w:r>
    </w:p>
    <w:p>
      <w:pPr>
        <w:pStyle w:val="23"/>
      </w:pPr>
      <w:r>
        <w:t>（3）持续强化巡察基础建设。着力加强巡察监督与其他监督的协同协作，完善巡察机构与纪检监察机关、组织部门巡察全流程、各环节协作机制，推动审计、财政、统计等部门专门力量深度参与巡察。</w:t>
      </w:r>
    </w:p>
    <w:p>
      <w:pPr>
        <w:pStyle w:val="23"/>
      </w:pPr>
      <w:r>
        <w:t>6、努力推进自身建设取得新成效</w:t>
      </w:r>
    </w:p>
    <w:p>
      <w:pPr>
        <w:pStyle w:val="23"/>
      </w:pPr>
      <w:r>
        <w:t>持续深化纪检监察体制改革，强化法规制度执行，增强纪检监察工作的严肃性、权威性和公信力。坚决落实习近平总书记“绝对忠诚、绝对可靠、绝对纯洁”重要要求，做自我革命的表率、遵规守纪的标杆。推进纪检监察体制机制改革，砥砺政治忠诚，提高斗争本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1.持续深化政治监督，确保党中央重大决策部署落地见效。</w:t>
      </w:r>
    </w:p>
    <w:p>
      <w:pPr>
        <w:pStyle w:val="24"/>
      </w:pPr>
      <w:r>
        <w:t>（1）紧扣“政治要件”落实强化监督铸忠诚。坚持把贯彻落实习近平总书记重要指示批示精神作为“第一政治要件”，摆在监督工作的首位，建立健全监督闭环机制。</w:t>
      </w:r>
    </w:p>
    <w:p>
      <w:pPr>
        <w:pStyle w:val="24"/>
      </w:pPr>
      <w:r>
        <w:t>（2）聚焦党的二十届三中全会改革部署推进强化监督促落地。紧紧围绕进一步全面深化改革重大意义、目标任务、部署要求，监督推动全区各级各部门强化改革意识、振奋改革精神；紧紧围绕实现改革总目标和“七个聚焦”分领域目标，细化实化监督内容，督促全区各级各部门以钉钉子精神抓好改革落实。坚持严明纪律规矩、维护改革大局，坚决查处干扰破坏改革的人和事。</w:t>
      </w:r>
    </w:p>
    <w:p>
      <w:pPr>
        <w:pStyle w:val="24"/>
      </w:pPr>
      <w:r>
        <w:t>（3）紧盯全面从严治党责任落实强化监督固根基。督促党委（党组）履行主体责任，健全“两个责任”贯通联动机制，推动各级各部门强化权力监督制约、加强纪律作风建设。督促“一把手”扛起第一责任人责任、领导班子成员履行“一岗双责”，直面问题、敢抓敢管，坚决纠正只抓业务不抓风纪、只管发展不治腐败等问题。</w:t>
      </w:r>
    </w:p>
    <w:p>
      <w:pPr>
        <w:pStyle w:val="24"/>
      </w:pPr>
      <w:r>
        <w:t>（4）靶向纠治政绩观偏差强化监督正风气。抓贪图名利这个共性，重点纠治只看领导眼色、不看群众脸色、罔顾群众利益的问题；弄虚作假，搞“业绩吹牛”“政绩注水”的问题；好大喜功、急功近利、竭泽而渔，搞“政绩工程”“形象工程”的问题。持续巩固统计造假等问题专项整治成果，及时发现并通报典型问题。</w:t>
      </w:r>
    </w:p>
    <w:p>
      <w:pPr>
        <w:pStyle w:val="24"/>
      </w:pPr>
      <w:r>
        <w:t>（5）着力净化政治生态强化监督优环境。坚持从整体工作出发，推动建立完善党委统一领导、纪委牵头协调、相关部门协同联动的政治生态研判机制；监督政治纪律和政治规矩的执行，严肃处理该请示的不请示、该报告的不报告、擅权妄为的问题；监督思想建设情况，督促用新时代党的创新理论武装头脑；监督党内政治生活情况，着力维护团结紧张严肃活泼的良好氛围；监督选人用人工作，推动严格落实党管干部原则，公道正派选贤任能。</w:t>
      </w:r>
    </w:p>
    <w:p>
      <w:pPr>
        <w:pStyle w:val="24"/>
      </w:pPr>
      <w:r>
        <w:t>2.持续巩固深化党纪学习教育成果，推动形成遵规守纪、干事创业的良好氛围</w:t>
      </w:r>
    </w:p>
    <w:p>
      <w:pPr>
        <w:pStyle w:val="24"/>
      </w:pPr>
      <w:r>
        <w:t>（1）常学党纪厚植忠诚底色。认真落实党中央关于推进党纪学习教育常态化长效化的安排部署，推动建立经常性和集中性相结合的纪律教育机制。</w:t>
      </w:r>
    </w:p>
    <w:p>
      <w:pPr>
        <w:pStyle w:val="24"/>
      </w:pPr>
      <w:r>
        <w:t>（2）执纪从严严守纪律红线。坚持执纪必严、违纪必究，对违纪问题发现一起查处一起。坚持宽严相济、精准得当，进一步优化重点领域重点问题问责案件质量评查，防止问责不力或泛化简单化。</w:t>
      </w:r>
    </w:p>
    <w:p>
      <w:pPr>
        <w:pStyle w:val="24"/>
      </w:pPr>
      <w:r>
        <w:t>（3）善用“四种形态”织密监督之网。深入落实《纪检监察机关准确运用“四种形态”实施办法（试行）》，贯彻惩前毖后、治病救人方针，抓早抓小、防微杜渐，充分发挥层层设防的作用，落实“三个区分开来”。畅通信访举报渠道，引导群众依法有序反映问题，不断提高信访工作法治化水平。加强诬告行为治理，对失实检举控告及时予以澄清，向诬告者亮剑、为干事者撑腰。</w:t>
      </w:r>
    </w:p>
    <w:p>
      <w:pPr>
        <w:pStyle w:val="24"/>
      </w:pPr>
      <w:r>
        <w:t>3.持续推进风腐同查同治，着力铲除腐败滋生的土壤和条件</w:t>
      </w:r>
    </w:p>
    <w:p>
      <w:pPr>
        <w:pStyle w:val="24"/>
      </w:pPr>
      <w:r>
        <w:t>（1）以“同查”严惩风腐一体问题。一严到底纠治“四风”，锲而不舍落实中央八项规定精神，不断压缩腐败滋生的空间。</w:t>
      </w:r>
    </w:p>
    <w:p>
      <w:pPr>
        <w:pStyle w:val="24"/>
      </w:pPr>
      <w:r>
        <w:t>（2）以“同治”铲除风腐共性根源。加强对领导干部配偶、子女及其配偶违规经商办企业等情况的及时预警监督。</w:t>
      </w:r>
    </w:p>
    <w:p>
      <w:pPr>
        <w:pStyle w:val="24"/>
      </w:pPr>
      <w:r>
        <w:t>（3）以“查”“治”贯通阻断风腐演变。加强规律研究，深刻把握由风及腐、从量变到质变的特点规律，把“同”的理念贯彻到正风反腐全过程，做到同分析、同预防、同查处、同治理，形成办案、治理、监督、教育的有效闭环。</w:t>
      </w:r>
    </w:p>
    <w:p>
      <w:pPr>
        <w:pStyle w:val="24"/>
      </w:pPr>
      <w:r>
        <w:t>4.持续深化整治群众身边不正之风和腐败问题，不断增强人民群众获得感</w:t>
      </w:r>
    </w:p>
    <w:p>
      <w:pPr>
        <w:pStyle w:val="24"/>
      </w:pPr>
      <w:r>
        <w:t>（1）以健全工作推进机制为发展续航。系统总结集中整治工作经验做法，将纪委监委主要负责同志靠前指挥直接抓案件、领导班子滚动包案等经验做法固化为制度机制。优化工作推进方法，加大下沉指导、明察暗访、公开接访、带案下访等工作力度，及时发现、推动解决群众反映强烈的突出问题。</w:t>
      </w:r>
    </w:p>
    <w:p>
      <w:pPr>
        <w:pStyle w:val="24"/>
      </w:pPr>
      <w:r>
        <w:t>（2）以雷霆之势深挖狠治“蝇贪蚁腐”。紧盯党中央关于乡村振兴、惠民富民、共同富裕以及防止规模性返贫致贫等方面政策措施落实情况，特别对贪污侵占、截留挪用、虚报冒领、吃拿卡要等行为严惩不贷。</w:t>
      </w:r>
    </w:p>
    <w:p>
      <w:pPr>
        <w:pStyle w:val="24"/>
      </w:pPr>
      <w:r>
        <w:t>（3）以系统施治全面破解民生领域沉疴顽疾。扎实做好“校园餐”、农村集体“三资”管理、乡村振兴资金使用监管、医保基金管理、养老服务突出问题专项整治。</w:t>
      </w:r>
    </w:p>
    <w:p>
      <w:pPr>
        <w:pStyle w:val="24"/>
      </w:pPr>
      <w:r>
        <w:t>5.持续深化政治巡察，确保更加精准发现问题、更加有效解决问题</w:t>
      </w:r>
    </w:p>
    <w:p>
      <w:pPr>
        <w:pStyle w:val="24"/>
      </w:pPr>
      <w:r>
        <w:t>（1）广拓巡察覆盖面。紧盯权力和责任、“一把手”和领导班子、群众反映强烈的突出问题，深入查找影响高质量发展的主要矛盾、落实改革部署中的重大偏差。</w:t>
      </w:r>
    </w:p>
    <w:p>
      <w:pPr>
        <w:pStyle w:val="24"/>
      </w:pPr>
      <w:r>
        <w:t>（2）聚力抓实巡察整改。加强对巡察整改情况监督，对部分已巡察单位整改情况开展“回头看”。</w:t>
      </w:r>
    </w:p>
    <w:p>
      <w:pPr>
        <w:pStyle w:val="24"/>
      </w:pPr>
      <w:r>
        <w:t>（3）推动巡察全面向基层延伸。贯彻落实全国对村巡察工作推进会议精神，综合运用多种方式开展巡察，推动对村巡察全覆盖。</w:t>
      </w:r>
    </w:p>
    <w:p>
      <w:pPr>
        <w:pStyle w:val="24"/>
      </w:pPr>
      <w:r>
        <w:t>（4）多措并举提升工作质效。完善巡察移交、巡察报告和问题底稿审核制度，健全巡察与纪检监察、审计、财政等部门的协调联动。</w:t>
      </w:r>
    </w:p>
    <w:p>
      <w:pPr>
        <w:pStyle w:val="24"/>
      </w:pPr>
      <w:r>
        <w:t>6、加强并完善各项制度建设</w:t>
      </w:r>
    </w:p>
    <w:p>
      <w:pPr>
        <w:pStyle w:val="24"/>
      </w:pPr>
      <w:r>
        <w:t>（1）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pStyle w:val="24"/>
      </w:pPr>
      <w:r>
        <w:t>（2）制定完善预算绩效管理制度，制定绩效目标，责任落实到人，督促各项绩效指标完成，为全年预算绩效目标的实现奠定制度基础。</w:t>
      </w:r>
    </w:p>
    <w:p>
      <w:pPr>
        <w:pStyle w:val="24"/>
      </w:pPr>
      <w:r>
        <w:t>7、加强资金支出管理。</w:t>
      </w:r>
    </w:p>
    <w:p>
      <w:pPr>
        <w:pStyle w:val="24"/>
      </w:pPr>
      <w:r>
        <w:t>通过优化支出结构、编细编实预算、尽快启动项目、及时支付资金、按规定及时下达资金等多种措施，加快支出进度。确保支出进度达标。</w:t>
      </w:r>
    </w:p>
    <w:p>
      <w:pPr>
        <w:pStyle w:val="24"/>
      </w:pPr>
      <w:r>
        <w:t>8、加强绩效运行监控。</w:t>
      </w:r>
    </w:p>
    <w:p>
      <w:pPr>
        <w:pStyle w:val="24"/>
      </w:pPr>
      <w:r>
        <w:t>按要求开展绩效运行监控，发现问题及时采取措施，确保绩效目标如期保质实现。</w:t>
      </w:r>
    </w:p>
    <w:p>
      <w:pPr>
        <w:pStyle w:val="24"/>
      </w:pPr>
      <w:r>
        <w:t>9、做好绩效自评。</w:t>
      </w:r>
    </w:p>
    <w:p>
      <w:pPr>
        <w:pStyle w:val="24"/>
      </w:pPr>
      <w:r>
        <w:t>按要求开展上年度部门预算绩效自评和重点评价工作，对评价中发现的问题及时整改，调整优化支出结构，提高财政资金使用效益。</w:t>
      </w:r>
    </w:p>
    <w:p>
      <w:pPr>
        <w:pStyle w:val="24"/>
      </w:pPr>
      <w:r>
        <w:t>10、规范财务资产管理。</w:t>
      </w:r>
    </w:p>
    <w:p>
      <w:pPr>
        <w:pStyle w:val="24"/>
      </w:pPr>
      <w:r>
        <w:t>完善财务管理制度，严格审批程序，加强固定资产登记、使用和报废处置管理，做到支出合理，物尽其用。</w:t>
      </w:r>
    </w:p>
    <w:p>
      <w:pPr>
        <w:pStyle w:val="24"/>
      </w:pPr>
      <w:r>
        <w:t>11、加强内部监督。</w:t>
      </w:r>
    </w:p>
    <w:p>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12、加强宣传培训调研等。</w:t>
      </w:r>
    </w:p>
    <w:p>
      <w:pPr>
        <w:pStyle w:val="24"/>
      </w:pPr>
      <w:r>
        <w:t>加强人员培训，提高本部门职工业务素质；加强调研，提出优化财政资金配置、提高资金使用效益的意见；加大宣传力度，强化预算绩效管理意识，促进预算绩效管理水平进一步提升。</w:t>
      </w:r>
    </w:p>
    <w:p>
      <w:pPr>
        <w:pStyle w:val="24"/>
      </w:pPr>
    </w:p>
    <w:p>
      <w:pPr>
        <w:pStyle w:val="24"/>
        <w:ind w:left="0" w:leftChars="0" w:firstLine="0" w:firstLineChars="0"/>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1、2025年办案一体化平台建设绩效目标表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13011025P00321910018W</w:t>
            </w:r>
          </w:p>
        </w:tc>
        <w:tc>
          <w:tcPr>
            <w:tcW w:w="2835" w:type="dxa"/>
            <w:vAlign w:val="center"/>
          </w:tcPr>
          <w:p>
            <w:pPr>
              <w:pStyle w:val="11"/>
            </w:pPr>
            <w:r>
              <w:t>项目名称</w:t>
            </w:r>
          </w:p>
        </w:tc>
        <w:tc>
          <w:tcPr>
            <w:tcW w:w="6095" w:type="dxa"/>
            <w:gridSpan w:val="3"/>
            <w:vAlign w:val="center"/>
          </w:tcPr>
          <w:p>
            <w:pPr>
              <w:pStyle w:val="13"/>
            </w:pPr>
            <w:r>
              <w:t>2025年办案一体化平台建设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办案一体化平台建设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1.建设集线索处置、案件查办、措施管理、智慧审理、数字监管等功能于一体的办案工作平台，很大程度上提高纪检监察工作的信息化水平，使纪检监察工作更加规范化。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国产涉密台式机数量</w:t>
            </w:r>
          </w:p>
        </w:tc>
        <w:tc>
          <w:tcPr>
            <w:tcW w:w="5386" w:type="dxa"/>
            <w:vAlign w:val="center"/>
          </w:tcPr>
          <w:p>
            <w:pPr>
              <w:pStyle w:val="13"/>
            </w:pPr>
            <w:r>
              <w:t>国产涉密台式机数量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配套防火墙数量</w:t>
            </w:r>
          </w:p>
        </w:tc>
        <w:tc>
          <w:tcPr>
            <w:tcW w:w="5386" w:type="dxa"/>
            <w:vAlign w:val="center"/>
          </w:tcPr>
          <w:p>
            <w:pPr>
              <w:pStyle w:val="13"/>
            </w:pPr>
            <w:r>
              <w:t>配套防火墙数量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产品质量合格率</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完成项目成本</w:t>
            </w:r>
          </w:p>
        </w:tc>
        <w:tc>
          <w:tcPr>
            <w:tcW w:w="5386" w:type="dxa"/>
            <w:vAlign w:val="center"/>
          </w:tcPr>
          <w:p>
            <w:pPr>
              <w:pStyle w:val="13"/>
            </w:pPr>
            <w:r>
              <w:t>完成项目成本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项目完成时效</w:t>
            </w:r>
          </w:p>
        </w:tc>
        <w:tc>
          <w:tcPr>
            <w:tcW w:w="5386" w:type="dxa"/>
            <w:vAlign w:val="center"/>
          </w:tcPr>
          <w:p>
            <w:pPr>
              <w:pStyle w:val="13"/>
            </w:pPr>
            <w:r>
              <w:t>项目完成时间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2、2025年纪检监察业务费绩效目标表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13011025P003219100152</w:t>
            </w:r>
          </w:p>
        </w:tc>
        <w:tc>
          <w:tcPr>
            <w:tcW w:w="2835" w:type="dxa"/>
            <w:vAlign w:val="center"/>
          </w:tcPr>
          <w:p>
            <w:pPr>
              <w:pStyle w:val="11"/>
            </w:pPr>
            <w:r>
              <w:t>项目名称</w:t>
            </w:r>
          </w:p>
        </w:tc>
        <w:tc>
          <w:tcPr>
            <w:tcW w:w="6095" w:type="dxa"/>
            <w:gridSpan w:val="3"/>
            <w:vAlign w:val="center"/>
          </w:tcPr>
          <w:p>
            <w:pPr>
              <w:pStyle w:val="13"/>
            </w:pPr>
            <w:r>
              <w:t>2025年纪检监察业务费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保障89人办案业务经费，维护党纪国法尊严，惩处腐败分子，有效遏制腐败现象。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1.保障89人办案业务经费，维护党纪国法尊严，惩处腐败分子，有效遏制腐败现象。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经费保障人数</w:t>
            </w:r>
          </w:p>
        </w:tc>
        <w:tc>
          <w:tcPr>
            <w:tcW w:w="2268" w:type="dxa"/>
            <w:vAlign w:val="center"/>
          </w:tcPr>
          <w:p>
            <w:pPr>
              <w:pStyle w:val="13"/>
            </w:pPr>
            <w:r>
              <w:t>≥89人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≥85百分百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案件办结时限</w:t>
            </w:r>
          </w:p>
        </w:tc>
        <w:tc>
          <w:tcPr>
            <w:tcW w:w="5386" w:type="dxa"/>
            <w:vAlign w:val="center"/>
          </w:tcPr>
          <w:p>
            <w:pPr>
              <w:pStyle w:val="13"/>
            </w:pPr>
            <w:r>
              <w:t>案件办结时限</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5386" w:type="dxa"/>
            <w:vAlign w:val="center"/>
          </w:tcPr>
          <w:p>
            <w:pPr>
              <w:pStyle w:val="13"/>
            </w:pPr>
            <w:r>
              <w:t>预算资金执行率</w:t>
            </w:r>
          </w:p>
        </w:tc>
        <w:tc>
          <w:tcPr>
            <w:tcW w:w="2268" w:type="dxa"/>
            <w:vAlign w:val="center"/>
          </w:tcPr>
          <w:p>
            <w:pPr>
              <w:pStyle w:val="13"/>
            </w:pPr>
            <w:r>
              <w:t>≥90百分百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不断提升</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3、2025年外查办案点运行费绩效目标表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13011025P00321910020U</w:t>
            </w:r>
          </w:p>
        </w:tc>
        <w:tc>
          <w:tcPr>
            <w:tcW w:w="2835" w:type="dxa"/>
            <w:vAlign w:val="center"/>
          </w:tcPr>
          <w:p>
            <w:pPr>
              <w:pStyle w:val="11"/>
            </w:pPr>
            <w:r>
              <w:t>项目名称</w:t>
            </w:r>
          </w:p>
        </w:tc>
        <w:tc>
          <w:tcPr>
            <w:tcW w:w="6095" w:type="dxa"/>
            <w:gridSpan w:val="3"/>
            <w:vAlign w:val="center"/>
          </w:tcPr>
          <w:p>
            <w:pPr>
              <w:pStyle w:val="13"/>
            </w:pPr>
            <w:r>
              <w:t>2025年外查办案点运行费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外查办案点租赁费，及日常运营所产生的取暖费、水电费、燃气费、电话费、物业费以及办公设备购置等费用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1.认真落实省市纪委关于各县（市、区）纪委监委需实行独栋或独立楼层集中办公的重要精神，严格做好纪检监察工作，，保障谈话工作有序开展，确保办案安全，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租赁房屋面积</w:t>
            </w:r>
          </w:p>
        </w:tc>
        <w:tc>
          <w:tcPr>
            <w:tcW w:w="5386" w:type="dxa"/>
            <w:vAlign w:val="center"/>
          </w:tcPr>
          <w:p>
            <w:pPr>
              <w:pStyle w:val="13"/>
            </w:pPr>
            <w:r>
              <w:t>租赁房屋面积</w:t>
            </w:r>
          </w:p>
        </w:tc>
        <w:tc>
          <w:tcPr>
            <w:tcW w:w="2268" w:type="dxa"/>
            <w:vAlign w:val="center"/>
          </w:tcPr>
          <w:p>
            <w:pPr>
              <w:pStyle w:val="13"/>
            </w:pPr>
            <w:r>
              <w:t>1484平米</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≤80万元</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谈话质量</w:t>
            </w:r>
          </w:p>
        </w:tc>
        <w:tc>
          <w:tcPr>
            <w:tcW w:w="5386" w:type="dxa"/>
            <w:vAlign w:val="center"/>
          </w:tcPr>
          <w:p>
            <w:pPr>
              <w:pStyle w:val="13"/>
            </w:pPr>
            <w:r>
              <w:t>谈话质量</w:t>
            </w:r>
          </w:p>
        </w:tc>
        <w:tc>
          <w:tcPr>
            <w:tcW w:w="2268" w:type="dxa"/>
            <w:vAlign w:val="center"/>
          </w:tcPr>
          <w:p>
            <w:pPr>
              <w:pStyle w:val="13"/>
            </w:pPr>
            <w:r>
              <w:t>稳步提升</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谈话环境</w:t>
            </w:r>
          </w:p>
        </w:tc>
        <w:tc>
          <w:tcPr>
            <w:tcW w:w="5386" w:type="dxa"/>
            <w:vAlign w:val="center"/>
          </w:tcPr>
          <w:p>
            <w:pPr>
              <w:pStyle w:val="13"/>
            </w:pPr>
            <w:r>
              <w:t>谈话环境</w:t>
            </w:r>
          </w:p>
        </w:tc>
        <w:tc>
          <w:tcPr>
            <w:tcW w:w="2268" w:type="dxa"/>
            <w:vAlign w:val="center"/>
          </w:tcPr>
          <w:p>
            <w:pPr>
              <w:pStyle w:val="13"/>
            </w:pPr>
            <w:r>
              <w:t>显著改善</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办案时效</w:t>
            </w:r>
          </w:p>
        </w:tc>
        <w:tc>
          <w:tcPr>
            <w:tcW w:w="5386" w:type="dxa"/>
            <w:vAlign w:val="center"/>
          </w:tcPr>
          <w:p>
            <w:pPr>
              <w:pStyle w:val="13"/>
            </w:pPr>
            <w:r>
              <w:t>办案时效</w:t>
            </w:r>
          </w:p>
        </w:tc>
        <w:tc>
          <w:tcPr>
            <w:tcW w:w="2268" w:type="dxa"/>
            <w:vAlign w:val="center"/>
          </w:tcPr>
          <w:p>
            <w:pPr>
              <w:pStyle w:val="13"/>
            </w:pPr>
            <w:r>
              <w:t>≤3月</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p>
            <w:pPr>
              <w:pStyle w:val="13"/>
            </w:pPr>
          </w:p>
        </w:tc>
        <w:tc>
          <w:tcPr>
            <w:tcW w:w="5386" w:type="dxa"/>
            <w:vAlign w:val="center"/>
          </w:tcPr>
          <w:p>
            <w:pPr>
              <w:pStyle w:val="13"/>
            </w:pPr>
            <w:r>
              <w:t>项目持续发挥作用</w:t>
            </w:r>
          </w:p>
          <w:p>
            <w:pPr>
              <w:pStyle w:val="13"/>
            </w:pP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不断提升</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4、2025年乡镇纪检监察业务费绩效目标表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13011025P00321910016M</w:t>
            </w:r>
          </w:p>
        </w:tc>
        <w:tc>
          <w:tcPr>
            <w:tcW w:w="2835" w:type="dxa"/>
            <w:vAlign w:val="center"/>
          </w:tcPr>
          <w:p>
            <w:pPr>
              <w:pStyle w:val="11"/>
            </w:pPr>
            <w:r>
              <w:t>项目名称</w:t>
            </w:r>
          </w:p>
        </w:tc>
        <w:tc>
          <w:tcPr>
            <w:tcW w:w="6095" w:type="dxa"/>
            <w:gridSpan w:val="3"/>
            <w:vAlign w:val="center"/>
          </w:tcPr>
          <w:p>
            <w:pPr>
              <w:pStyle w:val="13"/>
            </w:pPr>
            <w:r>
              <w:t>2025年乡镇纪检监察业务费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保障乡镇纪检人员办案经费，不断提高纪检监察人员办案水平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1.该经费用于保障45名乡镇纪检人员办案业务经费，不断提高纪检监察人员办案水平，使监督执纪工作向纵深发展，全覆盖。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经费保障人数</w:t>
            </w:r>
          </w:p>
        </w:tc>
        <w:tc>
          <w:tcPr>
            <w:tcW w:w="2268" w:type="dxa"/>
            <w:vAlign w:val="center"/>
          </w:tcPr>
          <w:p>
            <w:pPr>
              <w:pStyle w:val="13"/>
            </w:pPr>
            <w:r>
              <w:t>45人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≥85百分之</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案件办理时间</w:t>
            </w:r>
          </w:p>
        </w:tc>
        <w:tc>
          <w:tcPr>
            <w:tcW w:w="5386" w:type="dxa"/>
            <w:vAlign w:val="center"/>
          </w:tcPr>
          <w:p>
            <w:pPr>
              <w:pStyle w:val="13"/>
            </w:pPr>
            <w:r>
              <w:t>案件办理时间</w:t>
            </w:r>
          </w:p>
        </w:tc>
        <w:tc>
          <w:tcPr>
            <w:tcW w:w="2268" w:type="dxa"/>
            <w:vAlign w:val="center"/>
          </w:tcPr>
          <w:p>
            <w:pPr>
              <w:pStyle w:val="13"/>
            </w:pPr>
            <w:r>
              <w:t>≤3月</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完成工作需要费用成本</w:t>
            </w:r>
          </w:p>
        </w:tc>
        <w:tc>
          <w:tcPr>
            <w:tcW w:w="5386" w:type="dxa"/>
            <w:vAlign w:val="center"/>
          </w:tcPr>
          <w:p>
            <w:pPr>
              <w:pStyle w:val="13"/>
            </w:pPr>
            <w:r>
              <w:t>完成工作需要费用成本</w:t>
            </w:r>
          </w:p>
        </w:tc>
        <w:tc>
          <w:tcPr>
            <w:tcW w:w="2268" w:type="dxa"/>
            <w:vAlign w:val="center"/>
          </w:tcPr>
          <w:p>
            <w:pPr>
              <w:pStyle w:val="13"/>
            </w:pPr>
            <w:r>
              <w:t>≤27万元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项目持续发生作用</w:t>
            </w:r>
          </w:p>
        </w:tc>
        <w:tc>
          <w:tcPr>
            <w:tcW w:w="5386" w:type="dxa"/>
            <w:vAlign w:val="center"/>
          </w:tcPr>
          <w:p>
            <w:pPr>
              <w:pStyle w:val="13"/>
            </w:pPr>
            <w:r>
              <w:t>项目持续发生作用</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 xml:space="preserve">不断提高 </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5、2025年巡察信息化建设绩效目标表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13011025P00321910019G</w:t>
            </w:r>
          </w:p>
        </w:tc>
        <w:tc>
          <w:tcPr>
            <w:tcW w:w="2835" w:type="dxa"/>
            <w:vAlign w:val="center"/>
          </w:tcPr>
          <w:p>
            <w:pPr>
              <w:pStyle w:val="11"/>
            </w:pPr>
            <w:r>
              <w:t>项目名称</w:t>
            </w:r>
          </w:p>
        </w:tc>
        <w:tc>
          <w:tcPr>
            <w:tcW w:w="6095" w:type="dxa"/>
            <w:gridSpan w:val="3"/>
            <w:vAlign w:val="center"/>
          </w:tcPr>
          <w:p>
            <w:pPr>
              <w:pStyle w:val="13"/>
            </w:pPr>
            <w:r>
              <w:t>2025年巡察信息化建设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巡察信息化建设，提高工作效率，保障信息安全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1.一方面可提高巡察工作的信息化水平，使巡察工作更加规范化，保障信息安全，防止重要信息泄露；另一方面可提高巡察工作效率，提升工作质效。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国产台式内网机</w:t>
            </w:r>
          </w:p>
        </w:tc>
        <w:tc>
          <w:tcPr>
            <w:tcW w:w="5386" w:type="dxa"/>
            <w:vAlign w:val="center"/>
          </w:tcPr>
          <w:p>
            <w:pPr>
              <w:pStyle w:val="13"/>
            </w:pPr>
            <w:r>
              <w:t>国产台式内网机</w:t>
            </w:r>
          </w:p>
        </w:tc>
        <w:tc>
          <w:tcPr>
            <w:tcW w:w="2268" w:type="dxa"/>
            <w:vAlign w:val="center"/>
          </w:tcPr>
          <w:p>
            <w:pPr>
              <w:pStyle w:val="13"/>
            </w:pPr>
            <w:r>
              <w:t>10台</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国产涉密笔记本</w:t>
            </w:r>
          </w:p>
        </w:tc>
        <w:tc>
          <w:tcPr>
            <w:tcW w:w="5386" w:type="dxa"/>
            <w:vAlign w:val="center"/>
          </w:tcPr>
          <w:p>
            <w:pPr>
              <w:pStyle w:val="13"/>
            </w:pPr>
            <w:r>
              <w:t>国产涉密笔记本</w:t>
            </w:r>
          </w:p>
        </w:tc>
        <w:tc>
          <w:tcPr>
            <w:tcW w:w="2268" w:type="dxa"/>
            <w:vAlign w:val="center"/>
          </w:tcPr>
          <w:p>
            <w:pPr>
              <w:pStyle w:val="13"/>
            </w:pPr>
            <w:r>
              <w:t>9台</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国产黑白打印机</w:t>
            </w:r>
          </w:p>
        </w:tc>
        <w:tc>
          <w:tcPr>
            <w:tcW w:w="5386" w:type="dxa"/>
            <w:vAlign w:val="center"/>
          </w:tcPr>
          <w:p>
            <w:pPr>
              <w:pStyle w:val="13"/>
            </w:pPr>
            <w:r>
              <w:t>国产黑白打印机</w:t>
            </w:r>
          </w:p>
        </w:tc>
        <w:tc>
          <w:tcPr>
            <w:tcW w:w="2268" w:type="dxa"/>
            <w:vAlign w:val="center"/>
          </w:tcPr>
          <w:p>
            <w:pPr>
              <w:pStyle w:val="13"/>
            </w:pPr>
            <w:r>
              <w:t>10台</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国产扫描仪</w:t>
            </w:r>
          </w:p>
        </w:tc>
        <w:tc>
          <w:tcPr>
            <w:tcW w:w="5386" w:type="dxa"/>
            <w:vAlign w:val="center"/>
          </w:tcPr>
          <w:p>
            <w:pPr>
              <w:pStyle w:val="13"/>
            </w:pPr>
            <w:r>
              <w:t>国产扫描仪</w:t>
            </w:r>
          </w:p>
        </w:tc>
        <w:tc>
          <w:tcPr>
            <w:tcW w:w="2268" w:type="dxa"/>
            <w:vAlign w:val="center"/>
          </w:tcPr>
          <w:p>
            <w:pPr>
              <w:pStyle w:val="13"/>
            </w:pPr>
            <w:r>
              <w:t>5台</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产品合格率</w:t>
            </w:r>
          </w:p>
        </w:tc>
        <w:tc>
          <w:tcPr>
            <w:tcW w:w="5386" w:type="dxa"/>
            <w:vAlign w:val="center"/>
          </w:tcPr>
          <w:p>
            <w:pPr>
              <w:pStyle w:val="13"/>
            </w:pPr>
            <w:r>
              <w:t>产品合格率</w:t>
            </w:r>
          </w:p>
        </w:tc>
        <w:tc>
          <w:tcPr>
            <w:tcW w:w="2268" w:type="dxa"/>
            <w:vAlign w:val="center"/>
          </w:tcPr>
          <w:p>
            <w:pPr>
              <w:pStyle w:val="13"/>
            </w:pPr>
            <w:r>
              <w:t>100百分百</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完成项目成本</w:t>
            </w:r>
          </w:p>
        </w:tc>
        <w:tc>
          <w:tcPr>
            <w:tcW w:w="5386" w:type="dxa"/>
            <w:vAlign w:val="center"/>
          </w:tcPr>
          <w:p>
            <w:pPr>
              <w:pStyle w:val="13"/>
            </w:pPr>
            <w:r>
              <w:t>完成项目成本</w:t>
            </w:r>
          </w:p>
        </w:tc>
        <w:tc>
          <w:tcPr>
            <w:tcW w:w="2268" w:type="dxa"/>
            <w:vAlign w:val="center"/>
          </w:tcPr>
          <w:p>
            <w:pPr>
              <w:pStyle w:val="13"/>
            </w:pPr>
            <w:r>
              <w:t>≤40万元</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完成项目时效</w:t>
            </w:r>
          </w:p>
        </w:tc>
        <w:tc>
          <w:tcPr>
            <w:tcW w:w="2268" w:type="dxa"/>
            <w:vAlign w:val="center"/>
          </w:tcPr>
          <w:p>
            <w:pPr>
              <w:pStyle w:val="13"/>
            </w:pPr>
            <w:r>
              <w:t>≤12月</w:t>
            </w:r>
          </w:p>
        </w:tc>
        <w:tc>
          <w:tcPr>
            <w:tcW w:w="1276" w:type="dxa"/>
            <w:vAlign w:val="center"/>
          </w:tcPr>
          <w:p>
            <w:pPr>
              <w:pStyle w:val="13"/>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≥1年</w:t>
            </w:r>
          </w:p>
        </w:tc>
        <w:tc>
          <w:tcPr>
            <w:tcW w:w="1276" w:type="dxa"/>
            <w:vAlign w:val="center"/>
          </w:tcPr>
          <w:p>
            <w:pPr>
              <w:pStyle w:val="13"/>
            </w:pPr>
            <w:r>
              <w:t>工资需要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6、2025年巡视巡察专项经费绩效目标表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13011025P003219100179</w:t>
            </w:r>
          </w:p>
        </w:tc>
        <w:tc>
          <w:tcPr>
            <w:tcW w:w="2835" w:type="dxa"/>
            <w:vAlign w:val="center"/>
          </w:tcPr>
          <w:p>
            <w:pPr>
              <w:pStyle w:val="11"/>
            </w:pPr>
            <w:r>
              <w:t>项目名称</w:t>
            </w:r>
          </w:p>
        </w:tc>
        <w:tc>
          <w:tcPr>
            <w:tcW w:w="6095" w:type="dxa"/>
            <w:gridSpan w:val="3"/>
            <w:vAlign w:val="center"/>
          </w:tcPr>
          <w:p>
            <w:pPr>
              <w:pStyle w:val="13"/>
            </w:pPr>
            <w:r>
              <w:t>2025年巡视巡察专项经费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巡察巡察业务经费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1.保障平均每轮12人，全年三轮本级巡察，两轮提级巡察，每轮两个月的巡察经费，通过巡察发现问题、形成震慑，推动党中央、省委、市委和县（区）党委重大决策部署，从严治党，遏制腐败。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巡察轮次</w:t>
            </w:r>
          </w:p>
        </w:tc>
        <w:tc>
          <w:tcPr>
            <w:tcW w:w="5386" w:type="dxa"/>
            <w:vAlign w:val="center"/>
          </w:tcPr>
          <w:p>
            <w:pPr>
              <w:pStyle w:val="13"/>
            </w:pPr>
            <w:r>
              <w:t>巡察轮次</w:t>
            </w:r>
          </w:p>
        </w:tc>
        <w:tc>
          <w:tcPr>
            <w:tcW w:w="2268" w:type="dxa"/>
            <w:vAlign w:val="center"/>
          </w:tcPr>
          <w:p>
            <w:pPr>
              <w:pStyle w:val="13"/>
            </w:pPr>
            <w:r>
              <w:t>≥3轮</w:t>
            </w:r>
          </w:p>
        </w:tc>
        <w:tc>
          <w:tcPr>
            <w:tcW w:w="1276" w:type="dxa"/>
            <w:vAlign w:val="center"/>
          </w:tcPr>
          <w:p>
            <w:pPr>
              <w:pStyle w:val="13"/>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日常巡察平均人力</w:t>
            </w:r>
          </w:p>
        </w:tc>
        <w:tc>
          <w:tcPr>
            <w:tcW w:w="5386" w:type="dxa"/>
            <w:vAlign w:val="center"/>
          </w:tcPr>
          <w:p>
            <w:pPr>
              <w:pStyle w:val="13"/>
            </w:pPr>
            <w:r>
              <w:t>日常巡察平均人力</w:t>
            </w:r>
          </w:p>
        </w:tc>
        <w:tc>
          <w:tcPr>
            <w:tcW w:w="2268" w:type="dxa"/>
            <w:vAlign w:val="center"/>
          </w:tcPr>
          <w:p>
            <w:pPr>
              <w:pStyle w:val="13"/>
            </w:pPr>
            <w:r>
              <w:t>≥12人</w:t>
            </w:r>
          </w:p>
        </w:tc>
        <w:tc>
          <w:tcPr>
            <w:tcW w:w="1276" w:type="dxa"/>
            <w:vAlign w:val="center"/>
          </w:tcPr>
          <w:p>
            <w:pPr>
              <w:pStyle w:val="13"/>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发现问题数量</w:t>
            </w:r>
          </w:p>
        </w:tc>
        <w:tc>
          <w:tcPr>
            <w:tcW w:w="5386" w:type="dxa"/>
            <w:vAlign w:val="center"/>
          </w:tcPr>
          <w:p>
            <w:pPr>
              <w:pStyle w:val="13"/>
            </w:pPr>
            <w:r>
              <w:t>发现问题数量</w:t>
            </w:r>
          </w:p>
        </w:tc>
        <w:tc>
          <w:tcPr>
            <w:tcW w:w="2268" w:type="dxa"/>
            <w:vAlign w:val="center"/>
          </w:tcPr>
          <w:p>
            <w:pPr>
              <w:pStyle w:val="13"/>
            </w:pPr>
            <w:r>
              <w:t>≥40个</w:t>
            </w:r>
          </w:p>
        </w:tc>
        <w:tc>
          <w:tcPr>
            <w:tcW w:w="1276" w:type="dxa"/>
            <w:vAlign w:val="center"/>
          </w:tcPr>
          <w:p>
            <w:pPr>
              <w:pStyle w:val="13"/>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每轮巡察时间</w:t>
            </w:r>
          </w:p>
        </w:tc>
        <w:tc>
          <w:tcPr>
            <w:tcW w:w="5386" w:type="dxa"/>
            <w:vAlign w:val="center"/>
          </w:tcPr>
          <w:p>
            <w:pPr>
              <w:pStyle w:val="13"/>
            </w:pPr>
            <w:r>
              <w:t xml:space="preserve"> 每轮巡察时间</w:t>
            </w:r>
          </w:p>
        </w:tc>
        <w:tc>
          <w:tcPr>
            <w:tcW w:w="2268" w:type="dxa"/>
            <w:vAlign w:val="center"/>
          </w:tcPr>
          <w:p>
            <w:pPr>
              <w:pStyle w:val="13"/>
            </w:pPr>
            <w:r>
              <w:t>≤2月</w:t>
            </w:r>
          </w:p>
        </w:tc>
        <w:tc>
          <w:tcPr>
            <w:tcW w:w="1276" w:type="dxa"/>
            <w:vAlign w:val="center"/>
          </w:tcPr>
          <w:p>
            <w:pPr>
              <w:pStyle w:val="13"/>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巡察期间每日平均费用</w:t>
            </w:r>
          </w:p>
        </w:tc>
        <w:tc>
          <w:tcPr>
            <w:tcW w:w="5386" w:type="dxa"/>
            <w:vAlign w:val="center"/>
          </w:tcPr>
          <w:p>
            <w:pPr>
              <w:pStyle w:val="13"/>
            </w:pPr>
            <w:r>
              <w:t>巡察期间每日平均费用</w:t>
            </w:r>
          </w:p>
        </w:tc>
        <w:tc>
          <w:tcPr>
            <w:tcW w:w="2268" w:type="dxa"/>
            <w:vAlign w:val="center"/>
          </w:tcPr>
          <w:p>
            <w:pPr>
              <w:pStyle w:val="13"/>
            </w:pPr>
            <w:r>
              <w:t>≤400元</w:t>
            </w:r>
          </w:p>
        </w:tc>
        <w:tc>
          <w:tcPr>
            <w:tcW w:w="1276" w:type="dxa"/>
            <w:vAlign w:val="center"/>
          </w:tcPr>
          <w:p>
            <w:pPr>
              <w:pStyle w:val="13"/>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可持续影响力</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持续提升</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125.00</w:t>
            </w:r>
          </w:p>
        </w:tc>
        <w:tc>
          <w:tcPr>
            <w:tcW w:w="964" w:type="dxa"/>
            <w:vAlign w:val="center"/>
          </w:tcPr>
          <w:p>
            <w:pPr>
              <w:pStyle w:val="16"/>
            </w:pPr>
            <w:r>
              <w:t>125.00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中国共产党石家庄市鹿泉区纪律检查委员会本级小计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125.00</w:t>
            </w:r>
          </w:p>
        </w:tc>
        <w:tc>
          <w:tcPr>
            <w:tcW w:w="964" w:type="dxa"/>
            <w:vAlign w:val="center"/>
          </w:tcPr>
          <w:p>
            <w:pPr>
              <w:pStyle w:val="16"/>
            </w:pPr>
            <w:r>
              <w:t>125.00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218.58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218.58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0.80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218.58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1.20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51.40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100</w:t>
            </w:r>
          </w:p>
        </w:tc>
        <w:tc>
          <w:tcPr>
            <w:tcW w:w="850" w:type="dxa"/>
            <w:vAlign w:val="center"/>
          </w:tcPr>
          <w:p>
            <w:pPr>
              <w:pStyle w:val="12"/>
            </w:pPr>
            <w:r>
              <w:t>0.03</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51.40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51.40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2025年办案一体化平台建设</w:t>
            </w:r>
          </w:p>
        </w:tc>
        <w:tc>
          <w:tcPr>
            <w:tcW w:w="964" w:type="dxa"/>
            <w:vAlign w:val="center"/>
          </w:tcPr>
          <w:p>
            <w:pPr>
              <w:pStyle w:val="12"/>
            </w:pPr>
            <w:r>
              <w:t>10.00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0.85</w:t>
            </w:r>
          </w:p>
        </w:tc>
        <w:tc>
          <w:tcPr>
            <w:tcW w:w="964" w:type="dxa"/>
            <w:vAlign w:val="center"/>
          </w:tcPr>
          <w:p>
            <w:pPr>
              <w:pStyle w:val="12"/>
            </w:pPr>
            <w:r>
              <w:t>1.70</w:t>
            </w:r>
          </w:p>
        </w:tc>
        <w:tc>
          <w:tcPr>
            <w:tcW w:w="964" w:type="dxa"/>
            <w:vAlign w:val="center"/>
          </w:tcPr>
          <w:p>
            <w:pPr>
              <w:pStyle w:val="12"/>
            </w:pPr>
            <w:r>
              <w:t>1.70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15</w:t>
            </w:r>
          </w:p>
        </w:tc>
        <w:tc>
          <w:tcPr>
            <w:tcW w:w="850" w:type="dxa"/>
            <w:vAlign w:val="center"/>
          </w:tcPr>
          <w:p>
            <w:pPr>
              <w:pStyle w:val="12"/>
            </w:pPr>
            <w:r>
              <w:t>0.15</w:t>
            </w:r>
          </w:p>
        </w:tc>
        <w:tc>
          <w:tcPr>
            <w:tcW w:w="964" w:type="dxa"/>
            <w:vAlign w:val="center"/>
          </w:tcPr>
          <w:p>
            <w:pPr>
              <w:pStyle w:val="12"/>
            </w:pPr>
            <w:r>
              <w:t>2.25</w:t>
            </w:r>
          </w:p>
        </w:tc>
        <w:tc>
          <w:tcPr>
            <w:tcW w:w="964" w:type="dxa"/>
            <w:vAlign w:val="center"/>
          </w:tcPr>
          <w:p>
            <w:pPr>
              <w:pStyle w:val="12"/>
            </w:pPr>
            <w:r>
              <w:t>2.25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0.08</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15</w:t>
            </w:r>
          </w:p>
        </w:tc>
        <w:tc>
          <w:tcPr>
            <w:tcW w:w="850" w:type="dxa"/>
            <w:vAlign w:val="center"/>
          </w:tcPr>
          <w:p>
            <w:pPr>
              <w:pStyle w:val="12"/>
            </w:pPr>
            <w:r>
              <w:t>0.10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400</w:t>
            </w:r>
          </w:p>
        </w:tc>
        <w:tc>
          <w:tcPr>
            <w:tcW w:w="850" w:type="dxa"/>
            <w:vAlign w:val="center"/>
          </w:tcPr>
          <w:p>
            <w:pPr>
              <w:pStyle w:val="12"/>
            </w:pPr>
            <w:r>
              <w:t>0.03</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0.80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2025年纪检监察业务费</w:t>
            </w:r>
          </w:p>
        </w:tc>
        <w:tc>
          <w:tcPr>
            <w:tcW w:w="964" w:type="dxa"/>
            <w:vAlign w:val="center"/>
          </w:tcPr>
          <w:p>
            <w:pPr>
              <w:pStyle w:val="12"/>
            </w:pPr>
            <w:r>
              <w:t>200.00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1.20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20</w:t>
            </w:r>
          </w:p>
        </w:tc>
        <w:tc>
          <w:tcPr>
            <w:tcW w:w="850" w:type="dxa"/>
            <w:vAlign w:val="center"/>
          </w:tcPr>
          <w:p>
            <w:pPr>
              <w:pStyle w:val="12"/>
            </w:pPr>
            <w:r>
              <w:t>0.15</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58</w:t>
            </w:r>
          </w:p>
        </w:tc>
        <w:tc>
          <w:tcPr>
            <w:tcW w:w="850" w:type="dxa"/>
            <w:vAlign w:val="center"/>
          </w:tcPr>
          <w:p>
            <w:pPr>
              <w:pStyle w:val="12"/>
            </w:pPr>
            <w:r>
              <w:t>0.04</w:t>
            </w:r>
          </w:p>
        </w:tc>
        <w:tc>
          <w:tcPr>
            <w:tcW w:w="964" w:type="dxa"/>
            <w:vAlign w:val="center"/>
          </w:tcPr>
          <w:p>
            <w:pPr>
              <w:pStyle w:val="12"/>
            </w:pPr>
            <w:r>
              <w:t>2.03</w:t>
            </w:r>
          </w:p>
        </w:tc>
        <w:tc>
          <w:tcPr>
            <w:tcW w:w="964" w:type="dxa"/>
            <w:vAlign w:val="center"/>
          </w:tcPr>
          <w:p>
            <w:pPr>
              <w:pStyle w:val="12"/>
            </w:pPr>
            <w:r>
              <w:t>2.03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0.08</w:t>
            </w:r>
          </w:p>
        </w:tc>
        <w:tc>
          <w:tcPr>
            <w:tcW w:w="964" w:type="dxa"/>
            <w:vAlign w:val="center"/>
          </w:tcPr>
          <w:p>
            <w:pPr>
              <w:pStyle w:val="12"/>
            </w:pPr>
            <w:r>
              <w:t>0.64</w:t>
            </w:r>
          </w:p>
        </w:tc>
        <w:tc>
          <w:tcPr>
            <w:tcW w:w="964" w:type="dxa"/>
            <w:vAlign w:val="center"/>
          </w:tcPr>
          <w:p>
            <w:pPr>
              <w:pStyle w:val="12"/>
            </w:pPr>
            <w:r>
              <w:t>0.64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2025年外查办案点运行费</w:t>
            </w:r>
          </w:p>
        </w:tc>
        <w:tc>
          <w:tcPr>
            <w:tcW w:w="964" w:type="dxa"/>
            <w:vAlign w:val="center"/>
          </w:tcPr>
          <w:p>
            <w:pPr>
              <w:pStyle w:val="12"/>
            </w:pPr>
            <w:r>
              <w:t>80.00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0.10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2025年巡察信息化建设</w:t>
            </w:r>
          </w:p>
        </w:tc>
        <w:tc>
          <w:tcPr>
            <w:tcW w:w="964" w:type="dxa"/>
            <w:vAlign w:val="center"/>
          </w:tcPr>
          <w:p>
            <w:pPr>
              <w:pStyle w:val="12"/>
            </w:pPr>
            <w:r>
              <w:t>40.00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1.09</w:t>
            </w:r>
          </w:p>
        </w:tc>
        <w:tc>
          <w:tcPr>
            <w:tcW w:w="964" w:type="dxa"/>
            <w:vAlign w:val="center"/>
          </w:tcPr>
          <w:p>
            <w:pPr>
              <w:pStyle w:val="12"/>
            </w:pPr>
            <w:r>
              <w:t>10.90</w:t>
            </w:r>
          </w:p>
        </w:tc>
        <w:tc>
          <w:tcPr>
            <w:tcW w:w="964" w:type="dxa"/>
            <w:vAlign w:val="center"/>
          </w:tcPr>
          <w:p>
            <w:pPr>
              <w:pStyle w:val="12"/>
            </w:pPr>
            <w:r>
              <w:t>10.90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2025年巡察信息化建设</w:t>
            </w:r>
          </w:p>
        </w:tc>
        <w:tc>
          <w:tcPr>
            <w:tcW w:w="964" w:type="dxa"/>
            <w:vAlign w:val="center"/>
          </w:tcPr>
          <w:p>
            <w:pPr>
              <w:pStyle w:val="12"/>
            </w:pPr>
            <w:r>
              <w:t>40.00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1.20</w:t>
            </w:r>
          </w:p>
        </w:tc>
        <w:tc>
          <w:tcPr>
            <w:tcW w:w="964" w:type="dxa"/>
            <w:vAlign w:val="center"/>
          </w:tcPr>
          <w:p>
            <w:pPr>
              <w:pStyle w:val="12"/>
            </w:pPr>
            <w:r>
              <w:t>10.80</w:t>
            </w:r>
          </w:p>
        </w:tc>
        <w:tc>
          <w:tcPr>
            <w:tcW w:w="964" w:type="dxa"/>
            <w:vAlign w:val="center"/>
          </w:tcPr>
          <w:p>
            <w:pPr>
              <w:pStyle w:val="12"/>
            </w:pPr>
            <w:r>
              <w:t>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2025年巡察信息化建设</w:t>
            </w:r>
          </w:p>
        </w:tc>
        <w:tc>
          <w:tcPr>
            <w:tcW w:w="964" w:type="dxa"/>
            <w:vAlign w:val="center"/>
          </w:tcPr>
          <w:p>
            <w:pPr>
              <w:pStyle w:val="12"/>
            </w:pPr>
            <w:r>
              <w:t>40.00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0.37</w:t>
            </w:r>
          </w:p>
        </w:tc>
        <w:tc>
          <w:tcPr>
            <w:tcW w:w="964" w:type="dxa"/>
            <w:vAlign w:val="center"/>
          </w:tcPr>
          <w:p>
            <w:pPr>
              <w:pStyle w:val="12"/>
            </w:pPr>
            <w:r>
              <w:t>3.70</w:t>
            </w:r>
          </w:p>
        </w:tc>
        <w:tc>
          <w:tcPr>
            <w:tcW w:w="964" w:type="dxa"/>
            <w:vAlign w:val="center"/>
          </w:tcPr>
          <w:p>
            <w:pPr>
              <w:pStyle w:val="12"/>
            </w:pPr>
            <w:r>
              <w:t>3.70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2025年巡察信息化建设</w:t>
            </w:r>
          </w:p>
        </w:tc>
        <w:tc>
          <w:tcPr>
            <w:tcW w:w="964" w:type="dxa"/>
            <w:vAlign w:val="center"/>
          </w:tcPr>
          <w:p>
            <w:pPr>
              <w:pStyle w:val="12"/>
            </w:pPr>
            <w:r>
              <w:t>40.00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0.60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2025年巡视巡察专项经费</w:t>
            </w:r>
          </w:p>
        </w:tc>
        <w:tc>
          <w:tcPr>
            <w:tcW w:w="964" w:type="dxa"/>
            <w:vAlign w:val="center"/>
          </w:tcPr>
          <w:p>
            <w:pPr>
              <w:pStyle w:val="12"/>
            </w:pPr>
            <w:r>
              <w:t>120.00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1.60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2025年巡视巡察专项经费</w:t>
            </w:r>
          </w:p>
        </w:tc>
        <w:tc>
          <w:tcPr>
            <w:tcW w:w="964" w:type="dxa"/>
            <w:vAlign w:val="center"/>
          </w:tcPr>
          <w:p>
            <w:pPr>
              <w:pStyle w:val="12"/>
            </w:pPr>
            <w:r>
              <w:t>120.00</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2025年巡视巡察专项经费</w:t>
            </w:r>
          </w:p>
        </w:tc>
        <w:tc>
          <w:tcPr>
            <w:tcW w:w="964" w:type="dxa"/>
            <w:vAlign w:val="center"/>
          </w:tcPr>
          <w:p>
            <w:pPr>
              <w:pStyle w:val="12"/>
            </w:pPr>
            <w:r>
              <w:t>120.00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2025年巡视巡察专项经费</w:t>
            </w:r>
          </w:p>
        </w:tc>
        <w:tc>
          <w:tcPr>
            <w:tcW w:w="964" w:type="dxa"/>
            <w:vAlign w:val="center"/>
          </w:tcPr>
          <w:p>
            <w:pPr>
              <w:pStyle w:val="12"/>
            </w:pPr>
            <w:r>
              <w:t>120.00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50</w:t>
            </w:r>
          </w:p>
        </w:tc>
        <w:tc>
          <w:tcPr>
            <w:tcW w:w="850" w:type="dxa"/>
            <w:vAlign w:val="center"/>
          </w:tcPr>
          <w:p>
            <w:pPr>
              <w:pStyle w:val="12"/>
            </w:pPr>
            <w:r>
              <w:t>0.03</w:t>
            </w:r>
          </w:p>
        </w:tc>
        <w:tc>
          <w:tcPr>
            <w:tcW w:w="964" w:type="dxa"/>
            <w:vAlign w:val="center"/>
          </w:tcPr>
          <w:p>
            <w:pPr>
              <w:pStyle w:val="12"/>
            </w:pPr>
            <w:r>
              <w:t>1.25</w:t>
            </w:r>
          </w:p>
        </w:tc>
        <w:tc>
          <w:tcPr>
            <w:tcW w:w="964" w:type="dxa"/>
            <w:vAlign w:val="center"/>
          </w:tcPr>
          <w:p>
            <w:pPr>
              <w:pStyle w:val="12"/>
            </w:pPr>
            <w:r>
              <w:t>1.25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2025年巡视巡察专项经费</w:t>
            </w:r>
          </w:p>
        </w:tc>
        <w:tc>
          <w:tcPr>
            <w:tcW w:w="964" w:type="dxa"/>
            <w:vAlign w:val="center"/>
          </w:tcPr>
          <w:p>
            <w:pPr>
              <w:pStyle w:val="12"/>
            </w:pPr>
            <w:r>
              <w:t>120.00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中国共产党石家庄市鹿泉区纪律检查委员会（含所属单位）上年末固定资产金额为550.55万元（详见下表）。本年度拟购置固定资产总额为79.60万元，已按要求列入政府采购预算，详见政府采购预算表。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550.55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10</w:t>
            </w:r>
          </w:p>
        </w:tc>
        <w:tc>
          <w:tcPr>
            <w:tcW w:w="2835" w:type="dxa"/>
            <w:vAlign w:val="center"/>
          </w:tcPr>
          <w:p>
            <w:pPr>
              <w:pStyle w:val="12"/>
            </w:pPr>
            <w:r>
              <w:t>152.50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1207</w:t>
            </w:r>
          </w:p>
        </w:tc>
        <w:tc>
          <w:tcPr>
            <w:tcW w:w="2835" w:type="dxa"/>
            <w:vAlign w:val="center"/>
          </w:tcPr>
          <w:p>
            <w:pPr>
              <w:pStyle w:val="12"/>
            </w:pPr>
            <w:r>
              <w:t>398.05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书宋_GBK">
    <w:altName w:val="微软雅黑"/>
    <w:panose1 w:val="02000000000000000000"/>
    <w:charset w:val="86"/>
    <w:family w:val="auto"/>
    <w:pitch w:val="default"/>
    <w:sig w:usb0="00000000" w:usb1="00000000" w:usb2="00082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584B60"/>
    <w:multiLevelType w:val="singleLevel"/>
    <w:tmpl w:val="33584B6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9F0B59"/>
    <w:rsid w:val="070429A6"/>
    <w:rsid w:val="09905E36"/>
    <w:rsid w:val="0D44711C"/>
    <w:rsid w:val="19F63627"/>
    <w:rsid w:val="45077E34"/>
    <w:rsid w:val="6DFE3569"/>
    <w:rsid w:val="75DC00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Words>14062</Words>
  <Characters>16965</Characters>
  <TotalTime>1</TotalTime>
  <ScaleCrop>false</ScaleCrop>
  <LinksUpToDate>false</LinksUpToDate>
  <CharactersWithSpaces>17238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2025-02-07T16:49:00Z</dcterms:created>
  <dc:creator>cw</dc:creator>
  <cp:lastModifiedBy>Administrator</cp:lastModifiedBy>
  <cp:lastPrinted>2025-02-14T08:09:00Z</cp:lastPrinted>
  <dcterms:modified xsi:type="dcterms:W3CDTF">2025-02-18T01:58:58Z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B4FE07DCD2C24CF396B7D66E6CABF4F6</vt:lpwstr>
  </property>
</Properties>
</file>