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jc w:val="center"/>
        <w:outlineLvl w:val="0"/>
        <w:rPr>
          <w:rFonts w:ascii="方正小标宋_GBK" w:hAnsi="方正小标宋_GBK" w:eastAsia="方正小标宋_GBK" w:cs="方正小标宋_GBK"/>
          <w:b/>
          <w:color w:val="000000"/>
          <w:spacing w:val="8"/>
          <w:sz w:val="100"/>
          <w:szCs w:val="100"/>
          <w:lang w:eastAsia="zh-CN"/>
        </w:rPr>
      </w:pPr>
      <w:r>
        <w:rPr>
          <w:rFonts w:hint="eastAsia" w:ascii="方正小标宋_GBK" w:hAnsi="方正小标宋_GBK" w:eastAsia="方正小标宋_GBK" w:cs="方正小标宋_GBK"/>
          <w:b/>
          <w:color w:val="000000"/>
          <w:spacing w:val="8"/>
          <w:sz w:val="100"/>
          <w:szCs w:val="100"/>
          <w:lang w:eastAsia="zh-CN"/>
        </w:rPr>
        <w:t>中国共产党石家庄市鹿泉区</w:t>
      </w:r>
    </w:p>
    <w:p>
      <w:pPr>
        <w:jc w:val="center"/>
        <w:outlineLvl w:val="0"/>
        <w:rPr>
          <w:rFonts w:ascii="方正小标宋简体" w:hAnsi="方正小标宋简体" w:eastAsia="方正小标宋简体" w:cs="方正小标宋简体"/>
          <w:b/>
          <w:color w:val="000000"/>
          <w:sz w:val="112"/>
          <w:szCs w:val="112"/>
          <w:lang w:eastAsia="zh-CN"/>
        </w:rPr>
      </w:pPr>
      <w:r>
        <w:rPr>
          <w:rFonts w:hint="eastAsia" w:ascii="方正小标宋_GBK" w:hAnsi="方正小标宋_GBK" w:eastAsia="方正小标宋_GBK" w:cs="方正小标宋_GBK"/>
          <w:b/>
          <w:color w:val="000000"/>
          <w:spacing w:val="8"/>
          <w:sz w:val="100"/>
          <w:szCs w:val="100"/>
          <w:lang w:eastAsia="zh-CN"/>
        </w:rPr>
        <w:t>纪律检查委员会</w:t>
      </w:r>
    </w:p>
    <w:p>
      <w:pPr>
        <w:jc w:val="center"/>
        <w:outlineLvl w:val="0"/>
        <w:rPr>
          <w:rFonts w:ascii="方正小标宋简体" w:hAnsi="方正小标宋简体" w:eastAsia="方正小标宋简体" w:cs="方正小标宋简体"/>
          <w:b/>
          <w:color w:val="000000"/>
          <w:sz w:val="94"/>
          <w:szCs w:val="94"/>
          <w:lang w:eastAsia="zh-CN"/>
        </w:rPr>
      </w:pPr>
      <w:r>
        <w:rPr>
          <w:rFonts w:hint="eastAsia" w:ascii="方正小标宋简体" w:hAnsi="方正小标宋简体" w:eastAsia="方正小标宋简体" w:cs="方正小标宋简体"/>
          <w:b/>
          <w:color w:val="000000"/>
          <w:sz w:val="94"/>
          <w:szCs w:val="94"/>
          <w:lang w:eastAsia="zh-CN"/>
        </w:rPr>
        <w:t>202</w:t>
      </w:r>
      <w:r>
        <w:rPr>
          <w:rFonts w:hint="eastAsia" w:ascii="方正小标宋简体" w:hAnsi="方正小标宋简体" w:eastAsia="方正小标宋简体" w:cs="方正小标宋简体"/>
          <w:b/>
          <w:color w:val="000000"/>
          <w:sz w:val="94"/>
          <w:szCs w:val="94"/>
          <w:lang w:val="en-US" w:eastAsia="zh-CN"/>
        </w:rPr>
        <w:t>5</w:t>
      </w:r>
      <w:r>
        <w:rPr>
          <w:rFonts w:hint="eastAsia" w:ascii="方正小标宋简体" w:hAnsi="方正小标宋简体" w:eastAsia="方正小标宋简体" w:cs="方正小标宋简体"/>
          <w:b/>
          <w:color w:val="000000"/>
          <w:sz w:val="94"/>
          <w:szCs w:val="94"/>
          <w:lang w:eastAsia="zh-CN"/>
        </w:rPr>
        <w:t>年度所属单位预算信息公开</w:t>
      </w:r>
    </w:p>
    <w:p>
      <w:pPr>
        <w:jc w:val="center"/>
        <w:outlineLvl w:val="0"/>
        <w:rPr>
          <w:rFonts w:ascii="黑体" w:hAnsi="黑体" w:eastAsia="黑体" w:cs="黑体"/>
          <w:b/>
          <w:color w:val="000000"/>
          <w:sz w:val="44"/>
          <w:lang w:eastAsia="zh-CN"/>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一、中国共产党石家庄市鹿泉区纪律检查委员会本级收支预算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一、中国共产党石家庄市鹿泉区纪律检查委员会本级收支预算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2453.81</w:t>
            </w:r>
          </w:p>
        </w:tc>
        <w:tc>
          <w:tcPr>
            <w:tcW w:w="4535" w:type="dxa"/>
            <w:vAlign w:val="center"/>
          </w:tcPr>
          <w:p>
            <w:pPr>
              <w:pStyle w:val="12"/>
            </w:pPr>
            <w:r>
              <w:t>一、一般公共服务支出</w:t>
            </w:r>
          </w:p>
        </w:tc>
        <w:tc>
          <w:tcPr>
            <w:tcW w:w="2126" w:type="dxa"/>
            <w:vAlign w:val="center"/>
          </w:tcPr>
          <w:p>
            <w:pPr>
              <w:pStyle w:val="11"/>
            </w:pPr>
            <w:r>
              <w:t>1902.69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296.95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147.65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2453.81</w:t>
            </w:r>
          </w:p>
        </w:tc>
        <w:tc>
          <w:tcPr>
            <w:tcW w:w="4535" w:type="dxa"/>
            <w:vAlign w:val="center"/>
          </w:tcPr>
          <w:p>
            <w:pPr>
              <w:pStyle w:val="14"/>
            </w:pPr>
            <w:r>
              <w:t>本年支出合计</w:t>
            </w:r>
          </w:p>
        </w:tc>
        <w:tc>
          <w:tcPr>
            <w:tcW w:w="2126" w:type="dxa"/>
            <w:vAlign w:val="center"/>
          </w:tcPr>
          <w:p>
            <w:pPr>
              <w:pStyle w:val="15"/>
            </w:pPr>
            <w:r>
              <w:t>2453.81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2453.81</w:t>
            </w:r>
          </w:p>
        </w:tc>
        <w:tc>
          <w:tcPr>
            <w:tcW w:w="4535" w:type="dxa"/>
            <w:vAlign w:val="center"/>
          </w:tcPr>
          <w:p>
            <w:pPr>
              <w:pStyle w:val="14"/>
            </w:pPr>
            <w:r>
              <w:t>支出总计</w:t>
            </w:r>
          </w:p>
        </w:tc>
        <w:tc>
          <w:tcPr>
            <w:tcW w:w="2126" w:type="dxa"/>
            <w:vAlign w:val="center"/>
          </w:tcPr>
          <w:p>
            <w:pPr>
              <w:pStyle w:val="15"/>
            </w:pPr>
            <w:r>
              <w:t>2453.81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2453.81</w:t>
            </w:r>
          </w:p>
        </w:tc>
        <w:tc>
          <w:tcPr>
            <w:tcW w:w="1134" w:type="dxa"/>
            <w:vAlign w:val="center"/>
          </w:tcPr>
          <w:p>
            <w:pPr>
              <w:pStyle w:val="15"/>
            </w:pPr>
            <w:r>
              <w:t>2453.81</w:t>
            </w:r>
          </w:p>
        </w:tc>
        <w:tc>
          <w:tcPr>
            <w:tcW w:w="1134" w:type="dxa"/>
            <w:vAlign w:val="center"/>
          </w:tcPr>
          <w:p>
            <w:pPr>
              <w:pStyle w:val="15"/>
            </w:pPr>
            <w:r>
              <w:t>2453.81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1902.69</w:t>
            </w:r>
          </w:p>
        </w:tc>
        <w:tc>
          <w:tcPr>
            <w:tcW w:w="1134" w:type="dxa"/>
            <w:vAlign w:val="center"/>
          </w:tcPr>
          <w:p>
            <w:pPr>
              <w:pStyle w:val="11"/>
            </w:pPr>
            <w:r>
              <w:t>1902.69</w:t>
            </w:r>
          </w:p>
        </w:tc>
        <w:tc>
          <w:tcPr>
            <w:tcW w:w="1134" w:type="dxa"/>
            <w:vAlign w:val="center"/>
          </w:tcPr>
          <w:p>
            <w:pPr>
              <w:pStyle w:val="11"/>
            </w:pPr>
            <w:r>
              <w:t>1902.69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1902.69</w:t>
            </w:r>
          </w:p>
        </w:tc>
        <w:tc>
          <w:tcPr>
            <w:tcW w:w="1134" w:type="dxa"/>
            <w:vAlign w:val="center"/>
          </w:tcPr>
          <w:p>
            <w:pPr>
              <w:pStyle w:val="11"/>
            </w:pPr>
            <w:r>
              <w:t>1902.69</w:t>
            </w:r>
          </w:p>
        </w:tc>
        <w:tc>
          <w:tcPr>
            <w:tcW w:w="1134" w:type="dxa"/>
            <w:vAlign w:val="center"/>
          </w:tcPr>
          <w:p>
            <w:pPr>
              <w:pStyle w:val="11"/>
            </w:pPr>
            <w:r>
              <w:t>1902.69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1425.69</w:t>
            </w:r>
          </w:p>
        </w:tc>
        <w:tc>
          <w:tcPr>
            <w:tcW w:w="1134" w:type="dxa"/>
            <w:vAlign w:val="center"/>
          </w:tcPr>
          <w:p>
            <w:pPr>
              <w:pStyle w:val="11"/>
            </w:pPr>
            <w:r>
              <w:t>1425.69</w:t>
            </w:r>
          </w:p>
        </w:tc>
        <w:tc>
          <w:tcPr>
            <w:tcW w:w="1134" w:type="dxa"/>
            <w:vAlign w:val="center"/>
          </w:tcPr>
          <w:p>
            <w:pPr>
              <w:pStyle w:val="11"/>
            </w:pPr>
            <w:r>
              <w:t>1425.69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2011102</w:t>
            </w:r>
          </w:p>
        </w:tc>
        <w:tc>
          <w:tcPr>
            <w:tcW w:w="1559" w:type="dxa"/>
            <w:vAlign w:val="center"/>
          </w:tcPr>
          <w:p>
            <w:pPr>
              <w:pStyle w:val="12"/>
            </w:pPr>
            <w:r>
              <w:t>一般行政管理事务</w:t>
            </w:r>
          </w:p>
        </w:tc>
        <w:tc>
          <w:tcPr>
            <w:tcW w:w="1134" w:type="dxa"/>
            <w:vAlign w:val="center"/>
          </w:tcPr>
          <w:p>
            <w:pPr>
              <w:pStyle w:val="11"/>
            </w:pPr>
            <w:r>
              <w:t>477.00</w:t>
            </w:r>
          </w:p>
        </w:tc>
        <w:tc>
          <w:tcPr>
            <w:tcW w:w="1134" w:type="dxa"/>
            <w:vAlign w:val="center"/>
          </w:tcPr>
          <w:p>
            <w:pPr>
              <w:pStyle w:val="11"/>
            </w:pPr>
            <w:r>
              <w:t>477.00</w:t>
            </w:r>
          </w:p>
        </w:tc>
        <w:tc>
          <w:tcPr>
            <w:tcW w:w="1134" w:type="dxa"/>
            <w:vAlign w:val="center"/>
          </w:tcPr>
          <w:p>
            <w:pPr>
              <w:pStyle w:val="11"/>
            </w:pPr>
            <w:r>
              <w:t>477.00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296.95</w:t>
            </w:r>
          </w:p>
        </w:tc>
        <w:tc>
          <w:tcPr>
            <w:tcW w:w="1134" w:type="dxa"/>
            <w:vAlign w:val="center"/>
          </w:tcPr>
          <w:p>
            <w:pPr>
              <w:pStyle w:val="11"/>
            </w:pPr>
            <w:r>
              <w:t>296.95</w:t>
            </w:r>
          </w:p>
        </w:tc>
        <w:tc>
          <w:tcPr>
            <w:tcW w:w="1134" w:type="dxa"/>
            <w:vAlign w:val="center"/>
          </w:tcPr>
          <w:p>
            <w:pPr>
              <w:pStyle w:val="11"/>
            </w:pPr>
            <w:r>
              <w:t>296.95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296.95</w:t>
            </w:r>
          </w:p>
        </w:tc>
        <w:tc>
          <w:tcPr>
            <w:tcW w:w="1134" w:type="dxa"/>
            <w:vAlign w:val="center"/>
          </w:tcPr>
          <w:p>
            <w:pPr>
              <w:pStyle w:val="11"/>
            </w:pPr>
            <w:r>
              <w:t>296.95</w:t>
            </w:r>
          </w:p>
        </w:tc>
        <w:tc>
          <w:tcPr>
            <w:tcW w:w="1134" w:type="dxa"/>
            <w:vAlign w:val="center"/>
          </w:tcPr>
          <w:p>
            <w:pPr>
              <w:pStyle w:val="11"/>
            </w:pPr>
            <w:r>
              <w:t>296.95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150.16</w:t>
            </w:r>
          </w:p>
        </w:tc>
        <w:tc>
          <w:tcPr>
            <w:tcW w:w="1134" w:type="dxa"/>
            <w:vAlign w:val="center"/>
          </w:tcPr>
          <w:p>
            <w:pPr>
              <w:pStyle w:val="11"/>
            </w:pPr>
            <w:r>
              <w:t>150.16</w:t>
            </w:r>
          </w:p>
        </w:tc>
        <w:tc>
          <w:tcPr>
            <w:tcW w:w="1134" w:type="dxa"/>
            <w:vAlign w:val="center"/>
          </w:tcPr>
          <w:p>
            <w:pPr>
              <w:pStyle w:val="11"/>
            </w:pPr>
            <w:r>
              <w:t>150.16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146.79</w:t>
            </w:r>
          </w:p>
        </w:tc>
        <w:tc>
          <w:tcPr>
            <w:tcW w:w="1134" w:type="dxa"/>
            <w:vAlign w:val="center"/>
          </w:tcPr>
          <w:p>
            <w:pPr>
              <w:pStyle w:val="11"/>
            </w:pPr>
            <w:r>
              <w:t>146.79</w:t>
            </w:r>
          </w:p>
        </w:tc>
        <w:tc>
          <w:tcPr>
            <w:tcW w:w="1134" w:type="dxa"/>
            <w:vAlign w:val="center"/>
          </w:tcPr>
          <w:p>
            <w:pPr>
              <w:pStyle w:val="11"/>
            </w:pPr>
            <w:r>
              <w:t>146.79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106.52</w:t>
            </w:r>
          </w:p>
        </w:tc>
        <w:tc>
          <w:tcPr>
            <w:tcW w:w="1134" w:type="dxa"/>
            <w:vAlign w:val="center"/>
          </w:tcPr>
          <w:p>
            <w:pPr>
              <w:pStyle w:val="11"/>
            </w:pPr>
            <w:r>
              <w:t>106.52</w:t>
            </w:r>
          </w:p>
        </w:tc>
        <w:tc>
          <w:tcPr>
            <w:tcW w:w="1134" w:type="dxa"/>
            <w:vAlign w:val="center"/>
          </w:tcPr>
          <w:p>
            <w:pPr>
              <w:pStyle w:val="11"/>
            </w:pPr>
            <w:r>
              <w:t>106.52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106.52</w:t>
            </w:r>
          </w:p>
        </w:tc>
        <w:tc>
          <w:tcPr>
            <w:tcW w:w="1134" w:type="dxa"/>
            <w:vAlign w:val="center"/>
          </w:tcPr>
          <w:p>
            <w:pPr>
              <w:pStyle w:val="11"/>
            </w:pPr>
            <w:r>
              <w:t>106.52</w:t>
            </w:r>
          </w:p>
        </w:tc>
        <w:tc>
          <w:tcPr>
            <w:tcW w:w="1134" w:type="dxa"/>
            <w:vAlign w:val="center"/>
          </w:tcPr>
          <w:p>
            <w:pPr>
              <w:pStyle w:val="11"/>
            </w:pPr>
            <w:r>
              <w:t>106.52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106.52</w:t>
            </w:r>
          </w:p>
        </w:tc>
        <w:tc>
          <w:tcPr>
            <w:tcW w:w="1134" w:type="dxa"/>
            <w:vAlign w:val="center"/>
          </w:tcPr>
          <w:p>
            <w:pPr>
              <w:pStyle w:val="11"/>
            </w:pPr>
            <w:r>
              <w:t>106.52</w:t>
            </w:r>
          </w:p>
        </w:tc>
        <w:tc>
          <w:tcPr>
            <w:tcW w:w="1134" w:type="dxa"/>
            <w:vAlign w:val="center"/>
          </w:tcPr>
          <w:p>
            <w:pPr>
              <w:pStyle w:val="11"/>
            </w:pPr>
            <w:r>
              <w:t>106.52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147.65</w:t>
            </w:r>
          </w:p>
        </w:tc>
        <w:tc>
          <w:tcPr>
            <w:tcW w:w="1134" w:type="dxa"/>
            <w:vAlign w:val="center"/>
          </w:tcPr>
          <w:p>
            <w:pPr>
              <w:pStyle w:val="11"/>
            </w:pPr>
            <w:r>
              <w:t>147.65</w:t>
            </w:r>
          </w:p>
        </w:tc>
        <w:tc>
          <w:tcPr>
            <w:tcW w:w="1134" w:type="dxa"/>
            <w:vAlign w:val="center"/>
          </w:tcPr>
          <w:p>
            <w:pPr>
              <w:pStyle w:val="11"/>
            </w:pPr>
            <w:r>
              <w:t>147.65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147.65</w:t>
            </w:r>
          </w:p>
        </w:tc>
        <w:tc>
          <w:tcPr>
            <w:tcW w:w="1134" w:type="dxa"/>
            <w:vAlign w:val="center"/>
          </w:tcPr>
          <w:p>
            <w:pPr>
              <w:pStyle w:val="11"/>
            </w:pPr>
            <w:r>
              <w:t>147.65</w:t>
            </w:r>
          </w:p>
        </w:tc>
        <w:tc>
          <w:tcPr>
            <w:tcW w:w="1134" w:type="dxa"/>
            <w:vAlign w:val="center"/>
          </w:tcPr>
          <w:p>
            <w:pPr>
              <w:pStyle w:val="11"/>
            </w:pPr>
            <w:r>
              <w:t>147.65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147.65</w:t>
            </w:r>
          </w:p>
        </w:tc>
        <w:tc>
          <w:tcPr>
            <w:tcW w:w="1134" w:type="dxa"/>
            <w:vAlign w:val="center"/>
          </w:tcPr>
          <w:p>
            <w:pPr>
              <w:pStyle w:val="11"/>
            </w:pPr>
            <w:r>
              <w:t>147.65</w:t>
            </w:r>
          </w:p>
        </w:tc>
        <w:tc>
          <w:tcPr>
            <w:tcW w:w="1134" w:type="dxa"/>
            <w:vAlign w:val="center"/>
          </w:tcPr>
          <w:p>
            <w:pPr>
              <w:pStyle w:val="11"/>
            </w:pPr>
            <w:r>
              <w:t>147.65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2453.81</w:t>
            </w:r>
          </w:p>
        </w:tc>
        <w:tc>
          <w:tcPr>
            <w:tcW w:w="1361" w:type="dxa"/>
            <w:vAlign w:val="center"/>
          </w:tcPr>
          <w:p>
            <w:pPr>
              <w:pStyle w:val="15"/>
            </w:pPr>
            <w:r>
              <w:t>1976.81</w:t>
            </w:r>
          </w:p>
        </w:tc>
        <w:tc>
          <w:tcPr>
            <w:tcW w:w="1361" w:type="dxa"/>
            <w:vAlign w:val="center"/>
          </w:tcPr>
          <w:p>
            <w:pPr>
              <w:pStyle w:val="15"/>
            </w:pPr>
            <w:r>
              <w:t>477.00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1902.69</w:t>
            </w:r>
          </w:p>
        </w:tc>
        <w:tc>
          <w:tcPr>
            <w:tcW w:w="1361" w:type="dxa"/>
            <w:vAlign w:val="center"/>
          </w:tcPr>
          <w:p>
            <w:pPr>
              <w:pStyle w:val="11"/>
            </w:pPr>
            <w:r>
              <w:t>1425.69</w:t>
            </w:r>
          </w:p>
        </w:tc>
        <w:tc>
          <w:tcPr>
            <w:tcW w:w="1361" w:type="dxa"/>
            <w:vAlign w:val="center"/>
          </w:tcPr>
          <w:p>
            <w:pPr>
              <w:pStyle w:val="11"/>
            </w:pPr>
            <w:r>
              <w:t>477.00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1902.69</w:t>
            </w:r>
          </w:p>
        </w:tc>
        <w:tc>
          <w:tcPr>
            <w:tcW w:w="1361" w:type="dxa"/>
            <w:vAlign w:val="center"/>
          </w:tcPr>
          <w:p>
            <w:pPr>
              <w:pStyle w:val="11"/>
            </w:pPr>
            <w:r>
              <w:t>1425.69</w:t>
            </w:r>
          </w:p>
        </w:tc>
        <w:tc>
          <w:tcPr>
            <w:tcW w:w="1361" w:type="dxa"/>
            <w:vAlign w:val="center"/>
          </w:tcPr>
          <w:p>
            <w:pPr>
              <w:pStyle w:val="11"/>
            </w:pPr>
            <w:r>
              <w:t>477.00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2011101</w:t>
            </w:r>
          </w:p>
        </w:tc>
        <w:tc>
          <w:tcPr>
            <w:tcW w:w="4535" w:type="dxa"/>
            <w:vAlign w:val="center"/>
          </w:tcPr>
          <w:p>
            <w:pPr>
              <w:pStyle w:val="12"/>
            </w:pPr>
            <w:r>
              <w:t>行政运行</w:t>
            </w:r>
          </w:p>
        </w:tc>
        <w:tc>
          <w:tcPr>
            <w:tcW w:w="1361" w:type="dxa"/>
            <w:vAlign w:val="center"/>
          </w:tcPr>
          <w:p>
            <w:pPr>
              <w:pStyle w:val="11"/>
            </w:pPr>
            <w:r>
              <w:t>1425.69</w:t>
            </w:r>
          </w:p>
        </w:tc>
        <w:tc>
          <w:tcPr>
            <w:tcW w:w="1361" w:type="dxa"/>
            <w:vAlign w:val="center"/>
          </w:tcPr>
          <w:p>
            <w:pPr>
              <w:pStyle w:val="11"/>
            </w:pPr>
            <w:r>
              <w:t>1425.69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2011102</w:t>
            </w:r>
          </w:p>
        </w:tc>
        <w:tc>
          <w:tcPr>
            <w:tcW w:w="4535" w:type="dxa"/>
            <w:vAlign w:val="center"/>
          </w:tcPr>
          <w:p>
            <w:pPr>
              <w:pStyle w:val="12"/>
            </w:pPr>
            <w:r>
              <w:t>一般行政管理事务</w:t>
            </w:r>
          </w:p>
        </w:tc>
        <w:tc>
          <w:tcPr>
            <w:tcW w:w="1361" w:type="dxa"/>
            <w:vAlign w:val="center"/>
          </w:tcPr>
          <w:p>
            <w:pPr>
              <w:pStyle w:val="11"/>
            </w:pPr>
            <w:r>
              <w:t>477.00</w:t>
            </w:r>
          </w:p>
        </w:tc>
        <w:tc>
          <w:tcPr>
            <w:tcW w:w="1361" w:type="dxa"/>
            <w:vAlign w:val="center"/>
          </w:tcPr>
          <w:p>
            <w:pPr>
              <w:pStyle w:val="11"/>
            </w:pPr>
          </w:p>
        </w:tc>
        <w:tc>
          <w:tcPr>
            <w:tcW w:w="1361" w:type="dxa"/>
            <w:vAlign w:val="center"/>
          </w:tcPr>
          <w:p>
            <w:pPr>
              <w:pStyle w:val="11"/>
            </w:pPr>
            <w:r>
              <w:t>477.00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296.95</w:t>
            </w:r>
          </w:p>
        </w:tc>
        <w:tc>
          <w:tcPr>
            <w:tcW w:w="1361" w:type="dxa"/>
            <w:vAlign w:val="center"/>
          </w:tcPr>
          <w:p>
            <w:pPr>
              <w:pStyle w:val="11"/>
            </w:pPr>
            <w:r>
              <w:t>296.95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296.95</w:t>
            </w:r>
          </w:p>
        </w:tc>
        <w:tc>
          <w:tcPr>
            <w:tcW w:w="1361" w:type="dxa"/>
            <w:vAlign w:val="center"/>
          </w:tcPr>
          <w:p>
            <w:pPr>
              <w:pStyle w:val="11"/>
            </w:pPr>
            <w:r>
              <w:t>296.95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150.16</w:t>
            </w:r>
          </w:p>
        </w:tc>
        <w:tc>
          <w:tcPr>
            <w:tcW w:w="1361" w:type="dxa"/>
            <w:vAlign w:val="center"/>
          </w:tcPr>
          <w:p>
            <w:pPr>
              <w:pStyle w:val="11"/>
            </w:pPr>
            <w:r>
              <w:t>150.16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146.79</w:t>
            </w:r>
          </w:p>
        </w:tc>
        <w:tc>
          <w:tcPr>
            <w:tcW w:w="1361" w:type="dxa"/>
            <w:vAlign w:val="center"/>
          </w:tcPr>
          <w:p>
            <w:pPr>
              <w:pStyle w:val="11"/>
            </w:pPr>
            <w:r>
              <w:t>146.79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106.52</w:t>
            </w:r>
          </w:p>
        </w:tc>
        <w:tc>
          <w:tcPr>
            <w:tcW w:w="1361" w:type="dxa"/>
            <w:vAlign w:val="center"/>
          </w:tcPr>
          <w:p>
            <w:pPr>
              <w:pStyle w:val="11"/>
            </w:pPr>
            <w:r>
              <w:t>106.52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106.52</w:t>
            </w:r>
          </w:p>
        </w:tc>
        <w:tc>
          <w:tcPr>
            <w:tcW w:w="1361" w:type="dxa"/>
            <w:vAlign w:val="center"/>
          </w:tcPr>
          <w:p>
            <w:pPr>
              <w:pStyle w:val="11"/>
            </w:pPr>
            <w:r>
              <w:t>106.52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106.52</w:t>
            </w:r>
          </w:p>
        </w:tc>
        <w:tc>
          <w:tcPr>
            <w:tcW w:w="1361" w:type="dxa"/>
            <w:vAlign w:val="center"/>
          </w:tcPr>
          <w:p>
            <w:pPr>
              <w:pStyle w:val="11"/>
            </w:pPr>
            <w:r>
              <w:t>106.52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147.65</w:t>
            </w:r>
          </w:p>
        </w:tc>
        <w:tc>
          <w:tcPr>
            <w:tcW w:w="1361" w:type="dxa"/>
            <w:vAlign w:val="center"/>
          </w:tcPr>
          <w:p>
            <w:pPr>
              <w:pStyle w:val="11"/>
            </w:pPr>
            <w:r>
              <w:t>147.65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147.65</w:t>
            </w:r>
          </w:p>
        </w:tc>
        <w:tc>
          <w:tcPr>
            <w:tcW w:w="1361" w:type="dxa"/>
            <w:vAlign w:val="center"/>
          </w:tcPr>
          <w:p>
            <w:pPr>
              <w:pStyle w:val="11"/>
            </w:pPr>
            <w:r>
              <w:t>147.65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147.65</w:t>
            </w:r>
          </w:p>
        </w:tc>
        <w:tc>
          <w:tcPr>
            <w:tcW w:w="1361" w:type="dxa"/>
            <w:vAlign w:val="center"/>
          </w:tcPr>
          <w:p>
            <w:pPr>
              <w:pStyle w:val="11"/>
            </w:pPr>
            <w:r>
              <w:t>147.65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2453.81</w:t>
            </w:r>
          </w:p>
        </w:tc>
        <w:tc>
          <w:tcPr>
            <w:tcW w:w="3402" w:type="dxa"/>
            <w:vAlign w:val="center"/>
          </w:tcPr>
          <w:p>
            <w:pPr>
              <w:pStyle w:val="12"/>
            </w:pPr>
            <w:r>
              <w:t>一、一般公共服务支出</w:t>
            </w:r>
          </w:p>
        </w:tc>
        <w:tc>
          <w:tcPr>
            <w:tcW w:w="1474" w:type="dxa"/>
            <w:vAlign w:val="center"/>
          </w:tcPr>
          <w:p>
            <w:pPr>
              <w:pStyle w:val="11"/>
            </w:pPr>
            <w:r>
              <w:t>1902.69</w:t>
            </w:r>
          </w:p>
        </w:tc>
        <w:tc>
          <w:tcPr>
            <w:tcW w:w="1474" w:type="dxa"/>
            <w:vAlign w:val="center"/>
          </w:tcPr>
          <w:p>
            <w:pPr>
              <w:pStyle w:val="11"/>
            </w:pPr>
            <w:r>
              <w:t>1902.69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296.95</w:t>
            </w:r>
          </w:p>
        </w:tc>
        <w:tc>
          <w:tcPr>
            <w:tcW w:w="1474" w:type="dxa"/>
            <w:vAlign w:val="center"/>
          </w:tcPr>
          <w:p>
            <w:pPr>
              <w:pStyle w:val="11"/>
            </w:pPr>
            <w:r>
              <w:t>296.95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106.52</w:t>
            </w:r>
          </w:p>
        </w:tc>
        <w:tc>
          <w:tcPr>
            <w:tcW w:w="1474" w:type="dxa"/>
            <w:vAlign w:val="center"/>
          </w:tcPr>
          <w:p>
            <w:pPr>
              <w:pStyle w:val="11"/>
            </w:pPr>
            <w:r>
              <w:t>106.52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147.65</w:t>
            </w:r>
          </w:p>
        </w:tc>
        <w:tc>
          <w:tcPr>
            <w:tcW w:w="1474" w:type="dxa"/>
            <w:vAlign w:val="center"/>
          </w:tcPr>
          <w:p>
            <w:pPr>
              <w:pStyle w:val="11"/>
            </w:pPr>
            <w:r>
              <w:t>147.65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2453.81</w:t>
            </w:r>
          </w:p>
        </w:tc>
        <w:tc>
          <w:tcPr>
            <w:tcW w:w="3402" w:type="dxa"/>
            <w:vAlign w:val="center"/>
          </w:tcPr>
          <w:p>
            <w:pPr>
              <w:pStyle w:val="14"/>
            </w:pPr>
            <w:r>
              <w:t>本年支出合计</w:t>
            </w:r>
          </w:p>
        </w:tc>
        <w:tc>
          <w:tcPr>
            <w:tcW w:w="1474" w:type="dxa"/>
            <w:vAlign w:val="center"/>
          </w:tcPr>
          <w:p>
            <w:pPr>
              <w:pStyle w:val="15"/>
            </w:pPr>
            <w:r>
              <w:t>2453.81</w:t>
            </w:r>
          </w:p>
        </w:tc>
        <w:tc>
          <w:tcPr>
            <w:tcW w:w="1474" w:type="dxa"/>
            <w:vAlign w:val="center"/>
          </w:tcPr>
          <w:p>
            <w:pPr>
              <w:pStyle w:val="15"/>
            </w:pPr>
            <w:r>
              <w:t>2453.81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2453.81</w:t>
            </w:r>
          </w:p>
        </w:tc>
        <w:tc>
          <w:tcPr>
            <w:tcW w:w="3402" w:type="dxa"/>
            <w:vAlign w:val="center"/>
          </w:tcPr>
          <w:p>
            <w:pPr>
              <w:pStyle w:val="14"/>
            </w:pPr>
            <w:r>
              <w:t>支出总计</w:t>
            </w:r>
          </w:p>
        </w:tc>
        <w:tc>
          <w:tcPr>
            <w:tcW w:w="1474" w:type="dxa"/>
            <w:vAlign w:val="center"/>
          </w:tcPr>
          <w:p>
            <w:pPr>
              <w:pStyle w:val="15"/>
            </w:pPr>
            <w:r>
              <w:t>2453.81</w:t>
            </w:r>
          </w:p>
        </w:tc>
        <w:tc>
          <w:tcPr>
            <w:tcW w:w="1474" w:type="dxa"/>
            <w:vAlign w:val="center"/>
          </w:tcPr>
          <w:p>
            <w:pPr>
              <w:pStyle w:val="15"/>
            </w:pPr>
            <w:r>
              <w:t>2453.81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2453.81</w:t>
            </w:r>
          </w:p>
        </w:tc>
        <w:tc>
          <w:tcPr>
            <w:tcW w:w="2551" w:type="dxa"/>
            <w:vAlign w:val="center"/>
          </w:tcPr>
          <w:p>
            <w:pPr>
              <w:pStyle w:val="15"/>
            </w:pPr>
            <w:r>
              <w:t>1976.81</w:t>
            </w:r>
          </w:p>
        </w:tc>
        <w:tc>
          <w:tcPr>
            <w:tcW w:w="2551" w:type="dxa"/>
            <w:vAlign w:val="center"/>
          </w:tcPr>
          <w:p>
            <w:pPr>
              <w:pStyle w:val="15"/>
            </w:pPr>
            <w:r>
              <w:t>477.00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1902.69</w:t>
            </w:r>
          </w:p>
        </w:tc>
        <w:tc>
          <w:tcPr>
            <w:tcW w:w="2551" w:type="dxa"/>
            <w:vAlign w:val="center"/>
          </w:tcPr>
          <w:p>
            <w:pPr>
              <w:pStyle w:val="11"/>
            </w:pPr>
            <w:r>
              <w:t>1425.69</w:t>
            </w:r>
          </w:p>
        </w:tc>
        <w:tc>
          <w:tcPr>
            <w:tcW w:w="2551" w:type="dxa"/>
            <w:vAlign w:val="center"/>
          </w:tcPr>
          <w:p>
            <w:pPr>
              <w:pStyle w:val="11"/>
            </w:pPr>
            <w:r>
              <w:t>477.00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1902.69</w:t>
            </w:r>
          </w:p>
        </w:tc>
        <w:tc>
          <w:tcPr>
            <w:tcW w:w="2551" w:type="dxa"/>
            <w:vAlign w:val="center"/>
          </w:tcPr>
          <w:p>
            <w:pPr>
              <w:pStyle w:val="11"/>
            </w:pPr>
            <w:r>
              <w:t>1425.69</w:t>
            </w:r>
          </w:p>
        </w:tc>
        <w:tc>
          <w:tcPr>
            <w:tcW w:w="2551" w:type="dxa"/>
            <w:vAlign w:val="center"/>
          </w:tcPr>
          <w:p>
            <w:pPr>
              <w:pStyle w:val="11"/>
            </w:pPr>
            <w:r>
              <w:t>477.00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1425.69</w:t>
            </w:r>
          </w:p>
        </w:tc>
        <w:tc>
          <w:tcPr>
            <w:tcW w:w="2551" w:type="dxa"/>
            <w:vAlign w:val="center"/>
          </w:tcPr>
          <w:p>
            <w:pPr>
              <w:pStyle w:val="11"/>
            </w:pPr>
            <w:r>
              <w:t>1425.69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2011102</w:t>
            </w:r>
          </w:p>
        </w:tc>
        <w:tc>
          <w:tcPr>
            <w:tcW w:w="4535" w:type="dxa"/>
            <w:vAlign w:val="center"/>
          </w:tcPr>
          <w:p>
            <w:pPr>
              <w:pStyle w:val="12"/>
            </w:pPr>
            <w:r>
              <w:t>一般行政管理事务</w:t>
            </w:r>
          </w:p>
        </w:tc>
        <w:tc>
          <w:tcPr>
            <w:tcW w:w="2551" w:type="dxa"/>
            <w:vAlign w:val="center"/>
          </w:tcPr>
          <w:p>
            <w:pPr>
              <w:pStyle w:val="11"/>
            </w:pPr>
            <w:r>
              <w:t>477.00</w:t>
            </w:r>
          </w:p>
        </w:tc>
        <w:tc>
          <w:tcPr>
            <w:tcW w:w="2551" w:type="dxa"/>
            <w:vAlign w:val="center"/>
          </w:tcPr>
          <w:p>
            <w:pPr>
              <w:pStyle w:val="11"/>
            </w:pPr>
          </w:p>
        </w:tc>
        <w:tc>
          <w:tcPr>
            <w:tcW w:w="2551" w:type="dxa"/>
            <w:vAlign w:val="center"/>
          </w:tcPr>
          <w:p>
            <w:pPr>
              <w:pStyle w:val="11"/>
            </w:pPr>
            <w:r>
              <w:t>477.00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296.95</w:t>
            </w:r>
          </w:p>
        </w:tc>
        <w:tc>
          <w:tcPr>
            <w:tcW w:w="2551" w:type="dxa"/>
            <w:vAlign w:val="center"/>
          </w:tcPr>
          <w:p>
            <w:pPr>
              <w:pStyle w:val="11"/>
            </w:pPr>
            <w:r>
              <w:t>296.95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296.95</w:t>
            </w:r>
          </w:p>
        </w:tc>
        <w:tc>
          <w:tcPr>
            <w:tcW w:w="2551" w:type="dxa"/>
            <w:vAlign w:val="center"/>
          </w:tcPr>
          <w:p>
            <w:pPr>
              <w:pStyle w:val="11"/>
            </w:pPr>
            <w:r>
              <w:t>296.95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150.16</w:t>
            </w:r>
          </w:p>
        </w:tc>
        <w:tc>
          <w:tcPr>
            <w:tcW w:w="2551" w:type="dxa"/>
            <w:vAlign w:val="center"/>
          </w:tcPr>
          <w:p>
            <w:pPr>
              <w:pStyle w:val="11"/>
            </w:pPr>
            <w:r>
              <w:t>150.16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146.79</w:t>
            </w:r>
          </w:p>
        </w:tc>
        <w:tc>
          <w:tcPr>
            <w:tcW w:w="2551" w:type="dxa"/>
            <w:vAlign w:val="center"/>
          </w:tcPr>
          <w:p>
            <w:pPr>
              <w:pStyle w:val="11"/>
            </w:pPr>
            <w:r>
              <w:t>146.79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106.52</w:t>
            </w:r>
          </w:p>
        </w:tc>
        <w:tc>
          <w:tcPr>
            <w:tcW w:w="2551" w:type="dxa"/>
            <w:vAlign w:val="center"/>
          </w:tcPr>
          <w:p>
            <w:pPr>
              <w:pStyle w:val="11"/>
            </w:pPr>
            <w:r>
              <w:t>106.52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106.52</w:t>
            </w:r>
          </w:p>
        </w:tc>
        <w:tc>
          <w:tcPr>
            <w:tcW w:w="2551" w:type="dxa"/>
            <w:vAlign w:val="center"/>
          </w:tcPr>
          <w:p>
            <w:pPr>
              <w:pStyle w:val="11"/>
            </w:pPr>
            <w:r>
              <w:t>106.52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106.52</w:t>
            </w:r>
          </w:p>
        </w:tc>
        <w:tc>
          <w:tcPr>
            <w:tcW w:w="2551" w:type="dxa"/>
            <w:vAlign w:val="center"/>
          </w:tcPr>
          <w:p>
            <w:pPr>
              <w:pStyle w:val="11"/>
            </w:pPr>
            <w:r>
              <w:t>106.52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147.65</w:t>
            </w:r>
          </w:p>
        </w:tc>
        <w:tc>
          <w:tcPr>
            <w:tcW w:w="2551" w:type="dxa"/>
            <w:vAlign w:val="center"/>
          </w:tcPr>
          <w:p>
            <w:pPr>
              <w:pStyle w:val="11"/>
            </w:pPr>
            <w:r>
              <w:t>147.65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147.65</w:t>
            </w:r>
          </w:p>
        </w:tc>
        <w:tc>
          <w:tcPr>
            <w:tcW w:w="2551" w:type="dxa"/>
            <w:vAlign w:val="center"/>
          </w:tcPr>
          <w:p>
            <w:pPr>
              <w:pStyle w:val="11"/>
            </w:pPr>
            <w:r>
              <w:t>147.65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147.65</w:t>
            </w:r>
          </w:p>
        </w:tc>
        <w:tc>
          <w:tcPr>
            <w:tcW w:w="2551" w:type="dxa"/>
            <w:vAlign w:val="center"/>
          </w:tcPr>
          <w:p>
            <w:pPr>
              <w:pStyle w:val="11"/>
            </w:pPr>
            <w:r>
              <w:t>147.65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1976.81</w:t>
            </w:r>
          </w:p>
        </w:tc>
        <w:tc>
          <w:tcPr>
            <w:tcW w:w="2551" w:type="dxa"/>
            <w:vAlign w:val="center"/>
          </w:tcPr>
          <w:p>
            <w:pPr>
              <w:pStyle w:val="15"/>
            </w:pPr>
            <w:r>
              <w:t>1706.83</w:t>
            </w:r>
          </w:p>
        </w:tc>
        <w:tc>
          <w:tcPr>
            <w:tcW w:w="2551" w:type="dxa"/>
            <w:vAlign w:val="center"/>
          </w:tcPr>
          <w:p>
            <w:pPr>
              <w:pStyle w:val="15"/>
            </w:pPr>
            <w:r>
              <w:t>269.98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1560.49</w:t>
            </w:r>
          </w:p>
        </w:tc>
        <w:tc>
          <w:tcPr>
            <w:tcW w:w="2551" w:type="dxa"/>
            <w:vAlign w:val="center"/>
          </w:tcPr>
          <w:p>
            <w:pPr>
              <w:pStyle w:val="11"/>
            </w:pPr>
            <w:r>
              <w:t>1560.49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401.09</w:t>
            </w:r>
          </w:p>
        </w:tc>
        <w:tc>
          <w:tcPr>
            <w:tcW w:w="2551" w:type="dxa"/>
            <w:vAlign w:val="center"/>
          </w:tcPr>
          <w:p>
            <w:pPr>
              <w:pStyle w:val="11"/>
            </w:pPr>
            <w:r>
              <w:t>401.09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351.64</w:t>
            </w:r>
          </w:p>
        </w:tc>
        <w:tc>
          <w:tcPr>
            <w:tcW w:w="2551" w:type="dxa"/>
            <w:vAlign w:val="center"/>
          </w:tcPr>
          <w:p>
            <w:pPr>
              <w:pStyle w:val="11"/>
            </w:pPr>
            <w:r>
              <w:t>351.64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367.57</w:t>
            </w:r>
          </w:p>
        </w:tc>
        <w:tc>
          <w:tcPr>
            <w:tcW w:w="2551" w:type="dxa"/>
            <w:vAlign w:val="center"/>
          </w:tcPr>
          <w:p>
            <w:pPr>
              <w:pStyle w:val="11"/>
            </w:pPr>
            <w:r>
              <w:t>367.57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35.51</w:t>
            </w:r>
          </w:p>
        </w:tc>
        <w:tc>
          <w:tcPr>
            <w:tcW w:w="2551" w:type="dxa"/>
            <w:vAlign w:val="center"/>
          </w:tcPr>
          <w:p>
            <w:pPr>
              <w:pStyle w:val="11"/>
            </w:pPr>
            <w:r>
              <w:t>35.51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146.79</w:t>
            </w:r>
          </w:p>
        </w:tc>
        <w:tc>
          <w:tcPr>
            <w:tcW w:w="2551" w:type="dxa"/>
            <w:vAlign w:val="center"/>
          </w:tcPr>
          <w:p>
            <w:pPr>
              <w:pStyle w:val="11"/>
            </w:pPr>
            <w:r>
              <w:t>146.79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60.05</w:t>
            </w:r>
          </w:p>
        </w:tc>
        <w:tc>
          <w:tcPr>
            <w:tcW w:w="2551" w:type="dxa"/>
            <w:vAlign w:val="center"/>
          </w:tcPr>
          <w:p>
            <w:pPr>
              <w:pStyle w:val="11"/>
            </w:pPr>
            <w:r>
              <w:t>60.05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46.47</w:t>
            </w:r>
          </w:p>
        </w:tc>
        <w:tc>
          <w:tcPr>
            <w:tcW w:w="2551" w:type="dxa"/>
            <w:vAlign w:val="center"/>
          </w:tcPr>
          <w:p>
            <w:pPr>
              <w:pStyle w:val="11"/>
            </w:pPr>
            <w:r>
              <w:t>46.47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3.72</w:t>
            </w:r>
          </w:p>
        </w:tc>
        <w:tc>
          <w:tcPr>
            <w:tcW w:w="2551" w:type="dxa"/>
            <w:vAlign w:val="center"/>
          </w:tcPr>
          <w:p>
            <w:pPr>
              <w:pStyle w:val="11"/>
            </w:pPr>
            <w:r>
              <w:t>3.72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147.65</w:t>
            </w:r>
          </w:p>
        </w:tc>
        <w:tc>
          <w:tcPr>
            <w:tcW w:w="2551" w:type="dxa"/>
            <w:vAlign w:val="center"/>
          </w:tcPr>
          <w:p>
            <w:pPr>
              <w:pStyle w:val="11"/>
            </w:pPr>
            <w:r>
              <w:t>147.65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269.98</w:t>
            </w:r>
          </w:p>
        </w:tc>
        <w:tc>
          <w:tcPr>
            <w:tcW w:w="2551" w:type="dxa"/>
            <w:vAlign w:val="center"/>
          </w:tcPr>
          <w:p>
            <w:pPr>
              <w:pStyle w:val="11"/>
            </w:pPr>
          </w:p>
        </w:tc>
        <w:tc>
          <w:tcPr>
            <w:tcW w:w="2551" w:type="dxa"/>
            <w:vAlign w:val="center"/>
          </w:tcPr>
          <w:p>
            <w:pPr>
              <w:pStyle w:val="11"/>
            </w:pPr>
            <w:r>
              <w:t>269.98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51.40</w:t>
            </w:r>
          </w:p>
        </w:tc>
        <w:tc>
          <w:tcPr>
            <w:tcW w:w="2551" w:type="dxa"/>
            <w:vAlign w:val="center"/>
          </w:tcPr>
          <w:p>
            <w:pPr>
              <w:pStyle w:val="11"/>
            </w:pPr>
          </w:p>
        </w:tc>
        <w:tc>
          <w:tcPr>
            <w:tcW w:w="2551" w:type="dxa"/>
            <w:vAlign w:val="center"/>
          </w:tcPr>
          <w:p>
            <w:pPr>
              <w:pStyle w:val="11"/>
            </w:pPr>
            <w:r>
              <w:t>51.40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46.67</w:t>
            </w:r>
          </w:p>
        </w:tc>
        <w:tc>
          <w:tcPr>
            <w:tcW w:w="2551" w:type="dxa"/>
            <w:vAlign w:val="center"/>
          </w:tcPr>
          <w:p>
            <w:pPr>
              <w:pStyle w:val="11"/>
            </w:pPr>
          </w:p>
        </w:tc>
        <w:tc>
          <w:tcPr>
            <w:tcW w:w="2551" w:type="dxa"/>
            <w:vAlign w:val="center"/>
          </w:tcPr>
          <w:p>
            <w:pPr>
              <w:pStyle w:val="11"/>
            </w:pPr>
            <w:r>
              <w:t>46.67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75.69</w:t>
            </w:r>
          </w:p>
        </w:tc>
        <w:tc>
          <w:tcPr>
            <w:tcW w:w="2551" w:type="dxa"/>
            <w:vAlign w:val="center"/>
          </w:tcPr>
          <w:p>
            <w:pPr>
              <w:pStyle w:val="11"/>
            </w:pPr>
          </w:p>
        </w:tc>
        <w:tc>
          <w:tcPr>
            <w:tcW w:w="2551" w:type="dxa"/>
            <w:vAlign w:val="center"/>
          </w:tcPr>
          <w:p>
            <w:pPr>
              <w:pStyle w:val="11"/>
            </w:pPr>
            <w:r>
              <w:t>75.69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8.31</w:t>
            </w:r>
          </w:p>
        </w:tc>
        <w:tc>
          <w:tcPr>
            <w:tcW w:w="2551" w:type="dxa"/>
            <w:vAlign w:val="center"/>
          </w:tcPr>
          <w:p>
            <w:pPr>
              <w:pStyle w:val="11"/>
            </w:pPr>
          </w:p>
        </w:tc>
        <w:tc>
          <w:tcPr>
            <w:tcW w:w="2551" w:type="dxa"/>
            <w:vAlign w:val="center"/>
          </w:tcPr>
          <w:p>
            <w:pPr>
              <w:pStyle w:val="11"/>
            </w:pPr>
            <w:r>
              <w:t>8.31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10.03</w:t>
            </w:r>
          </w:p>
        </w:tc>
        <w:tc>
          <w:tcPr>
            <w:tcW w:w="2551" w:type="dxa"/>
            <w:vAlign w:val="center"/>
          </w:tcPr>
          <w:p>
            <w:pPr>
              <w:pStyle w:val="11"/>
            </w:pPr>
          </w:p>
        </w:tc>
        <w:tc>
          <w:tcPr>
            <w:tcW w:w="2551" w:type="dxa"/>
            <w:vAlign w:val="center"/>
          </w:tcPr>
          <w:p>
            <w:pPr>
              <w:pStyle w:val="11"/>
            </w:pPr>
            <w:r>
              <w:t>10.03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56.88</w:t>
            </w:r>
          </w:p>
        </w:tc>
        <w:tc>
          <w:tcPr>
            <w:tcW w:w="2551" w:type="dxa"/>
            <w:vAlign w:val="center"/>
          </w:tcPr>
          <w:p>
            <w:pPr>
              <w:pStyle w:val="11"/>
            </w:pPr>
          </w:p>
        </w:tc>
        <w:tc>
          <w:tcPr>
            <w:tcW w:w="2551" w:type="dxa"/>
            <w:vAlign w:val="center"/>
          </w:tcPr>
          <w:p>
            <w:pPr>
              <w:pStyle w:val="11"/>
            </w:pPr>
            <w:r>
              <w:t>56.88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5.50</w:t>
            </w:r>
          </w:p>
        </w:tc>
        <w:tc>
          <w:tcPr>
            <w:tcW w:w="2551" w:type="dxa"/>
            <w:vAlign w:val="center"/>
          </w:tcPr>
          <w:p>
            <w:pPr>
              <w:pStyle w:val="11"/>
            </w:pPr>
          </w:p>
        </w:tc>
        <w:tc>
          <w:tcPr>
            <w:tcW w:w="2551" w:type="dxa"/>
            <w:vAlign w:val="center"/>
          </w:tcPr>
          <w:p>
            <w:pPr>
              <w:pStyle w:val="11"/>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146.34</w:t>
            </w:r>
          </w:p>
        </w:tc>
        <w:tc>
          <w:tcPr>
            <w:tcW w:w="2551" w:type="dxa"/>
            <w:vAlign w:val="center"/>
          </w:tcPr>
          <w:p>
            <w:pPr>
              <w:pStyle w:val="11"/>
            </w:pPr>
            <w:r>
              <w:t>146.34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146.34</w:t>
            </w:r>
          </w:p>
        </w:tc>
        <w:tc>
          <w:tcPr>
            <w:tcW w:w="2551" w:type="dxa"/>
            <w:vAlign w:val="center"/>
          </w:tcPr>
          <w:p>
            <w:pPr>
              <w:pStyle w:val="11"/>
            </w:pPr>
            <w:r>
              <w:t>146.34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29.00</w:t>
            </w:r>
          </w:p>
        </w:tc>
        <w:tc>
          <w:tcPr>
            <w:tcW w:w="2381" w:type="dxa"/>
            <w:vAlign w:val="center"/>
          </w:tcPr>
          <w:p>
            <w:pPr>
              <w:pStyle w:val="15"/>
            </w:pPr>
            <w:r>
              <w:t>29.00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29.00</w:t>
            </w:r>
          </w:p>
        </w:tc>
        <w:tc>
          <w:tcPr>
            <w:tcW w:w="2381" w:type="dxa"/>
            <w:vAlign w:val="center"/>
          </w:tcPr>
          <w:p>
            <w:pPr>
              <w:pStyle w:val="11"/>
            </w:pPr>
            <w:r>
              <w:t>29.00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27.00</w:t>
            </w:r>
          </w:p>
        </w:tc>
        <w:tc>
          <w:tcPr>
            <w:tcW w:w="2381" w:type="dxa"/>
            <w:vAlign w:val="center"/>
          </w:tcPr>
          <w:p>
            <w:pPr>
              <w:pStyle w:val="11"/>
            </w:pPr>
            <w:r>
              <w:t>27.00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27.00</w:t>
            </w:r>
          </w:p>
        </w:tc>
        <w:tc>
          <w:tcPr>
            <w:tcW w:w="2381" w:type="dxa"/>
            <w:vAlign w:val="center"/>
          </w:tcPr>
          <w:p>
            <w:pPr>
              <w:pStyle w:val="11"/>
            </w:pPr>
            <w:r>
              <w:t>27.00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中国共产党石家庄市鹿泉区纪律检查委员会本级2025年单位预算信息公开情况说明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按照《中华人民共和国预算法》、《地方预决算公开操作规程》和《关于进一步推进预算公开工作的实施意见》规定，现将中国共产党石家庄市鹿泉区纪律检查委员会本级2025年单位预算公开如下：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全区党的纪律检查工作。贯彻落实党中央和省委、市委、区委关于纪律检查工作的决策部署，维护党的章程和其他党内法规，检查党的路线方针政策和决议的执行情况，协助区委推进全面从严治党、加强党风建设和组织协调反腐败工作。</w:t>
      </w:r>
    </w:p>
    <w:p>
      <w:pPr>
        <w:pStyle w:val="17"/>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17"/>
      </w:pPr>
      <w:r>
        <w:t>（三）支持配合巡视、巡察工作。承担巡视、巡察整改日常监督责任，做好巡视、巡察整改督查督办工作，依规依纪依法处置巡视、巡察移交的反映领导干部问题线索。</w:t>
      </w:r>
    </w:p>
    <w:p>
      <w:pPr>
        <w:pStyle w:val="17"/>
      </w:pPr>
      <w:r>
        <w:t>（四）负责全区监察工作。贯彻落实党中央和省委、市委、区委关于监察工作的决策部署，维护宪法法律，依法对区委管理的行使公权力的公职人员进行监察，调查职务违法和职务犯罪，开展廉政建设和反腐败工作。</w:t>
      </w:r>
    </w:p>
    <w:p>
      <w:pPr>
        <w:pStyle w:val="17"/>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17"/>
      </w:pPr>
      <w:r>
        <w:t>（六）负责组织协调全面从严治党、党风廉政建设和反腐败宣传教育工作。</w:t>
      </w:r>
    </w:p>
    <w:p>
      <w:pPr>
        <w:pStyle w:val="17"/>
      </w:pPr>
      <w:r>
        <w:t>（七）负责综合分析全面从严治党、党风廉政建设和反腐败工作情况，对纪检监察工作重要理论及实践问题进行调查研究；制定或者修改全区纪检监察制度规定，参与起草有关规范性文件。</w:t>
      </w:r>
    </w:p>
    <w:p>
      <w:pPr>
        <w:pStyle w:val="17"/>
      </w:pPr>
      <w:r>
        <w:t>（八）负责组织协调全区反腐败追逃追赃和防逃工作，督促有关单位做好相关工作。</w:t>
      </w:r>
    </w:p>
    <w:p>
      <w:pPr>
        <w:pStyle w:val="17"/>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pStyle w:val="17"/>
      </w:pPr>
      <w:r>
        <w:t>（十）完成市纪委监委、区委交办的其他任务。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中国共产党石家庄市鹿泉区纪律检查委员会本级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2453.81万元，其中：一般公共预算收入2453.81万元，基金预算收入0.00万元，国有资本经营预算收入0.00万元，财政专户核拨收入0.00万元，单位资金收入0.00万元，上年结转结余0.00万元。</w:t>
      </w:r>
    </w:p>
    <w:p>
      <w:pPr>
        <w:pStyle w:val="18"/>
      </w:pPr>
      <w:r>
        <w:t>2、支出说明</w:t>
      </w:r>
    </w:p>
    <w:p>
      <w:pPr>
        <w:pStyle w:val="18"/>
        <w:rPr>
          <w:rFonts w:hint="eastAsia" w:eastAsia="方正仿宋_GBK"/>
          <w:lang w:eastAsia="zh-CN"/>
        </w:rPr>
      </w:pPr>
      <w:r>
        <w:t>收支预算总表支出栏、基本支出表、项目支出表按经济分类和支出功能分类科目编制，反映中国共产党石家庄市鹿泉区纪律检查委员会本级年度单位预算中支出预算的总体情况。2025年支出预算2453.81万元，其中基本支出1976.81万元，包括人员经费1706.83万元和日常公用经费269.98万元；项目支出477.00万元，主要为纪检监察业务费、乡镇纪检监察业务费、巡视巡察专项经费、外查办案点运行费用、巡察信息化建设费用、办案一体化平台建设</w:t>
      </w:r>
      <w:r>
        <w:rPr>
          <w:rFonts w:hint="eastAsia"/>
          <w:lang w:eastAsia="zh-CN"/>
        </w:rPr>
        <w:t>。</w:t>
      </w:r>
    </w:p>
    <w:p>
      <w:pPr>
        <w:pStyle w:val="18"/>
      </w:pPr>
      <w:r>
        <w:t>3、比上年增减情况</w:t>
      </w:r>
    </w:p>
    <w:p>
      <w:pPr>
        <w:pStyle w:val="18"/>
        <w:rPr>
          <w:rFonts w:hint="eastAsia" w:eastAsia="方正仿宋_GBK"/>
          <w:lang w:eastAsia="zh-CN"/>
        </w:rPr>
      </w:pPr>
      <w:r>
        <w:t>2025年预算收支安排2453.81万元，较2024年预算增加141.40万元，其中：基本支出增加51.40万元，主要为我部门2025年初在职人员94人，较2024年初人员增加，人员经费增加项目支出增加90.00万元，主要为增加外查办案点运行费用</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2025年，我单位机关运行经费共计安排269.98万元，主要用于日常维修、办公用房水电费、办公用房取暖费、办公用房物业管理费等日常运行支出。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 xml:space="preserve">2025年，我单位财政拨款“三公”经费预算安排29.00万元，其中因公出国（境）费0.00万元；公务用车购置及运维费27.00万元（其中：公务用车购置费为0.00万元，公务用车运维费27.00万元)；公务接待费2.00万元。与2024年相比增加13.50万元，增减变化的主要原因是我部门共有10辆公车，按照每辆车2.7万元计算，公务用车运行费应为27万元，2024年在公用经费中列支了5辆车的公务用车运行费用，剩余5辆车公务运行费用从纪检业务费列支，做2024年预算时未从纪检业务费中调整出来，2024年8月已调整预算。   </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1、2025年办案一体化平台建设绩效目标表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13011025P00321910018W</w:t>
            </w:r>
          </w:p>
        </w:tc>
        <w:tc>
          <w:tcPr>
            <w:tcW w:w="2835" w:type="dxa"/>
            <w:vAlign w:val="center"/>
          </w:tcPr>
          <w:p>
            <w:pPr>
              <w:pStyle w:val="10"/>
            </w:pPr>
            <w:r>
              <w:t>项目名称</w:t>
            </w:r>
          </w:p>
        </w:tc>
        <w:tc>
          <w:tcPr>
            <w:tcW w:w="6095" w:type="dxa"/>
            <w:gridSpan w:val="3"/>
            <w:vAlign w:val="center"/>
          </w:tcPr>
          <w:p>
            <w:pPr>
              <w:pStyle w:val="12"/>
            </w:pPr>
            <w:r>
              <w:t>2025年办案一体化平台建设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办案一体化平台建设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1.建设集线索处置、案件查办、措施管理、智慧审理、数字监管等功能于一体的办案工作平台，很大程度上提高纪检监察工作的信息化水平，使纪检监察工作更加规范化。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国产涉密台式机数量</w:t>
            </w:r>
          </w:p>
        </w:tc>
        <w:tc>
          <w:tcPr>
            <w:tcW w:w="5386" w:type="dxa"/>
            <w:vAlign w:val="center"/>
          </w:tcPr>
          <w:p>
            <w:pPr>
              <w:pStyle w:val="12"/>
            </w:pPr>
            <w:r>
              <w:t>国产涉密台式机数量</w:t>
            </w:r>
          </w:p>
        </w:tc>
        <w:tc>
          <w:tcPr>
            <w:tcW w:w="2268" w:type="dxa"/>
            <w:vAlign w:val="center"/>
          </w:tcPr>
          <w:p>
            <w:pPr>
              <w:pStyle w:val="12"/>
            </w:pPr>
            <w:r>
              <w:t>2台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配套防火墙数量</w:t>
            </w:r>
          </w:p>
        </w:tc>
        <w:tc>
          <w:tcPr>
            <w:tcW w:w="5386" w:type="dxa"/>
            <w:vAlign w:val="center"/>
          </w:tcPr>
          <w:p>
            <w:pPr>
              <w:pStyle w:val="12"/>
            </w:pPr>
            <w:r>
              <w:t>配套防火墙数量</w:t>
            </w:r>
          </w:p>
        </w:tc>
        <w:tc>
          <w:tcPr>
            <w:tcW w:w="2268" w:type="dxa"/>
            <w:vAlign w:val="center"/>
          </w:tcPr>
          <w:p>
            <w:pPr>
              <w:pStyle w:val="12"/>
            </w:pPr>
            <w:r>
              <w:t>1套</w:t>
            </w:r>
          </w:p>
        </w:tc>
        <w:tc>
          <w:tcPr>
            <w:tcW w:w="1276" w:type="dxa"/>
            <w:vAlign w:val="center"/>
          </w:tcPr>
          <w:p>
            <w:pPr>
              <w:pStyle w:val="12"/>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产品质量合格率</w:t>
            </w:r>
          </w:p>
        </w:tc>
        <w:tc>
          <w:tcPr>
            <w:tcW w:w="5386" w:type="dxa"/>
            <w:vAlign w:val="center"/>
          </w:tcPr>
          <w:p>
            <w:pPr>
              <w:pStyle w:val="12"/>
            </w:pPr>
            <w:r>
              <w:t>产品质量合格率</w:t>
            </w:r>
          </w:p>
        </w:tc>
        <w:tc>
          <w:tcPr>
            <w:tcW w:w="2268" w:type="dxa"/>
            <w:vAlign w:val="center"/>
          </w:tcPr>
          <w:p>
            <w:pPr>
              <w:pStyle w:val="12"/>
            </w:pPr>
            <w:r>
              <w:t>100百分比</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完成项目成本</w:t>
            </w:r>
          </w:p>
        </w:tc>
        <w:tc>
          <w:tcPr>
            <w:tcW w:w="5386" w:type="dxa"/>
            <w:vAlign w:val="center"/>
          </w:tcPr>
          <w:p>
            <w:pPr>
              <w:pStyle w:val="12"/>
            </w:pPr>
            <w:r>
              <w:t>完成项目成本</w:t>
            </w:r>
          </w:p>
        </w:tc>
        <w:tc>
          <w:tcPr>
            <w:tcW w:w="2268" w:type="dxa"/>
            <w:vAlign w:val="center"/>
          </w:tcPr>
          <w:p>
            <w:pPr>
              <w:pStyle w:val="12"/>
            </w:pPr>
            <w:r>
              <w:t>≤10万元</w:t>
            </w:r>
          </w:p>
        </w:tc>
        <w:tc>
          <w:tcPr>
            <w:tcW w:w="1276" w:type="dxa"/>
            <w:vAlign w:val="center"/>
          </w:tcPr>
          <w:p>
            <w:pPr>
              <w:pStyle w:val="12"/>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项目完成时效</w:t>
            </w:r>
          </w:p>
        </w:tc>
        <w:tc>
          <w:tcPr>
            <w:tcW w:w="5386" w:type="dxa"/>
            <w:vAlign w:val="center"/>
          </w:tcPr>
          <w:p>
            <w:pPr>
              <w:pStyle w:val="12"/>
            </w:pPr>
            <w:r>
              <w:t>项目完成时间</w:t>
            </w:r>
          </w:p>
        </w:tc>
        <w:tc>
          <w:tcPr>
            <w:tcW w:w="2268" w:type="dxa"/>
            <w:vAlign w:val="center"/>
          </w:tcPr>
          <w:p>
            <w:pPr>
              <w:pStyle w:val="12"/>
            </w:pPr>
            <w:r>
              <w:t>≤12月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项目持续发挥作用</w:t>
            </w:r>
          </w:p>
        </w:tc>
        <w:tc>
          <w:tcPr>
            <w:tcW w:w="2268" w:type="dxa"/>
            <w:vAlign w:val="center"/>
          </w:tcPr>
          <w:p>
            <w:pPr>
              <w:pStyle w:val="12"/>
            </w:pPr>
            <w:r>
              <w:t>≥1年</w:t>
            </w:r>
          </w:p>
        </w:tc>
        <w:tc>
          <w:tcPr>
            <w:tcW w:w="1276" w:type="dxa"/>
            <w:vAlign w:val="center"/>
          </w:tcPr>
          <w:p>
            <w:pPr>
              <w:pStyle w:val="12"/>
            </w:pPr>
            <w:r>
              <w:t>工作计划</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2、2025年纪检监察业务费绩效目标表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13011025P003219100152</w:t>
            </w:r>
          </w:p>
        </w:tc>
        <w:tc>
          <w:tcPr>
            <w:tcW w:w="2835" w:type="dxa"/>
            <w:vAlign w:val="center"/>
          </w:tcPr>
          <w:p>
            <w:pPr>
              <w:pStyle w:val="10"/>
            </w:pPr>
            <w:r>
              <w:t>项目名称</w:t>
            </w:r>
          </w:p>
        </w:tc>
        <w:tc>
          <w:tcPr>
            <w:tcW w:w="6095" w:type="dxa"/>
            <w:gridSpan w:val="3"/>
            <w:vAlign w:val="center"/>
          </w:tcPr>
          <w:p>
            <w:pPr>
              <w:pStyle w:val="12"/>
            </w:pPr>
            <w:r>
              <w:t>2025年纪检监察业务费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保障89人办案业务经费，维护党纪国法尊严，惩处腐败分子，有效遏制腐败现象。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1.保障89人办案业务经费，维护党纪国法尊严，惩处腐败分子，有效遏制腐败现象。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经费保障人数</w:t>
            </w:r>
          </w:p>
        </w:tc>
        <w:tc>
          <w:tcPr>
            <w:tcW w:w="5386" w:type="dxa"/>
            <w:vAlign w:val="center"/>
          </w:tcPr>
          <w:p>
            <w:pPr>
              <w:pStyle w:val="12"/>
            </w:pPr>
            <w:r>
              <w:t>经费保障人数</w:t>
            </w:r>
          </w:p>
        </w:tc>
        <w:tc>
          <w:tcPr>
            <w:tcW w:w="2268" w:type="dxa"/>
            <w:vAlign w:val="center"/>
          </w:tcPr>
          <w:p>
            <w:pPr>
              <w:pStyle w:val="12"/>
            </w:pPr>
            <w:r>
              <w:t>≥89人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≥85百分百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案件办结时限</w:t>
            </w:r>
          </w:p>
        </w:tc>
        <w:tc>
          <w:tcPr>
            <w:tcW w:w="5386" w:type="dxa"/>
            <w:vAlign w:val="center"/>
          </w:tcPr>
          <w:p>
            <w:pPr>
              <w:pStyle w:val="12"/>
            </w:pPr>
            <w:r>
              <w:t>案件办结时限</w:t>
            </w:r>
          </w:p>
        </w:tc>
        <w:tc>
          <w:tcPr>
            <w:tcW w:w="2268" w:type="dxa"/>
            <w:vAlign w:val="center"/>
          </w:tcPr>
          <w:p>
            <w:pPr>
              <w:pStyle w:val="12"/>
            </w:pPr>
            <w:r>
              <w:t>≤3月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预算资金执行率</w:t>
            </w:r>
          </w:p>
        </w:tc>
        <w:tc>
          <w:tcPr>
            <w:tcW w:w="5386" w:type="dxa"/>
            <w:vAlign w:val="center"/>
          </w:tcPr>
          <w:p>
            <w:pPr>
              <w:pStyle w:val="12"/>
            </w:pPr>
            <w:r>
              <w:t>预算资金执行率</w:t>
            </w:r>
          </w:p>
        </w:tc>
        <w:tc>
          <w:tcPr>
            <w:tcW w:w="2268" w:type="dxa"/>
            <w:vAlign w:val="center"/>
          </w:tcPr>
          <w:p>
            <w:pPr>
              <w:pStyle w:val="12"/>
            </w:pPr>
            <w:r>
              <w:t>≥90百分百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挽回经济损失</w:t>
            </w:r>
          </w:p>
        </w:tc>
        <w:tc>
          <w:tcPr>
            <w:tcW w:w="5386" w:type="dxa"/>
            <w:vAlign w:val="center"/>
          </w:tcPr>
          <w:p>
            <w:pPr>
              <w:pStyle w:val="12"/>
            </w:pPr>
            <w:r>
              <w:t>挽回经济损失</w:t>
            </w:r>
          </w:p>
        </w:tc>
        <w:tc>
          <w:tcPr>
            <w:tcW w:w="2268" w:type="dxa"/>
            <w:vAlign w:val="center"/>
          </w:tcPr>
          <w:p>
            <w:pPr>
              <w:pStyle w:val="12"/>
            </w:pPr>
            <w:r>
              <w:t>≥100万元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项目持续发挥作用时间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不断提升</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3、2025年外查办案点运行费绩效目标表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13011025P00321910020U</w:t>
            </w:r>
          </w:p>
        </w:tc>
        <w:tc>
          <w:tcPr>
            <w:tcW w:w="2835" w:type="dxa"/>
            <w:vAlign w:val="center"/>
          </w:tcPr>
          <w:p>
            <w:pPr>
              <w:pStyle w:val="10"/>
            </w:pPr>
            <w:r>
              <w:t>项目名称</w:t>
            </w:r>
          </w:p>
        </w:tc>
        <w:tc>
          <w:tcPr>
            <w:tcW w:w="6095" w:type="dxa"/>
            <w:gridSpan w:val="3"/>
            <w:vAlign w:val="center"/>
          </w:tcPr>
          <w:p>
            <w:pPr>
              <w:pStyle w:val="12"/>
            </w:pPr>
            <w:r>
              <w:t>2025年外查办案点运行费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外查办案点租赁费，及日常运营所产生的取暖费、水电费、燃气费、电话费、物业费以及办公设备购置等费用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1.认真落实省市纪委关于各县（市、区）纪委监委需实行独栋或独立楼层集中办公的重要精神，严格做好纪检监察工作，，保障谈话工作有序开展，确保办案安全，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租赁房屋面积</w:t>
            </w:r>
          </w:p>
        </w:tc>
        <w:tc>
          <w:tcPr>
            <w:tcW w:w="5386" w:type="dxa"/>
            <w:vAlign w:val="center"/>
          </w:tcPr>
          <w:p>
            <w:pPr>
              <w:pStyle w:val="12"/>
            </w:pPr>
            <w:r>
              <w:t>租赁房屋面积</w:t>
            </w:r>
          </w:p>
        </w:tc>
        <w:tc>
          <w:tcPr>
            <w:tcW w:w="2268" w:type="dxa"/>
            <w:vAlign w:val="center"/>
          </w:tcPr>
          <w:p>
            <w:pPr>
              <w:pStyle w:val="12"/>
            </w:pPr>
            <w:r>
              <w:t>1484平米</w:t>
            </w:r>
          </w:p>
        </w:tc>
        <w:tc>
          <w:tcPr>
            <w:tcW w:w="1276" w:type="dxa"/>
            <w:vAlign w:val="center"/>
          </w:tcPr>
          <w:p>
            <w:pPr>
              <w:pStyle w:val="12"/>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≤80万元</w:t>
            </w:r>
          </w:p>
        </w:tc>
        <w:tc>
          <w:tcPr>
            <w:tcW w:w="1276" w:type="dxa"/>
            <w:vAlign w:val="center"/>
          </w:tcPr>
          <w:p>
            <w:pPr>
              <w:pStyle w:val="12"/>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谈话质量</w:t>
            </w:r>
          </w:p>
        </w:tc>
        <w:tc>
          <w:tcPr>
            <w:tcW w:w="5386" w:type="dxa"/>
            <w:vAlign w:val="center"/>
          </w:tcPr>
          <w:p>
            <w:pPr>
              <w:pStyle w:val="12"/>
            </w:pPr>
            <w:r>
              <w:t>谈话质量</w:t>
            </w:r>
          </w:p>
        </w:tc>
        <w:tc>
          <w:tcPr>
            <w:tcW w:w="2268" w:type="dxa"/>
            <w:vAlign w:val="center"/>
          </w:tcPr>
          <w:p>
            <w:pPr>
              <w:pStyle w:val="12"/>
            </w:pPr>
            <w:r>
              <w:t>稳步提升</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谈话环境</w:t>
            </w:r>
          </w:p>
        </w:tc>
        <w:tc>
          <w:tcPr>
            <w:tcW w:w="5386" w:type="dxa"/>
            <w:vAlign w:val="center"/>
          </w:tcPr>
          <w:p>
            <w:pPr>
              <w:pStyle w:val="12"/>
            </w:pPr>
            <w:r>
              <w:t>谈话环境</w:t>
            </w:r>
          </w:p>
        </w:tc>
        <w:tc>
          <w:tcPr>
            <w:tcW w:w="2268" w:type="dxa"/>
            <w:vAlign w:val="center"/>
          </w:tcPr>
          <w:p>
            <w:pPr>
              <w:pStyle w:val="12"/>
            </w:pPr>
            <w:r>
              <w:t>显著改善</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办案时效</w:t>
            </w:r>
          </w:p>
        </w:tc>
        <w:tc>
          <w:tcPr>
            <w:tcW w:w="5386" w:type="dxa"/>
            <w:vAlign w:val="center"/>
          </w:tcPr>
          <w:p>
            <w:pPr>
              <w:pStyle w:val="12"/>
            </w:pPr>
            <w:r>
              <w:t>办案时效</w:t>
            </w:r>
          </w:p>
        </w:tc>
        <w:tc>
          <w:tcPr>
            <w:tcW w:w="2268" w:type="dxa"/>
            <w:vAlign w:val="center"/>
          </w:tcPr>
          <w:p>
            <w:pPr>
              <w:pStyle w:val="12"/>
            </w:pPr>
            <w:r>
              <w:t>≤3月</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项目持续发挥作用</w:t>
            </w:r>
          </w:p>
          <w:p>
            <w:pPr>
              <w:pStyle w:val="12"/>
            </w:pPr>
          </w:p>
        </w:tc>
        <w:tc>
          <w:tcPr>
            <w:tcW w:w="5386" w:type="dxa"/>
            <w:vAlign w:val="center"/>
          </w:tcPr>
          <w:p>
            <w:pPr>
              <w:pStyle w:val="12"/>
            </w:pPr>
            <w:r>
              <w:t>项目持续发挥作用</w:t>
            </w:r>
          </w:p>
          <w:p>
            <w:pPr>
              <w:pStyle w:val="12"/>
            </w:pPr>
          </w:p>
        </w:tc>
        <w:tc>
          <w:tcPr>
            <w:tcW w:w="2268" w:type="dxa"/>
            <w:vAlign w:val="center"/>
          </w:tcPr>
          <w:p>
            <w:pPr>
              <w:pStyle w:val="12"/>
            </w:pPr>
            <w:r>
              <w:t>≥1年</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不断提升</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4、2025年乡镇纪检监察业务费绩效目标表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13011025P00321910016M</w:t>
            </w:r>
          </w:p>
        </w:tc>
        <w:tc>
          <w:tcPr>
            <w:tcW w:w="2835" w:type="dxa"/>
            <w:vAlign w:val="center"/>
          </w:tcPr>
          <w:p>
            <w:pPr>
              <w:pStyle w:val="10"/>
            </w:pPr>
            <w:r>
              <w:t>项目名称</w:t>
            </w:r>
          </w:p>
        </w:tc>
        <w:tc>
          <w:tcPr>
            <w:tcW w:w="6095" w:type="dxa"/>
            <w:gridSpan w:val="3"/>
            <w:vAlign w:val="center"/>
          </w:tcPr>
          <w:p>
            <w:pPr>
              <w:pStyle w:val="12"/>
            </w:pPr>
            <w:r>
              <w:t>2025年乡镇纪检监察业务费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保障乡镇纪检人员办案经费，不断提高纪检监察人员办案水平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1.该经费用于保障45名乡镇纪检人员办案业务经费，不断提高纪检监察人员办案水平，使监督执纪工作向纵深发展，全覆盖。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经费保障人数</w:t>
            </w:r>
          </w:p>
        </w:tc>
        <w:tc>
          <w:tcPr>
            <w:tcW w:w="5386" w:type="dxa"/>
            <w:vAlign w:val="center"/>
          </w:tcPr>
          <w:p>
            <w:pPr>
              <w:pStyle w:val="12"/>
            </w:pPr>
            <w:r>
              <w:t>经费保障人数</w:t>
            </w:r>
          </w:p>
        </w:tc>
        <w:tc>
          <w:tcPr>
            <w:tcW w:w="2268" w:type="dxa"/>
            <w:vAlign w:val="center"/>
          </w:tcPr>
          <w:p>
            <w:pPr>
              <w:pStyle w:val="12"/>
            </w:pPr>
            <w:r>
              <w:t>45人</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≥85百分之</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案件办理时间</w:t>
            </w:r>
          </w:p>
        </w:tc>
        <w:tc>
          <w:tcPr>
            <w:tcW w:w="5386" w:type="dxa"/>
            <w:vAlign w:val="center"/>
          </w:tcPr>
          <w:p>
            <w:pPr>
              <w:pStyle w:val="12"/>
            </w:pPr>
            <w:r>
              <w:t>案件办理时间</w:t>
            </w:r>
          </w:p>
        </w:tc>
        <w:tc>
          <w:tcPr>
            <w:tcW w:w="2268" w:type="dxa"/>
            <w:vAlign w:val="center"/>
          </w:tcPr>
          <w:p>
            <w:pPr>
              <w:pStyle w:val="12"/>
            </w:pPr>
            <w:r>
              <w:t>≤3月</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完成工作需要费用成本</w:t>
            </w:r>
          </w:p>
        </w:tc>
        <w:tc>
          <w:tcPr>
            <w:tcW w:w="5386" w:type="dxa"/>
            <w:vAlign w:val="center"/>
          </w:tcPr>
          <w:p>
            <w:pPr>
              <w:pStyle w:val="12"/>
            </w:pPr>
            <w:r>
              <w:t>完成工作需要费用成本</w:t>
            </w:r>
          </w:p>
        </w:tc>
        <w:tc>
          <w:tcPr>
            <w:tcW w:w="2268" w:type="dxa"/>
            <w:vAlign w:val="center"/>
          </w:tcPr>
          <w:p>
            <w:pPr>
              <w:pStyle w:val="12"/>
            </w:pPr>
            <w:r>
              <w:t>≤27万元</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挽回经济损失</w:t>
            </w:r>
          </w:p>
        </w:tc>
        <w:tc>
          <w:tcPr>
            <w:tcW w:w="5386" w:type="dxa"/>
            <w:vAlign w:val="center"/>
          </w:tcPr>
          <w:p>
            <w:pPr>
              <w:pStyle w:val="12"/>
            </w:pPr>
            <w:r>
              <w:t>挽回经济损失</w:t>
            </w:r>
          </w:p>
        </w:tc>
        <w:tc>
          <w:tcPr>
            <w:tcW w:w="2268" w:type="dxa"/>
            <w:vAlign w:val="center"/>
          </w:tcPr>
          <w:p>
            <w:pPr>
              <w:pStyle w:val="12"/>
            </w:pPr>
            <w:r>
              <w:t>≥10万元</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项目持续发生作用</w:t>
            </w:r>
          </w:p>
        </w:tc>
        <w:tc>
          <w:tcPr>
            <w:tcW w:w="5386" w:type="dxa"/>
            <w:vAlign w:val="center"/>
          </w:tcPr>
          <w:p>
            <w:pPr>
              <w:pStyle w:val="12"/>
            </w:pPr>
            <w:r>
              <w:t>项目持续发生作用</w:t>
            </w:r>
          </w:p>
        </w:tc>
        <w:tc>
          <w:tcPr>
            <w:tcW w:w="2268" w:type="dxa"/>
            <w:vAlign w:val="center"/>
          </w:tcPr>
          <w:p>
            <w:pPr>
              <w:pStyle w:val="12"/>
            </w:pPr>
            <w:r>
              <w:t>≥1年</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 xml:space="preserve">不断提高 </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5、2025年巡察信息化建设绩效目标表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13011025P00321910019G</w:t>
            </w:r>
          </w:p>
        </w:tc>
        <w:tc>
          <w:tcPr>
            <w:tcW w:w="2835" w:type="dxa"/>
            <w:vAlign w:val="center"/>
          </w:tcPr>
          <w:p>
            <w:pPr>
              <w:pStyle w:val="10"/>
            </w:pPr>
            <w:r>
              <w:t>项目名称</w:t>
            </w:r>
          </w:p>
        </w:tc>
        <w:tc>
          <w:tcPr>
            <w:tcW w:w="6095" w:type="dxa"/>
            <w:gridSpan w:val="3"/>
            <w:vAlign w:val="center"/>
          </w:tcPr>
          <w:p>
            <w:pPr>
              <w:pStyle w:val="12"/>
            </w:pPr>
            <w:r>
              <w:t>2025年巡察信息化建设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巡察信息化建设，提高工作效率，保障信息安全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1.一方面可提高巡察工作的信息化水平，使巡察工作更加规范化，保障信息安全，防止重要信息泄露；另一方面可提高巡察工作效率，提升工作质效。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国产台式内网机</w:t>
            </w:r>
          </w:p>
        </w:tc>
        <w:tc>
          <w:tcPr>
            <w:tcW w:w="5386" w:type="dxa"/>
            <w:vAlign w:val="center"/>
          </w:tcPr>
          <w:p>
            <w:pPr>
              <w:pStyle w:val="12"/>
            </w:pPr>
            <w:r>
              <w:t>国产台式内网机</w:t>
            </w:r>
          </w:p>
        </w:tc>
        <w:tc>
          <w:tcPr>
            <w:tcW w:w="2268" w:type="dxa"/>
            <w:vAlign w:val="center"/>
          </w:tcPr>
          <w:p>
            <w:pPr>
              <w:pStyle w:val="12"/>
            </w:pPr>
            <w:r>
              <w:t>10台</w:t>
            </w:r>
          </w:p>
        </w:tc>
        <w:tc>
          <w:tcPr>
            <w:tcW w:w="1276" w:type="dxa"/>
            <w:vAlign w:val="center"/>
          </w:tcPr>
          <w:p>
            <w:pPr>
              <w:pStyle w:val="12"/>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国产涉密笔记本</w:t>
            </w:r>
          </w:p>
        </w:tc>
        <w:tc>
          <w:tcPr>
            <w:tcW w:w="5386" w:type="dxa"/>
            <w:vAlign w:val="center"/>
          </w:tcPr>
          <w:p>
            <w:pPr>
              <w:pStyle w:val="12"/>
            </w:pPr>
            <w:r>
              <w:t>国产涉密笔记本</w:t>
            </w:r>
          </w:p>
        </w:tc>
        <w:tc>
          <w:tcPr>
            <w:tcW w:w="2268" w:type="dxa"/>
            <w:vAlign w:val="center"/>
          </w:tcPr>
          <w:p>
            <w:pPr>
              <w:pStyle w:val="12"/>
            </w:pPr>
            <w:r>
              <w:t>9台</w:t>
            </w:r>
          </w:p>
        </w:tc>
        <w:tc>
          <w:tcPr>
            <w:tcW w:w="1276" w:type="dxa"/>
            <w:vAlign w:val="center"/>
          </w:tcPr>
          <w:p>
            <w:pPr>
              <w:pStyle w:val="12"/>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国产黑白打印机</w:t>
            </w:r>
          </w:p>
        </w:tc>
        <w:tc>
          <w:tcPr>
            <w:tcW w:w="5386" w:type="dxa"/>
            <w:vAlign w:val="center"/>
          </w:tcPr>
          <w:p>
            <w:pPr>
              <w:pStyle w:val="12"/>
            </w:pPr>
            <w:r>
              <w:t>国产黑白打印机</w:t>
            </w:r>
          </w:p>
        </w:tc>
        <w:tc>
          <w:tcPr>
            <w:tcW w:w="2268" w:type="dxa"/>
            <w:vAlign w:val="center"/>
          </w:tcPr>
          <w:p>
            <w:pPr>
              <w:pStyle w:val="12"/>
            </w:pPr>
            <w:r>
              <w:t>10台</w:t>
            </w:r>
          </w:p>
        </w:tc>
        <w:tc>
          <w:tcPr>
            <w:tcW w:w="1276" w:type="dxa"/>
            <w:vAlign w:val="center"/>
          </w:tcPr>
          <w:p>
            <w:pPr>
              <w:pStyle w:val="12"/>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国产扫描仪</w:t>
            </w:r>
          </w:p>
        </w:tc>
        <w:tc>
          <w:tcPr>
            <w:tcW w:w="5386" w:type="dxa"/>
            <w:vAlign w:val="center"/>
          </w:tcPr>
          <w:p>
            <w:pPr>
              <w:pStyle w:val="12"/>
            </w:pPr>
            <w:r>
              <w:t>国产扫描仪</w:t>
            </w:r>
          </w:p>
        </w:tc>
        <w:tc>
          <w:tcPr>
            <w:tcW w:w="2268" w:type="dxa"/>
            <w:vAlign w:val="center"/>
          </w:tcPr>
          <w:p>
            <w:pPr>
              <w:pStyle w:val="12"/>
            </w:pPr>
            <w:r>
              <w:t>5台</w:t>
            </w:r>
          </w:p>
        </w:tc>
        <w:tc>
          <w:tcPr>
            <w:tcW w:w="1276" w:type="dxa"/>
            <w:vAlign w:val="center"/>
          </w:tcPr>
          <w:p>
            <w:pPr>
              <w:pStyle w:val="12"/>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产品合格率</w:t>
            </w:r>
          </w:p>
        </w:tc>
        <w:tc>
          <w:tcPr>
            <w:tcW w:w="5386" w:type="dxa"/>
            <w:vAlign w:val="center"/>
          </w:tcPr>
          <w:p>
            <w:pPr>
              <w:pStyle w:val="12"/>
            </w:pPr>
            <w:r>
              <w:t>产品合格率</w:t>
            </w:r>
          </w:p>
        </w:tc>
        <w:tc>
          <w:tcPr>
            <w:tcW w:w="2268" w:type="dxa"/>
            <w:vAlign w:val="center"/>
          </w:tcPr>
          <w:p>
            <w:pPr>
              <w:pStyle w:val="12"/>
            </w:pPr>
            <w:r>
              <w:t>100百分百</w:t>
            </w:r>
          </w:p>
        </w:tc>
        <w:tc>
          <w:tcPr>
            <w:tcW w:w="1276" w:type="dxa"/>
            <w:vAlign w:val="center"/>
          </w:tcPr>
          <w:p>
            <w:pPr>
              <w:pStyle w:val="12"/>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完成项目成本</w:t>
            </w:r>
          </w:p>
        </w:tc>
        <w:tc>
          <w:tcPr>
            <w:tcW w:w="5386" w:type="dxa"/>
            <w:vAlign w:val="center"/>
          </w:tcPr>
          <w:p>
            <w:pPr>
              <w:pStyle w:val="12"/>
            </w:pPr>
            <w:r>
              <w:t>完成项目成本</w:t>
            </w:r>
          </w:p>
        </w:tc>
        <w:tc>
          <w:tcPr>
            <w:tcW w:w="2268" w:type="dxa"/>
            <w:vAlign w:val="center"/>
          </w:tcPr>
          <w:p>
            <w:pPr>
              <w:pStyle w:val="12"/>
            </w:pPr>
            <w:r>
              <w:t>≤40万元</w:t>
            </w:r>
          </w:p>
        </w:tc>
        <w:tc>
          <w:tcPr>
            <w:tcW w:w="1276" w:type="dxa"/>
            <w:vAlign w:val="center"/>
          </w:tcPr>
          <w:p>
            <w:pPr>
              <w:pStyle w:val="12"/>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完成项目时效</w:t>
            </w:r>
          </w:p>
        </w:tc>
        <w:tc>
          <w:tcPr>
            <w:tcW w:w="5386" w:type="dxa"/>
            <w:vAlign w:val="center"/>
          </w:tcPr>
          <w:p>
            <w:pPr>
              <w:pStyle w:val="12"/>
            </w:pPr>
            <w:r>
              <w:t>完成项目时效</w:t>
            </w:r>
          </w:p>
        </w:tc>
        <w:tc>
          <w:tcPr>
            <w:tcW w:w="2268" w:type="dxa"/>
            <w:vAlign w:val="center"/>
          </w:tcPr>
          <w:p>
            <w:pPr>
              <w:pStyle w:val="12"/>
            </w:pPr>
            <w:r>
              <w:t>≤12月</w:t>
            </w:r>
          </w:p>
        </w:tc>
        <w:tc>
          <w:tcPr>
            <w:tcW w:w="1276" w:type="dxa"/>
            <w:vAlign w:val="center"/>
          </w:tcPr>
          <w:p>
            <w:pPr>
              <w:pStyle w:val="12"/>
            </w:pPr>
            <w:r>
              <w:t>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项目持续发挥作用</w:t>
            </w:r>
          </w:p>
        </w:tc>
        <w:tc>
          <w:tcPr>
            <w:tcW w:w="2268" w:type="dxa"/>
            <w:vAlign w:val="center"/>
          </w:tcPr>
          <w:p>
            <w:pPr>
              <w:pStyle w:val="12"/>
            </w:pPr>
            <w:r>
              <w:t>≥1年</w:t>
            </w:r>
          </w:p>
        </w:tc>
        <w:tc>
          <w:tcPr>
            <w:tcW w:w="1276" w:type="dxa"/>
            <w:vAlign w:val="center"/>
          </w:tcPr>
          <w:p>
            <w:pPr>
              <w:pStyle w:val="12"/>
            </w:pPr>
            <w:r>
              <w:t>工资需要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不断提高</w:t>
            </w:r>
          </w:p>
        </w:tc>
        <w:tc>
          <w:tcPr>
            <w:tcW w:w="1276" w:type="dxa"/>
            <w:vAlign w:val="center"/>
          </w:tcPr>
          <w:p>
            <w:pPr>
              <w:pStyle w:val="12"/>
            </w:pPr>
            <w:r>
              <w:t>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6、2025年巡视巡察专项经费绩效目标表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13011025P003219100179</w:t>
            </w:r>
          </w:p>
        </w:tc>
        <w:tc>
          <w:tcPr>
            <w:tcW w:w="2835" w:type="dxa"/>
            <w:vAlign w:val="center"/>
          </w:tcPr>
          <w:p>
            <w:pPr>
              <w:pStyle w:val="10"/>
            </w:pPr>
            <w:r>
              <w:t>项目名称</w:t>
            </w:r>
          </w:p>
        </w:tc>
        <w:tc>
          <w:tcPr>
            <w:tcW w:w="6095" w:type="dxa"/>
            <w:gridSpan w:val="3"/>
            <w:vAlign w:val="center"/>
          </w:tcPr>
          <w:p>
            <w:pPr>
              <w:pStyle w:val="12"/>
            </w:pPr>
            <w:r>
              <w:t>2025年巡视巡察专项经费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巡察巡察业务经费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1.保障平均每轮12人，全年三轮本级巡察，两轮提级巡察，每轮两个月的巡察经费，通过巡察发现问题、形成震慑，推动党中央、省委、市委和县（区）党委重大决策部署，从严治党，遏制腐败。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巡察轮次</w:t>
            </w:r>
          </w:p>
        </w:tc>
        <w:tc>
          <w:tcPr>
            <w:tcW w:w="5386" w:type="dxa"/>
            <w:vAlign w:val="center"/>
          </w:tcPr>
          <w:p>
            <w:pPr>
              <w:pStyle w:val="12"/>
            </w:pPr>
            <w:r>
              <w:t>巡察轮次</w:t>
            </w:r>
          </w:p>
        </w:tc>
        <w:tc>
          <w:tcPr>
            <w:tcW w:w="2268" w:type="dxa"/>
            <w:vAlign w:val="center"/>
          </w:tcPr>
          <w:p>
            <w:pPr>
              <w:pStyle w:val="12"/>
            </w:pPr>
            <w:r>
              <w:t>≥3轮</w:t>
            </w:r>
          </w:p>
        </w:tc>
        <w:tc>
          <w:tcPr>
            <w:tcW w:w="1276" w:type="dxa"/>
            <w:vAlign w:val="center"/>
          </w:tcPr>
          <w:p>
            <w:pPr>
              <w:pStyle w:val="12"/>
            </w:pPr>
            <w:r>
              <w:t>巡察工作安排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日常巡察平均人力</w:t>
            </w:r>
          </w:p>
        </w:tc>
        <w:tc>
          <w:tcPr>
            <w:tcW w:w="5386" w:type="dxa"/>
            <w:vAlign w:val="center"/>
          </w:tcPr>
          <w:p>
            <w:pPr>
              <w:pStyle w:val="12"/>
            </w:pPr>
            <w:r>
              <w:t>日常巡察平均人力</w:t>
            </w:r>
          </w:p>
        </w:tc>
        <w:tc>
          <w:tcPr>
            <w:tcW w:w="2268" w:type="dxa"/>
            <w:vAlign w:val="center"/>
          </w:tcPr>
          <w:p>
            <w:pPr>
              <w:pStyle w:val="12"/>
            </w:pPr>
            <w:r>
              <w:t>≥12人</w:t>
            </w:r>
          </w:p>
        </w:tc>
        <w:tc>
          <w:tcPr>
            <w:tcW w:w="1276" w:type="dxa"/>
            <w:vAlign w:val="center"/>
          </w:tcPr>
          <w:p>
            <w:pPr>
              <w:pStyle w:val="12"/>
            </w:pPr>
            <w:r>
              <w:t>巡察工作安排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发现问题数量</w:t>
            </w:r>
          </w:p>
        </w:tc>
        <w:tc>
          <w:tcPr>
            <w:tcW w:w="5386" w:type="dxa"/>
            <w:vAlign w:val="center"/>
          </w:tcPr>
          <w:p>
            <w:pPr>
              <w:pStyle w:val="12"/>
            </w:pPr>
            <w:r>
              <w:t>发现问题数量</w:t>
            </w:r>
          </w:p>
        </w:tc>
        <w:tc>
          <w:tcPr>
            <w:tcW w:w="2268" w:type="dxa"/>
            <w:vAlign w:val="center"/>
          </w:tcPr>
          <w:p>
            <w:pPr>
              <w:pStyle w:val="12"/>
            </w:pPr>
            <w:r>
              <w:t>≥40个</w:t>
            </w:r>
          </w:p>
        </w:tc>
        <w:tc>
          <w:tcPr>
            <w:tcW w:w="1276" w:type="dxa"/>
            <w:vAlign w:val="center"/>
          </w:tcPr>
          <w:p>
            <w:pPr>
              <w:pStyle w:val="12"/>
            </w:pPr>
            <w:r>
              <w:t>巡察工作安排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每轮巡察时间</w:t>
            </w:r>
          </w:p>
        </w:tc>
        <w:tc>
          <w:tcPr>
            <w:tcW w:w="5386" w:type="dxa"/>
            <w:vAlign w:val="center"/>
          </w:tcPr>
          <w:p>
            <w:pPr>
              <w:pStyle w:val="12"/>
            </w:pPr>
            <w:r>
              <w:t xml:space="preserve"> 每轮巡察时间</w:t>
            </w:r>
          </w:p>
        </w:tc>
        <w:tc>
          <w:tcPr>
            <w:tcW w:w="2268" w:type="dxa"/>
            <w:vAlign w:val="center"/>
          </w:tcPr>
          <w:p>
            <w:pPr>
              <w:pStyle w:val="12"/>
            </w:pPr>
            <w:r>
              <w:t>≤2月</w:t>
            </w:r>
          </w:p>
        </w:tc>
        <w:tc>
          <w:tcPr>
            <w:tcW w:w="1276" w:type="dxa"/>
            <w:vAlign w:val="center"/>
          </w:tcPr>
          <w:p>
            <w:pPr>
              <w:pStyle w:val="12"/>
            </w:pPr>
            <w:r>
              <w:t>巡察工作安排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巡察期间每日平均费用</w:t>
            </w:r>
          </w:p>
        </w:tc>
        <w:tc>
          <w:tcPr>
            <w:tcW w:w="5386" w:type="dxa"/>
            <w:vAlign w:val="center"/>
          </w:tcPr>
          <w:p>
            <w:pPr>
              <w:pStyle w:val="12"/>
            </w:pPr>
            <w:r>
              <w:t>巡察期间每日平均费用</w:t>
            </w:r>
          </w:p>
        </w:tc>
        <w:tc>
          <w:tcPr>
            <w:tcW w:w="2268" w:type="dxa"/>
            <w:vAlign w:val="center"/>
          </w:tcPr>
          <w:p>
            <w:pPr>
              <w:pStyle w:val="12"/>
            </w:pPr>
            <w:r>
              <w:t>≤400元</w:t>
            </w:r>
          </w:p>
        </w:tc>
        <w:tc>
          <w:tcPr>
            <w:tcW w:w="1276" w:type="dxa"/>
            <w:vAlign w:val="center"/>
          </w:tcPr>
          <w:p>
            <w:pPr>
              <w:pStyle w:val="12"/>
            </w:pPr>
            <w:r>
              <w:t>巡察工作安排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可持续影响力</w:t>
            </w:r>
          </w:p>
        </w:tc>
        <w:tc>
          <w:tcPr>
            <w:tcW w:w="5386" w:type="dxa"/>
            <w:vAlign w:val="center"/>
          </w:tcPr>
          <w:p>
            <w:pPr>
              <w:pStyle w:val="12"/>
            </w:pPr>
            <w:r>
              <w:t>可持续影响力</w:t>
            </w:r>
          </w:p>
        </w:tc>
        <w:tc>
          <w:tcPr>
            <w:tcW w:w="2268" w:type="dxa"/>
            <w:vAlign w:val="center"/>
          </w:tcPr>
          <w:p>
            <w:pPr>
              <w:pStyle w:val="12"/>
            </w:pPr>
            <w:r>
              <w:t>≥1年</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持续提升</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125.00</w:t>
            </w:r>
          </w:p>
        </w:tc>
        <w:tc>
          <w:tcPr>
            <w:tcW w:w="964" w:type="dxa"/>
            <w:vAlign w:val="center"/>
          </w:tcPr>
          <w:p>
            <w:pPr>
              <w:pStyle w:val="15"/>
            </w:pPr>
            <w:r>
              <w:t>125.00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中国共产党石家庄市鹿泉区纪律检查委员会本级小计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125.00</w:t>
            </w:r>
          </w:p>
        </w:tc>
        <w:tc>
          <w:tcPr>
            <w:tcW w:w="964" w:type="dxa"/>
            <w:vAlign w:val="center"/>
          </w:tcPr>
          <w:p>
            <w:pPr>
              <w:pStyle w:val="15"/>
            </w:pPr>
            <w:r>
              <w:t>125.00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218.58</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218.58</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5</w:t>
            </w:r>
          </w:p>
        </w:tc>
        <w:tc>
          <w:tcPr>
            <w:tcW w:w="850" w:type="dxa"/>
            <w:vAlign w:val="center"/>
          </w:tcPr>
          <w:p>
            <w:pPr>
              <w:pStyle w:val="11"/>
            </w:pPr>
            <w:r>
              <w:t>0.80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218.58</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辆</w:t>
            </w:r>
          </w:p>
        </w:tc>
        <w:tc>
          <w:tcPr>
            <w:tcW w:w="850" w:type="dxa"/>
            <w:vAlign w:val="center"/>
          </w:tcPr>
          <w:p>
            <w:pPr>
              <w:pStyle w:val="11"/>
            </w:pPr>
            <w:r>
              <w:t>5</w:t>
            </w:r>
          </w:p>
        </w:tc>
        <w:tc>
          <w:tcPr>
            <w:tcW w:w="850" w:type="dxa"/>
            <w:vAlign w:val="center"/>
          </w:tcPr>
          <w:p>
            <w:pPr>
              <w:pStyle w:val="11"/>
            </w:pPr>
            <w:r>
              <w:t>1.20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51.40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100</w:t>
            </w:r>
          </w:p>
        </w:tc>
        <w:tc>
          <w:tcPr>
            <w:tcW w:w="850" w:type="dxa"/>
            <w:vAlign w:val="center"/>
          </w:tcPr>
          <w:p>
            <w:pPr>
              <w:pStyle w:val="11"/>
            </w:pPr>
            <w:r>
              <w:t>0.03</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51.40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51.40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2025年办案一体化平台建设</w:t>
            </w:r>
          </w:p>
        </w:tc>
        <w:tc>
          <w:tcPr>
            <w:tcW w:w="964" w:type="dxa"/>
            <w:vAlign w:val="center"/>
          </w:tcPr>
          <w:p>
            <w:pPr>
              <w:pStyle w:val="11"/>
            </w:pPr>
            <w:r>
              <w:t>10.00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0.85</w:t>
            </w:r>
          </w:p>
        </w:tc>
        <w:tc>
          <w:tcPr>
            <w:tcW w:w="964" w:type="dxa"/>
            <w:vAlign w:val="center"/>
          </w:tcPr>
          <w:p>
            <w:pPr>
              <w:pStyle w:val="11"/>
            </w:pPr>
            <w:r>
              <w:t>1.70</w:t>
            </w:r>
          </w:p>
        </w:tc>
        <w:tc>
          <w:tcPr>
            <w:tcW w:w="964" w:type="dxa"/>
            <w:vAlign w:val="center"/>
          </w:tcPr>
          <w:p>
            <w:pPr>
              <w:pStyle w:val="11"/>
            </w:pPr>
            <w:r>
              <w:t>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个</w:t>
            </w:r>
          </w:p>
        </w:tc>
        <w:tc>
          <w:tcPr>
            <w:tcW w:w="850" w:type="dxa"/>
            <w:vAlign w:val="center"/>
          </w:tcPr>
          <w:p>
            <w:pPr>
              <w:pStyle w:val="11"/>
            </w:pPr>
            <w:r>
              <w:t>15</w:t>
            </w:r>
          </w:p>
        </w:tc>
        <w:tc>
          <w:tcPr>
            <w:tcW w:w="850" w:type="dxa"/>
            <w:vAlign w:val="center"/>
          </w:tcPr>
          <w:p>
            <w:pPr>
              <w:pStyle w:val="11"/>
            </w:pPr>
            <w:r>
              <w:t>0.15</w:t>
            </w:r>
          </w:p>
        </w:tc>
        <w:tc>
          <w:tcPr>
            <w:tcW w:w="964" w:type="dxa"/>
            <w:vAlign w:val="center"/>
          </w:tcPr>
          <w:p>
            <w:pPr>
              <w:pStyle w:val="11"/>
            </w:pPr>
            <w:r>
              <w:t>2.25</w:t>
            </w:r>
          </w:p>
        </w:tc>
        <w:tc>
          <w:tcPr>
            <w:tcW w:w="964" w:type="dxa"/>
            <w:vAlign w:val="center"/>
          </w:tcPr>
          <w:p>
            <w:pPr>
              <w:pStyle w:val="11"/>
            </w:pPr>
            <w:r>
              <w:t>2.25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15</w:t>
            </w:r>
          </w:p>
        </w:tc>
        <w:tc>
          <w:tcPr>
            <w:tcW w:w="850" w:type="dxa"/>
            <w:vAlign w:val="center"/>
          </w:tcPr>
          <w:p>
            <w:pPr>
              <w:pStyle w:val="11"/>
            </w:pPr>
            <w:r>
              <w:t>0.04</w:t>
            </w:r>
          </w:p>
        </w:tc>
        <w:tc>
          <w:tcPr>
            <w:tcW w:w="964" w:type="dxa"/>
            <w:vAlign w:val="center"/>
          </w:tcPr>
          <w:p>
            <w:pPr>
              <w:pStyle w:val="11"/>
            </w:pPr>
            <w:r>
              <w:t>0.53</w:t>
            </w:r>
          </w:p>
        </w:tc>
        <w:tc>
          <w:tcPr>
            <w:tcW w:w="964" w:type="dxa"/>
            <w:vAlign w:val="center"/>
          </w:tcPr>
          <w:p>
            <w:pPr>
              <w:pStyle w:val="11"/>
            </w:pPr>
            <w:r>
              <w:t>0.53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0.08</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个</w:t>
            </w:r>
          </w:p>
        </w:tc>
        <w:tc>
          <w:tcPr>
            <w:tcW w:w="850" w:type="dxa"/>
            <w:vAlign w:val="center"/>
          </w:tcPr>
          <w:p>
            <w:pPr>
              <w:pStyle w:val="11"/>
            </w:pPr>
            <w:r>
              <w:t>15</w:t>
            </w:r>
          </w:p>
        </w:tc>
        <w:tc>
          <w:tcPr>
            <w:tcW w:w="850" w:type="dxa"/>
            <w:vAlign w:val="center"/>
          </w:tcPr>
          <w:p>
            <w:pPr>
              <w:pStyle w:val="11"/>
            </w:pPr>
            <w:r>
              <w:t>0.10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400</w:t>
            </w:r>
          </w:p>
        </w:tc>
        <w:tc>
          <w:tcPr>
            <w:tcW w:w="850" w:type="dxa"/>
            <w:vAlign w:val="center"/>
          </w:tcPr>
          <w:p>
            <w:pPr>
              <w:pStyle w:val="11"/>
            </w:pPr>
            <w:r>
              <w:t>0.03</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硬件运维服务</w:t>
            </w:r>
          </w:p>
        </w:tc>
        <w:tc>
          <w:tcPr>
            <w:tcW w:w="1134" w:type="dxa"/>
            <w:vAlign w:val="center"/>
          </w:tcPr>
          <w:p>
            <w:pPr>
              <w:pStyle w:val="12"/>
            </w:pPr>
            <w:r>
              <w:t>C16070200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辆</w:t>
            </w:r>
          </w:p>
        </w:tc>
        <w:tc>
          <w:tcPr>
            <w:tcW w:w="850" w:type="dxa"/>
            <w:vAlign w:val="center"/>
          </w:tcPr>
          <w:p>
            <w:pPr>
              <w:pStyle w:val="11"/>
            </w:pPr>
            <w:r>
              <w:t>5</w:t>
            </w:r>
          </w:p>
        </w:tc>
        <w:tc>
          <w:tcPr>
            <w:tcW w:w="850" w:type="dxa"/>
            <w:vAlign w:val="center"/>
          </w:tcPr>
          <w:p>
            <w:pPr>
              <w:pStyle w:val="11"/>
            </w:pPr>
            <w:r>
              <w:t>0.30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辆</w:t>
            </w:r>
          </w:p>
        </w:tc>
        <w:tc>
          <w:tcPr>
            <w:tcW w:w="850" w:type="dxa"/>
            <w:vAlign w:val="center"/>
          </w:tcPr>
          <w:p>
            <w:pPr>
              <w:pStyle w:val="11"/>
            </w:pPr>
            <w:r>
              <w:t>5</w:t>
            </w:r>
          </w:p>
        </w:tc>
        <w:tc>
          <w:tcPr>
            <w:tcW w:w="850" w:type="dxa"/>
            <w:vAlign w:val="center"/>
          </w:tcPr>
          <w:p>
            <w:pPr>
              <w:pStyle w:val="11"/>
            </w:pPr>
            <w:r>
              <w:t>0.80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2025年纪检监察业务费</w:t>
            </w:r>
          </w:p>
        </w:tc>
        <w:tc>
          <w:tcPr>
            <w:tcW w:w="964" w:type="dxa"/>
            <w:vAlign w:val="center"/>
          </w:tcPr>
          <w:p>
            <w:pPr>
              <w:pStyle w:val="11"/>
            </w:pPr>
            <w:r>
              <w:t>200.00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辆</w:t>
            </w:r>
          </w:p>
        </w:tc>
        <w:tc>
          <w:tcPr>
            <w:tcW w:w="850" w:type="dxa"/>
            <w:vAlign w:val="center"/>
          </w:tcPr>
          <w:p>
            <w:pPr>
              <w:pStyle w:val="11"/>
            </w:pPr>
            <w:r>
              <w:t>5</w:t>
            </w:r>
          </w:p>
        </w:tc>
        <w:tc>
          <w:tcPr>
            <w:tcW w:w="850" w:type="dxa"/>
            <w:vAlign w:val="center"/>
          </w:tcPr>
          <w:p>
            <w:pPr>
              <w:pStyle w:val="11"/>
            </w:pPr>
            <w:r>
              <w:t>1.20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2025年外查办案点运行费</w:t>
            </w:r>
          </w:p>
        </w:tc>
        <w:tc>
          <w:tcPr>
            <w:tcW w:w="964" w:type="dxa"/>
            <w:vAlign w:val="center"/>
          </w:tcPr>
          <w:p>
            <w:pPr>
              <w:pStyle w:val="11"/>
            </w:pPr>
            <w:r>
              <w:t>80.00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20</w:t>
            </w:r>
          </w:p>
        </w:tc>
        <w:tc>
          <w:tcPr>
            <w:tcW w:w="850" w:type="dxa"/>
            <w:vAlign w:val="center"/>
          </w:tcPr>
          <w:p>
            <w:pPr>
              <w:pStyle w:val="11"/>
            </w:pPr>
            <w:r>
              <w:t>0.15</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2025年外查办案点运行费</w:t>
            </w:r>
          </w:p>
        </w:tc>
        <w:tc>
          <w:tcPr>
            <w:tcW w:w="964" w:type="dxa"/>
            <w:vAlign w:val="center"/>
          </w:tcPr>
          <w:p>
            <w:pPr>
              <w:pStyle w:val="11"/>
            </w:pPr>
            <w:r>
              <w:t>80.00</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2025年外查办案点运行费</w:t>
            </w:r>
          </w:p>
        </w:tc>
        <w:tc>
          <w:tcPr>
            <w:tcW w:w="964" w:type="dxa"/>
            <w:vAlign w:val="center"/>
          </w:tcPr>
          <w:p>
            <w:pPr>
              <w:pStyle w:val="11"/>
            </w:pPr>
            <w:r>
              <w:t>80.00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张</w:t>
            </w:r>
          </w:p>
        </w:tc>
        <w:tc>
          <w:tcPr>
            <w:tcW w:w="850" w:type="dxa"/>
            <w:vAlign w:val="center"/>
          </w:tcPr>
          <w:p>
            <w:pPr>
              <w:pStyle w:val="11"/>
            </w:pPr>
            <w:r>
              <w:t>58</w:t>
            </w:r>
          </w:p>
        </w:tc>
        <w:tc>
          <w:tcPr>
            <w:tcW w:w="850" w:type="dxa"/>
            <w:vAlign w:val="center"/>
          </w:tcPr>
          <w:p>
            <w:pPr>
              <w:pStyle w:val="11"/>
            </w:pPr>
            <w:r>
              <w:t>0.04</w:t>
            </w:r>
          </w:p>
        </w:tc>
        <w:tc>
          <w:tcPr>
            <w:tcW w:w="964" w:type="dxa"/>
            <w:vAlign w:val="center"/>
          </w:tcPr>
          <w:p>
            <w:pPr>
              <w:pStyle w:val="11"/>
            </w:pPr>
            <w:r>
              <w:t>2.03</w:t>
            </w:r>
          </w:p>
        </w:tc>
        <w:tc>
          <w:tcPr>
            <w:tcW w:w="964" w:type="dxa"/>
            <w:vAlign w:val="center"/>
          </w:tcPr>
          <w:p>
            <w:pPr>
              <w:pStyle w:val="11"/>
            </w:pPr>
            <w:r>
              <w:t>2.03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2025年外查办案点运行费</w:t>
            </w:r>
          </w:p>
        </w:tc>
        <w:tc>
          <w:tcPr>
            <w:tcW w:w="964" w:type="dxa"/>
            <w:vAlign w:val="center"/>
          </w:tcPr>
          <w:p>
            <w:pPr>
              <w:pStyle w:val="11"/>
            </w:pPr>
            <w:r>
              <w:t>80.00</w:t>
            </w:r>
          </w:p>
        </w:tc>
        <w:tc>
          <w:tcPr>
            <w:tcW w:w="1134" w:type="dxa"/>
            <w:vAlign w:val="center"/>
          </w:tcPr>
          <w:p>
            <w:pPr>
              <w:pStyle w:val="12"/>
            </w:pPr>
            <w:r>
              <w:t>单人沙发</w:t>
            </w:r>
          </w:p>
        </w:tc>
        <w:tc>
          <w:tcPr>
            <w:tcW w:w="1134" w:type="dxa"/>
            <w:vAlign w:val="center"/>
          </w:tcPr>
          <w:p>
            <w:pPr>
              <w:pStyle w:val="12"/>
            </w:pPr>
            <w:r>
              <w:t>A05010402</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0.10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2025年外查办案点运行费</w:t>
            </w:r>
          </w:p>
        </w:tc>
        <w:tc>
          <w:tcPr>
            <w:tcW w:w="964" w:type="dxa"/>
            <w:vAlign w:val="center"/>
          </w:tcPr>
          <w:p>
            <w:pPr>
              <w:pStyle w:val="11"/>
            </w:pPr>
            <w:r>
              <w:t>80.00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8</w:t>
            </w:r>
          </w:p>
        </w:tc>
        <w:tc>
          <w:tcPr>
            <w:tcW w:w="850" w:type="dxa"/>
            <w:vAlign w:val="center"/>
          </w:tcPr>
          <w:p>
            <w:pPr>
              <w:pStyle w:val="11"/>
            </w:pPr>
            <w:r>
              <w:t>0.08</w:t>
            </w:r>
          </w:p>
        </w:tc>
        <w:tc>
          <w:tcPr>
            <w:tcW w:w="964" w:type="dxa"/>
            <w:vAlign w:val="center"/>
          </w:tcPr>
          <w:p>
            <w:pPr>
              <w:pStyle w:val="11"/>
            </w:pPr>
            <w:r>
              <w:t>0.64</w:t>
            </w:r>
          </w:p>
        </w:tc>
        <w:tc>
          <w:tcPr>
            <w:tcW w:w="964" w:type="dxa"/>
            <w:vAlign w:val="center"/>
          </w:tcPr>
          <w:p>
            <w:pPr>
              <w:pStyle w:val="11"/>
            </w:pPr>
            <w:r>
              <w:t>0.64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2025年外查办案点运行费</w:t>
            </w:r>
          </w:p>
        </w:tc>
        <w:tc>
          <w:tcPr>
            <w:tcW w:w="964" w:type="dxa"/>
            <w:vAlign w:val="center"/>
          </w:tcPr>
          <w:p>
            <w:pPr>
              <w:pStyle w:val="11"/>
            </w:pPr>
            <w:r>
              <w:t>80.00</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个</w:t>
            </w:r>
          </w:p>
        </w:tc>
        <w:tc>
          <w:tcPr>
            <w:tcW w:w="850" w:type="dxa"/>
            <w:vAlign w:val="center"/>
          </w:tcPr>
          <w:p>
            <w:pPr>
              <w:pStyle w:val="11"/>
            </w:pPr>
            <w:r>
              <w:t>8</w:t>
            </w:r>
          </w:p>
        </w:tc>
        <w:tc>
          <w:tcPr>
            <w:tcW w:w="850" w:type="dxa"/>
            <w:vAlign w:val="center"/>
          </w:tcPr>
          <w:p>
            <w:pPr>
              <w:pStyle w:val="11"/>
            </w:pPr>
            <w:r>
              <w:t>0.10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2025年巡察信息化建设</w:t>
            </w:r>
          </w:p>
        </w:tc>
        <w:tc>
          <w:tcPr>
            <w:tcW w:w="964" w:type="dxa"/>
            <w:vAlign w:val="center"/>
          </w:tcPr>
          <w:p>
            <w:pPr>
              <w:pStyle w:val="11"/>
            </w:pPr>
            <w:r>
              <w:t>40.00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1.09</w:t>
            </w:r>
          </w:p>
        </w:tc>
        <w:tc>
          <w:tcPr>
            <w:tcW w:w="964" w:type="dxa"/>
            <w:vAlign w:val="center"/>
          </w:tcPr>
          <w:p>
            <w:pPr>
              <w:pStyle w:val="11"/>
            </w:pPr>
            <w:r>
              <w:t>10.90</w:t>
            </w:r>
          </w:p>
        </w:tc>
        <w:tc>
          <w:tcPr>
            <w:tcW w:w="964" w:type="dxa"/>
            <w:vAlign w:val="center"/>
          </w:tcPr>
          <w:p>
            <w:pPr>
              <w:pStyle w:val="11"/>
            </w:pPr>
            <w:r>
              <w:t>10.90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2025年巡察信息化建设</w:t>
            </w:r>
          </w:p>
        </w:tc>
        <w:tc>
          <w:tcPr>
            <w:tcW w:w="964" w:type="dxa"/>
            <w:vAlign w:val="center"/>
          </w:tcPr>
          <w:p>
            <w:pPr>
              <w:pStyle w:val="11"/>
            </w:pPr>
            <w:r>
              <w:t>40.00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9</w:t>
            </w:r>
          </w:p>
        </w:tc>
        <w:tc>
          <w:tcPr>
            <w:tcW w:w="850" w:type="dxa"/>
            <w:vAlign w:val="center"/>
          </w:tcPr>
          <w:p>
            <w:pPr>
              <w:pStyle w:val="11"/>
            </w:pPr>
            <w:r>
              <w:t>1.20</w:t>
            </w:r>
          </w:p>
        </w:tc>
        <w:tc>
          <w:tcPr>
            <w:tcW w:w="964" w:type="dxa"/>
            <w:vAlign w:val="center"/>
          </w:tcPr>
          <w:p>
            <w:pPr>
              <w:pStyle w:val="11"/>
            </w:pPr>
            <w:r>
              <w:t>10.80</w:t>
            </w:r>
          </w:p>
        </w:tc>
        <w:tc>
          <w:tcPr>
            <w:tcW w:w="964" w:type="dxa"/>
            <w:vAlign w:val="center"/>
          </w:tcPr>
          <w:p>
            <w:pPr>
              <w:pStyle w:val="11"/>
            </w:pPr>
            <w:r>
              <w:t>10.80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2025年巡察信息化建设</w:t>
            </w:r>
          </w:p>
        </w:tc>
        <w:tc>
          <w:tcPr>
            <w:tcW w:w="964" w:type="dxa"/>
            <w:vAlign w:val="center"/>
          </w:tcPr>
          <w:p>
            <w:pPr>
              <w:pStyle w:val="11"/>
            </w:pPr>
            <w:r>
              <w:t>40.00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0.37</w:t>
            </w:r>
          </w:p>
        </w:tc>
        <w:tc>
          <w:tcPr>
            <w:tcW w:w="964" w:type="dxa"/>
            <w:vAlign w:val="center"/>
          </w:tcPr>
          <w:p>
            <w:pPr>
              <w:pStyle w:val="11"/>
            </w:pPr>
            <w:r>
              <w:t>3.70</w:t>
            </w:r>
          </w:p>
        </w:tc>
        <w:tc>
          <w:tcPr>
            <w:tcW w:w="964" w:type="dxa"/>
            <w:vAlign w:val="center"/>
          </w:tcPr>
          <w:p>
            <w:pPr>
              <w:pStyle w:val="11"/>
            </w:pPr>
            <w:r>
              <w:t>3.70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2025年巡察信息化建设</w:t>
            </w:r>
          </w:p>
        </w:tc>
        <w:tc>
          <w:tcPr>
            <w:tcW w:w="964" w:type="dxa"/>
            <w:vAlign w:val="center"/>
          </w:tcPr>
          <w:p>
            <w:pPr>
              <w:pStyle w:val="11"/>
            </w:pPr>
            <w:r>
              <w:t>40.00</w:t>
            </w:r>
          </w:p>
        </w:tc>
        <w:tc>
          <w:tcPr>
            <w:tcW w:w="1134" w:type="dxa"/>
            <w:vAlign w:val="center"/>
          </w:tcPr>
          <w:p>
            <w:pPr>
              <w:pStyle w:val="12"/>
            </w:pPr>
            <w:r>
              <w:t>扫描仪</w:t>
            </w:r>
          </w:p>
        </w:tc>
        <w:tc>
          <w:tcPr>
            <w:tcW w:w="1134" w:type="dxa"/>
            <w:vAlign w:val="center"/>
          </w:tcPr>
          <w:p>
            <w:pPr>
              <w:pStyle w:val="12"/>
            </w:pPr>
            <w:r>
              <w:t>A02021118</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0.60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2025年巡视巡察专项经费</w:t>
            </w:r>
          </w:p>
        </w:tc>
        <w:tc>
          <w:tcPr>
            <w:tcW w:w="964" w:type="dxa"/>
            <w:vAlign w:val="center"/>
          </w:tcPr>
          <w:p>
            <w:pPr>
              <w:pStyle w:val="11"/>
            </w:pPr>
            <w:r>
              <w:t>120.00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1.60</w:t>
            </w:r>
          </w:p>
        </w:tc>
        <w:tc>
          <w:tcPr>
            <w:tcW w:w="964" w:type="dxa"/>
            <w:vAlign w:val="center"/>
          </w:tcPr>
          <w:p>
            <w:pPr>
              <w:pStyle w:val="11"/>
            </w:pPr>
            <w:r>
              <w:t>8.00</w:t>
            </w: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2025年巡视巡察专项经费</w:t>
            </w:r>
          </w:p>
        </w:tc>
        <w:tc>
          <w:tcPr>
            <w:tcW w:w="964" w:type="dxa"/>
            <w:vAlign w:val="center"/>
          </w:tcPr>
          <w:p>
            <w:pPr>
              <w:pStyle w:val="11"/>
            </w:pPr>
            <w:r>
              <w:t>120.00</w:t>
            </w:r>
          </w:p>
        </w:tc>
        <w:tc>
          <w:tcPr>
            <w:tcW w:w="1134" w:type="dxa"/>
            <w:vAlign w:val="center"/>
          </w:tcPr>
          <w:p>
            <w:pPr>
              <w:pStyle w:val="12"/>
            </w:pPr>
            <w:r>
              <w:t>投影仪</w:t>
            </w:r>
          </w:p>
        </w:tc>
        <w:tc>
          <w:tcPr>
            <w:tcW w:w="1134" w:type="dxa"/>
            <w:vAlign w:val="center"/>
          </w:tcPr>
          <w:p>
            <w:pPr>
              <w:pStyle w:val="12"/>
            </w:pPr>
            <w:r>
              <w:t>A02020200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2025年巡视巡察专项经费</w:t>
            </w:r>
          </w:p>
        </w:tc>
        <w:tc>
          <w:tcPr>
            <w:tcW w:w="964" w:type="dxa"/>
            <w:vAlign w:val="center"/>
          </w:tcPr>
          <w:p>
            <w:pPr>
              <w:pStyle w:val="11"/>
            </w:pPr>
            <w:r>
              <w:t>120.00</w:t>
            </w:r>
          </w:p>
        </w:tc>
        <w:tc>
          <w:tcPr>
            <w:tcW w:w="1134" w:type="dxa"/>
            <w:vAlign w:val="center"/>
          </w:tcPr>
          <w:p>
            <w:pPr>
              <w:pStyle w:val="12"/>
            </w:pPr>
            <w:r>
              <w:t>扫描仪</w:t>
            </w:r>
          </w:p>
        </w:tc>
        <w:tc>
          <w:tcPr>
            <w:tcW w:w="1134" w:type="dxa"/>
            <w:vAlign w:val="center"/>
          </w:tcPr>
          <w:p>
            <w:pPr>
              <w:pStyle w:val="12"/>
            </w:pPr>
            <w:r>
              <w:t>A02021118</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0.60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2025年巡视巡察专项经费</w:t>
            </w:r>
          </w:p>
        </w:tc>
        <w:tc>
          <w:tcPr>
            <w:tcW w:w="964" w:type="dxa"/>
            <w:vAlign w:val="center"/>
          </w:tcPr>
          <w:p>
            <w:pPr>
              <w:pStyle w:val="11"/>
            </w:pPr>
            <w:r>
              <w:t>120.00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50</w:t>
            </w:r>
          </w:p>
        </w:tc>
        <w:tc>
          <w:tcPr>
            <w:tcW w:w="850" w:type="dxa"/>
            <w:vAlign w:val="center"/>
          </w:tcPr>
          <w:p>
            <w:pPr>
              <w:pStyle w:val="11"/>
            </w:pPr>
            <w:r>
              <w:t>0.03</w:t>
            </w:r>
          </w:p>
        </w:tc>
        <w:tc>
          <w:tcPr>
            <w:tcW w:w="964" w:type="dxa"/>
            <w:vAlign w:val="center"/>
          </w:tcPr>
          <w:p>
            <w:pPr>
              <w:pStyle w:val="11"/>
            </w:pPr>
            <w:r>
              <w:t>1.25</w:t>
            </w:r>
          </w:p>
        </w:tc>
        <w:tc>
          <w:tcPr>
            <w:tcW w:w="964" w:type="dxa"/>
            <w:vAlign w:val="center"/>
          </w:tcPr>
          <w:p>
            <w:pPr>
              <w:pStyle w:val="11"/>
            </w:pPr>
            <w:r>
              <w:t>1.25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2025年巡视巡察专项经费</w:t>
            </w:r>
          </w:p>
        </w:tc>
        <w:tc>
          <w:tcPr>
            <w:tcW w:w="964" w:type="dxa"/>
            <w:vAlign w:val="center"/>
          </w:tcPr>
          <w:p>
            <w:pPr>
              <w:pStyle w:val="11"/>
            </w:pPr>
            <w:r>
              <w:t>120.00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中国共产党石家庄市鹿泉区纪律检查委员会本级上年末固定资产金额为550.55万元（详见下表）。本年度拟购置固定资产总额为79.60万元，已按要求列入政府采购预算，详见政府采购预算表。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bookmarkStart w:id="1" w:name="_GoBack"/>
      <w:bookmarkEnd w:id="1"/>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222001中国共产党石家庄市鹿泉区纪律检查委员会本级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550.55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152.50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1207</w:t>
            </w:r>
          </w:p>
        </w:tc>
        <w:tc>
          <w:tcPr>
            <w:tcW w:w="2835" w:type="dxa"/>
            <w:vAlign w:val="center"/>
          </w:tcPr>
          <w:p>
            <w:pPr>
              <w:pStyle w:val="11"/>
            </w:pPr>
            <w:r>
              <w:t>398.05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方正书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EA90AD2"/>
    <w:rsid w:val="43F65B6C"/>
    <w:rsid w:val="67994434"/>
    <w:rsid w:val="79181E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Words>9289</Words>
  <Characters>12195</Characters>
  <TotalTime>2</TotalTime>
  <ScaleCrop>false</ScaleCrop>
  <LinksUpToDate>false</LinksUpToDate>
  <CharactersWithSpaces>12370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2025-02-07T16:48:00Z</dcterms:created>
  <dc:creator>cw</dc:creator>
  <cp:lastModifiedBy>Administrator</cp:lastModifiedBy>
  <dcterms:modified xsi:type="dcterms:W3CDTF">2025-02-18T01:53:35Z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68B03EDA388C4A7394D858873D5A4D4A</vt:lpwstr>
  </property>
</Properties>
</file>