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3</w:t>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8</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sectPr>
      </w:pPr>
      <w:r>
        <w:fldChar w:fldCharType="end"/>
      </w:r>
      <w:bookmarkStart w:id="19" w:name="_GoBack"/>
      <w:bookmarkEnd w:id="19"/>
    </w:p>
    <w:p>
      <w:pPr>
        <w:spacing w:before="0" w:after="0" w:line="240" w:lineRule="auto"/>
        <w:ind w:firstLine="0"/>
        <w:jc w:val="center"/>
        <w:outlineLvl w:val="1"/>
      </w:pPr>
      <w:bookmarkStart w:id="0" w:name="_Toc_2_2_0000000001"/>
      <w:r>
        <w:rPr>
          <w:rFonts w:hint="eastAsia" w:ascii="方正小标宋简体" w:hAnsi="方正小标宋简体" w:eastAsia="方正小标宋简体" w:cs="方正小标宋简体"/>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1977.88</w:t>
            </w:r>
          </w:p>
        </w:tc>
        <w:tc>
          <w:tcPr>
            <w:tcW w:w="4535" w:type="dxa"/>
            <w:vAlign w:val="center"/>
          </w:tcPr>
          <w:p>
            <w:pPr>
              <w:pStyle w:val="14"/>
            </w:pPr>
            <w:r>
              <w:t>一、一般公共服务支出</w:t>
            </w:r>
          </w:p>
        </w:tc>
        <w:tc>
          <w:tcPr>
            <w:tcW w:w="2126" w:type="dxa"/>
            <w:vAlign w:val="center"/>
          </w:tcPr>
          <w:p>
            <w:pPr>
              <w:pStyle w:val="13"/>
            </w:pPr>
            <w:r>
              <w:t>1941.16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1977.88</w:t>
            </w:r>
          </w:p>
        </w:tc>
        <w:tc>
          <w:tcPr>
            <w:tcW w:w="4535" w:type="dxa"/>
            <w:vAlign w:val="center"/>
          </w:tcPr>
          <w:p>
            <w:pPr>
              <w:pStyle w:val="16"/>
            </w:pPr>
            <w:r>
              <w:t>本年支出合计</w:t>
            </w:r>
          </w:p>
        </w:tc>
        <w:tc>
          <w:tcPr>
            <w:tcW w:w="2126" w:type="dxa"/>
            <w:vAlign w:val="center"/>
          </w:tcPr>
          <w:p>
            <w:pPr>
              <w:pStyle w:val="17"/>
            </w:pPr>
            <w:r>
              <w:t>1977.88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1977.88</w:t>
            </w:r>
          </w:p>
        </w:tc>
        <w:tc>
          <w:tcPr>
            <w:tcW w:w="4535" w:type="dxa"/>
            <w:vAlign w:val="center"/>
          </w:tcPr>
          <w:p>
            <w:pPr>
              <w:pStyle w:val="16"/>
            </w:pPr>
            <w:r>
              <w:t>支出总计</w:t>
            </w:r>
          </w:p>
        </w:tc>
        <w:tc>
          <w:tcPr>
            <w:tcW w:w="2126" w:type="dxa"/>
            <w:vAlign w:val="center"/>
          </w:tcPr>
          <w:p>
            <w:pPr>
              <w:pStyle w:val="17"/>
            </w:pPr>
            <w:r>
              <w:t>1977.88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1" w:name="_Toc_2_2_0000000002"/>
      <w:r>
        <w:rPr>
          <w:rFonts w:hint="eastAsia" w:ascii="方正小标宋简体" w:hAnsi="方正小标宋简体" w:eastAsia="方正小标宋简体" w:cs="方正小标宋简体"/>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1977.88</w:t>
            </w:r>
          </w:p>
        </w:tc>
        <w:tc>
          <w:tcPr>
            <w:tcW w:w="1134" w:type="dxa"/>
            <w:vAlign w:val="center"/>
          </w:tcPr>
          <w:p>
            <w:pPr>
              <w:pStyle w:val="17"/>
            </w:pPr>
            <w:r>
              <w:t>1977.88</w:t>
            </w:r>
          </w:p>
        </w:tc>
        <w:tc>
          <w:tcPr>
            <w:tcW w:w="1134" w:type="dxa"/>
            <w:vAlign w:val="center"/>
          </w:tcPr>
          <w:p>
            <w:pPr>
              <w:pStyle w:val="17"/>
            </w:pPr>
            <w:r>
              <w:t>1977.88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1941.16</w:t>
            </w:r>
          </w:p>
        </w:tc>
        <w:tc>
          <w:tcPr>
            <w:tcW w:w="1134" w:type="dxa"/>
            <w:vAlign w:val="center"/>
          </w:tcPr>
          <w:p>
            <w:pPr>
              <w:pStyle w:val="13"/>
            </w:pPr>
            <w:r>
              <w:t>1941.16</w:t>
            </w:r>
          </w:p>
        </w:tc>
        <w:tc>
          <w:tcPr>
            <w:tcW w:w="1134" w:type="dxa"/>
            <w:vAlign w:val="center"/>
          </w:tcPr>
          <w:p>
            <w:pPr>
              <w:pStyle w:val="13"/>
            </w:pPr>
            <w:r>
              <w:t>1941.16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1941.16</w:t>
            </w:r>
          </w:p>
        </w:tc>
        <w:tc>
          <w:tcPr>
            <w:tcW w:w="1134" w:type="dxa"/>
            <w:vAlign w:val="center"/>
          </w:tcPr>
          <w:p>
            <w:pPr>
              <w:pStyle w:val="13"/>
            </w:pPr>
            <w:r>
              <w:t>1941.16</w:t>
            </w:r>
          </w:p>
        </w:tc>
        <w:tc>
          <w:tcPr>
            <w:tcW w:w="1134" w:type="dxa"/>
            <w:vAlign w:val="center"/>
          </w:tcPr>
          <w:p>
            <w:pPr>
              <w:pStyle w:val="13"/>
            </w:pPr>
            <w:r>
              <w:t>1941.16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2013901</w:t>
            </w:r>
          </w:p>
        </w:tc>
        <w:tc>
          <w:tcPr>
            <w:tcW w:w="1559" w:type="dxa"/>
            <w:vAlign w:val="center"/>
          </w:tcPr>
          <w:p>
            <w:pPr>
              <w:pStyle w:val="14"/>
            </w:pPr>
            <w:r>
              <w:t>行政运行</w:t>
            </w:r>
          </w:p>
        </w:tc>
        <w:tc>
          <w:tcPr>
            <w:tcW w:w="1134" w:type="dxa"/>
            <w:vAlign w:val="center"/>
          </w:tcPr>
          <w:p>
            <w:pPr>
              <w:pStyle w:val="13"/>
            </w:pPr>
            <w:r>
              <w:t>115.41</w:t>
            </w:r>
          </w:p>
        </w:tc>
        <w:tc>
          <w:tcPr>
            <w:tcW w:w="1134" w:type="dxa"/>
            <w:vAlign w:val="center"/>
          </w:tcPr>
          <w:p>
            <w:pPr>
              <w:pStyle w:val="13"/>
            </w:pPr>
            <w:r>
              <w:t>115.41</w:t>
            </w:r>
          </w:p>
        </w:tc>
        <w:tc>
          <w:tcPr>
            <w:tcW w:w="1134" w:type="dxa"/>
            <w:vAlign w:val="center"/>
          </w:tcPr>
          <w:p>
            <w:pPr>
              <w:pStyle w:val="13"/>
            </w:pPr>
            <w:r>
              <w:t>115.41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2013904</w:t>
            </w:r>
          </w:p>
        </w:tc>
        <w:tc>
          <w:tcPr>
            <w:tcW w:w="1559" w:type="dxa"/>
            <w:vAlign w:val="center"/>
          </w:tcPr>
          <w:p>
            <w:pPr>
              <w:pStyle w:val="14"/>
            </w:pPr>
            <w:r>
              <w:t>专项业务</w:t>
            </w:r>
          </w:p>
        </w:tc>
        <w:tc>
          <w:tcPr>
            <w:tcW w:w="1134" w:type="dxa"/>
            <w:vAlign w:val="center"/>
          </w:tcPr>
          <w:p>
            <w:pPr>
              <w:pStyle w:val="13"/>
            </w:pPr>
            <w:r>
              <w:t>1825.75</w:t>
            </w:r>
          </w:p>
        </w:tc>
        <w:tc>
          <w:tcPr>
            <w:tcW w:w="1134" w:type="dxa"/>
            <w:vAlign w:val="center"/>
          </w:tcPr>
          <w:p>
            <w:pPr>
              <w:pStyle w:val="13"/>
            </w:pPr>
            <w:r>
              <w:t>1825.75</w:t>
            </w:r>
          </w:p>
        </w:tc>
        <w:tc>
          <w:tcPr>
            <w:tcW w:w="1134" w:type="dxa"/>
            <w:vAlign w:val="center"/>
          </w:tcPr>
          <w:p>
            <w:pPr>
              <w:pStyle w:val="13"/>
            </w:pPr>
            <w:r>
              <w:t>1825.75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17.09</w:t>
            </w:r>
          </w:p>
        </w:tc>
        <w:tc>
          <w:tcPr>
            <w:tcW w:w="1134" w:type="dxa"/>
            <w:vAlign w:val="center"/>
          </w:tcPr>
          <w:p>
            <w:pPr>
              <w:pStyle w:val="13"/>
            </w:pPr>
            <w:r>
              <w:t>17.09</w:t>
            </w:r>
          </w:p>
        </w:tc>
        <w:tc>
          <w:tcPr>
            <w:tcW w:w="1134" w:type="dxa"/>
            <w:vAlign w:val="center"/>
          </w:tcPr>
          <w:p>
            <w:pPr>
              <w:pStyle w:val="13"/>
            </w:pPr>
            <w:r>
              <w:t>17.09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11.36</w:t>
            </w:r>
          </w:p>
        </w:tc>
        <w:tc>
          <w:tcPr>
            <w:tcW w:w="1134" w:type="dxa"/>
            <w:vAlign w:val="center"/>
          </w:tcPr>
          <w:p>
            <w:pPr>
              <w:pStyle w:val="13"/>
            </w:pPr>
            <w:r>
              <w:t>11.36</w:t>
            </w:r>
          </w:p>
        </w:tc>
        <w:tc>
          <w:tcPr>
            <w:tcW w:w="1134" w:type="dxa"/>
            <w:vAlign w:val="center"/>
          </w:tcPr>
          <w:p>
            <w:pPr>
              <w:pStyle w:val="13"/>
            </w:pPr>
            <w:r>
              <w:t>11.36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11.36</w:t>
            </w:r>
          </w:p>
        </w:tc>
        <w:tc>
          <w:tcPr>
            <w:tcW w:w="1134" w:type="dxa"/>
            <w:vAlign w:val="center"/>
          </w:tcPr>
          <w:p>
            <w:pPr>
              <w:pStyle w:val="13"/>
            </w:pPr>
            <w:r>
              <w:t>11.36</w:t>
            </w:r>
          </w:p>
        </w:tc>
        <w:tc>
          <w:tcPr>
            <w:tcW w:w="1134" w:type="dxa"/>
            <w:vAlign w:val="center"/>
          </w:tcPr>
          <w:p>
            <w:pPr>
              <w:pStyle w:val="13"/>
            </w:pPr>
            <w:r>
              <w:t>11.36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5.73</w:t>
            </w:r>
          </w:p>
        </w:tc>
        <w:tc>
          <w:tcPr>
            <w:tcW w:w="1134" w:type="dxa"/>
            <w:vAlign w:val="center"/>
          </w:tcPr>
          <w:p>
            <w:pPr>
              <w:pStyle w:val="13"/>
            </w:pPr>
            <w:r>
              <w:t>5.73</w:t>
            </w:r>
          </w:p>
        </w:tc>
        <w:tc>
          <w:tcPr>
            <w:tcW w:w="1134" w:type="dxa"/>
            <w:vAlign w:val="center"/>
          </w:tcPr>
          <w:p>
            <w:pPr>
              <w:pStyle w:val="13"/>
            </w:pPr>
            <w:r>
              <w:t>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5.73</w:t>
            </w:r>
          </w:p>
        </w:tc>
        <w:tc>
          <w:tcPr>
            <w:tcW w:w="1134" w:type="dxa"/>
            <w:vAlign w:val="center"/>
          </w:tcPr>
          <w:p>
            <w:pPr>
              <w:pStyle w:val="13"/>
            </w:pPr>
            <w:r>
              <w:t>5.73</w:t>
            </w:r>
          </w:p>
        </w:tc>
        <w:tc>
          <w:tcPr>
            <w:tcW w:w="1134" w:type="dxa"/>
            <w:vAlign w:val="center"/>
          </w:tcPr>
          <w:p>
            <w:pPr>
              <w:pStyle w:val="13"/>
            </w:pPr>
            <w:r>
              <w:t>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8.25</w:t>
            </w:r>
          </w:p>
        </w:tc>
        <w:tc>
          <w:tcPr>
            <w:tcW w:w="1134" w:type="dxa"/>
            <w:vAlign w:val="center"/>
          </w:tcPr>
          <w:p>
            <w:pPr>
              <w:pStyle w:val="13"/>
            </w:pPr>
            <w:r>
              <w:t>8.25</w:t>
            </w:r>
          </w:p>
        </w:tc>
        <w:tc>
          <w:tcPr>
            <w:tcW w:w="1134" w:type="dxa"/>
            <w:vAlign w:val="center"/>
          </w:tcPr>
          <w:p>
            <w:pPr>
              <w:pStyle w:val="13"/>
            </w:pPr>
            <w:r>
              <w:t>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8.25</w:t>
            </w:r>
          </w:p>
        </w:tc>
        <w:tc>
          <w:tcPr>
            <w:tcW w:w="1134" w:type="dxa"/>
            <w:vAlign w:val="center"/>
          </w:tcPr>
          <w:p>
            <w:pPr>
              <w:pStyle w:val="13"/>
            </w:pPr>
            <w:r>
              <w:t>8.25</w:t>
            </w:r>
          </w:p>
        </w:tc>
        <w:tc>
          <w:tcPr>
            <w:tcW w:w="1134" w:type="dxa"/>
            <w:vAlign w:val="center"/>
          </w:tcPr>
          <w:p>
            <w:pPr>
              <w:pStyle w:val="13"/>
            </w:pPr>
            <w:r>
              <w:t>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8.25</w:t>
            </w:r>
          </w:p>
        </w:tc>
        <w:tc>
          <w:tcPr>
            <w:tcW w:w="1134" w:type="dxa"/>
            <w:vAlign w:val="center"/>
          </w:tcPr>
          <w:p>
            <w:pPr>
              <w:pStyle w:val="13"/>
            </w:pPr>
            <w:r>
              <w:t>8.25</w:t>
            </w:r>
          </w:p>
        </w:tc>
        <w:tc>
          <w:tcPr>
            <w:tcW w:w="1134" w:type="dxa"/>
            <w:vAlign w:val="center"/>
          </w:tcPr>
          <w:p>
            <w:pPr>
              <w:pStyle w:val="13"/>
            </w:pPr>
            <w:r>
              <w:t>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11.38</w:t>
            </w:r>
          </w:p>
        </w:tc>
        <w:tc>
          <w:tcPr>
            <w:tcW w:w="1134" w:type="dxa"/>
            <w:vAlign w:val="center"/>
          </w:tcPr>
          <w:p>
            <w:pPr>
              <w:pStyle w:val="13"/>
            </w:pPr>
            <w:r>
              <w:t>11.38</w:t>
            </w:r>
          </w:p>
        </w:tc>
        <w:tc>
          <w:tcPr>
            <w:tcW w:w="1134" w:type="dxa"/>
            <w:vAlign w:val="center"/>
          </w:tcPr>
          <w:p>
            <w:pPr>
              <w:pStyle w:val="13"/>
            </w:pPr>
            <w:r>
              <w:t>11.38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11.38</w:t>
            </w:r>
          </w:p>
        </w:tc>
        <w:tc>
          <w:tcPr>
            <w:tcW w:w="1134" w:type="dxa"/>
            <w:vAlign w:val="center"/>
          </w:tcPr>
          <w:p>
            <w:pPr>
              <w:pStyle w:val="13"/>
            </w:pPr>
            <w:r>
              <w:t>11.38</w:t>
            </w:r>
          </w:p>
        </w:tc>
        <w:tc>
          <w:tcPr>
            <w:tcW w:w="1134" w:type="dxa"/>
            <w:vAlign w:val="center"/>
          </w:tcPr>
          <w:p>
            <w:pPr>
              <w:pStyle w:val="13"/>
            </w:pPr>
            <w:r>
              <w:t>11.38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11.38</w:t>
            </w:r>
          </w:p>
        </w:tc>
        <w:tc>
          <w:tcPr>
            <w:tcW w:w="1134" w:type="dxa"/>
            <w:vAlign w:val="center"/>
          </w:tcPr>
          <w:p>
            <w:pPr>
              <w:pStyle w:val="13"/>
            </w:pPr>
            <w:r>
              <w:t>11.38</w:t>
            </w:r>
          </w:p>
        </w:tc>
        <w:tc>
          <w:tcPr>
            <w:tcW w:w="1134" w:type="dxa"/>
            <w:vAlign w:val="center"/>
          </w:tcPr>
          <w:p>
            <w:pPr>
              <w:pStyle w:val="13"/>
            </w:pPr>
            <w:r>
              <w:t>11.38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hint="eastAsia" w:ascii="方正小标宋简体" w:hAnsi="方正小标宋简体" w:eastAsia="方正小标宋简体" w:cs="方正小标宋简体"/>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1977.88</w:t>
            </w:r>
          </w:p>
        </w:tc>
        <w:tc>
          <w:tcPr>
            <w:tcW w:w="1361" w:type="dxa"/>
            <w:vAlign w:val="center"/>
          </w:tcPr>
          <w:p>
            <w:pPr>
              <w:pStyle w:val="17"/>
            </w:pPr>
            <w:r>
              <w:t>136.40</w:t>
            </w:r>
          </w:p>
        </w:tc>
        <w:tc>
          <w:tcPr>
            <w:tcW w:w="1361" w:type="dxa"/>
            <w:vAlign w:val="center"/>
          </w:tcPr>
          <w:p>
            <w:pPr>
              <w:pStyle w:val="17"/>
            </w:pPr>
            <w:r>
              <w:t>1841.48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1941.16</w:t>
            </w:r>
          </w:p>
        </w:tc>
        <w:tc>
          <w:tcPr>
            <w:tcW w:w="1361" w:type="dxa"/>
            <w:vAlign w:val="center"/>
          </w:tcPr>
          <w:p>
            <w:pPr>
              <w:pStyle w:val="13"/>
            </w:pPr>
            <w:r>
              <w:t>105.41</w:t>
            </w:r>
          </w:p>
        </w:tc>
        <w:tc>
          <w:tcPr>
            <w:tcW w:w="1361" w:type="dxa"/>
            <w:vAlign w:val="center"/>
          </w:tcPr>
          <w:p>
            <w:pPr>
              <w:pStyle w:val="13"/>
            </w:pPr>
            <w:r>
              <w:t>1835.75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1941.16</w:t>
            </w:r>
          </w:p>
        </w:tc>
        <w:tc>
          <w:tcPr>
            <w:tcW w:w="1361" w:type="dxa"/>
            <w:vAlign w:val="center"/>
          </w:tcPr>
          <w:p>
            <w:pPr>
              <w:pStyle w:val="13"/>
            </w:pPr>
            <w:r>
              <w:t>105.41</w:t>
            </w:r>
          </w:p>
        </w:tc>
        <w:tc>
          <w:tcPr>
            <w:tcW w:w="1361" w:type="dxa"/>
            <w:vAlign w:val="center"/>
          </w:tcPr>
          <w:p>
            <w:pPr>
              <w:pStyle w:val="13"/>
            </w:pPr>
            <w:r>
              <w:t>1835.75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2013901</w:t>
            </w:r>
          </w:p>
        </w:tc>
        <w:tc>
          <w:tcPr>
            <w:tcW w:w="4535" w:type="dxa"/>
            <w:vAlign w:val="center"/>
          </w:tcPr>
          <w:p>
            <w:pPr>
              <w:pStyle w:val="14"/>
            </w:pPr>
            <w:r>
              <w:t>行政运行</w:t>
            </w:r>
          </w:p>
        </w:tc>
        <w:tc>
          <w:tcPr>
            <w:tcW w:w="1361" w:type="dxa"/>
            <w:vAlign w:val="center"/>
          </w:tcPr>
          <w:p>
            <w:pPr>
              <w:pStyle w:val="13"/>
            </w:pPr>
            <w:r>
              <w:t>115.41</w:t>
            </w:r>
          </w:p>
        </w:tc>
        <w:tc>
          <w:tcPr>
            <w:tcW w:w="1361" w:type="dxa"/>
            <w:vAlign w:val="center"/>
          </w:tcPr>
          <w:p>
            <w:pPr>
              <w:pStyle w:val="13"/>
            </w:pPr>
            <w:r>
              <w:t>105.41</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2013904</w:t>
            </w:r>
          </w:p>
        </w:tc>
        <w:tc>
          <w:tcPr>
            <w:tcW w:w="4535" w:type="dxa"/>
            <w:vAlign w:val="center"/>
          </w:tcPr>
          <w:p>
            <w:pPr>
              <w:pStyle w:val="14"/>
            </w:pPr>
            <w:r>
              <w:t>专项业务</w:t>
            </w:r>
          </w:p>
        </w:tc>
        <w:tc>
          <w:tcPr>
            <w:tcW w:w="1361" w:type="dxa"/>
            <w:vAlign w:val="center"/>
          </w:tcPr>
          <w:p>
            <w:pPr>
              <w:pStyle w:val="13"/>
            </w:pPr>
            <w:r>
              <w:t>1825.75</w:t>
            </w:r>
          </w:p>
        </w:tc>
        <w:tc>
          <w:tcPr>
            <w:tcW w:w="1361" w:type="dxa"/>
            <w:vAlign w:val="center"/>
          </w:tcPr>
          <w:p>
            <w:pPr>
              <w:pStyle w:val="13"/>
            </w:pPr>
          </w:p>
        </w:tc>
        <w:tc>
          <w:tcPr>
            <w:tcW w:w="1361" w:type="dxa"/>
            <w:vAlign w:val="center"/>
          </w:tcPr>
          <w:p>
            <w:pPr>
              <w:pStyle w:val="13"/>
            </w:pPr>
            <w:r>
              <w:t>1825.75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17.09</w:t>
            </w:r>
          </w:p>
        </w:tc>
        <w:tc>
          <w:tcPr>
            <w:tcW w:w="1361" w:type="dxa"/>
            <w:vAlign w:val="center"/>
          </w:tcPr>
          <w:p>
            <w:pPr>
              <w:pStyle w:val="13"/>
            </w:pPr>
            <w:r>
              <w:t>11.36</w:t>
            </w:r>
          </w:p>
        </w:tc>
        <w:tc>
          <w:tcPr>
            <w:tcW w:w="1361" w:type="dxa"/>
            <w:vAlign w:val="center"/>
          </w:tcPr>
          <w:p>
            <w:pPr>
              <w:pStyle w:val="13"/>
            </w:pPr>
            <w:r>
              <w:t>5.73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11.36</w:t>
            </w:r>
          </w:p>
        </w:tc>
        <w:tc>
          <w:tcPr>
            <w:tcW w:w="1361" w:type="dxa"/>
            <w:vAlign w:val="center"/>
          </w:tcPr>
          <w:p>
            <w:pPr>
              <w:pStyle w:val="13"/>
            </w:pPr>
            <w:r>
              <w:t>11.36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11.36</w:t>
            </w:r>
          </w:p>
        </w:tc>
        <w:tc>
          <w:tcPr>
            <w:tcW w:w="1361" w:type="dxa"/>
            <w:vAlign w:val="center"/>
          </w:tcPr>
          <w:p>
            <w:pPr>
              <w:pStyle w:val="13"/>
            </w:pPr>
            <w:r>
              <w:t>11.36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5.73</w:t>
            </w:r>
          </w:p>
        </w:tc>
        <w:tc>
          <w:tcPr>
            <w:tcW w:w="1361" w:type="dxa"/>
            <w:vAlign w:val="center"/>
          </w:tcPr>
          <w:p>
            <w:pPr>
              <w:pStyle w:val="13"/>
            </w:pPr>
          </w:p>
        </w:tc>
        <w:tc>
          <w:tcPr>
            <w:tcW w:w="1361" w:type="dxa"/>
            <w:vAlign w:val="center"/>
          </w:tcPr>
          <w:p>
            <w:pPr>
              <w:pStyle w:val="13"/>
            </w:pPr>
            <w:r>
              <w:t>5.73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5.73</w:t>
            </w:r>
          </w:p>
        </w:tc>
        <w:tc>
          <w:tcPr>
            <w:tcW w:w="1361" w:type="dxa"/>
            <w:vAlign w:val="center"/>
          </w:tcPr>
          <w:p>
            <w:pPr>
              <w:pStyle w:val="13"/>
            </w:pPr>
          </w:p>
        </w:tc>
        <w:tc>
          <w:tcPr>
            <w:tcW w:w="1361" w:type="dxa"/>
            <w:vAlign w:val="center"/>
          </w:tcPr>
          <w:p>
            <w:pPr>
              <w:pStyle w:val="13"/>
            </w:pPr>
            <w:r>
              <w:t>5.73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8.25</w:t>
            </w:r>
          </w:p>
        </w:tc>
        <w:tc>
          <w:tcPr>
            <w:tcW w:w="1361" w:type="dxa"/>
            <w:vAlign w:val="center"/>
          </w:tcPr>
          <w:p>
            <w:pPr>
              <w:pStyle w:val="13"/>
            </w:pPr>
            <w:r>
              <w:t>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8.25</w:t>
            </w:r>
          </w:p>
        </w:tc>
        <w:tc>
          <w:tcPr>
            <w:tcW w:w="1361" w:type="dxa"/>
            <w:vAlign w:val="center"/>
          </w:tcPr>
          <w:p>
            <w:pPr>
              <w:pStyle w:val="13"/>
            </w:pPr>
            <w:r>
              <w:t>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8.25</w:t>
            </w:r>
          </w:p>
        </w:tc>
        <w:tc>
          <w:tcPr>
            <w:tcW w:w="1361" w:type="dxa"/>
            <w:vAlign w:val="center"/>
          </w:tcPr>
          <w:p>
            <w:pPr>
              <w:pStyle w:val="13"/>
            </w:pPr>
            <w:r>
              <w:t>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11.38</w:t>
            </w:r>
          </w:p>
        </w:tc>
        <w:tc>
          <w:tcPr>
            <w:tcW w:w="1361" w:type="dxa"/>
            <w:vAlign w:val="center"/>
          </w:tcPr>
          <w:p>
            <w:pPr>
              <w:pStyle w:val="13"/>
            </w:pPr>
            <w:r>
              <w:t>11.38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11.38</w:t>
            </w:r>
          </w:p>
        </w:tc>
        <w:tc>
          <w:tcPr>
            <w:tcW w:w="1361" w:type="dxa"/>
            <w:vAlign w:val="center"/>
          </w:tcPr>
          <w:p>
            <w:pPr>
              <w:pStyle w:val="13"/>
            </w:pPr>
            <w:r>
              <w:t>11.38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11.38</w:t>
            </w:r>
          </w:p>
        </w:tc>
        <w:tc>
          <w:tcPr>
            <w:tcW w:w="1361" w:type="dxa"/>
            <w:vAlign w:val="center"/>
          </w:tcPr>
          <w:p>
            <w:pPr>
              <w:pStyle w:val="13"/>
            </w:pPr>
            <w:r>
              <w:t>11.38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hint="eastAsia" w:ascii="方正小标宋简体" w:hAnsi="方正小标宋简体" w:eastAsia="方正小标宋简体" w:cs="方正小标宋简体"/>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1977.88</w:t>
            </w:r>
          </w:p>
        </w:tc>
        <w:tc>
          <w:tcPr>
            <w:tcW w:w="3402" w:type="dxa"/>
            <w:vAlign w:val="center"/>
          </w:tcPr>
          <w:p>
            <w:pPr>
              <w:pStyle w:val="14"/>
            </w:pPr>
            <w:r>
              <w:t>一、一般公共服务支出</w:t>
            </w:r>
          </w:p>
        </w:tc>
        <w:tc>
          <w:tcPr>
            <w:tcW w:w="1474" w:type="dxa"/>
            <w:vAlign w:val="center"/>
          </w:tcPr>
          <w:p>
            <w:pPr>
              <w:pStyle w:val="13"/>
            </w:pPr>
            <w:r>
              <w:t>1941.16</w:t>
            </w:r>
          </w:p>
        </w:tc>
        <w:tc>
          <w:tcPr>
            <w:tcW w:w="1474" w:type="dxa"/>
            <w:vAlign w:val="center"/>
          </w:tcPr>
          <w:p>
            <w:pPr>
              <w:pStyle w:val="13"/>
            </w:pPr>
            <w:r>
              <w:t>1941.16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17.09</w:t>
            </w:r>
          </w:p>
        </w:tc>
        <w:tc>
          <w:tcPr>
            <w:tcW w:w="1474" w:type="dxa"/>
            <w:vAlign w:val="center"/>
          </w:tcPr>
          <w:p>
            <w:pPr>
              <w:pStyle w:val="13"/>
            </w:pPr>
            <w:r>
              <w:t>17.09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8.25</w:t>
            </w:r>
          </w:p>
        </w:tc>
        <w:tc>
          <w:tcPr>
            <w:tcW w:w="1474" w:type="dxa"/>
            <w:vAlign w:val="center"/>
          </w:tcPr>
          <w:p>
            <w:pPr>
              <w:pStyle w:val="13"/>
            </w:pPr>
            <w:r>
              <w:t>8.25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11.38</w:t>
            </w:r>
          </w:p>
        </w:tc>
        <w:tc>
          <w:tcPr>
            <w:tcW w:w="1474" w:type="dxa"/>
            <w:vAlign w:val="center"/>
          </w:tcPr>
          <w:p>
            <w:pPr>
              <w:pStyle w:val="13"/>
            </w:pPr>
            <w:r>
              <w:t>11.38</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1977.88</w:t>
            </w:r>
          </w:p>
        </w:tc>
        <w:tc>
          <w:tcPr>
            <w:tcW w:w="3402" w:type="dxa"/>
            <w:vAlign w:val="center"/>
          </w:tcPr>
          <w:p>
            <w:pPr>
              <w:pStyle w:val="16"/>
            </w:pPr>
            <w:r>
              <w:t>本年支出合计</w:t>
            </w:r>
          </w:p>
        </w:tc>
        <w:tc>
          <w:tcPr>
            <w:tcW w:w="1474" w:type="dxa"/>
            <w:vAlign w:val="center"/>
          </w:tcPr>
          <w:p>
            <w:pPr>
              <w:pStyle w:val="17"/>
            </w:pPr>
            <w:r>
              <w:t>1977.88</w:t>
            </w:r>
          </w:p>
        </w:tc>
        <w:tc>
          <w:tcPr>
            <w:tcW w:w="1474" w:type="dxa"/>
            <w:vAlign w:val="center"/>
          </w:tcPr>
          <w:p>
            <w:pPr>
              <w:pStyle w:val="17"/>
            </w:pPr>
            <w:r>
              <w:t>1977.88</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1977.88</w:t>
            </w:r>
          </w:p>
        </w:tc>
        <w:tc>
          <w:tcPr>
            <w:tcW w:w="3402" w:type="dxa"/>
            <w:vAlign w:val="center"/>
          </w:tcPr>
          <w:p>
            <w:pPr>
              <w:pStyle w:val="16"/>
            </w:pPr>
            <w:r>
              <w:t>支出总计</w:t>
            </w:r>
          </w:p>
        </w:tc>
        <w:tc>
          <w:tcPr>
            <w:tcW w:w="1474" w:type="dxa"/>
            <w:vAlign w:val="center"/>
          </w:tcPr>
          <w:p>
            <w:pPr>
              <w:pStyle w:val="17"/>
            </w:pPr>
            <w:r>
              <w:t>1977.88</w:t>
            </w:r>
          </w:p>
        </w:tc>
        <w:tc>
          <w:tcPr>
            <w:tcW w:w="1474" w:type="dxa"/>
            <w:vAlign w:val="center"/>
          </w:tcPr>
          <w:p>
            <w:pPr>
              <w:pStyle w:val="17"/>
            </w:pPr>
            <w:r>
              <w:t>1977.88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4" w:name="_Toc_2_2_0000000005"/>
      <w:r>
        <w:rPr>
          <w:rFonts w:hint="eastAsia" w:ascii="方正小标宋简体" w:hAnsi="方正小标宋简体" w:eastAsia="方正小标宋简体" w:cs="方正小标宋简体"/>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1977.88</w:t>
            </w:r>
          </w:p>
        </w:tc>
        <w:tc>
          <w:tcPr>
            <w:tcW w:w="2551" w:type="dxa"/>
            <w:vAlign w:val="center"/>
          </w:tcPr>
          <w:p>
            <w:pPr>
              <w:pStyle w:val="17"/>
            </w:pPr>
            <w:r>
              <w:t>136.40</w:t>
            </w:r>
          </w:p>
        </w:tc>
        <w:tc>
          <w:tcPr>
            <w:tcW w:w="2551" w:type="dxa"/>
            <w:vAlign w:val="center"/>
          </w:tcPr>
          <w:p>
            <w:pPr>
              <w:pStyle w:val="17"/>
            </w:pPr>
            <w:r>
              <w:t>1841.48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1941.16</w:t>
            </w:r>
          </w:p>
        </w:tc>
        <w:tc>
          <w:tcPr>
            <w:tcW w:w="2551" w:type="dxa"/>
            <w:vAlign w:val="center"/>
          </w:tcPr>
          <w:p>
            <w:pPr>
              <w:pStyle w:val="13"/>
            </w:pPr>
            <w:r>
              <w:t>105.41</w:t>
            </w:r>
          </w:p>
        </w:tc>
        <w:tc>
          <w:tcPr>
            <w:tcW w:w="2551" w:type="dxa"/>
            <w:vAlign w:val="center"/>
          </w:tcPr>
          <w:p>
            <w:pPr>
              <w:pStyle w:val="13"/>
            </w:pPr>
            <w:r>
              <w:t>1835.75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1941.16</w:t>
            </w:r>
          </w:p>
        </w:tc>
        <w:tc>
          <w:tcPr>
            <w:tcW w:w="2551" w:type="dxa"/>
            <w:vAlign w:val="center"/>
          </w:tcPr>
          <w:p>
            <w:pPr>
              <w:pStyle w:val="13"/>
            </w:pPr>
            <w:r>
              <w:t>105.41</w:t>
            </w:r>
          </w:p>
        </w:tc>
        <w:tc>
          <w:tcPr>
            <w:tcW w:w="2551" w:type="dxa"/>
            <w:vAlign w:val="center"/>
          </w:tcPr>
          <w:p>
            <w:pPr>
              <w:pStyle w:val="13"/>
            </w:pPr>
            <w:r>
              <w:t>1835.75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2013901</w:t>
            </w:r>
          </w:p>
        </w:tc>
        <w:tc>
          <w:tcPr>
            <w:tcW w:w="4535" w:type="dxa"/>
            <w:vAlign w:val="center"/>
          </w:tcPr>
          <w:p>
            <w:pPr>
              <w:pStyle w:val="14"/>
            </w:pPr>
            <w:r>
              <w:t>行政运行</w:t>
            </w:r>
          </w:p>
        </w:tc>
        <w:tc>
          <w:tcPr>
            <w:tcW w:w="2551" w:type="dxa"/>
            <w:vAlign w:val="center"/>
          </w:tcPr>
          <w:p>
            <w:pPr>
              <w:pStyle w:val="13"/>
            </w:pPr>
            <w:r>
              <w:t>115.41</w:t>
            </w:r>
          </w:p>
        </w:tc>
        <w:tc>
          <w:tcPr>
            <w:tcW w:w="2551" w:type="dxa"/>
            <w:vAlign w:val="center"/>
          </w:tcPr>
          <w:p>
            <w:pPr>
              <w:pStyle w:val="13"/>
            </w:pPr>
            <w:r>
              <w:t>105.41</w:t>
            </w: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2013904</w:t>
            </w:r>
          </w:p>
        </w:tc>
        <w:tc>
          <w:tcPr>
            <w:tcW w:w="4535" w:type="dxa"/>
            <w:vAlign w:val="center"/>
          </w:tcPr>
          <w:p>
            <w:pPr>
              <w:pStyle w:val="14"/>
            </w:pPr>
            <w:r>
              <w:t>专项业务</w:t>
            </w:r>
          </w:p>
        </w:tc>
        <w:tc>
          <w:tcPr>
            <w:tcW w:w="2551" w:type="dxa"/>
            <w:vAlign w:val="center"/>
          </w:tcPr>
          <w:p>
            <w:pPr>
              <w:pStyle w:val="13"/>
            </w:pPr>
            <w:r>
              <w:t>1825.75</w:t>
            </w:r>
          </w:p>
        </w:tc>
        <w:tc>
          <w:tcPr>
            <w:tcW w:w="2551" w:type="dxa"/>
            <w:vAlign w:val="center"/>
          </w:tcPr>
          <w:p>
            <w:pPr>
              <w:pStyle w:val="13"/>
            </w:pPr>
          </w:p>
        </w:tc>
        <w:tc>
          <w:tcPr>
            <w:tcW w:w="2551" w:type="dxa"/>
            <w:vAlign w:val="center"/>
          </w:tcPr>
          <w:p>
            <w:pPr>
              <w:pStyle w:val="13"/>
            </w:pPr>
            <w:r>
              <w:t>1825.75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17.09</w:t>
            </w:r>
          </w:p>
        </w:tc>
        <w:tc>
          <w:tcPr>
            <w:tcW w:w="2551" w:type="dxa"/>
            <w:vAlign w:val="center"/>
          </w:tcPr>
          <w:p>
            <w:pPr>
              <w:pStyle w:val="13"/>
            </w:pPr>
            <w:r>
              <w:t>11.36</w:t>
            </w:r>
          </w:p>
        </w:tc>
        <w:tc>
          <w:tcPr>
            <w:tcW w:w="2551" w:type="dxa"/>
            <w:vAlign w:val="center"/>
          </w:tcPr>
          <w:p>
            <w:pPr>
              <w:pStyle w:val="13"/>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11.36</w:t>
            </w:r>
          </w:p>
        </w:tc>
        <w:tc>
          <w:tcPr>
            <w:tcW w:w="2551" w:type="dxa"/>
            <w:vAlign w:val="center"/>
          </w:tcPr>
          <w:p>
            <w:pPr>
              <w:pStyle w:val="13"/>
            </w:pPr>
            <w:r>
              <w:t>11.36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11.36</w:t>
            </w:r>
          </w:p>
        </w:tc>
        <w:tc>
          <w:tcPr>
            <w:tcW w:w="2551" w:type="dxa"/>
            <w:vAlign w:val="center"/>
          </w:tcPr>
          <w:p>
            <w:pPr>
              <w:pStyle w:val="13"/>
            </w:pPr>
            <w:r>
              <w:t>11.36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5.73</w:t>
            </w:r>
          </w:p>
        </w:tc>
        <w:tc>
          <w:tcPr>
            <w:tcW w:w="2551" w:type="dxa"/>
            <w:vAlign w:val="center"/>
          </w:tcPr>
          <w:p>
            <w:pPr>
              <w:pStyle w:val="13"/>
            </w:pPr>
          </w:p>
        </w:tc>
        <w:tc>
          <w:tcPr>
            <w:tcW w:w="2551" w:type="dxa"/>
            <w:vAlign w:val="center"/>
          </w:tcPr>
          <w:p>
            <w:pPr>
              <w:pStyle w:val="13"/>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5.73</w:t>
            </w:r>
          </w:p>
        </w:tc>
        <w:tc>
          <w:tcPr>
            <w:tcW w:w="2551" w:type="dxa"/>
            <w:vAlign w:val="center"/>
          </w:tcPr>
          <w:p>
            <w:pPr>
              <w:pStyle w:val="13"/>
            </w:pPr>
          </w:p>
        </w:tc>
        <w:tc>
          <w:tcPr>
            <w:tcW w:w="2551" w:type="dxa"/>
            <w:vAlign w:val="center"/>
          </w:tcPr>
          <w:p>
            <w:pPr>
              <w:pStyle w:val="13"/>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8.25</w:t>
            </w:r>
          </w:p>
        </w:tc>
        <w:tc>
          <w:tcPr>
            <w:tcW w:w="2551" w:type="dxa"/>
            <w:vAlign w:val="center"/>
          </w:tcPr>
          <w:p>
            <w:pPr>
              <w:pStyle w:val="13"/>
            </w:pPr>
            <w:r>
              <w:t>8.25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8.25</w:t>
            </w:r>
          </w:p>
        </w:tc>
        <w:tc>
          <w:tcPr>
            <w:tcW w:w="2551" w:type="dxa"/>
            <w:vAlign w:val="center"/>
          </w:tcPr>
          <w:p>
            <w:pPr>
              <w:pStyle w:val="13"/>
            </w:pPr>
            <w:r>
              <w:t>8.25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8.25</w:t>
            </w:r>
          </w:p>
        </w:tc>
        <w:tc>
          <w:tcPr>
            <w:tcW w:w="2551" w:type="dxa"/>
            <w:vAlign w:val="center"/>
          </w:tcPr>
          <w:p>
            <w:pPr>
              <w:pStyle w:val="13"/>
            </w:pPr>
            <w:r>
              <w:t>8.25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11.38</w:t>
            </w:r>
          </w:p>
        </w:tc>
        <w:tc>
          <w:tcPr>
            <w:tcW w:w="2551" w:type="dxa"/>
            <w:vAlign w:val="center"/>
          </w:tcPr>
          <w:p>
            <w:pPr>
              <w:pStyle w:val="13"/>
            </w:pPr>
            <w:r>
              <w:t>11.38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11.38</w:t>
            </w:r>
          </w:p>
        </w:tc>
        <w:tc>
          <w:tcPr>
            <w:tcW w:w="2551" w:type="dxa"/>
            <w:vAlign w:val="center"/>
          </w:tcPr>
          <w:p>
            <w:pPr>
              <w:pStyle w:val="13"/>
            </w:pPr>
            <w:r>
              <w:t>11.38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11.38</w:t>
            </w:r>
          </w:p>
        </w:tc>
        <w:tc>
          <w:tcPr>
            <w:tcW w:w="2551" w:type="dxa"/>
            <w:vAlign w:val="center"/>
          </w:tcPr>
          <w:p>
            <w:pPr>
              <w:pStyle w:val="13"/>
            </w:pPr>
            <w:r>
              <w:t>11.38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5" w:name="_Toc_2_2_0000000006"/>
      <w:r>
        <w:rPr>
          <w:rFonts w:hint="eastAsia" w:ascii="方正小标宋简体" w:hAnsi="方正小标宋简体" w:eastAsia="方正小标宋简体" w:cs="方正小标宋简体"/>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136.40</w:t>
            </w:r>
          </w:p>
        </w:tc>
        <w:tc>
          <w:tcPr>
            <w:tcW w:w="2551" w:type="dxa"/>
            <w:vAlign w:val="center"/>
          </w:tcPr>
          <w:p>
            <w:pPr>
              <w:pStyle w:val="17"/>
            </w:pPr>
            <w:r>
              <w:t>118.44</w:t>
            </w:r>
          </w:p>
        </w:tc>
        <w:tc>
          <w:tcPr>
            <w:tcW w:w="2551" w:type="dxa"/>
            <w:vAlign w:val="center"/>
          </w:tcPr>
          <w:p>
            <w:pPr>
              <w:pStyle w:val="17"/>
            </w:pPr>
            <w:r>
              <w:t>17.96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118.44</w:t>
            </w:r>
          </w:p>
        </w:tc>
        <w:tc>
          <w:tcPr>
            <w:tcW w:w="2551" w:type="dxa"/>
            <w:vAlign w:val="center"/>
          </w:tcPr>
          <w:p>
            <w:pPr>
              <w:pStyle w:val="13"/>
            </w:pPr>
            <w:r>
              <w:t>118.44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30.52</w:t>
            </w:r>
          </w:p>
        </w:tc>
        <w:tc>
          <w:tcPr>
            <w:tcW w:w="2551" w:type="dxa"/>
            <w:vAlign w:val="center"/>
          </w:tcPr>
          <w:p>
            <w:pPr>
              <w:pStyle w:val="13"/>
            </w:pPr>
            <w:r>
              <w:t>30.52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23.68</w:t>
            </w:r>
          </w:p>
        </w:tc>
        <w:tc>
          <w:tcPr>
            <w:tcW w:w="2551" w:type="dxa"/>
            <w:vAlign w:val="center"/>
          </w:tcPr>
          <w:p>
            <w:pPr>
              <w:pStyle w:val="13"/>
            </w:pPr>
            <w:r>
              <w:t>23.68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26.06</w:t>
            </w:r>
          </w:p>
        </w:tc>
        <w:tc>
          <w:tcPr>
            <w:tcW w:w="2551" w:type="dxa"/>
            <w:vAlign w:val="center"/>
          </w:tcPr>
          <w:p>
            <w:pPr>
              <w:pStyle w:val="13"/>
            </w:pPr>
            <w:r>
              <w:t>26.06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6.88</w:t>
            </w:r>
          </w:p>
        </w:tc>
        <w:tc>
          <w:tcPr>
            <w:tcW w:w="2551" w:type="dxa"/>
            <w:vAlign w:val="center"/>
          </w:tcPr>
          <w:p>
            <w:pPr>
              <w:pStyle w:val="13"/>
            </w:pPr>
            <w:r>
              <w:t>6.88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11.36</w:t>
            </w:r>
          </w:p>
        </w:tc>
        <w:tc>
          <w:tcPr>
            <w:tcW w:w="2551" w:type="dxa"/>
            <w:vAlign w:val="center"/>
          </w:tcPr>
          <w:p>
            <w:pPr>
              <w:pStyle w:val="13"/>
            </w:pPr>
            <w:r>
              <w:t>11.36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4.65</w:t>
            </w:r>
          </w:p>
        </w:tc>
        <w:tc>
          <w:tcPr>
            <w:tcW w:w="2551" w:type="dxa"/>
            <w:vAlign w:val="center"/>
          </w:tcPr>
          <w:p>
            <w:pPr>
              <w:pStyle w:val="13"/>
            </w:pPr>
            <w:r>
              <w:t>4.65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3.60</w:t>
            </w:r>
          </w:p>
        </w:tc>
        <w:tc>
          <w:tcPr>
            <w:tcW w:w="2551" w:type="dxa"/>
            <w:vAlign w:val="center"/>
          </w:tcPr>
          <w:p>
            <w:pPr>
              <w:pStyle w:val="13"/>
            </w:pPr>
            <w:r>
              <w:t>3.60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11.38</w:t>
            </w:r>
          </w:p>
        </w:tc>
        <w:tc>
          <w:tcPr>
            <w:tcW w:w="2551" w:type="dxa"/>
            <w:vAlign w:val="center"/>
          </w:tcPr>
          <w:p>
            <w:pPr>
              <w:pStyle w:val="13"/>
            </w:pPr>
            <w:r>
              <w:t>11.38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17.96</w:t>
            </w:r>
          </w:p>
        </w:tc>
        <w:tc>
          <w:tcPr>
            <w:tcW w:w="2551" w:type="dxa"/>
            <w:vAlign w:val="center"/>
          </w:tcPr>
          <w:p>
            <w:pPr>
              <w:pStyle w:val="13"/>
            </w:pPr>
          </w:p>
        </w:tc>
        <w:tc>
          <w:tcPr>
            <w:tcW w:w="2551" w:type="dxa"/>
            <w:vAlign w:val="center"/>
          </w:tcPr>
          <w:p>
            <w:pPr>
              <w:pStyle w:val="13"/>
            </w:pPr>
            <w:r>
              <w:t>17.96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3.43</w:t>
            </w:r>
          </w:p>
        </w:tc>
        <w:tc>
          <w:tcPr>
            <w:tcW w:w="2551" w:type="dxa"/>
            <w:vAlign w:val="center"/>
          </w:tcPr>
          <w:p>
            <w:pPr>
              <w:pStyle w:val="13"/>
            </w:pPr>
          </w:p>
        </w:tc>
        <w:tc>
          <w:tcPr>
            <w:tcW w:w="2551" w:type="dxa"/>
            <w:vAlign w:val="center"/>
          </w:tcPr>
          <w:p>
            <w:pPr>
              <w:pStyle w:val="13"/>
            </w:pPr>
            <w:r>
              <w:t>3.43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1.71</w:t>
            </w:r>
          </w:p>
        </w:tc>
        <w:tc>
          <w:tcPr>
            <w:tcW w:w="2551" w:type="dxa"/>
            <w:vAlign w:val="center"/>
          </w:tcPr>
          <w:p>
            <w:pPr>
              <w:pStyle w:val="13"/>
            </w:pPr>
          </w:p>
        </w:tc>
        <w:tc>
          <w:tcPr>
            <w:tcW w:w="2551" w:type="dxa"/>
            <w:vAlign w:val="center"/>
          </w:tcPr>
          <w:p>
            <w:pPr>
              <w:pStyle w:val="13"/>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0.64</w:t>
            </w:r>
          </w:p>
        </w:tc>
        <w:tc>
          <w:tcPr>
            <w:tcW w:w="2551" w:type="dxa"/>
            <w:vAlign w:val="center"/>
          </w:tcPr>
          <w:p>
            <w:pPr>
              <w:pStyle w:val="13"/>
            </w:pPr>
          </w:p>
        </w:tc>
        <w:tc>
          <w:tcPr>
            <w:tcW w:w="2551" w:type="dxa"/>
            <w:vAlign w:val="center"/>
          </w:tcPr>
          <w:p>
            <w:pPr>
              <w:pStyle w:val="13"/>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4.38</w:t>
            </w:r>
          </w:p>
        </w:tc>
        <w:tc>
          <w:tcPr>
            <w:tcW w:w="2551" w:type="dxa"/>
            <w:vAlign w:val="center"/>
          </w:tcPr>
          <w:p>
            <w:pPr>
              <w:pStyle w:val="13"/>
            </w:pPr>
          </w:p>
        </w:tc>
        <w:tc>
          <w:tcPr>
            <w:tcW w:w="2551" w:type="dxa"/>
            <w:vAlign w:val="center"/>
          </w:tcPr>
          <w:p>
            <w:pPr>
              <w:pStyle w:val="13"/>
            </w:pPr>
            <w:r>
              <w:t>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hint="eastAsia" w:ascii="方正小标宋简体" w:hAnsi="方正小标宋简体" w:eastAsia="方正小标宋简体" w:cs="方正小标宋简体"/>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7" w:name="_Toc_2_2_0000000008"/>
      <w:r>
        <w:rPr>
          <w:rFonts w:hint="eastAsia" w:ascii="方正小标宋简体" w:hAnsi="方正小标宋简体" w:eastAsia="方正小标宋简体" w:cs="方正小标宋简体"/>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简体" w:hAnsi="方正小标宋简体" w:eastAsia="方正小标宋简体" w:cs="方正小标宋简体"/>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中共石家庄市鹿泉区委社会工作部2025年部门预算信息公开情况说明</w:t>
      </w:r>
    </w:p>
    <w:p>
      <w:pPr>
        <w:keepNext w:val="0"/>
        <w:keepLines w:val="0"/>
        <w:pageBreakBefore w:val="0"/>
        <w:widowControl/>
        <w:kinsoku/>
        <w:wordWrap/>
        <w:overflowPunct/>
        <w:topLinePunct w:val="0"/>
        <w:autoSpaceDE/>
        <w:autoSpaceDN/>
        <w:bidi w:val="0"/>
        <w:adjustRightInd/>
        <w:snapToGrid/>
        <w:spacing w:line="520" w:lineRule="exact"/>
        <w:ind w:firstLine="0"/>
        <w:jc w:val="center"/>
        <w:textAlignment w:val="auto"/>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中共石家庄市鹿泉区委社会工作部2025年部门</w:t>
      </w:r>
    </w:p>
    <w:p>
      <w:pPr>
        <w:keepNext w:val="0"/>
        <w:keepLines w:val="0"/>
        <w:pageBreakBefore w:val="0"/>
        <w:widowControl/>
        <w:kinsoku/>
        <w:wordWrap/>
        <w:overflowPunct/>
        <w:topLinePunct w:val="0"/>
        <w:autoSpaceDE/>
        <w:autoSpaceDN/>
        <w:bidi w:val="0"/>
        <w:adjustRightInd/>
        <w:snapToGrid/>
        <w:spacing w:line="520" w:lineRule="exact"/>
        <w:ind w:firstLine="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预算信息公开情况说明</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按照《中华人民共和国预算法》、《地方预决算公开操作规程》和《关于进一步推进预算公开工作的实施意见》规定，现将中共石家庄市鹿泉区委社会工作部2025年部门预算公开如下：</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color w:val="000000"/>
          <w:sz w:val="32"/>
        </w:rPr>
        <w:t>部门职责：</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(一)研究相关理论、政策和规划，贯彻落实社会工作方面相关地方性法规，拟定规范性文件并组织实施。深入调查研究，及时向区委报告工作情况并提出建议。指导乡（镇、区）开展社会工作方面工作。</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（二）指导人民建议征集工作，向区委、区政府及时反映公民、法人和其他组织对党和国家事业发展提出的重要意见建议。</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（四）统筹指导社会组织、行业协会商会党建工作，协调推动行业协会商会深化改革和转型发展。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指导混合所有制企业、非公有制企业和新经济组织、新社会组织、新就业群体党建工作，指导协调相关企业单位、社会组织、就业群体中党员的教育、管理、监督和服务工作，研究完善相关领域群众利益协调机制。</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（六）拟定全区社会工作发展规划、志愿服务规范和标准并组织实施，负责全区志愿服务工作的统筹规划、协调指导、督促检查。会同有关部门推进社会工作人才队伍建设和志愿队伍建设。</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（七）完成区委交办的其他任务。</w:t>
      </w:r>
    </w:p>
    <w:p>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681"/>
        <w:gridCol w:w="1830"/>
        <w:gridCol w:w="1710"/>
        <w:gridCol w:w="235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3681" w:type="dxa"/>
            <w:vAlign w:val="center"/>
          </w:tcPr>
          <w:p>
            <w:pPr>
              <w:pStyle w:val="12"/>
            </w:pPr>
            <w:r>
              <w:t>单位名称</w:t>
            </w:r>
          </w:p>
        </w:tc>
        <w:tc>
          <w:tcPr>
            <w:tcW w:w="1830" w:type="dxa"/>
            <w:vAlign w:val="center"/>
          </w:tcPr>
          <w:p>
            <w:pPr>
              <w:pStyle w:val="12"/>
            </w:pPr>
            <w:r>
              <w:t>单位性质</w:t>
            </w:r>
          </w:p>
        </w:tc>
        <w:tc>
          <w:tcPr>
            <w:tcW w:w="1710" w:type="dxa"/>
            <w:vAlign w:val="center"/>
          </w:tcPr>
          <w:p>
            <w:pPr>
              <w:pStyle w:val="12"/>
            </w:pPr>
            <w:r>
              <w:t>单位规格</w:t>
            </w:r>
          </w:p>
        </w:tc>
        <w:tc>
          <w:tcPr>
            <w:tcW w:w="2355"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681" w:type="dxa"/>
            <w:vAlign w:val="center"/>
          </w:tcPr>
          <w:p>
            <w:pPr>
              <w:pStyle w:val="14"/>
            </w:pPr>
            <w:r>
              <w:t>中共石家庄市鹿泉区委社会工作部</w:t>
            </w:r>
          </w:p>
        </w:tc>
        <w:tc>
          <w:tcPr>
            <w:tcW w:w="1830" w:type="dxa"/>
            <w:vAlign w:val="center"/>
          </w:tcPr>
          <w:p>
            <w:pPr>
              <w:pStyle w:val="15"/>
            </w:pPr>
            <w:r>
              <w:t>行政</w:t>
            </w:r>
          </w:p>
        </w:tc>
        <w:tc>
          <w:tcPr>
            <w:tcW w:w="1710" w:type="dxa"/>
            <w:vAlign w:val="center"/>
          </w:tcPr>
          <w:p>
            <w:pPr>
              <w:pStyle w:val="15"/>
            </w:pPr>
            <w:r>
              <w:t>正科级</w:t>
            </w:r>
          </w:p>
        </w:tc>
        <w:tc>
          <w:tcPr>
            <w:tcW w:w="2355" w:type="dxa"/>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按照预算管理有关规定，目前我省部门预算的编制实行综合预算管理，即全部收入和支出都反映在预算中。</w:t>
      </w:r>
      <w:r>
        <w:rPr>
          <w:rFonts w:hint="eastAsia" w:ascii="仿宋_GB2312" w:hAnsi="仿宋_GB2312" w:eastAsia="仿宋_GB2312" w:cs="仿宋_GB2312"/>
          <w:color w:val="000000"/>
          <w:sz w:val="32"/>
          <w:szCs w:val="32"/>
          <w:lang w:val="en-US" w:eastAsia="zh-CN"/>
        </w:rPr>
        <w:t>中共石家庄市鹿泉区委社会工作部</w:t>
      </w:r>
      <w:r>
        <w:rPr>
          <w:rFonts w:hint="eastAsia" w:ascii="仿宋_GB2312" w:hAnsi="仿宋_GB2312" w:eastAsia="仿宋_GB2312" w:cs="仿宋_GB2312"/>
          <w:color w:val="000000"/>
          <w:sz w:val="32"/>
          <w:szCs w:val="32"/>
          <w:lang w:val="en-US" w:eastAsia="uk-UA"/>
        </w:rPr>
        <w:t>及所属事业单位的收支包含在部门预算中。</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1、收入说明</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反映本部门当年全部收入。202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val="en-US" w:eastAsia="uk-UA"/>
        </w:rPr>
        <w:t>年预算收入</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万元，其中：一般公共预算收入</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万元，基金预算收入</w:t>
      </w:r>
      <w:r>
        <w:rPr>
          <w:rFonts w:hint="eastAsia" w:ascii="仿宋_GB2312" w:hAnsi="仿宋_GB2312" w:eastAsia="仿宋_GB2312" w:cs="仿宋_GB2312"/>
          <w:color w:val="000000"/>
          <w:sz w:val="32"/>
          <w:szCs w:val="32"/>
          <w:lang w:val="en-US" w:eastAsia="zh-CN"/>
        </w:rPr>
        <w:t>0.00</w:t>
      </w:r>
      <w:r>
        <w:rPr>
          <w:rFonts w:hint="eastAsia" w:ascii="仿宋_GB2312" w:hAnsi="仿宋_GB2312" w:eastAsia="仿宋_GB2312" w:cs="仿宋_GB2312"/>
          <w:color w:val="000000"/>
          <w:sz w:val="32"/>
          <w:szCs w:val="32"/>
          <w:lang w:val="en-US" w:eastAsia="uk-UA"/>
        </w:rPr>
        <w:t>万元，国有资本经营预算收入0.00万元，财政专户核拨收入0.00万元，单位资金收入0.00万元，上年结转结余</w:t>
      </w:r>
      <w:r>
        <w:rPr>
          <w:rFonts w:hint="eastAsia" w:ascii="仿宋_GB2312" w:hAnsi="仿宋_GB2312" w:eastAsia="仿宋_GB2312" w:cs="仿宋_GB2312"/>
          <w:color w:val="000000"/>
          <w:sz w:val="32"/>
          <w:szCs w:val="32"/>
          <w:lang w:val="en-US" w:eastAsia="zh-CN"/>
        </w:rPr>
        <w:t>0.00</w:t>
      </w:r>
      <w:r>
        <w:rPr>
          <w:rFonts w:hint="eastAsia" w:ascii="仿宋_GB2312" w:hAnsi="仿宋_GB2312" w:eastAsia="仿宋_GB2312" w:cs="仿宋_GB2312"/>
          <w:color w:val="000000"/>
          <w:sz w:val="32"/>
          <w:szCs w:val="32"/>
          <w:lang w:val="en-US" w:eastAsia="uk-UA"/>
        </w:rPr>
        <w:t>万元。</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2、支出说明</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uk-UA"/>
        </w:rPr>
        <w:t>收支预算总表支出栏、基本支出表、项目支出表按经济分类和支出功能分类科目编制，反映</w:t>
      </w:r>
      <w:r>
        <w:rPr>
          <w:rFonts w:hint="eastAsia" w:ascii="仿宋_GB2312" w:hAnsi="仿宋_GB2312" w:eastAsia="仿宋_GB2312" w:cs="仿宋_GB2312"/>
          <w:color w:val="000000"/>
          <w:sz w:val="32"/>
          <w:szCs w:val="32"/>
          <w:lang w:val="en-US" w:eastAsia="zh-CN"/>
        </w:rPr>
        <w:t>中共石家庄市鹿泉区委社会工作部</w:t>
      </w:r>
      <w:r>
        <w:rPr>
          <w:rFonts w:hint="eastAsia" w:ascii="仿宋_GB2312" w:hAnsi="仿宋_GB2312" w:eastAsia="仿宋_GB2312" w:cs="仿宋_GB2312"/>
          <w:color w:val="000000"/>
          <w:sz w:val="32"/>
          <w:szCs w:val="32"/>
          <w:lang w:val="en-US" w:eastAsia="uk-UA"/>
        </w:rPr>
        <w:t>年度部门预算中支出预算的总体情况。202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val="en-US" w:eastAsia="uk-UA"/>
        </w:rPr>
        <w:t>年支出预算</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万元，其中基本支出</w:t>
      </w:r>
      <w:r>
        <w:rPr>
          <w:rFonts w:hint="eastAsia" w:ascii="仿宋_GB2312" w:hAnsi="仿宋_GB2312" w:eastAsia="仿宋_GB2312" w:cs="仿宋_GB2312"/>
          <w:color w:val="000000"/>
          <w:sz w:val="32"/>
          <w:szCs w:val="32"/>
          <w:lang w:val="en-US" w:eastAsia="zh-CN"/>
        </w:rPr>
        <w:t>136.4</w:t>
      </w:r>
      <w:r>
        <w:rPr>
          <w:rFonts w:hint="eastAsia" w:ascii="仿宋_GB2312" w:hAnsi="仿宋_GB2312" w:eastAsia="仿宋_GB2312" w:cs="仿宋_GB2312"/>
          <w:color w:val="000000"/>
          <w:sz w:val="32"/>
          <w:szCs w:val="32"/>
          <w:lang w:val="en-US" w:eastAsia="uk-UA"/>
        </w:rPr>
        <w:t>万元，包括人员经费</w:t>
      </w:r>
      <w:r>
        <w:rPr>
          <w:rFonts w:hint="eastAsia" w:ascii="仿宋_GB2312" w:hAnsi="仿宋_GB2312" w:eastAsia="仿宋_GB2312" w:cs="仿宋_GB2312"/>
          <w:color w:val="000000"/>
          <w:sz w:val="32"/>
          <w:szCs w:val="32"/>
          <w:lang w:val="en-US" w:eastAsia="zh-CN"/>
        </w:rPr>
        <w:t>118.44</w:t>
      </w:r>
      <w:r>
        <w:rPr>
          <w:rFonts w:hint="eastAsia" w:ascii="仿宋_GB2312" w:hAnsi="仿宋_GB2312" w:eastAsia="仿宋_GB2312" w:cs="仿宋_GB2312"/>
          <w:color w:val="000000"/>
          <w:sz w:val="32"/>
          <w:szCs w:val="32"/>
          <w:lang w:val="en-US" w:eastAsia="uk-UA"/>
        </w:rPr>
        <w:t>万元和日常公用经费</w:t>
      </w:r>
      <w:r>
        <w:rPr>
          <w:rFonts w:hint="eastAsia" w:ascii="仿宋_GB2312" w:hAnsi="仿宋_GB2312" w:eastAsia="仿宋_GB2312" w:cs="仿宋_GB2312"/>
          <w:color w:val="000000"/>
          <w:sz w:val="32"/>
          <w:szCs w:val="32"/>
          <w:lang w:val="en-US" w:eastAsia="zh-CN"/>
        </w:rPr>
        <w:t>17.96</w:t>
      </w:r>
      <w:r>
        <w:rPr>
          <w:rFonts w:hint="eastAsia" w:ascii="仿宋_GB2312" w:hAnsi="仿宋_GB2312" w:eastAsia="仿宋_GB2312" w:cs="仿宋_GB2312"/>
          <w:color w:val="000000"/>
          <w:sz w:val="32"/>
          <w:szCs w:val="32"/>
          <w:lang w:val="en-US" w:eastAsia="uk-UA"/>
        </w:rPr>
        <w:t>万元；项目支出</w:t>
      </w:r>
      <w:r>
        <w:rPr>
          <w:rFonts w:hint="eastAsia" w:ascii="仿宋_GB2312" w:hAnsi="仿宋_GB2312" w:eastAsia="仿宋_GB2312" w:cs="仿宋_GB2312"/>
          <w:color w:val="000000"/>
          <w:sz w:val="32"/>
          <w:szCs w:val="32"/>
          <w:lang w:val="en-US" w:eastAsia="zh-CN"/>
        </w:rPr>
        <w:t>1841.48</w:t>
      </w:r>
      <w:r>
        <w:rPr>
          <w:rFonts w:hint="eastAsia" w:ascii="仿宋_GB2312" w:hAnsi="仿宋_GB2312" w:eastAsia="仿宋_GB2312" w:cs="仿宋_GB2312"/>
          <w:color w:val="000000"/>
          <w:sz w:val="32"/>
          <w:szCs w:val="32"/>
          <w:lang w:val="en-US" w:eastAsia="uk-UA"/>
        </w:rPr>
        <w:t>万元，主要为非公企业和社会组织党组织建设专项工作经费</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uk-UA"/>
        </w:rPr>
        <w:t>规范重点村村务政务工作专项经费</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uk-UA"/>
        </w:rPr>
        <w:t>基层治理业务费</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uk-UA"/>
        </w:rPr>
        <w:t>社区工作者工资保险费用等项目</w:t>
      </w:r>
      <w:r>
        <w:rPr>
          <w:rFonts w:hint="eastAsia" w:ascii="仿宋_GB2312" w:hAnsi="仿宋_GB2312" w:eastAsia="仿宋_GB2312" w:cs="仿宋_GB2312"/>
          <w:color w:val="000000"/>
          <w:sz w:val="32"/>
          <w:szCs w:val="32"/>
          <w:lang w:val="en-US" w:eastAsia="zh-CN"/>
        </w:rPr>
        <w:t>支出</w:t>
      </w:r>
      <w:r>
        <w:rPr>
          <w:rFonts w:hint="eastAsia" w:ascii="仿宋_GB2312" w:hAnsi="仿宋_GB2312" w:eastAsia="仿宋_GB2312" w:cs="仿宋_GB2312"/>
          <w:color w:val="000000"/>
          <w:sz w:val="32"/>
          <w:szCs w:val="32"/>
          <w:lang w:val="en-US" w:eastAsia="uk-UA"/>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3、比上年增减情况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val="en-US" w:eastAsia="uk-UA"/>
        </w:rPr>
        <w:t>年预算收支安排</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万元，较202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val="en-US" w:eastAsia="uk-UA"/>
        </w:rPr>
        <w:t>年预算增加</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w:t>
      </w:r>
      <w:r>
        <w:rPr>
          <w:rFonts w:hint="eastAsia" w:ascii="仿宋_GB2312" w:hAnsi="仿宋_GB2312" w:eastAsia="仿宋_GB2312" w:cs="仿宋_GB2312"/>
          <w:color w:val="000000"/>
          <w:sz w:val="32"/>
          <w:szCs w:val="32"/>
          <w:lang w:val="en-US" w:eastAsia="zh-CN"/>
        </w:rPr>
        <w:t>原因是我单位2024年4月新成立，没有2024年度预算</w:t>
      </w:r>
      <w:r>
        <w:rPr>
          <w:rFonts w:hint="eastAsia" w:ascii="仿宋_GB2312" w:hAnsi="仿宋_GB2312" w:eastAsia="仿宋_GB2312" w:cs="仿宋_GB2312"/>
          <w:color w:val="000000"/>
          <w:sz w:val="32"/>
          <w:szCs w:val="32"/>
          <w:lang w:val="en-US" w:eastAsia="uk-UA"/>
        </w:rPr>
        <w:t>。</w:t>
      </w:r>
    </w:p>
    <w:p>
      <w:pPr>
        <w:keepNext w:val="0"/>
        <w:keepLines w:val="0"/>
        <w:pageBreakBefore w:val="0"/>
        <w:widowControl/>
        <w:kinsoku/>
        <w:wordWrap/>
        <w:overflowPunct/>
        <w:topLinePunct w:val="0"/>
        <w:autoSpaceDE/>
        <w:autoSpaceDN/>
        <w:bidi w:val="0"/>
        <w:adjustRightInd/>
        <w:snapToGrid/>
        <w:spacing w:line="500" w:lineRule="exact"/>
        <w:ind w:firstLine="640" w:firstLineChars="20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20</w:t>
      </w:r>
      <w:r>
        <w:rPr>
          <w:rFonts w:hint="eastAsia" w:ascii="仿宋_GB2312" w:hAnsi="仿宋_GB2312" w:eastAsia="仿宋_GB2312" w:cs="仿宋_GB2312"/>
          <w:color w:val="000000"/>
          <w:sz w:val="32"/>
          <w:szCs w:val="32"/>
          <w:lang w:val="en-US" w:eastAsia="zh-CN"/>
        </w:rPr>
        <w:t>25</w:t>
      </w:r>
      <w:r>
        <w:rPr>
          <w:rFonts w:hint="eastAsia" w:ascii="仿宋_GB2312" w:hAnsi="仿宋_GB2312" w:eastAsia="仿宋_GB2312" w:cs="仿宋_GB2312"/>
          <w:color w:val="000000"/>
          <w:sz w:val="32"/>
          <w:szCs w:val="32"/>
          <w:lang w:val="en-US" w:eastAsia="uk-UA"/>
        </w:rPr>
        <w:t>年，我部门机关运行经费共计安排</w:t>
      </w:r>
      <w:r>
        <w:rPr>
          <w:rFonts w:hint="eastAsia" w:ascii="仿宋_GB2312" w:hAnsi="仿宋_GB2312" w:eastAsia="仿宋_GB2312" w:cs="仿宋_GB2312"/>
          <w:color w:val="000000"/>
          <w:sz w:val="32"/>
          <w:szCs w:val="32"/>
          <w:lang w:val="en-US" w:eastAsia="zh-CN"/>
        </w:rPr>
        <w:t>17.96</w:t>
      </w:r>
      <w:r>
        <w:rPr>
          <w:rFonts w:hint="eastAsia" w:ascii="仿宋_GB2312" w:hAnsi="仿宋_GB2312" w:eastAsia="仿宋_GB2312" w:cs="仿宋_GB2312"/>
          <w:color w:val="000000"/>
          <w:sz w:val="32"/>
          <w:szCs w:val="32"/>
          <w:lang w:val="en-US" w:eastAsia="uk-UA"/>
        </w:rPr>
        <w:t>万元，主要用于日常维修、办公用房水电费、办公用房取暖费、</w:t>
      </w:r>
      <w:r>
        <w:rPr>
          <w:rFonts w:hint="eastAsia" w:ascii="仿宋_GB2312" w:hAnsi="仿宋_GB2312" w:eastAsia="仿宋_GB2312" w:cs="仿宋_GB2312"/>
          <w:color w:val="000000"/>
          <w:sz w:val="32"/>
          <w:szCs w:val="32"/>
          <w:lang w:val="en-US" w:eastAsia="zh-CN"/>
        </w:rPr>
        <w:t>办公用品采购、印刷费、差旅费</w:t>
      </w:r>
      <w:r>
        <w:rPr>
          <w:rFonts w:hint="eastAsia" w:ascii="仿宋_GB2312" w:hAnsi="仿宋_GB2312" w:eastAsia="仿宋_GB2312" w:cs="仿宋_GB2312"/>
          <w:color w:val="000000"/>
          <w:sz w:val="32"/>
          <w:szCs w:val="32"/>
          <w:lang w:val="en-US" w:eastAsia="uk-UA"/>
        </w:rPr>
        <w:t>等日常运行支出。</w:t>
      </w:r>
    </w:p>
    <w:p>
      <w:pPr>
        <w:keepNext w:val="0"/>
        <w:keepLines w:val="0"/>
        <w:pageBreakBefore w:val="0"/>
        <w:widowControl/>
        <w:numPr>
          <w:ilvl w:val="0"/>
          <w:numId w:val="1"/>
        </w:numPr>
        <w:kinsoku/>
        <w:wordWrap/>
        <w:overflowPunct/>
        <w:topLinePunct w:val="0"/>
        <w:autoSpaceDE/>
        <w:autoSpaceDN/>
        <w:bidi w:val="0"/>
        <w:adjustRightInd/>
        <w:snapToGrid/>
        <w:spacing w:line="500" w:lineRule="exact"/>
        <w:ind w:firstLine="640" w:firstLineChars="200"/>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zh-CN"/>
        </w:rPr>
        <w:t>2025年，我部门财政拨款“三公”经费预算安排2.7万元，其中：因公出国（境）费0万元；公务用车购置及运维费2.7万元（其中：公务用车购置0万元，公务用车运行维护费2.7万元）；公务接待费0万元。“三公”经费比上年增加2.7万元，主要原因是我单位2024年4月新成立，没有2024年度三公经费预算。</w:t>
      </w:r>
    </w:p>
    <w:p>
      <w:pPr>
        <w:keepNext w:val="0"/>
        <w:keepLines w:val="0"/>
        <w:pageBreakBefore w:val="0"/>
        <w:widowControl/>
        <w:kinsoku/>
        <w:wordWrap/>
        <w:overflowPunct/>
        <w:topLinePunct w:val="0"/>
        <w:autoSpaceDE/>
        <w:autoSpaceDN/>
        <w:bidi w:val="0"/>
        <w:adjustRightInd/>
        <w:snapToGrid/>
        <w:spacing w:line="500" w:lineRule="exact"/>
        <w:ind w:firstLine="640" w:firstLineChars="20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line="500" w:lineRule="exact"/>
        <w:ind w:firstLine="643" w:firstLineChars="200"/>
        <w:jc w:val="left"/>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color w:val="000000"/>
          <w:sz w:val="32"/>
          <w:szCs w:val="32"/>
        </w:rPr>
        <w:t>（一）总体绩效目标</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uk-UA"/>
        </w:rPr>
        <w:t>按照区委社会工作部2025年度工作计划，完成年内项目组织管理任务，做好各类项目执行的全过程监督管理工作，确保各类项目按计划有效实施。</w:t>
      </w:r>
    </w:p>
    <w:p>
      <w:pPr>
        <w:keepNext w:val="0"/>
        <w:keepLines w:val="0"/>
        <w:pageBreakBefore w:val="0"/>
        <w:widowControl/>
        <w:kinsoku/>
        <w:wordWrap/>
        <w:overflowPunct/>
        <w:topLinePunct w:val="0"/>
        <w:autoSpaceDE/>
        <w:autoSpaceDN/>
        <w:bidi w:val="0"/>
        <w:adjustRightInd/>
        <w:snapToGrid/>
        <w:spacing w:line="500" w:lineRule="exact"/>
        <w:ind w:firstLine="643" w:firstLineChars="200"/>
        <w:jc w:val="left"/>
        <w:textAlignment w:val="auto"/>
        <w:outlineLvl w:val="9"/>
        <w:rPr>
          <w:rFonts w:hint="eastAsia" w:ascii="楷体_GB2312" w:hAnsi="楷体_GB2312" w:eastAsia="楷体_GB2312" w:cs="楷体_GB2312"/>
          <w:b/>
          <w:bCs/>
          <w:color w:val="000000"/>
          <w:sz w:val="32"/>
          <w:szCs w:val="32"/>
        </w:rPr>
      </w:pPr>
      <w:r>
        <w:rPr>
          <w:rFonts w:hint="eastAsia" w:ascii="楷体_GB2312" w:hAnsi="楷体_GB2312" w:eastAsia="楷体_GB2312" w:cs="楷体_GB2312"/>
          <w:b/>
          <w:bCs/>
          <w:color w:val="000000"/>
          <w:sz w:val="32"/>
          <w:szCs w:val="32"/>
        </w:rPr>
        <w:t>（二）分项绩效目标</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党的建设方面</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持续加强新兴领域党建工作。在现有暖“新”驿站的基础上，不断完善友好场景功能和数量，增强党在新兴领域的号召力、凝聚力、影响力。定期开展摸底调研，实时掌握我区平台企业、新就业群体及党员情况，会同区交通运输行业党委、网约配送行业党委进一步研究加强新就业群体党建的有效措施。持续开展“A”级党组织创评活动，</w:t>
      </w:r>
      <w:r>
        <w:rPr>
          <w:rFonts w:hint="eastAsia" w:ascii="仿宋_GB2312" w:hAnsi="仿宋_GB2312" w:eastAsia="仿宋_GB2312" w:cs="仿宋_GB2312"/>
          <w:color w:val="000000"/>
          <w:sz w:val="32"/>
          <w:szCs w:val="32"/>
          <w:lang w:eastAsia="zh-CN"/>
        </w:rPr>
        <w:t>不断打造党建示范点</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抓好行业协会商会党的建设。我区作为省委社会工作部行业协会商会工作联系点，2025年进一步加强党对行业协会商会的全面领导，协同社会组织党委、非公商（协）会党委尽快建立健全行业协会商会负责人人选审核办法，明确脱钩和直接登记的行业协会商会对应的主要行业管理部门，推动各主要行业管理部门落实监管责任，</w:t>
      </w:r>
      <w:r>
        <w:rPr>
          <w:rFonts w:hint="eastAsia" w:ascii="仿宋_GB2312" w:hAnsi="仿宋_GB2312" w:eastAsia="仿宋_GB2312" w:cs="仿宋_GB2312"/>
          <w:color w:val="000000"/>
          <w:sz w:val="32"/>
          <w:szCs w:val="32"/>
          <w:lang w:eastAsia="zh-CN"/>
        </w:rPr>
        <w:t>并不断提升行业协会商会党建工作成效</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党建引领基层治理和基层政权建设方面</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积极推动四个民主在基层的贯彻落实，提高群众的参与权、决策权、知情权，落实村（居）民自治。</w:t>
      </w:r>
      <w:r>
        <w:rPr>
          <w:rFonts w:hint="eastAsia" w:ascii="仿宋_GB2312" w:hAnsi="仿宋_GB2312" w:eastAsia="仿宋_GB2312" w:cs="仿宋_GB2312"/>
          <w:color w:val="000000"/>
          <w:sz w:val="32"/>
          <w:szCs w:val="32"/>
          <w:lang w:val="en-US" w:eastAsia="zh-CN"/>
        </w:rPr>
        <w:t>组织党建引领社区治理专题培训。</w:t>
      </w:r>
      <w:r>
        <w:rPr>
          <w:rFonts w:hint="eastAsia" w:ascii="仿宋_GB2312" w:hAnsi="仿宋_GB2312" w:eastAsia="仿宋_GB2312" w:cs="仿宋_GB2312"/>
          <w:color w:val="000000"/>
          <w:sz w:val="32"/>
          <w:szCs w:val="32"/>
        </w:rPr>
        <w:t>会同区委组织部等区直部门，深入调研，精心谋划，根据省市区统一安排，适时启动新一届村（社区）“两委”换届工作。会同区委组织部等部门做好村（社区）“两委”成员候选人任职资格联审和依法指导村（居）委会成员空缺的补选工作。完成人大代表、政协委员建议、提案答复和走访工作。会同有关部门扎实推进村（居）务公开工作，确保村（居）务在阳光下运行，接受村（居）民监督。组织全区13个乡（镇、区）主管副职，230个村（社区）书记、村（居）委员会主任进行村（居）务公开观摩拉练，并组织业务培训。</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凝聚服务群众方面</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以重要节日为契机，组织全区各部门、单位、乡镇开展丰富多彩的志愿服务活动。组织志愿服务者进行业务培训，实施素质提升行动。</w:t>
      </w:r>
    </w:p>
    <w:p>
      <w:pPr>
        <w:keepNext w:val="0"/>
        <w:keepLines w:val="0"/>
        <w:pageBreakBefore w:val="0"/>
        <w:widowControl/>
        <w:kinsoku/>
        <w:wordWrap/>
        <w:overflowPunct/>
        <w:topLinePunct w:val="0"/>
        <w:autoSpaceDE/>
        <w:autoSpaceDN/>
        <w:bidi w:val="0"/>
        <w:adjustRightInd/>
        <w:snapToGrid/>
        <w:spacing w:before="0" w:after="0" w:line="500" w:lineRule="exact"/>
        <w:ind w:firstLine="643" w:firstLineChars="200"/>
        <w:jc w:val="left"/>
        <w:textAlignment w:val="auto"/>
        <w:outlineLvl w:val="9"/>
      </w:pPr>
      <w:r>
        <w:rPr>
          <w:rFonts w:hint="eastAsia" w:ascii="楷体_GB2312" w:hAnsi="楷体_GB2312" w:eastAsia="楷体_GB2312" w:cs="楷体_GB2312"/>
          <w:b/>
          <w:bCs/>
          <w:color w:val="000000"/>
          <w:sz w:val="32"/>
          <w:szCs w:val="32"/>
        </w:rPr>
        <w:t>（三）工作保障措施</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为确保预算执行的有效性和透明度，区委社会工作部将采取以下措施：</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1、加强制度建设。进一步建立健全机关预算绩效管理制度，为全年预算绩效目标的实现奠定制度基础。</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2、规范财务管理。完善财务管理，通过科学编制预算、优化支出结构、加快政府采购、及时拨付资金，确保经费支出进度达到规定标准。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3、加强内部监督。加强内部监督制度建设，对绩效运行、重大支出事项、资产处置及其他重要经济业务事项决策和执行进行监督，定期开展财务内部审计，确保财政资金使用安全合规。</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4、加强绩效监控。积极开展绩效运行监控，发现问题及时采取措施，确保绩效目标如期保质实现。</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5、做好绩效自评。按要求开展部门预算绩效自评和重点项目评价工作，对评价中发现的问题及时整改。</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sectPr>
          <w:pgSz w:w="11900" w:h="16840"/>
          <w:pgMar w:top="1020" w:right="1361" w:bottom="1020" w:left="1361" w:header="720" w:footer="720" w:gutter="0"/>
        </w:sectPr>
      </w:pP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p>
    <w:p>
      <w:pPr>
        <w:pStyle w:val="2"/>
        <w:ind w:firstLine="640" w:firstLineChars="200"/>
        <w:jc w:val="left"/>
        <w:rPr>
          <w:rFonts w:hint="eastAsia" w:eastAsia="仿宋_GB2312"/>
          <w:lang w:eastAsia="zh-CN"/>
        </w:rPr>
      </w:pPr>
      <w:r>
        <w:rPr>
          <w:rFonts w:hint="eastAsia"/>
          <w:lang w:eastAsia="zh-CN"/>
        </w:rPr>
        <w:t>无。</w:t>
      </w:r>
    </w:p>
    <w:p>
      <w:pPr>
        <w:pStyle w:val="2"/>
        <w:jc w:val="center"/>
      </w:pPr>
    </w:p>
    <w:p>
      <w:pPr>
        <w:pStyle w:val="2"/>
        <w:jc w:val="center"/>
        <w:sectPr>
          <w:pgSz w:w="16840" w:h="11900" w:orient="landscape"/>
          <w:pgMar w:top="1361" w:right="1020" w:bottom="1134"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1、2025年非公企业和社会组织党组织建设专项工作经费绩效目标表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13011025P00001010017Y</w:t>
            </w:r>
          </w:p>
        </w:tc>
        <w:tc>
          <w:tcPr>
            <w:tcW w:w="2835" w:type="dxa"/>
            <w:vAlign w:val="center"/>
          </w:tcPr>
          <w:p>
            <w:pPr>
              <w:pStyle w:val="12"/>
            </w:pPr>
            <w:r>
              <w:t>项目名称</w:t>
            </w:r>
          </w:p>
        </w:tc>
        <w:tc>
          <w:tcPr>
            <w:tcW w:w="6095" w:type="dxa"/>
            <w:gridSpan w:val="3"/>
            <w:vAlign w:val="center"/>
          </w:tcPr>
          <w:p>
            <w:pPr>
              <w:pStyle w:val="14"/>
            </w:pPr>
            <w:r>
              <w:t>2025年非公企业和社会组织党组织建设专项工作经费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召开党内会议，开展党内宣传教育活动和组织活动；表彰先进基层党组织、优秀共产党员和优秀党务工作者费用；订阅或购买用于开展党员教育的报刊、资料费用；建设、维护党组织活动场所及设施等费用；非公企业和社会组织培训不超4期；相关工作的办公费用、差旅费、挖掘典型、宣传等方面费用。上述各项总计10万元。</w:t>
            </w:r>
          </w:p>
          <w:p>
            <w:pPr>
              <w:pStyle w:val="14"/>
            </w:pPr>
          </w:p>
          <w:p>
            <w:pPr>
              <w:pStyle w:val="14"/>
            </w:pP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召开党内会议，开展党内宣传教育活动和组织活动；表彰先进基层党组织、优秀共产党员和优秀党务工作者费用；订阅或购买用于开展党员教育的报刊、资料费用；建设、维护党组织活动场所及设施等费用；非公企业和社会组织培训不超4期；相关工作的办公费用、差旅费、挖掘典型、宣传等方面费用。上述各项总计10万元。</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培训班次</w:t>
            </w:r>
          </w:p>
        </w:tc>
        <w:tc>
          <w:tcPr>
            <w:tcW w:w="5386" w:type="dxa"/>
            <w:vAlign w:val="center"/>
          </w:tcPr>
          <w:p>
            <w:pPr>
              <w:pStyle w:val="14"/>
            </w:pPr>
            <w:r>
              <w:t>组织培训的班次</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培训人数</w:t>
            </w:r>
          </w:p>
        </w:tc>
        <w:tc>
          <w:tcPr>
            <w:tcW w:w="5386" w:type="dxa"/>
            <w:vAlign w:val="center"/>
          </w:tcPr>
          <w:p>
            <w:pPr>
              <w:pStyle w:val="14"/>
            </w:pPr>
            <w:r>
              <w:t>参加培训的人次</w:t>
            </w:r>
          </w:p>
        </w:tc>
        <w:tc>
          <w:tcPr>
            <w:tcW w:w="2268" w:type="dxa"/>
            <w:vAlign w:val="center"/>
          </w:tcPr>
          <w:p>
            <w:pPr>
              <w:pStyle w:val="14"/>
            </w:pPr>
            <w:r>
              <w:t>≤500人次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培训合格的学员数量占培训总学员数量的比率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培训计划按期完成率（%）</w:t>
            </w:r>
          </w:p>
        </w:tc>
        <w:tc>
          <w:tcPr>
            <w:tcW w:w="5386" w:type="dxa"/>
            <w:vAlign w:val="center"/>
          </w:tcPr>
          <w:p>
            <w:pPr>
              <w:pStyle w:val="14"/>
            </w:pPr>
            <w:r>
              <w:t>培训计划按期完成率=按期完成的培训任务数/总培训计划数*100%</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38万元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2、2025年规范重点村村务政务工作专项经费绩效目标表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13011025P00001010016B</w:t>
            </w:r>
          </w:p>
        </w:tc>
        <w:tc>
          <w:tcPr>
            <w:tcW w:w="2835" w:type="dxa"/>
            <w:vAlign w:val="center"/>
          </w:tcPr>
          <w:p>
            <w:pPr>
              <w:pStyle w:val="12"/>
            </w:pPr>
            <w:r>
              <w:t>项目名称</w:t>
            </w:r>
          </w:p>
        </w:tc>
        <w:tc>
          <w:tcPr>
            <w:tcW w:w="6095" w:type="dxa"/>
            <w:gridSpan w:val="3"/>
            <w:vAlign w:val="center"/>
          </w:tcPr>
          <w:p>
            <w:pPr>
              <w:pStyle w:val="14"/>
            </w:pPr>
            <w:r>
              <w:t>2025年规范重点村村务政务工作专项经费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主要用于保障规范重点村村务政务工作，办公费、资料印刷费、三方公司测绘、专业咨询、律师费等相关费用及公务出差人员的住宿费、伙食、交通补助等办公费用共计20万元。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1.主要用于保障规范重点村村务政务工作，办公费、资料印刷费、三方公司测绘、专业咨询、律师费等相关费用及公务出差人员的住宿费、伙食、交通补助等办公费用共计20万元。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≥7人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各项日常工作保障率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经费保障及时率</w:t>
            </w:r>
          </w:p>
        </w:tc>
        <w:tc>
          <w:tcPr>
            <w:tcW w:w="5386" w:type="dxa"/>
            <w:vAlign w:val="center"/>
          </w:tcPr>
          <w:p>
            <w:pPr>
              <w:pStyle w:val="14"/>
            </w:pPr>
            <w:r>
              <w:t>经费保障及时率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5386" w:type="dxa"/>
            <w:vAlign w:val="center"/>
          </w:tcPr>
          <w:p>
            <w:pPr>
              <w:pStyle w:val="14"/>
            </w:pPr>
            <w:r>
              <w:t>保障规范重点村村务政务工作办公费、资料印刷费、三方公司测绘和专业咨询等相关费用及公务出差人员的住宿费、伙食、交通补助等</w:t>
            </w:r>
          </w:p>
        </w:tc>
        <w:tc>
          <w:tcPr>
            <w:tcW w:w="2268" w:type="dxa"/>
            <w:vAlign w:val="center"/>
          </w:tcPr>
          <w:p>
            <w:pPr>
              <w:pStyle w:val="14"/>
            </w:pPr>
            <w:r>
              <w:t>按统一规定执行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保障规范重点村村务政务相关工作日常办公需要，维持工作正常开展</w:t>
            </w:r>
          </w:p>
        </w:tc>
        <w:tc>
          <w:tcPr>
            <w:tcW w:w="5386" w:type="dxa"/>
            <w:vAlign w:val="center"/>
          </w:tcPr>
          <w:p>
            <w:pPr>
              <w:pStyle w:val="14"/>
            </w:pPr>
            <w:r>
              <w:t>保障规范重点村村务政务相关工作日常办公需要，维持工作正常开展</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3、2025年基层治理业务费绩效目标表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13011025P00001010023C</w:t>
            </w:r>
          </w:p>
        </w:tc>
        <w:tc>
          <w:tcPr>
            <w:tcW w:w="2835" w:type="dxa"/>
            <w:vAlign w:val="center"/>
          </w:tcPr>
          <w:p>
            <w:pPr>
              <w:pStyle w:val="12"/>
            </w:pPr>
            <w:r>
              <w:t>项目名称</w:t>
            </w:r>
          </w:p>
        </w:tc>
        <w:tc>
          <w:tcPr>
            <w:tcW w:w="6095" w:type="dxa"/>
            <w:gridSpan w:val="3"/>
            <w:vAlign w:val="center"/>
          </w:tcPr>
          <w:p>
            <w:pPr>
              <w:pStyle w:val="14"/>
            </w:pPr>
            <w:r>
              <w:t>2025年基层治理业务费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区、乡镇、村（社区）三级主管基层政权建设工作和村（居）务公开负责人进行培训，共计参加培训人员约530人次；印制基层群众性自治组织特别法人统一社会信用代码证书费用；相关工作办公费、差旅费、挖掘典型、宣传等方面费用。上述费用共计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区、乡镇、村（社区）三级主管基层政权建设工作和村（居）务公开负责人进行培训，共计参加培训人员约530人次；印制基层群众性自治组织特别法人统一社会信用代码证书费用；相关工作办公费、差旅费、挖掘典型、宣传等方面费用。上述费用共计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基层治理业务培训人数</w:t>
            </w:r>
          </w:p>
        </w:tc>
        <w:tc>
          <w:tcPr>
            <w:tcW w:w="5386" w:type="dxa"/>
            <w:vAlign w:val="center"/>
          </w:tcPr>
          <w:p>
            <w:pPr>
              <w:pStyle w:val="14"/>
            </w:pPr>
            <w:r>
              <w:t>参加基层治理业务培训的人次</w:t>
            </w:r>
          </w:p>
        </w:tc>
        <w:tc>
          <w:tcPr>
            <w:tcW w:w="2268" w:type="dxa"/>
            <w:vAlign w:val="center"/>
          </w:tcPr>
          <w:p>
            <w:pPr>
              <w:pStyle w:val="14"/>
            </w:pPr>
            <w:r>
              <w:t>≤530人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基层群众性自治组织特别法人统一社会信用代码证书印刷张数</w:t>
            </w:r>
          </w:p>
        </w:tc>
        <w:tc>
          <w:tcPr>
            <w:tcW w:w="5386" w:type="dxa"/>
            <w:vAlign w:val="center"/>
          </w:tcPr>
          <w:p>
            <w:pPr>
              <w:pStyle w:val="14"/>
            </w:pPr>
            <w:r>
              <w:t>基层群众性自治组织特别法人统一社会信用代码证书印刷量</w:t>
            </w:r>
          </w:p>
        </w:tc>
        <w:tc>
          <w:tcPr>
            <w:tcW w:w="2268" w:type="dxa"/>
            <w:vAlign w:val="center"/>
          </w:tcPr>
          <w:p>
            <w:pPr>
              <w:pStyle w:val="14"/>
            </w:pPr>
            <w:r>
              <w:t>≤330张</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培训合格率，印刷合格率</w:t>
            </w:r>
          </w:p>
        </w:tc>
        <w:tc>
          <w:tcPr>
            <w:tcW w:w="5386" w:type="dxa"/>
            <w:vAlign w:val="center"/>
          </w:tcPr>
          <w:p>
            <w:pPr>
              <w:pStyle w:val="14"/>
            </w:pPr>
            <w:r>
              <w:t>培训合格的学员数量占学员总数的比例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5386" w:type="dxa"/>
            <w:vAlign w:val="center"/>
          </w:tcPr>
          <w:p>
            <w:pPr>
              <w:pStyle w:val="14"/>
            </w:pPr>
            <w:r>
              <w:t>各项工作按时完成率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4、2025年开展常态化志愿服务和志愿服务人员业务培训费绩效目标表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13011025P000010100240</w:t>
            </w:r>
          </w:p>
        </w:tc>
        <w:tc>
          <w:tcPr>
            <w:tcW w:w="2835" w:type="dxa"/>
            <w:vAlign w:val="center"/>
          </w:tcPr>
          <w:p>
            <w:pPr>
              <w:pStyle w:val="12"/>
            </w:pPr>
            <w:r>
              <w:t>项目名称</w:t>
            </w:r>
          </w:p>
        </w:tc>
        <w:tc>
          <w:tcPr>
            <w:tcW w:w="6095" w:type="dxa"/>
            <w:gridSpan w:val="3"/>
            <w:vAlign w:val="center"/>
          </w:tcPr>
          <w:p>
            <w:pPr>
              <w:pStyle w:val="14"/>
            </w:pPr>
            <w:r>
              <w:t>2025年开展常态化志愿服务和志愿服务人员业务培训费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区乡两级主管志愿服务副职、相关股室负责同志、志愿者培训，组织社会人才培训，培训不超2次，参加培训人员约300人次。每年以“五一、七一、十一、重阳节、元旦”等重要节日、重要活动为节点，组织开展全区性、示范性志愿服务活动，举行志愿者誓师大会，开展大型公益活动，租赁场地设备、购置服装标志、救助服务等；支持相关单位工作开展；相关工作办公费、差旅费、宣传等方面费用。上述费用共计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区乡两级主管志愿服务副职、相关股室负责同志、志愿者培训，组织社会人才培训，培训不超2次，参加培训人员约300人次。每年以“五一、七一、十一、重阳节、元旦”等重要节日、重要活动为节点，组织开展全区性、示范性志愿服务活动，举行志愿者誓师大会，开展大型公益活动，租赁场地设备、购置服装标志、救助服务等；支持相关单位工作开展；相关工作办公费、差旅费、宣传等方面费用。上述费用共计10万元。</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组织志愿服务业务培训数量</w:t>
            </w:r>
          </w:p>
        </w:tc>
        <w:tc>
          <w:tcPr>
            <w:tcW w:w="5386" w:type="dxa"/>
            <w:vAlign w:val="center"/>
          </w:tcPr>
          <w:p>
            <w:pPr>
              <w:pStyle w:val="14"/>
            </w:pPr>
            <w:r>
              <w:t>组织志愿服务业务培训数量</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培训人数</w:t>
            </w:r>
            <w:r>
              <w:tab/>
            </w:r>
          </w:p>
          <w:p>
            <w:pPr>
              <w:pStyle w:val="14"/>
            </w:pPr>
          </w:p>
        </w:tc>
        <w:tc>
          <w:tcPr>
            <w:tcW w:w="5386" w:type="dxa"/>
            <w:vAlign w:val="center"/>
          </w:tcPr>
          <w:p>
            <w:pPr>
              <w:pStyle w:val="14"/>
            </w:pPr>
            <w:r>
              <w:t>参加培训的人次</w:t>
            </w:r>
          </w:p>
        </w:tc>
        <w:tc>
          <w:tcPr>
            <w:tcW w:w="2268" w:type="dxa"/>
            <w:vAlign w:val="center"/>
          </w:tcPr>
          <w:p>
            <w:pPr>
              <w:pStyle w:val="14"/>
            </w:pPr>
            <w:r>
              <w:t>≤300人次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培训合格的学员数量占培训总学员数量的比率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培训计划按期完成率（%）</w:t>
            </w:r>
          </w:p>
        </w:tc>
        <w:tc>
          <w:tcPr>
            <w:tcW w:w="5386" w:type="dxa"/>
            <w:vAlign w:val="center"/>
          </w:tcPr>
          <w:p>
            <w:pPr>
              <w:pStyle w:val="14"/>
            </w:pPr>
            <w:r>
              <w:t>培训计划按期完成率=按期完成的培训任务数/总培训计划数*100%</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5、2025年涉军劳务派遣人员经费绩效目标表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13011025P00001010010M</w:t>
            </w:r>
          </w:p>
        </w:tc>
        <w:tc>
          <w:tcPr>
            <w:tcW w:w="2835" w:type="dxa"/>
            <w:vAlign w:val="center"/>
          </w:tcPr>
          <w:p>
            <w:pPr>
              <w:pStyle w:val="12"/>
            </w:pPr>
            <w:r>
              <w:t>项目名称</w:t>
            </w:r>
          </w:p>
        </w:tc>
        <w:tc>
          <w:tcPr>
            <w:tcW w:w="6095" w:type="dxa"/>
            <w:gridSpan w:val="3"/>
            <w:vAlign w:val="center"/>
          </w:tcPr>
          <w:p>
            <w:pPr>
              <w:pStyle w:val="14"/>
            </w:pPr>
            <w:r>
              <w:t>2025年涉军劳务派遣人员经费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5.73</w:t>
            </w:r>
          </w:p>
        </w:tc>
        <w:tc>
          <w:tcPr>
            <w:tcW w:w="2835" w:type="dxa"/>
            <w:vAlign w:val="center"/>
          </w:tcPr>
          <w:p>
            <w:pPr>
              <w:pStyle w:val="12"/>
            </w:pPr>
            <w:r>
              <w:t>其中：财政    资金</w:t>
            </w:r>
          </w:p>
        </w:tc>
        <w:tc>
          <w:tcPr>
            <w:tcW w:w="2551" w:type="dxa"/>
            <w:vAlign w:val="center"/>
          </w:tcPr>
          <w:p>
            <w:pPr>
              <w:pStyle w:val="14"/>
            </w:pPr>
            <w:r>
              <w:t>5.73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对符合政府安排工作条件的退役士兵1名，保证按月按时发放工资缴纳社保。</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1.对符合政府安排工作条件的退役士兵1名，保证按月按时发放工资缴纳社保。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退役军人劳务派遣数量</w:t>
            </w:r>
          </w:p>
        </w:tc>
        <w:tc>
          <w:tcPr>
            <w:tcW w:w="5386" w:type="dxa"/>
            <w:vAlign w:val="center"/>
          </w:tcPr>
          <w:p>
            <w:pPr>
              <w:pStyle w:val="14"/>
            </w:pPr>
            <w:r>
              <w:t>退役军人劳务派遣数量</w:t>
            </w:r>
          </w:p>
        </w:tc>
        <w:tc>
          <w:tcPr>
            <w:tcW w:w="2268" w:type="dxa"/>
            <w:vAlign w:val="center"/>
          </w:tcPr>
          <w:p>
            <w:pPr>
              <w:pStyle w:val="14"/>
            </w:pPr>
            <w:r>
              <w:t>1人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工资发放、社保缴纳到位率</w:t>
            </w:r>
          </w:p>
        </w:tc>
        <w:tc>
          <w:tcPr>
            <w:tcW w:w="5386" w:type="dxa"/>
            <w:vAlign w:val="center"/>
          </w:tcPr>
          <w:p>
            <w:pPr>
              <w:pStyle w:val="14"/>
            </w:pPr>
            <w:r>
              <w:t>工资发放、社保缴纳到位率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按时发放工资、缴纳社保率</w:t>
            </w:r>
          </w:p>
        </w:tc>
        <w:tc>
          <w:tcPr>
            <w:tcW w:w="5386" w:type="dxa"/>
            <w:vAlign w:val="center"/>
          </w:tcPr>
          <w:p>
            <w:pPr>
              <w:pStyle w:val="14"/>
            </w:pPr>
            <w:r>
              <w:t>按时发放工资、缴纳社保率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月工资标准</w:t>
            </w:r>
          </w:p>
        </w:tc>
        <w:tc>
          <w:tcPr>
            <w:tcW w:w="5386" w:type="dxa"/>
            <w:vAlign w:val="center"/>
          </w:tcPr>
          <w:p>
            <w:pPr>
              <w:pStyle w:val="14"/>
            </w:pPr>
            <w:r>
              <w:t>月工资标准</w:t>
            </w:r>
          </w:p>
        </w:tc>
        <w:tc>
          <w:tcPr>
            <w:tcW w:w="2268" w:type="dxa"/>
            <w:vAlign w:val="center"/>
          </w:tcPr>
          <w:p>
            <w:pPr>
              <w:pStyle w:val="14"/>
            </w:pPr>
            <w:r>
              <w:t>3400元/月</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解决退役军人工作岗位数量</w:t>
            </w:r>
          </w:p>
        </w:tc>
        <w:tc>
          <w:tcPr>
            <w:tcW w:w="5386" w:type="dxa"/>
            <w:vAlign w:val="center"/>
          </w:tcPr>
          <w:p>
            <w:pPr>
              <w:pStyle w:val="14"/>
            </w:pPr>
            <w:r>
              <w:t>解决退役军人工作岗位数量</w:t>
            </w:r>
          </w:p>
        </w:tc>
        <w:tc>
          <w:tcPr>
            <w:tcW w:w="2268" w:type="dxa"/>
            <w:vAlign w:val="center"/>
          </w:tcPr>
          <w:p>
            <w:pPr>
              <w:pStyle w:val="14"/>
            </w:pPr>
            <w:r>
              <w:t>1人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6、2025年社会工作部保障经费绩效目标表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13011025P000010100144</w:t>
            </w:r>
          </w:p>
        </w:tc>
        <w:tc>
          <w:tcPr>
            <w:tcW w:w="2835" w:type="dxa"/>
            <w:vAlign w:val="center"/>
          </w:tcPr>
          <w:p>
            <w:pPr>
              <w:pStyle w:val="12"/>
            </w:pPr>
            <w:r>
              <w:t>项目名称</w:t>
            </w:r>
          </w:p>
        </w:tc>
        <w:tc>
          <w:tcPr>
            <w:tcW w:w="6095" w:type="dxa"/>
            <w:gridSpan w:val="3"/>
            <w:vAlign w:val="center"/>
          </w:tcPr>
          <w:p>
            <w:pPr>
              <w:pStyle w:val="14"/>
            </w:pPr>
            <w:r>
              <w:t>2025年社会工作部保障经费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保障不少于7人正常办公运转，包括但不限于物业、水、电费、保洁费、电话费、宽带费、维修费、印刷费、差旅费、编制内控等机关办公费用，合计共需10万元。</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1.保障不少于7人正常办公运转，包括但不限于物业、水、电费、保洁费、电话费、宽带费、维修费、印刷费、差旅费、编制内控等机关办公费用，合计共需10万元。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≥7人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各项日常工作保障率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经费保障及时率</w:t>
            </w:r>
          </w:p>
        </w:tc>
        <w:tc>
          <w:tcPr>
            <w:tcW w:w="5386" w:type="dxa"/>
            <w:vAlign w:val="center"/>
          </w:tcPr>
          <w:p>
            <w:pPr>
              <w:pStyle w:val="14"/>
            </w:pPr>
            <w:r>
              <w:t>经费保障及时率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5386" w:type="dxa"/>
            <w:vAlign w:val="center"/>
          </w:tcPr>
          <w:p>
            <w:pPr>
              <w:pStyle w:val="14"/>
            </w:pPr>
            <w:r>
              <w:t>办公费、水电费、物业、保洁、办公电话费、宽带费、维修费、印刷费及其他公用经费的支出</w:t>
            </w:r>
          </w:p>
        </w:tc>
        <w:tc>
          <w:tcPr>
            <w:tcW w:w="2268" w:type="dxa"/>
            <w:vAlign w:val="center"/>
          </w:tcPr>
          <w:p>
            <w:pPr>
              <w:pStyle w:val="14"/>
            </w:pPr>
            <w:r>
              <w:t>按统一规定执行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5386" w:type="dxa"/>
            <w:vAlign w:val="center"/>
          </w:tcPr>
          <w:p>
            <w:pPr>
              <w:pStyle w:val="14"/>
            </w:pPr>
            <w:r>
              <w:t>保障日常办公需要，维持单位正常运转</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7、2025年社会工作部二次开办费绩效目标表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13011025P000010100119</w:t>
            </w:r>
          </w:p>
        </w:tc>
        <w:tc>
          <w:tcPr>
            <w:tcW w:w="2835" w:type="dxa"/>
            <w:vAlign w:val="center"/>
          </w:tcPr>
          <w:p>
            <w:pPr>
              <w:pStyle w:val="12"/>
            </w:pPr>
            <w:r>
              <w:t>项目名称</w:t>
            </w:r>
          </w:p>
        </w:tc>
        <w:tc>
          <w:tcPr>
            <w:tcW w:w="6095" w:type="dxa"/>
            <w:gridSpan w:val="3"/>
            <w:vAlign w:val="center"/>
          </w:tcPr>
          <w:p>
            <w:pPr>
              <w:pStyle w:val="14"/>
            </w:pPr>
            <w:r>
              <w:t>2025年社会工作部二次开办费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保障区社会工作综合服务中心正常运转需购置固定资产；办公用品购置及印刷费，费用共计3万元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1.保障区社会工作综合服务中心正常运转需购置固定资产；办公用品购置及印刷费，费用共计3万元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保障办公人员数量</w:t>
            </w:r>
          </w:p>
        </w:tc>
        <w:tc>
          <w:tcPr>
            <w:tcW w:w="5386" w:type="dxa"/>
            <w:vAlign w:val="center"/>
          </w:tcPr>
          <w:p>
            <w:pPr>
              <w:pStyle w:val="14"/>
            </w:pPr>
            <w:r>
              <w:t>保障办公人员数量</w:t>
            </w:r>
          </w:p>
        </w:tc>
        <w:tc>
          <w:tcPr>
            <w:tcW w:w="2268" w:type="dxa"/>
            <w:vAlign w:val="center"/>
          </w:tcPr>
          <w:p>
            <w:pPr>
              <w:pStyle w:val="14"/>
            </w:pPr>
            <w:r>
              <w:t>≤5人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运转保障率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经费及时保障率</w:t>
            </w:r>
          </w:p>
        </w:tc>
        <w:tc>
          <w:tcPr>
            <w:tcW w:w="5386" w:type="dxa"/>
            <w:vAlign w:val="center"/>
          </w:tcPr>
          <w:p>
            <w:pPr>
              <w:pStyle w:val="14"/>
            </w:pPr>
            <w:r>
              <w:t>经费及时保障率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5386" w:type="dxa"/>
            <w:vAlign w:val="center"/>
          </w:tcPr>
          <w:p>
            <w:pPr>
              <w:pStyle w:val="14"/>
            </w:pPr>
            <w:r>
              <w:t>办公费、维修费、印刷费、购买固定资产等各项公用经费支出</w:t>
            </w:r>
          </w:p>
        </w:tc>
        <w:tc>
          <w:tcPr>
            <w:tcW w:w="2268" w:type="dxa"/>
            <w:vAlign w:val="center"/>
          </w:tcPr>
          <w:p>
            <w:pPr>
              <w:pStyle w:val="14"/>
            </w:pPr>
            <w:r>
              <w:t>≤3万元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5386" w:type="dxa"/>
            <w:vAlign w:val="center"/>
          </w:tcPr>
          <w:p>
            <w:pPr>
              <w:pStyle w:val="14"/>
            </w:pPr>
            <w:r>
              <w:t>保障日常办公需要，维持单位正常运转</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8、2025年社区工作者工资保险费用绩效目标表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13011025P00001010013G</w:t>
            </w:r>
          </w:p>
        </w:tc>
        <w:tc>
          <w:tcPr>
            <w:tcW w:w="2835" w:type="dxa"/>
            <w:vAlign w:val="center"/>
          </w:tcPr>
          <w:p>
            <w:pPr>
              <w:pStyle w:val="12"/>
            </w:pPr>
            <w:r>
              <w:t>项目名称</w:t>
            </w:r>
          </w:p>
        </w:tc>
        <w:tc>
          <w:tcPr>
            <w:tcW w:w="6095" w:type="dxa"/>
            <w:gridSpan w:val="3"/>
            <w:vAlign w:val="center"/>
          </w:tcPr>
          <w:p>
            <w:pPr>
              <w:pStyle w:val="14"/>
            </w:pPr>
            <w:r>
              <w:t>2025年社区工作者工资保险费用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1755.75</w:t>
            </w:r>
          </w:p>
        </w:tc>
        <w:tc>
          <w:tcPr>
            <w:tcW w:w="2835" w:type="dxa"/>
            <w:vAlign w:val="center"/>
          </w:tcPr>
          <w:p>
            <w:pPr>
              <w:pStyle w:val="12"/>
            </w:pPr>
            <w:r>
              <w:t>其中：财政    资金</w:t>
            </w:r>
          </w:p>
        </w:tc>
        <w:tc>
          <w:tcPr>
            <w:tcW w:w="2551" w:type="dxa"/>
            <w:vAlign w:val="center"/>
          </w:tcPr>
          <w:p>
            <w:pPr>
              <w:pStyle w:val="14"/>
            </w:pPr>
            <w:r>
              <w:t>1755.75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2024年原有社区工作者196名，月薪酬约126万元，年薪酬约1512万元；2024年新招聘30名社区工作者12月薪酬约为18.75万元，2025年年薪酬约为225万元。费用共计1755.75万元.</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1.2024年原有社区工作者196名，月薪酬约126万元，年薪酬约1512万元；2024年新招聘30名社区工作者12月薪酬约为18.75万元，2025年年薪酬约为225万元。费用共计1755.75万元.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保障人数</w:t>
            </w:r>
          </w:p>
        </w:tc>
        <w:tc>
          <w:tcPr>
            <w:tcW w:w="2268" w:type="dxa"/>
            <w:vAlign w:val="center"/>
          </w:tcPr>
          <w:p>
            <w:pPr>
              <w:pStyle w:val="14"/>
            </w:pPr>
            <w:r>
              <w:t>≤226人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工资（福利）发放精准性</w:t>
            </w:r>
          </w:p>
        </w:tc>
        <w:tc>
          <w:tcPr>
            <w:tcW w:w="5386" w:type="dxa"/>
            <w:vAlign w:val="center"/>
          </w:tcPr>
          <w:p>
            <w:pPr>
              <w:pStyle w:val="14"/>
            </w:pPr>
            <w:r>
              <w:t>工资（福利）等发放人员范围的精准性和发放数据的准确性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工资福利等发放的及时率</w:t>
            </w:r>
          </w:p>
        </w:tc>
        <w:tc>
          <w:tcPr>
            <w:tcW w:w="5386" w:type="dxa"/>
            <w:vAlign w:val="center"/>
          </w:tcPr>
          <w:p>
            <w:pPr>
              <w:pStyle w:val="14"/>
            </w:pPr>
            <w:r>
              <w:t>工资福利等发放的及时率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工资（福利）、社会保障（公积金）等发放（缴纳）标准</w:t>
            </w:r>
          </w:p>
        </w:tc>
        <w:tc>
          <w:tcPr>
            <w:tcW w:w="5386" w:type="dxa"/>
            <w:vAlign w:val="center"/>
          </w:tcPr>
          <w:p>
            <w:pPr>
              <w:pStyle w:val="14"/>
            </w:pPr>
            <w:r>
              <w:t>工资（福利）、社会保障（公积金）等发放（缴纳）标准</w:t>
            </w:r>
          </w:p>
        </w:tc>
        <w:tc>
          <w:tcPr>
            <w:tcW w:w="2268" w:type="dxa"/>
            <w:vAlign w:val="center"/>
          </w:tcPr>
          <w:p>
            <w:pPr>
              <w:pStyle w:val="14"/>
            </w:pPr>
            <w:r>
              <w:t>按规定执行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加强工作人员归属感，保持干部队伍稳定</w:t>
            </w:r>
          </w:p>
        </w:tc>
        <w:tc>
          <w:tcPr>
            <w:tcW w:w="5386" w:type="dxa"/>
            <w:vAlign w:val="center"/>
          </w:tcPr>
          <w:p>
            <w:pPr>
              <w:pStyle w:val="14"/>
            </w:pPr>
            <w:r>
              <w:t>通过按时按标准发放工资福利等，进一步增强干部职工得归属感，保持干部队伍相对稳定，保障办公正常运转</w:t>
            </w:r>
          </w:p>
        </w:tc>
        <w:tc>
          <w:tcPr>
            <w:tcW w:w="2268" w:type="dxa"/>
            <w:vAlign w:val="center"/>
          </w:tcPr>
          <w:p>
            <w:pPr>
              <w:pStyle w:val="14"/>
            </w:pPr>
            <w:r>
              <w:t>保持干部队伍相对稳定</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9、2025年社区工作者招聘第三方劳务费绩效目标表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13011025P00001010012W</w:t>
            </w:r>
          </w:p>
        </w:tc>
        <w:tc>
          <w:tcPr>
            <w:tcW w:w="2835" w:type="dxa"/>
            <w:vAlign w:val="center"/>
          </w:tcPr>
          <w:p>
            <w:pPr>
              <w:pStyle w:val="12"/>
            </w:pPr>
            <w:r>
              <w:t>项目名称</w:t>
            </w:r>
          </w:p>
        </w:tc>
        <w:tc>
          <w:tcPr>
            <w:tcW w:w="6095" w:type="dxa"/>
            <w:gridSpan w:val="3"/>
            <w:vAlign w:val="center"/>
          </w:tcPr>
          <w:p>
            <w:pPr>
              <w:pStyle w:val="14"/>
            </w:pPr>
            <w:r>
              <w:t>2025年社区工作者招聘第三方劳务费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2024年度招聘30名社区工作者委托第三方劳务费5万。</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1.2024年度招聘30名社区工作者委托第三方劳务费5万。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招聘社区工作者数量</w:t>
            </w:r>
          </w:p>
        </w:tc>
        <w:tc>
          <w:tcPr>
            <w:tcW w:w="5386" w:type="dxa"/>
            <w:vAlign w:val="center"/>
          </w:tcPr>
          <w:p>
            <w:pPr>
              <w:pStyle w:val="14"/>
            </w:pPr>
            <w:r>
              <w:t>招聘社区工作者数量</w:t>
            </w:r>
          </w:p>
        </w:tc>
        <w:tc>
          <w:tcPr>
            <w:tcW w:w="2268" w:type="dxa"/>
            <w:vAlign w:val="center"/>
          </w:tcPr>
          <w:p>
            <w:pPr>
              <w:pStyle w:val="14"/>
            </w:pPr>
            <w:r>
              <w:t>≤30人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社区工作者招聘工作完成情况</w:t>
            </w:r>
          </w:p>
        </w:tc>
        <w:tc>
          <w:tcPr>
            <w:tcW w:w="5386" w:type="dxa"/>
            <w:vAlign w:val="center"/>
          </w:tcPr>
          <w:p>
            <w:pPr>
              <w:pStyle w:val="14"/>
            </w:pPr>
            <w:r>
              <w:t>社区工作者招聘工作完成情况</w:t>
            </w:r>
          </w:p>
        </w:tc>
        <w:tc>
          <w:tcPr>
            <w:tcW w:w="2268" w:type="dxa"/>
            <w:vAlign w:val="center"/>
          </w:tcPr>
          <w:p>
            <w:pPr>
              <w:pStyle w:val="14"/>
            </w:pPr>
            <w:r>
              <w:t>圆满完成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社区工作者招聘工作按时完成率</w:t>
            </w:r>
          </w:p>
        </w:tc>
        <w:tc>
          <w:tcPr>
            <w:tcW w:w="5386" w:type="dxa"/>
            <w:vAlign w:val="center"/>
          </w:tcPr>
          <w:p>
            <w:pPr>
              <w:pStyle w:val="14"/>
            </w:pPr>
            <w:r>
              <w:t>社区工作者招聘工作按时完成率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10、2025年省级财政社区建设专项资金绩效目标表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13011025P00001010030D</w:t>
            </w:r>
          </w:p>
        </w:tc>
        <w:tc>
          <w:tcPr>
            <w:tcW w:w="2835" w:type="dxa"/>
            <w:vAlign w:val="center"/>
          </w:tcPr>
          <w:p>
            <w:pPr>
              <w:pStyle w:val="12"/>
            </w:pPr>
            <w:r>
              <w:t>项目名称</w:t>
            </w:r>
          </w:p>
        </w:tc>
        <w:tc>
          <w:tcPr>
            <w:tcW w:w="6095" w:type="dxa"/>
            <w:gridSpan w:val="3"/>
            <w:vAlign w:val="center"/>
          </w:tcPr>
          <w:p>
            <w:pPr>
              <w:pStyle w:val="14"/>
            </w:pPr>
            <w:r>
              <w:t>2025年省级财政社区建设专项资金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按照《关于提前下达2025年省级财政社区建设专项资金预算的通知》鹿财预【2025】9号，白鹿泉乡东胡申村改建老年活动中心1处，补助资金12万元，以提高社区服务水平。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1.按照《关于提前下达2025年省级财政社区建设专项资金预算的通知》鹿财预【2025】9号，白鹿泉乡东胡申村改建老年活动中心1处，补助资金12万元，以提高社区服务水平。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补助项目数量</w:t>
            </w:r>
          </w:p>
        </w:tc>
        <w:tc>
          <w:tcPr>
            <w:tcW w:w="5386" w:type="dxa"/>
            <w:vAlign w:val="center"/>
          </w:tcPr>
          <w:p>
            <w:pPr>
              <w:pStyle w:val="14"/>
            </w:pPr>
            <w:r>
              <w:t>补助项目数量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项目实施至项目完成的时间</w:t>
            </w:r>
          </w:p>
        </w:tc>
        <w:tc>
          <w:tcPr>
            <w:tcW w:w="5386" w:type="dxa"/>
            <w:vAlign w:val="center"/>
          </w:tcPr>
          <w:p>
            <w:pPr>
              <w:pStyle w:val="14"/>
            </w:pPr>
            <w:r>
              <w:t>项目实施至项目完成的时间</w:t>
            </w:r>
          </w:p>
        </w:tc>
        <w:tc>
          <w:tcPr>
            <w:tcW w:w="2268" w:type="dxa"/>
            <w:vAlign w:val="center"/>
          </w:tcPr>
          <w:p>
            <w:pPr>
              <w:pStyle w:val="14"/>
            </w:pPr>
            <w:r>
              <w:t>≤365天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每个项目最高补助金额标准</w:t>
            </w:r>
          </w:p>
        </w:tc>
        <w:tc>
          <w:tcPr>
            <w:tcW w:w="5386" w:type="dxa"/>
            <w:vAlign w:val="center"/>
          </w:tcPr>
          <w:p>
            <w:pPr>
              <w:pStyle w:val="14"/>
            </w:pPr>
            <w:r>
              <w:t>每个项目最高补助金额标准</w:t>
            </w:r>
          </w:p>
        </w:tc>
        <w:tc>
          <w:tcPr>
            <w:tcW w:w="2268" w:type="dxa"/>
            <w:vAlign w:val="center"/>
          </w:tcPr>
          <w:p>
            <w:pPr>
              <w:pStyle w:val="14"/>
            </w:pPr>
            <w:r>
              <w:t>≤12万元/项目</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社区服务设施服务年限</w:t>
            </w:r>
          </w:p>
        </w:tc>
        <w:tc>
          <w:tcPr>
            <w:tcW w:w="5386" w:type="dxa"/>
            <w:vAlign w:val="center"/>
          </w:tcPr>
          <w:p>
            <w:pPr>
              <w:pStyle w:val="14"/>
            </w:pPr>
            <w:r>
              <w:t>社区服务设施服务年限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群众满意率</w:t>
            </w:r>
          </w:p>
        </w:tc>
        <w:tc>
          <w:tcPr>
            <w:tcW w:w="5386" w:type="dxa"/>
            <w:vAlign w:val="center"/>
          </w:tcPr>
          <w:p>
            <w:pPr>
              <w:pStyle w:val="14"/>
            </w:pPr>
            <w:r>
              <w:t>群众满意率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11、2025年省市党建示范点建设、两企三新党组织“争先创A”行动及党支部标准化规范化建设专项经费绩效目标表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13011025P00001010022Q</w:t>
            </w:r>
          </w:p>
        </w:tc>
        <w:tc>
          <w:tcPr>
            <w:tcW w:w="2835" w:type="dxa"/>
            <w:vAlign w:val="center"/>
          </w:tcPr>
          <w:p>
            <w:pPr>
              <w:pStyle w:val="12"/>
            </w:pPr>
            <w:r>
              <w:t>项目名称</w:t>
            </w:r>
          </w:p>
        </w:tc>
        <w:tc>
          <w:tcPr>
            <w:tcW w:w="6095" w:type="dxa"/>
            <w:gridSpan w:val="3"/>
            <w:vAlign w:val="center"/>
          </w:tcPr>
          <w:p>
            <w:pPr>
              <w:pStyle w:val="14"/>
            </w:pPr>
            <w:r>
              <w:t>2025年省市党建示范点建设、两企三新党组织“争先创A”行动及党支部标准化规范化建设专项经费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到发达地区考察学习2次；预计创建省级党组织2个、市级党组织5个；打造暖“新”驿站；新业态新就业群体党建等工作经费；座谈交流和观摩拉练4次；计划为我区150个非公经济和社会组织党支部持续开展送党组织标牌、送党旗、送党报党刊、送党务工具用书、送制度挂图的“五送”活动；相关工作的办公费、差旅费、宣传方面费用等。上述费用共计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到发达地区考察学习2次；预计创建省级党组织2个、市级党组织5个；打造暖“新”驿站；新业态新就业群体党建等工作经费；座谈交流和观摩拉练4次；计划为我区150个非公经济和社会组织党支部持续开展送党组织标牌、送党旗、送党报党刊、送党务工具用书、送制度挂图的“五送”活动；相关工作的办公费、差旅费、宣传方面费用等。上述费用共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考察学习次数</w:t>
            </w:r>
          </w:p>
        </w:tc>
        <w:tc>
          <w:tcPr>
            <w:tcW w:w="5386" w:type="dxa"/>
            <w:vAlign w:val="center"/>
          </w:tcPr>
          <w:p>
            <w:pPr>
              <w:pStyle w:val="14"/>
            </w:pPr>
            <w:r>
              <w:t>考察学习次数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座谈交流、观摩拉练次数</w:t>
            </w:r>
          </w:p>
        </w:tc>
        <w:tc>
          <w:tcPr>
            <w:tcW w:w="5386" w:type="dxa"/>
            <w:vAlign w:val="center"/>
          </w:tcPr>
          <w:p>
            <w:pPr>
              <w:pStyle w:val="14"/>
            </w:pPr>
            <w:r>
              <w:t>座谈交流、观摩拉练次数</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各项工作保障率</w:t>
            </w:r>
          </w:p>
        </w:tc>
        <w:tc>
          <w:tcPr>
            <w:tcW w:w="5386" w:type="dxa"/>
            <w:vAlign w:val="center"/>
          </w:tcPr>
          <w:p>
            <w:pPr>
              <w:pStyle w:val="14"/>
            </w:pPr>
            <w:r>
              <w:t>各项工作保障率</w:t>
            </w:r>
          </w:p>
        </w:tc>
        <w:tc>
          <w:tcPr>
            <w:tcW w:w="2268" w:type="dxa"/>
            <w:vAlign w:val="center"/>
          </w:tcPr>
          <w:p>
            <w:pPr>
              <w:pStyle w:val="14"/>
            </w:pPr>
            <w:r>
              <w:t>保障各项工作正常运转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5386" w:type="dxa"/>
            <w:vAlign w:val="center"/>
          </w:tcPr>
          <w:p>
            <w:pPr>
              <w:pStyle w:val="14"/>
            </w:pPr>
            <w:r>
              <w:t>各项工作按时完成率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12、2025年行业商业协会党建指导工作经费绩效目标表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13011025P00001010027T</w:t>
            </w:r>
          </w:p>
        </w:tc>
        <w:tc>
          <w:tcPr>
            <w:tcW w:w="2835" w:type="dxa"/>
            <w:vAlign w:val="center"/>
          </w:tcPr>
          <w:p>
            <w:pPr>
              <w:pStyle w:val="12"/>
            </w:pPr>
            <w:r>
              <w:t>项目名称</w:t>
            </w:r>
          </w:p>
        </w:tc>
        <w:tc>
          <w:tcPr>
            <w:tcW w:w="6095" w:type="dxa"/>
            <w:gridSpan w:val="3"/>
            <w:vAlign w:val="center"/>
          </w:tcPr>
          <w:p>
            <w:pPr>
              <w:pStyle w:val="14"/>
            </w:pPr>
            <w:r>
              <w:t>2025年行业商业协会党建指导工作经费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深化行业协会商会管理体制改革和推动行业协会商会规范发展工作专项经费：行业协会商会负责人人选审核，组织行业党委工作人员对全市性行业协会商会监督检查；支持行业、商业协会阵地建设、党建经费；相关工作办公费、差旅费、挖掘典型、宣传费用等。上述费用共计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深化行业协会商会管理体制改革和推动行业协会商会规范发展工作专项经费：行业协会商会负责人人选审核，组织行业党委工作人员对全市性行业协会商会监督检查；支持行业、商业协会阵地建设、党建经费；相关工作办公费、差旅费、挖掘典型、宣传费用等。上述费用共计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组织行业党委工作人员对行业协会商会监督检查次数</w:t>
            </w:r>
          </w:p>
        </w:tc>
        <w:tc>
          <w:tcPr>
            <w:tcW w:w="5386" w:type="dxa"/>
            <w:vAlign w:val="center"/>
          </w:tcPr>
          <w:p>
            <w:pPr>
              <w:pStyle w:val="14"/>
            </w:pPr>
            <w:r>
              <w:t>组织行业党委工作人员对行业协会商会监督检查次数</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各项工作保障率</w:t>
            </w:r>
          </w:p>
        </w:tc>
        <w:tc>
          <w:tcPr>
            <w:tcW w:w="5386" w:type="dxa"/>
            <w:vAlign w:val="center"/>
          </w:tcPr>
          <w:p>
            <w:pPr>
              <w:pStyle w:val="14"/>
            </w:pPr>
            <w:r>
              <w:t>各项工作保障率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经费保障及时率</w:t>
            </w:r>
          </w:p>
        </w:tc>
        <w:tc>
          <w:tcPr>
            <w:tcW w:w="5386" w:type="dxa"/>
            <w:vAlign w:val="center"/>
          </w:tcPr>
          <w:p>
            <w:pPr>
              <w:pStyle w:val="14"/>
            </w:pPr>
            <w:r>
              <w:t>经费保障及时率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项目持续时限</w:t>
            </w:r>
          </w:p>
        </w:tc>
        <w:tc>
          <w:tcPr>
            <w:tcW w:w="5386" w:type="dxa"/>
            <w:vAlign w:val="center"/>
          </w:tcPr>
          <w:p>
            <w:pPr>
              <w:pStyle w:val="14"/>
            </w:pPr>
            <w:r>
              <w:t>项目持续时限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5386" w:type="dxa"/>
            <w:vAlign w:val="center"/>
          </w:tcPr>
          <w:p>
            <w:pPr>
              <w:pStyle w:val="14"/>
            </w:pPr>
            <w:r>
              <w:t>服务对象满意率</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204中共石家庄市鹿泉区委社会工作部</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7.36</w:t>
            </w:r>
          </w:p>
        </w:tc>
        <w:tc>
          <w:tcPr>
            <w:tcW w:w="964" w:type="dxa"/>
            <w:vAlign w:val="center"/>
          </w:tcPr>
          <w:p>
            <w:pPr>
              <w:pStyle w:val="17"/>
            </w:pPr>
            <w:r>
              <w:t>7.36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中共石家庄市鹿泉区委社会工作部小计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7.36</w:t>
            </w:r>
          </w:p>
        </w:tc>
        <w:tc>
          <w:tcPr>
            <w:tcW w:w="964" w:type="dxa"/>
            <w:vAlign w:val="center"/>
          </w:tcPr>
          <w:p>
            <w:pPr>
              <w:pStyle w:val="17"/>
            </w:pPr>
            <w:r>
              <w:t>7.36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公用经费二</w:t>
            </w:r>
          </w:p>
        </w:tc>
        <w:tc>
          <w:tcPr>
            <w:tcW w:w="964" w:type="dxa"/>
            <w:vAlign w:val="center"/>
          </w:tcPr>
          <w:p>
            <w:pPr>
              <w:pStyle w:val="13"/>
            </w:pPr>
            <w:r>
              <w:t>13.76</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公用经费二</w:t>
            </w:r>
          </w:p>
        </w:tc>
        <w:tc>
          <w:tcPr>
            <w:tcW w:w="964" w:type="dxa"/>
            <w:vAlign w:val="center"/>
          </w:tcPr>
          <w:p>
            <w:pPr>
              <w:pStyle w:val="13"/>
            </w:pPr>
            <w:r>
              <w:t>13.76</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1.20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公用经费二</w:t>
            </w:r>
          </w:p>
        </w:tc>
        <w:tc>
          <w:tcPr>
            <w:tcW w:w="964" w:type="dxa"/>
            <w:vAlign w:val="center"/>
          </w:tcPr>
          <w:p>
            <w:pPr>
              <w:pStyle w:val="13"/>
            </w:pPr>
            <w:r>
              <w:t>13.76</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1.20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4.20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包</w:t>
            </w:r>
          </w:p>
        </w:tc>
        <w:tc>
          <w:tcPr>
            <w:tcW w:w="850" w:type="dxa"/>
            <w:vAlign w:val="center"/>
          </w:tcPr>
          <w:p>
            <w:pPr>
              <w:pStyle w:val="13"/>
            </w:pPr>
            <w:r>
              <w:t>500</w:t>
            </w:r>
          </w:p>
        </w:tc>
        <w:tc>
          <w:tcPr>
            <w:tcW w:w="850" w:type="dxa"/>
            <w:vAlign w:val="center"/>
          </w:tcPr>
          <w:p>
            <w:pPr>
              <w:pStyle w:val="13"/>
            </w:pPr>
            <w:r>
              <w:t>0.00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4.20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2025年社会工作部二次开办费</w:t>
            </w:r>
          </w:p>
        </w:tc>
        <w:tc>
          <w:tcPr>
            <w:tcW w:w="964" w:type="dxa"/>
            <w:vAlign w:val="center"/>
          </w:tcPr>
          <w:p>
            <w:pPr>
              <w:pStyle w:val="13"/>
            </w:pPr>
            <w:r>
              <w:t>3.00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2025年社会工作部二次开办费</w:t>
            </w:r>
          </w:p>
        </w:tc>
        <w:tc>
          <w:tcPr>
            <w:tcW w:w="964" w:type="dxa"/>
            <w:vAlign w:val="center"/>
          </w:tcPr>
          <w:p>
            <w:pPr>
              <w:pStyle w:val="13"/>
            </w:pPr>
            <w:r>
              <w:t>3.00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0.60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2025年社会工作部二次开办费</w:t>
            </w:r>
          </w:p>
        </w:tc>
        <w:tc>
          <w:tcPr>
            <w:tcW w:w="964" w:type="dxa"/>
            <w:vAlign w:val="center"/>
          </w:tcPr>
          <w:p>
            <w:pPr>
              <w:pStyle w:val="13"/>
            </w:pPr>
            <w:r>
              <w:t>3.00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3</w:t>
            </w:r>
          </w:p>
        </w:tc>
        <w:tc>
          <w:tcPr>
            <w:tcW w:w="850" w:type="dxa"/>
            <w:vAlign w:val="center"/>
          </w:tcPr>
          <w:p>
            <w:pPr>
              <w:pStyle w:val="13"/>
            </w:pPr>
            <w:r>
              <w:t>0.15</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2025年社会工作部二次开办费</w:t>
            </w:r>
          </w:p>
        </w:tc>
        <w:tc>
          <w:tcPr>
            <w:tcW w:w="964" w:type="dxa"/>
            <w:vAlign w:val="center"/>
          </w:tcPr>
          <w:p>
            <w:pPr>
              <w:pStyle w:val="13"/>
            </w:pPr>
            <w:r>
              <w:t>3.00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3</w:t>
            </w:r>
          </w:p>
        </w:tc>
        <w:tc>
          <w:tcPr>
            <w:tcW w:w="850" w:type="dxa"/>
            <w:vAlign w:val="center"/>
          </w:tcPr>
          <w:p>
            <w:pPr>
              <w:pStyle w:val="13"/>
            </w:pPr>
            <w:r>
              <w:t>0.04</w:t>
            </w:r>
          </w:p>
        </w:tc>
        <w:tc>
          <w:tcPr>
            <w:tcW w:w="964" w:type="dxa"/>
            <w:vAlign w:val="center"/>
          </w:tcPr>
          <w:p>
            <w:pPr>
              <w:pStyle w:val="13"/>
            </w:pPr>
            <w:r>
              <w:t>0.11</w:t>
            </w:r>
          </w:p>
        </w:tc>
        <w:tc>
          <w:tcPr>
            <w:tcW w:w="964" w:type="dxa"/>
            <w:vAlign w:val="center"/>
          </w:tcPr>
          <w:p>
            <w:pPr>
              <w:pStyle w:val="13"/>
            </w:pPr>
            <w:r>
              <w:t>0.11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2025年社会工作部二次开办费</w:t>
            </w:r>
          </w:p>
        </w:tc>
        <w:tc>
          <w:tcPr>
            <w:tcW w:w="964" w:type="dxa"/>
            <w:vAlign w:val="center"/>
          </w:tcPr>
          <w:p>
            <w:pPr>
              <w:pStyle w:val="13"/>
            </w:pPr>
            <w:r>
              <w:t>3.00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0.10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中共石家庄市鹿泉区委社会工作部（含所属单位）上年末固定资产金额为</w:t>
      </w:r>
      <w:r>
        <w:rPr>
          <w:rFonts w:hint="eastAsia" w:ascii="仿宋_GB2312" w:hAnsi="仿宋_GB2312" w:eastAsia="仿宋_GB2312" w:cs="仿宋_GB2312"/>
          <w:color w:val="000000"/>
          <w:sz w:val="32"/>
          <w:szCs w:val="32"/>
          <w:lang w:val="en-US" w:eastAsia="zh-CN"/>
        </w:rPr>
        <w:t>29.32</w:t>
      </w:r>
      <w:r>
        <w:rPr>
          <w:rFonts w:hint="eastAsia" w:ascii="仿宋_GB2312" w:hAnsi="仿宋_GB2312" w:eastAsia="仿宋_GB2312" w:cs="仿宋_GB2312"/>
          <w:color w:val="000000"/>
          <w:sz w:val="32"/>
          <w:szCs w:val="32"/>
        </w:rPr>
        <w:t>万元（详见下表）。本年度拟购置固定资产总额为</w:t>
      </w:r>
      <w:r>
        <w:rPr>
          <w:rFonts w:hint="eastAsia" w:ascii="仿宋_GB2312" w:hAnsi="仿宋_GB2312" w:eastAsia="仿宋_GB2312" w:cs="仿宋_GB2312"/>
          <w:color w:val="000000"/>
          <w:sz w:val="32"/>
          <w:szCs w:val="32"/>
          <w:lang w:val="en-US" w:eastAsia="zh-CN"/>
        </w:rPr>
        <w:t>2.86</w:t>
      </w:r>
      <w:r>
        <w:rPr>
          <w:rFonts w:hint="eastAsia" w:ascii="仿宋_GB2312" w:hAnsi="仿宋_GB2312" w:eastAsia="仿宋_GB2312" w:cs="仿宋_GB2312"/>
          <w:color w:val="000000"/>
          <w:sz w:val="32"/>
          <w:szCs w:val="32"/>
        </w:rPr>
        <w:t>万元，已按要求列入政府采购预算，详见政府采购预算表。</w:t>
      </w:r>
    </w:p>
    <w:p>
      <w:pPr>
        <w:spacing w:before="0" w:after="0" w:line="240" w:lineRule="auto"/>
        <w:ind w:firstLine="0"/>
        <w:jc w:val="center"/>
        <w:outlineLvl w:val="9"/>
        <w:rPr>
          <w:rFonts w:hint="eastAsia" w:ascii="仿宋_GB2312" w:hAnsi="仿宋_GB2312" w:eastAsia="仿宋_GB2312" w:cs="仿宋_GB2312"/>
          <w:color w:val="000000"/>
          <w:sz w:val="32"/>
          <w:szCs w:val="32"/>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default" w:eastAsia="方正小标宋_GBK"/>
                <w:highlight w:val="none"/>
                <w:lang w:val="en-US" w:eastAsia="zh-CN"/>
              </w:rPr>
            </w:pPr>
            <w:r>
              <w:rPr>
                <w:rFonts w:hint="eastAsia"/>
                <w:highlight w:val="none"/>
                <w:lang w:val="en-US" w:eastAsia="zh-CN"/>
              </w:rPr>
              <w:t>204中共石家庄市鹿泉区委社会工作部</w:t>
            </w:r>
          </w:p>
        </w:tc>
        <w:tc>
          <w:tcPr>
            <w:tcW w:w="9866"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rPr>
                <w:highlight w:val="none"/>
              </w:rPr>
            </w:pPr>
            <w:r>
              <w:rPr>
                <w:highlight w:val="none"/>
              </w:rPr>
              <w:t>项   目</w:t>
            </w:r>
          </w:p>
        </w:tc>
        <w:tc>
          <w:tcPr>
            <w:tcW w:w="4933" w:type="dxa"/>
            <w:vAlign w:val="center"/>
          </w:tcPr>
          <w:p>
            <w:pPr>
              <w:pStyle w:val="12"/>
              <w:rPr>
                <w:highlight w:val="none"/>
              </w:rPr>
            </w:pPr>
            <w:r>
              <w:rPr>
                <w:highlight w:val="none"/>
              </w:rPr>
              <w:t>数量</w:t>
            </w:r>
          </w:p>
        </w:tc>
        <w:tc>
          <w:tcPr>
            <w:tcW w:w="4933" w:type="dxa"/>
            <w:vAlign w:val="center"/>
          </w:tcPr>
          <w:p>
            <w:pPr>
              <w:pStyle w:val="12"/>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highlight w:val="none"/>
              </w:rPr>
            </w:pPr>
            <w:r>
              <w:rPr>
                <w:highlight w:val="none"/>
              </w:rPr>
              <w:t>资产总额</w:t>
            </w:r>
          </w:p>
        </w:tc>
        <w:tc>
          <w:tcPr>
            <w:tcW w:w="4933" w:type="dxa"/>
            <w:vAlign w:val="center"/>
          </w:tcPr>
          <w:p>
            <w:pPr>
              <w:pStyle w:val="15"/>
              <w:rPr>
                <w:highlight w:val="none"/>
              </w:rPr>
            </w:pP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29.32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highlight w:val="none"/>
              </w:rPr>
            </w:pPr>
            <w:r>
              <w:rPr>
                <w:highlight w:val="none"/>
              </w:rPr>
              <w:t>1、房屋（平方米）</w:t>
            </w:r>
          </w:p>
        </w:tc>
        <w:tc>
          <w:tcPr>
            <w:tcW w:w="4933" w:type="dxa"/>
            <w:vAlign w:val="center"/>
          </w:tcPr>
          <w:p>
            <w:pPr>
              <w:pStyle w:val="15"/>
              <w:rPr>
                <w:rFonts w:hint="eastAsia" w:eastAsia="方正书宋_GBK"/>
                <w:highlight w:val="none"/>
                <w:lang w:eastAsia="zh-CN"/>
              </w:rPr>
            </w:pPr>
            <w:r>
              <w:rPr>
                <w:rFonts w:hint="eastAsia"/>
                <w:highlight w:val="none"/>
                <w:lang w:val="en-US" w:eastAsia="zh-CN"/>
              </w:rPr>
              <w:t>0</w:t>
            </w:r>
          </w:p>
        </w:tc>
        <w:tc>
          <w:tcPr>
            <w:tcW w:w="4933" w:type="dxa"/>
            <w:vAlign w:val="center"/>
          </w:tcPr>
          <w:p>
            <w:pPr>
              <w:pStyle w:val="13"/>
              <w:rPr>
                <w:rFonts w:hint="eastAsia" w:eastAsia="方正书宋_GBK"/>
                <w:highlight w:val="none"/>
                <w:lang w:val="en-US" w:eastAsia="zh-CN"/>
              </w:rPr>
            </w:pPr>
            <w:r>
              <w:rPr>
                <w:rFonts w:hint="eastAsia"/>
                <w:highlight w:val="none"/>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highlight w:val="none"/>
              </w:rPr>
            </w:pPr>
            <w:r>
              <w:rPr>
                <w:highlight w:val="none"/>
              </w:rPr>
              <w:t>　　其中：办公用房（平方米）</w:t>
            </w:r>
          </w:p>
        </w:tc>
        <w:tc>
          <w:tcPr>
            <w:tcW w:w="4933" w:type="dxa"/>
            <w:vAlign w:val="center"/>
          </w:tcPr>
          <w:p>
            <w:pPr>
              <w:pStyle w:val="15"/>
              <w:rPr>
                <w:rFonts w:hint="eastAsia" w:eastAsia="方正书宋_GBK"/>
                <w:highlight w:val="none"/>
                <w:lang w:eastAsia="zh-CN"/>
              </w:rPr>
            </w:pPr>
            <w:r>
              <w:rPr>
                <w:rFonts w:hint="eastAsia"/>
                <w:highlight w:val="none"/>
                <w:lang w:val="en-US" w:eastAsia="zh-CN"/>
              </w:rPr>
              <w:t>0</w:t>
            </w:r>
          </w:p>
        </w:tc>
        <w:tc>
          <w:tcPr>
            <w:tcW w:w="4933" w:type="dxa"/>
            <w:vAlign w:val="center"/>
          </w:tcPr>
          <w:p>
            <w:pPr>
              <w:pStyle w:val="13"/>
              <w:rPr>
                <w:rFonts w:hint="eastAsia" w:eastAsia="方正书宋_GBK"/>
                <w:highlight w:val="none"/>
                <w:lang w:eastAsia="zh-CN"/>
              </w:rPr>
            </w:pPr>
            <w:r>
              <w:rPr>
                <w:rFonts w:hint="eastAsia"/>
                <w:highlight w:val="none"/>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highlight w:val="none"/>
              </w:rPr>
            </w:pPr>
            <w:r>
              <w:rPr>
                <w:highlight w:val="none"/>
              </w:rPr>
              <w:t>2、车辆（台、辆）</w:t>
            </w:r>
          </w:p>
        </w:tc>
        <w:tc>
          <w:tcPr>
            <w:tcW w:w="4933" w:type="dxa"/>
            <w:vAlign w:val="center"/>
          </w:tcPr>
          <w:p>
            <w:pPr>
              <w:pStyle w:val="15"/>
              <w:rPr>
                <w:rFonts w:hint="eastAsia" w:eastAsia="方正书宋_GBK"/>
                <w:highlight w:val="none"/>
                <w:lang w:eastAsia="zh-CN"/>
              </w:rPr>
            </w:pPr>
            <w:r>
              <w:rPr>
                <w:rFonts w:hint="eastAsia"/>
                <w:highlight w:val="none"/>
                <w:lang w:val="en-US" w:eastAsia="zh-CN"/>
              </w:rPr>
              <w:t>1</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highlight w:val="none"/>
              </w:rPr>
            </w:pPr>
            <w:r>
              <w:rPr>
                <w:highlight w:val="none"/>
              </w:rPr>
              <w:t>3、单价在20万元以上的设备</w:t>
            </w:r>
          </w:p>
        </w:tc>
        <w:tc>
          <w:tcPr>
            <w:tcW w:w="4933" w:type="dxa"/>
            <w:vAlign w:val="center"/>
          </w:tcPr>
          <w:p>
            <w:pPr>
              <w:pStyle w:val="15"/>
              <w:rPr>
                <w:rFonts w:hint="eastAsia" w:eastAsia="方正书宋_GBK"/>
                <w:highlight w:val="none"/>
                <w:lang w:val="en-US" w:eastAsia="zh-CN"/>
              </w:rPr>
            </w:pPr>
            <w:r>
              <w:rPr>
                <w:rFonts w:hint="eastAsia"/>
                <w:highlight w:val="none"/>
                <w:lang w:val="en-US" w:eastAsia="zh-CN"/>
              </w:rPr>
              <w:t>0</w:t>
            </w:r>
          </w:p>
        </w:tc>
        <w:tc>
          <w:tcPr>
            <w:tcW w:w="4933" w:type="dxa"/>
            <w:vAlign w:val="center"/>
          </w:tcPr>
          <w:p>
            <w:pPr>
              <w:pStyle w:val="13"/>
              <w:rPr>
                <w:rFonts w:hint="eastAsia" w:eastAsia="方正书宋_GBK"/>
                <w:highlight w:val="none"/>
                <w:lang w:val="en-US" w:eastAsia="zh-CN"/>
              </w:rPr>
            </w:pPr>
            <w:r>
              <w:rPr>
                <w:rFonts w:hint="eastAsia"/>
                <w:highlight w:val="none"/>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highlight w:val="none"/>
              </w:rPr>
            </w:pPr>
            <w:r>
              <w:rPr>
                <w:highlight w:val="none"/>
              </w:rPr>
              <w:t>4、其他固定资产</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116</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16.77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2"/>
      </w:pPr>
      <w:bookmarkStart w:id="18" w:name="_Toc_3_3_0000000020"/>
      <w:r>
        <w:rPr>
          <w:rFonts w:ascii="黑体" w:hAnsi="黑体" w:eastAsia="黑体" w:cs="黑体"/>
          <w:color w:val="000000"/>
          <w:sz w:val="32"/>
        </w:rPr>
        <w:t>十一、其他需要说明的事项</w:t>
      </w:r>
      <w:bookmarkEnd w:id="18"/>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EEB3AD"/>
    <w:multiLevelType w:val="singleLevel"/>
    <w:tmpl w:val="5BEEB3AD"/>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0E04124"/>
    <w:rsid w:val="01560B34"/>
    <w:rsid w:val="027D3DB3"/>
    <w:rsid w:val="02ED20CC"/>
    <w:rsid w:val="065F7136"/>
    <w:rsid w:val="06D350A6"/>
    <w:rsid w:val="08941F51"/>
    <w:rsid w:val="0A5034C6"/>
    <w:rsid w:val="0F3C3582"/>
    <w:rsid w:val="0FFA33D5"/>
    <w:rsid w:val="109D5AA9"/>
    <w:rsid w:val="11115719"/>
    <w:rsid w:val="160458FB"/>
    <w:rsid w:val="199C42B6"/>
    <w:rsid w:val="1C4436BE"/>
    <w:rsid w:val="1CF25FDE"/>
    <w:rsid w:val="1E062C31"/>
    <w:rsid w:val="1EA16A33"/>
    <w:rsid w:val="1FA227D7"/>
    <w:rsid w:val="1FFC2A42"/>
    <w:rsid w:val="208D4A9D"/>
    <w:rsid w:val="20C260A9"/>
    <w:rsid w:val="2199433E"/>
    <w:rsid w:val="277F7C83"/>
    <w:rsid w:val="29591E90"/>
    <w:rsid w:val="295D668B"/>
    <w:rsid w:val="29C45A5F"/>
    <w:rsid w:val="2DB01E55"/>
    <w:rsid w:val="2E247469"/>
    <w:rsid w:val="2F1713A3"/>
    <w:rsid w:val="3032359E"/>
    <w:rsid w:val="30E47300"/>
    <w:rsid w:val="31C87BFA"/>
    <w:rsid w:val="357E07EC"/>
    <w:rsid w:val="35DA0C2F"/>
    <w:rsid w:val="379D7E8B"/>
    <w:rsid w:val="3804361F"/>
    <w:rsid w:val="381E0372"/>
    <w:rsid w:val="399E3B57"/>
    <w:rsid w:val="3B142A0B"/>
    <w:rsid w:val="3B2A50B6"/>
    <w:rsid w:val="3CC061BC"/>
    <w:rsid w:val="3D947195"/>
    <w:rsid w:val="3F215F4A"/>
    <w:rsid w:val="40762805"/>
    <w:rsid w:val="40EA5AE7"/>
    <w:rsid w:val="418B0546"/>
    <w:rsid w:val="425F4D14"/>
    <w:rsid w:val="439E1D4B"/>
    <w:rsid w:val="441C67EB"/>
    <w:rsid w:val="441E6696"/>
    <w:rsid w:val="44EC5D21"/>
    <w:rsid w:val="45CC3E1F"/>
    <w:rsid w:val="472E5DD7"/>
    <w:rsid w:val="47E265BD"/>
    <w:rsid w:val="482F3759"/>
    <w:rsid w:val="4BA064FA"/>
    <w:rsid w:val="4C6158CB"/>
    <w:rsid w:val="50BF4958"/>
    <w:rsid w:val="511E34F2"/>
    <w:rsid w:val="51596B96"/>
    <w:rsid w:val="51EC2E4C"/>
    <w:rsid w:val="52C23666"/>
    <w:rsid w:val="55165955"/>
    <w:rsid w:val="55694E62"/>
    <w:rsid w:val="56B046AD"/>
    <w:rsid w:val="58EC532F"/>
    <w:rsid w:val="5B120B0A"/>
    <w:rsid w:val="5B600338"/>
    <w:rsid w:val="5BB917F9"/>
    <w:rsid w:val="5C8F2D85"/>
    <w:rsid w:val="5E0159F5"/>
    <w:rsid w:val="5FC90480"/>
    <w:rsid w:val="60217F38"/>
    <w:rsid w:val="6030401D"/>
    <w:rsid w:val="61ED5260"/>
    <w:rsid w:val="62224BEB"/>
    <w:rsid w:val="62945CA7"/>
    <w:rsid w:val="635511C8"/>
    <w:rsid w:val="642F619E"/>
    <w:rsid w:val="648E32B2"/>
    <w:rsid w:val="65544A79"/>
    <w:rsid w:val="659F132C"/>
    <w:rsid w:val="65D00B3A"/>
    <w:rsid w:val="65F4166A"/>
    <w:rsid w:val="66960B2C"/>
    <w:rsid w:val="698A1029"/>
    <w:rsid w:val="6A374196"/>
    <w:rsid w:val="6C2226AC"/>
    <w:rsid w:val="6CDD4BD4"/>
    <w:rsid w:val="6D6C1992"/>
    <w:rsid w:val="6F537845"/>
    <w:rsid w:val="708C1EE3"/>
    <w:rsid w:val="71D14CCB"/>
    <w:rsid w:val="72AF1293"/>
    <w:rsid w:val="72C07BE7"/>
    <w:rsid w:val="76E740CC"/>
    <w:rsid w:val="774B799C"/>
    <w:rsid w:val="777C06C7"/>
    <w:rsid w:val="78AE4308"/>
    <w:rsid w:val="79AD1D95"/>
    <w:rsid w:val="79CC4739"/>
    <w:rsid w:val="7B063366"/>
    <w:rsid w:val="7C01175C"/>
    <w:rsid w:val="7C804DAE"/>
    <w:rsid w:val="7CD9234B"/>
    <w:rsid w:val="7EDF4B9F"/>
    <w:rsid w:val="7F1A1F5B"/>
    <w:rsid w:val="7FF034A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TotalTime>9</TotalTime>
  <ScaleCrop>false</ScaleCrop>
  <LinksUpToDate>false</LinksUpToDate>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2025-02-06T15:50:00Z</dcterms:created>
  <dc:creator>Administrator</dc:creator>
  <cp:lastModifiedBy>Administrator</cp:lastModifiedBy>
  <dcterms:modified xsi:type="dcterms:W3CDTF">2025-02-18T03:08:23Z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