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0</w:t>
      </w:r>
    </w:p>
    <w:p>
      <w:pPr>
        <w:pStyle w:val="3"/>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2</w:t>
      </w:r>
    </w:p>
    <w:p>
      <w:pPr>
        <w:pStyle w:val="3"/>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部门预算政府性基金预算财政拨款支出表</w:t>
      </w:r>
      <w:r>
        <w:tab/>
      </w:r>
      <w:r>
        <w:rPr>
          <w:rFonts w:hint="eastAsia"/>
          <w:lang w:val="en-US" w:eastAsia="zh-CN"/>
        </w:rPr>
        <w:t>1</w:t>
      </w:r>
      <w:r>
        <w:fldChar w:fldCharType="end"/>
      </w:r>
      <w:r>
        <w:rPr>
          <w:rFonts w:hint="eastAsia"/>
          <w:lang w:val="en-US" w:eastAsia="zh-CN"/>
        </w:rPr>
        <w:t>4</w:t>
      </w:r>
    </w:p>
    <w:p>
      <w:pPr>
        <w:pStyle w:val="3"/>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5</w:t>
      </w:r>
    </w:p>
    <w:p>
      <w:pPr>
        <w:pStyle w:val="3"/>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1</w:t>
      </w:r>
      <w:r>
        <w:fldChar w:fldCharType="end"/>
      </w:r>
      <w:r>
        <w:rPr>
          <w:rFonts w:hint="eastAsia"/>
          <w:lang w:val="en-US" w:eastAsia="zh-CN"/>
        </w:rPr>
        <w:t>6</w:t>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1</w:t>
      </w:r>
      <w:r>
        <w:fldChar w:fldCharType="end"/>
      </w:r>
      <w:r>
        <w:rPr>
          <w:rFonts w:hint="eastAsia"/>
          <w:lang w:val="en-US" w:eastAsia="zh-CN"/>
        </w:rPr>
        <w:t>7</w:t>
      </w:r>
    </w:p>
    <w:p>
      <w:pPr>
        <w:pStyle w:val="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2</w:t>
      </w:r>
      <w:r>
        <w:fldChar w:fldCharType="end"/>
      </w:r>
      <w:r>
        <w:rPr>
          <w:rFonts w:hint="eastAsia"/>
          <w:lang w:val="en-US" w:eastAsia="zh-CN"/>
        </w:rPr>
        <w:t>0</w:t>
      </w:r>
    </w:p>
    <w:p>
      <w:pPr>
        <w:pStyle w:val="3"/>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2</w:t>
      </w:r>
    </w:p>
    <w:p>
      <w:pPr>
        <w:pStyle w:val="3"/>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五、部门整体绩效目标</w:t>
      </w:r>
      <w:r>
        <w:tab/>
      </w:r>
      <w:r>
        <w:rPr>
          <w:rFonts w:hint="eastAsia"/>
          <w:lang w:val="en-US" w:eastAsia="zh-CN"/>
        </w:rPr>
        <w:t>2</w:t>
      </w:r>
      <w:r>
        <w:fldChar w:fldCharType="end"/>
      </w:r>
      <w:r>
        <w:rPr>
          <w:rFonts w:hint="eastAsia"/>
          <w:lang w:val="en-US" w:eastAsia="zh-CN"/>
        </w:rPr>
        <w:t>2</w:t>
      </w:r>
    </w:p>
    <w:p>
      <w:pPr>
        <w:pStyle w:val="3"/>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六、部门主管专项资金预算安排情况及绩效目标</w:t>
      </w:r>
      <w:r>
        <w:tab/>
      </w:r>
      <w:r>
        <w:rPr>
          <w:rFonts w:hint="eastAsia"/>
          <w:lang w:val="en-US" w:eastAsia="zh-CN"/>
        </w:rPr>
        <w:t>2</w:t>
      </w:r>
      <w:r>
        <w:fldChar w:fldCharType="end"/>
      </w:r>
      <w:r>
        <w:rPr>
          <w:rFonts w:hint="eastAsia"/>
          <w:lang w:val="en-US" w:eastAsia="zh-CN"/>
        </w:rPr>
        <w:t>6</w:t>
      </w:r>
    </w:p>
    <w:p>
      <w:pPr>
        <w:pStyle w:val="3"/>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七、部门项目预算安排情况及绩效目标</w:t>
      </w:r>
      <w:r>
        <w:tab/>
      </w:r>
      <w:r>
        <w:rPr>
          <w:rFonts w:hint="eastAsia"/>
          <w:lang w:val="en-US" w:eastAsia="zh-CN"/>
        </w:rPr>
        <w:t>2</w:t>
      </w:r>
      <w:r>
        <w:fldChar w:fldCharType="end"/>
      </w:r>
      <w:r>
        <w:rPr>
          <w:rFonts w:hint="eastAsia"/>
          <w:lang w:val="en-US" w:eastAsia="zh-CN"/>
        </w:rPr>
        <w:t>7</w:t>
      </w:r>
    </w:p>
    <w:p>
      <w:pPr>
        <w:pStyle w:val="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八、政府采购预算情况</w:t>
      </w:r>
      <w:r>
        <w:tab/>
      </w:r>
      <w:r>
        <w:rPr>
          <w:rFonts w:hint="eastAsia"/>
          <w:lang w:val="en-US" w:eastAsia="zh-CN"/>
        </w:rPr>
        <w:t>5</w:t>
      </w:r>
      <w:r>
        <w:fldChar w:fldCharType="end"/>
      </w:r>
      <w:r>
        <w:rPr>
          <w:rFonts w:hint="eastAsia"/>
          <w:lang w:val="en-US" w:eastAsia="zh-CN"/>
        </w:rPr>
        <w:t>2</w:t>
      </w:r>
    </w:p>
    <w:p>
      <w:pPr>
        <w:pStyle w:val="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九、国有资产信息</w:t>
      </w:r>
      <w:r>
        <w:tab/>
      </w:r>
      <w:r>
        <w:rPr>
          <w:rFonts w:hint="eastAsia"/>
          <w:lang w:val="en-US" w:eastAsia="zh-CN"/>
        </w:rPr>
        <w:t>5</w:t>
      </w:r>
      <w:r>
        <w:fldChar w:fldCharType="end"/>
      </w:r>
      <w:r>
        <w:rPr>
          <w:rFonts w:hint="eastAsia"/>
          <w:lang w:val="en-US" w:eastAsia="zh-CN"/>
        </w:rPr>
        <w:t>5</w:t>
      </w:r>
    </w:p>
    <w:p>
      <w:pPr>
        <w:pStyle w:val="3"/>
        <w:tabs>
          <w:tab w:val="right" w:leader="dot" w:pos="14562"/>
        </w:tabs>
        <w:rPr>
          <w:rFonts w:hint="eastAsia" w:eastAsia="方正仿宋_GBK"/>
          <w:lang w:val="en-US" w:eastAsia="zh-CN"/>
        </w:rPr>
      </w:pPr>
      <w:r>
        <w:fldChar w:fldCharType="begin"/>
      </w:r>
      <w:r>
        <w:instrText xml:space="preserve"> HYPERLINK \l "_Toc_3_3_0000000019" </w:instrText>
      </w:r>
      <w:r>
        <w:fldChar w:fldCharType="separate"/>
      </w:r>
      <w:r>
        <w:t>十、名词解释</w:t>
      </w:r>
      <w:r>
        <w:tab/>
      </w:r>
      <w:r>
        <w:rPr>
          <w:rFonts w:hint="eastAsia"/>
          <w:lang w:val="en-US" w:eastAsia="zh-CN"/>
        </w:rPr>
        <w:t>5</w:t>
      </w:r>
      <w:r>
        <w:fldChar w:fldCharType="end"/>
      </w:r>
      <w:r>
        <w:rPr>
          <w:rFonts w:hint="eastAsia"/>
          <w:lang w:val="en-US" w:eastAsia="zh-CN"/>
        </w:rPr>
        <w:t>5</w:t>
      </w:r>
    </w:p>
    <w:p>
      <w:pPr>
        <w:pStyle w:val="3"/>
        <w:tabs>
          <w:tab w:val="right" w:leader="dot" w:pos="14562"/>
        </w:tabs>
        <w:rPr>
          <w:rFonts w:hint="eastAsia" w:eastAsia="方正仿宋_GBK"/>
          <w:lang w:val="en-US" w:eastAsia="zh-CN"/>
        </w:rPr>
      </w:pPr>
      <w:r>
        <w:fldChar w:fldCharType="begin"/>
      </w:r>
      <w:r>
        <w:instrText xml:space="preserve"> HYPERLINK \l "_Toc_3_3_0000000020" </w:instrText>
      </w:r>
      <w:r>
        <w:fldChar w:fldCharType="separate"/>
      </w:r>
      <w:r>
        <w:t>十一、其他需要说明的事项</w:t>
      </w:r>
      <w:r>
        <w:tab/>
      </w:r>
      <w:r>
        <w:rPr>
          <w:rFonts w:hint="eastAsia"/>
          <w:lang w:val="en-US" w:eastAsia="zh-CN"/>
        </w:rPr>
        <w:t>5</w:t>
      </w:r>
      <w:r>
        <w:fldChar w:fldCharType="end"/>
      </w:r>
      <w:r>
        <w:rPr>
          <w:rFonts w:hint="eastAsia"/>
          <w:lang w:val="en-US" w:eastAsia="zh-CN"/>
        </w:rPr>
        <w:t>6</w:t>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318石家庄市鹿泉区财政局</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2015.00</w:t>
            </w:r>
          </w:p>
        </w:tc>
        <w:tc>
          <w:tcPr>
            <w:tcW w:w="4535" w:type="dxa"/>
            <w:vAlign w:val="center"/>
          </w:tcPr>
          <w:p>
            <w:pPr>
              <w:pStyle w:val="13"/>
            </w:pPr>
            <w:r>
              <w:t>一、一般公共服务支出</w:t>
            </w:r>
          </w:p>
        </w:tc>
        <w:tc>
          <w:tcPr>
            <w:tcW w:w="2126" w:type="dxa"/>
            <w:vAlign w:val="center"/>
          </w:tcPr>
          <w:p>
            <w:pPr>
              <w:pStyle w:val="12"/>
            </w:pPr>
            <w:r>
              <w:t>1485.75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373.16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65.00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7.69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85.08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2015.00</w:t>
            </w:r>
          </w:p>
        </w:tc>
        <w:tc>
          <w:tcPr>
            <w:tcW w:w="4535" w:type="dxa"/>
            <w:vAlign w:val="center"/>
          </w:tcPr>
          <w:p>
            <w:pPr>
              <w:pStyle w:val="15"/>
            </w:pPr>
            <w:r>
              <w:t>本年支出合计</w:t>
            </w:r>
          </w:p>
        </w:tc>
        <w:tc>
          <w:tcPr>
            <w:tcW w:w="2126" w:type="dxa"/>
            <w:vAlign w:val="center"/>
          </w:tcPr>
          <w:p>
            <w:pPr>
              <w:pStyle w:val="16"/>
            </w:pPr>
            <w:r>
              <w:t>2016.69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r>
              <w:t>1.69</w:t>
            </w: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2016.69</w:t>
            </w:r>
          </w:p>
        </w:tc>
        <w:tc>
          <w:tcPr>
            <w:tcW w:w="4535" w:type="dxa"/>
            <w:vAlign w:val="center"/>
          </w:tcPr>
          <w:p>
            <w:pPr>
              <w:pStyle w:val="15"/>
            </w:pPr>
            <w:r>
              <w:t>支出总计</w:t>
            </w:r>
          </w:p>
        </w:tc>
        <w:tc>
          <w:tcPr>
            <w:tcW w:w="2126" w:type="dxa"/>
            <w:vAlign w:val="center"/>
          </w:tcPr>
          <w:p>
            <w:pPr>
              <w:pStyle w:val="16"/>
            </w:pPr>
            <w:r>
              <w:t>2016.69</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318石家庄市鹿泉区财政局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2016.69</w:t>
            </w:r>
          </w:p>
        </w:tc>
        <w:tc>
          <w:tcPr>
            <w:tcW w:w="1134" w:type="dxa"/>
            <w:vAlign w:val="center"/>
          </w:tcPr>
          <w:p>
            <w:pPr>
              <w:pStyle w:val="16"/>
            </w:pPr>
            <w:r>
              <w:t>2015.00</w:t>
            </w:r>
          </w:p>
        </w:tc>
        <w:tc>
          <w:tcPr>
            <w:tcW w:w="1134" w:type="dxa"/>
            <w:vAlign w:val="center"/>
          </w:tcPr>
          <w:p>
            <w:pPr>
              <w:pStyle w:val="16"/>
            </w:pPr>
            <w:r>
              <w:t>2015.00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1.69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1485.75</w:t>
            </w:r>
          </w:p>
        </w:tc>
        <w:tc>
          <w:tcPr>
            <w:tcW w:w="1134" w:type="dxa"/>
            <w:vAlign w:val="center"/>
          </w:tcPr>
          <w:p>
            <w:pPr>
              <w:pStyle w:val="12"/>
            </w:pPr>
            <w:r>
              <w:t>1485.75</w:t>
            </w:r>
          </w:p>
        </w:tc>
        <w:tc>
          <w:tcPr>
            <w:tcW w:w="1134" w:type="dxa"/>
            <w:vAlign w:val="center"/>
          </w:tcPr>
          <w:p>
            <w:pPr>
              <w:pStyle w:val="12"/>
            </w:pPr>
            <w:r>
              <w:t>1485.75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20106</w:t>
            </w:r>
          </w:p>
        </w:tc>
        <w:tc>
          <w:tcPr>
            <w:tcW w:w="1559" w:type="dxa"/>
            <w:vAlign w:val="center"/>
          </w:tcPr>
          <w:p>
            <w:pPr>
              <w:pStyle w:val="13"/>
            </w:pPr>
            <w:r>
              <w:t>财政事务</w:t>
            </w:r>
          </w:p>
        </w:tc>
        <w:tc>
          <w:tcPr>
            <w:tcW w:w="1134" w:type="dxa"/>
            <w:vAlign w:val="center"/>
          </w:tcPr>
          <w:p>
            <w:pPr>
              <w:pStyle w:val="12"/>
            </w:pPr>
            <w:r>
              <w:t>1485.75</w:t>
            </w:r>
          </w:p>
        </w:tc>
        <w:tc>
          <w:tcPr>
            <w:tcW w:w="1134" w:type="dxa"/>
            <w:vAlign w:val="center"/>
          </w:tcPr>
          <w:p>
            <w:pPr>
              <w:pStyle w:val="12"/>
            </w:pPr>
            <w:r>
              <w:t>1485.75</w:t>
            </w:r>
          </w:p>
        </w:tc>
        <w:tc>
          <w:tcPr>
            <w:tcW w:w="1134" w:type="dxa"/>
            <w:vAlign w:val="center"/>
          </w:tcPr>
          <w:p>
            <w:pPr>
              <w:pStyle w:val="12"/>
            </w:pPr>
            <w:r>
              <w:t>1485.75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2010601</w:t>
            </w:r>
          </w:p>
        </w:tc>
        <w:tc>
          <w:tcPr>
            <w:tcW w:w="1559" w:type="dxa"/>
            <w:vAlign w:val="center"/>
          </w:tcPr>
          <w:p>
            <w:pPr>
              <w:pStyle w:val="13"/>
            </w:pPr>
            <w:r>
              <w:t>行政运行</w:t>
            </w:r>
          </w:p>
        </w:tc>
        <w:tc>
          <w:tcPr>
            <w:tcW w:w="1134" w:type="dxa"/>
            <w:vAlign w:val="center"/>
          </w:tcPr>
          <w:p>
            <w:pPr>
              <w:pStyle w:val="12"/>
            </w:pPr>
            <w:r>
              <w:t>930.61</w:t>
            </w:r>
          </w:p>
        </w:tc>
        <w:tc>
          <w:tcPr>
            <w:tcW w:w="1134" w:type="dxa"/>
            <w:vAlign w:val="center"/>
          </w:tcPr>
          <w:p>
            <w:pPr>
              <w:pStyle w:val="12"/>
            </w:pPr>
            <w:r>
              <w:t>930.61</w:t>
            </w:r>
          </w:p>
        </w:tc>
        <w:tc>
          <w:tcPr>
            <w:tcW w:w="1134" w:type="dxa"/>
            <w:vAlign w:val="center"/>
          </w:tcPr>
          <w:p>
            <w:pPr>
              <w:pStyle w:val="12"/>
            </w:pPr>
            <w:r>
              <w:t>930.61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2010602</w:t>
            </w:r>
          </w:p>
        </w:tc>
        <w:tc>
          <w:tcPr>
            <w:tcW w:w="1559" w:type="dxa"/>
            <w:vAlign w:val="center"/>
          </w:tcPr>
          <w:p>
            <w:pPr>
              <w:pStyle w:val="13"/>
            </w:pPr>
            <w:r>
              <w:t>一般行政管理事务</w:t>
            </w:r>
          </w:p>
        </w:tc>
        <w:tc>
          <w:tcPr>
            <w:tcW w:w="1134" w:type="dxa"/>
            <w:vAlign w:val="center"/>
          </w:tcPr>
          <w:p>
            <w:pPr>
              <w:pStyle w:val="12"/>
            </w:pPr>
            <w:r>
              <w:t>55.30</w:t>
            </w:r>
          </w:p>
        </w:tc>
        <w:tc>
          <w:tcPr>
            <w:tcW w:w="1134" w:type="dxa"/>
            <w:vAlign w:val="center"/>
          </w:tcPr>
          <w:p>
            <w:pPr>
              <w:pStyle w:val="12"/>
            </w:pPr>
            <w:r>
              <w:t>55.30</w:t>
            </w:r>
          </w:p>
        </w:tc>
        <w:tc>
          <w:tcPr>
            <w:tcW w:w="1134" w:type="dxa"/>
            <w:vAlign w:val="center"/>
          </w:tcPr>
          <w:p>
            <w:pPr>
              <w:pStyle w:val="12"/>
            </w:pPr>
            <w:r>
              <w:t>55.30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2010604</w:t>
            </w:r>
          </w:p>
        </w:tc>
        <w:tc>
          <w:tcPr>
            <w:tcW w:w="1559" w:type="dxa"/>
            <w:vAlign w:val="center"/>
          </w:tcPr>
          <w:p>
            <w:pPr>
              <w:pStyle w:val="13"/>
            </w:pPr>
            <w:r>
              <w:t>预算改革业务</w:t>
            </w:r>
          </w:p>
        </w:tc>
        <w:tc>
          <w:tcPr>
            <w:tcW w:w="1134" w:type="dxa"/>
            <w:vAlign w:val="center"/>
          </w:tcPr>
          <w:p>
            <w:pPr>
              <w:pStyle w:val="12"/>
            </w:pPr>
            <w:r>
              <w:t>40.00</w:t>
            </w:r>
          </w:p>
        </w:tc>
        <w:tc>
          <w:tcPr>
            <w:tcW w:w="1134" w:type="dxa"/>
            <w:vAlign w:val="center"/>
          </w:tcPr>
          <w:p>
            <w:pPr>
              <w:pStyle w:val="12"/>
            </w:pPr>
            <w:r>
              <w:t>40.00</w:t>
            </w:r>
          </w:p>
        </w:tc>
        <w:tc>
          <w:tcPr>
            <w:tcW w:w="1134" w:type="dxa"/>
            <w:vAlign w:val="center"/>
          </w:tcPr>
          <w:p>
            <w:pPr>
              <w:pStyle w:val="12"/>
            </w:pPr>
            <w:r>
              <w:t>40.00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2010607</w:t>
            </w:r>
          </w:p>
        </w:tc>
        <w:tc>
          <w:tcPr>
            <w:tcW w:w="1559" w:type="dxa"/>
            <w:vAlign w:val="center"/>
          </w:tcPr>
          <w:p>
            <w:pPr>
              <w:pStyle w:val="13"/>
            </w:pPr>
            <w:r>
              <w:t>信息化建设</w:t>
            </w:r>
          </w:p>
        </w:tc>
        <w:tc>
          <w:tcPr>
            <w:tcW w:w="1134" w:type="dxa"/>
            <w:vAlign w:val="center"/>
          </w:tcPr>
          <w:p>
            <w:pPr>
              <w:pStyle w:val="12"/>
            </w:pPr>
            <w:r>
              <w:t>48.84</w:t>
            </w:r>
          </w:p>
        </w:tc>
        <w:tc>
          <w:tcPr>
            <w:tcW w:w="1134" w:type="dxa"/>
            <w:vAlign w:val="center"/>
          </w:tcPr>
          <w:p>
            <w:pPr>
              <w:pStyle w:val="12"/>
            </w:pPr>
            <w:r>
              <w:t>48.84</w:t>
            </w:r>
          </w:p>
        </w:tc>
        <w:tc>
          <w:tcPr>
            <w:tcW w:w="1134" w:type="dxa"/>
            <w:vAlign w:val="center"/>
          </w:tcPr>
          <w:p>
            <w:pPr>
              <w:pStyle w:val="12"/>
            </w:pPr>
            <w:r>
              <w:t>48.84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2010608</w:t>
            </w:r>
          </w:p>
        </w:tc>
        <w:tc>
          <w:tcPr>
            <w:tcW w:w="1559" w:type="dxa"/>
            <w:vAlign w:val="center"/>
          </w:tcPr>
          <w:p>
            <w:pPr>
              <w:pStyle w:val="13"/>
            </w:pPr>
            <w:r>
              <w:t>财政委托业务支出</w:t>
            </w:r>
          </w:p>
        </w:tc>
        <w:tc>
          <w:tcPr>
            <w:tcW w:w="1134" w:type="dxa"/>
            <w:vAlign w:val="center"/>
          </w:tcPr>
          <w:p>
            <w:pPr>
              <w:pStyle w:val="12"/>
            </w:pPr>
            <w:r>
              <w:t>411.00</w:t>
            </w:r>
          </w:p>
        </w:tc>
        <w:tc>
          <w:tcPr>
            <w:tcW w:w="1134" w:type="dxa"/>
            <w:vAlign w:val="center"/>
          </w:tcPr>
          <w:p>
            <w:pPr>
              <w:pStyle w:val="12"/>
            </w:pPr>
            <w:r>
              <w:t>411.00</w:t>
            </w:r>
          </w:p>
        </w:tc>
        <w:tc>
          <w:tcPr>
            <w:tcW w:w="1134" w:type="dxa"/>
            <w:vAlign w:val="center"/>
          </w:tcPr>
          <w:p>
            <w:pPr>
              <w:pStyle w:val="12"/>
            </w:pPr>
            <w:r>
              <w:t>411.00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373.16</w:t>
            </w:r>
          </w:p>
        </w:tc>
        <w:tc>
          <w:tcPr>
            <w:tcW w:w="1134" w:type="dxa"/>
            <w:vAlign w:val="center"/>
          </w:tcPr>
          <w:p>
            <w:pPr>
              <w:pStyle w:val="12"/>
            </w:pPr>
            <w:r>
              <w:t>373.16</w:t>
            </w:r>
          </w:p>
        </w:tc>
        <w:tc>
          <w:tcPr>
            <w:tcW w:w="1134" w:type="dxa"/>
            <w:vAlign w:val="center"/>
          </w:tcPr>
          <w:p>
            <w:pPr>
              <w:pStyle w:val="12"/>
            </w:pPr>
            <w:r>
              <w:t>373.16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373.16</w:t>
            </w:r>
          </w:p>
        </w:tc>
        <w:tc>
          <w:tcPr>
            <w:tcW w:w="1134" w:type="dxa"/>
            <w:vAlign w:val="center"/>
          </w:tcPr>
          <w:p>
            <w:pPr>
              <w:pStyle w:val="12"/>
            </w:pPr>
            <w:r>
              <w:t>373.16</w:t>
            </w:r>
          </w:p>
        </w:tc>
        <w:tc>
          <w:tcPr>
            <w:tcW w:w="1134" w:type="dxa"/>
            <w:vAlign w:val="center"/>
          </w:tcPr>
          <w:p>
            <w:pPr>
              <w:pStyle w:val="12"/>
            </w:pPr>
            <w:r>
              <w:t>373.16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282.72</w:t>
            </w:r>
          </w:p>
        </w:tc>
        <w:tc>
          <w:tcPr>
            <w:tcW w:w="1134" w:type="dxa"/>
            <w:vAlign w:val="center"/>
          </w:tcPr>
          <w:p>
            <w:pPr>
              <w:pStyle w:val="12"/>
            </w:pPr>
            <w:r>
              <w:t>282.72</w:t>
            </w:r>
          </w:p>
        </w:tc>
        <w:tc>
          <w:tcPr>
            <w:tcW w:w="1134" w:type="dxa"/>
            <w:vAlign w:val="center"/>
          </w:tcPr>
          <w:p>
            <w:pPr>
              <w:pStyle w:val="12"/>
            </w:pPr>
            <w:r>
              <w:t>282.72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90.44</w:t>
            </w:r>
          </w:p>
        </w:tc>
        <w:tc>
          <w:tcPr>
            <w:tcW w:w="1134" w:type="dxa"/>
            <w:vAlign w:val="center"/>
          </w:tcPr>
          <w:p>
            <w:pPr>
              <w:pStyle w:val="12"/>
            </w:pPr>
            <w:r>
              <w:t>90.44</w:t>
            </w:r>
          </w:p>
        </w:tc>
        <w:tc>
          <w:tcPr>
            <w:tcW w:w="1134" w:type="dxa"/>
            <w:vAlign w:val="center"/>
          </w:tcPr>
          <w:p>
            <w:pPr>
              <w:pStyle w:val="12"/>
            </w:pPr>
            <w:r>
              <w:t>90.44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65.00</w:t>
            </w:r>
          </w:p>
        </w:tc>
        <w:tc>
          <w:tcPr>
            <w:tcW w:w="1134" w:type="dxa"/>
            <w:vAlign w:val="center"/>
          </w:tcPr>
          <w:p>
            <w:pPr>
              <w:pStyle w:val="12"/>
            </w:pPr>
            <w:r>
              <w:t>65.00</w:t>
            </w:r>
          </w:p>
        </w:tc>
        <w:tc>
          <w:tcPr>
            <w:tcW w:w="1134" w:type="dxa"/>
            <w:vAlign w:val="center"/>
          </w:tcPr>
          <w:p>
            <w:pPr>
              <w:pStyle w:val="12"/>
            </w:pPr>
            <w:r>
              <w:t>65.00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65.00</w:t>
            </w:r>
          </w:p>
        </w:tc>
        <w:tc>
          <w:tcPr>
            <w:tcW w:w="1134" w:type="dxa"/>
            <w:vAlign w:val="center"/>
          </w:tcPr>
          <w:p>
            <w:pPr>
              <w:pStyle w:val="12"/>
            </w:pPr>
            <w:r>
              <w:t>65.00</w:t>
            </w:r>
          </w:p>
        </w:tc>
        <w:tc>
          <w:tcPr>
            <w:tcW w:w="1134" w:type="dxa"/>
            <w:vAlign w:val="center"/>
          </w:tcPr>
          <w:p>
            <w:pPr>
              <w:pStyle w:val="12"/>
            </w:pPr>
            <w:r>
              <w:t>65.00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65.00</w:t>
            </w:r>
          </w:p>
        </w:tc>
        <w:tc>
          <w:tcPr>
            <w:tcW w:w="1134" w:type="dxa"/>
            <w:vAlign w:val="center"/>
          </w:tcPr>
          <w:p>
            <w:pPr>
              <w:pStyle w:val="12"/>
            </w:pPr>
            <w:r>
              <w:t>65.00</w:t>
            </w:r>
          </w:p>
        </w:tc>
        <w:tc>
          <w:tcPr>
            <w:tcW w:w="1134" w:type="dxa"/>
            <w:vAlign w:val="center"/>
          </w:tcPr>
          <w:p>
            <w:pPr>
              <w:pStyle w:val="12"/>
            </w:pPr>
            <w:r>
              <w:t>65.00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7.69</w:t>
            </w:r>
          </w:p>
        </w:tc>
        <w:tc>
          <w:tcPr>
            <w:tcW w:w="1134" w:type="dxa"/>
            <w:vAlign w:val="center"/>
          </w:tcPr>
          <w:p>
            <w:pPr>
              <w:pStyle w:val="12"/>
            </w:pPr>
            <w:r>
              <w:t>6.00</w:t>
            </w:r>
          </w:p>
        </w:tc>
        <w:tc>
          <w:tcPr>
            <w:tcW w:w="1134" w:type="dxa"/>
            <w:vAlign w:val="center"/>
          </w:tcPr>
          <w:p>
            <w:pPr>
              <w:pStyle w:val="12"/>
            </w:pPr>
            <w:r>
              <w:t>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1.69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21301</w:t>
            </w:r>
          </w:p>
        </w:tc>
        <w:tc>
          <w:tcPr>
            <w:tcW w:w="1559" w:type="dxa"/>
            <w:vAlign w:val="center"/>
          </w:tcPr>
          <w:p>
            <w:pPr>
              <w:pStyle w:val="13"/>
            </w:pPr>
            <w:r>
              <w:t>农业农村</w:t>
            </w:r>
          </w:p>
        </w:tc>
        <w:tc>
          <w:tcPr>
            <w:tcW w:w="1134" w:type="dxa"/>
            <w:vAlign w:val="center"/>
          </w:tcPr>
          <w:p>
            <w:pPr>
              <w:pStyle w:val="12"/>
            </w:pPr>
            <w:r>
              <w:t>7.69</w:t>
            </w:r>
          </w:p>
        </w:tc>
        <w:tc>
          <w:tcPr>
            <w:tcW w:w="1134" w:type="dxa"/>
            <w:vAlign w:val="center"/>
          </w:tcPr>
          <w:p>
            <w:pPr>
              <w:pStyle w:val="12"/>
            </w:pPr>
            <w:r>
              <w:t>6.00</w:t>
            </w:r>
          </w:p>
        </w:tc>
        <w:tc>
          <w:tcPr>
            <w:tcW w:w="1134" w:type="dxa"/>
            <w:vAlign w:val="center"/>
          </w:tcPr>
          <w:p>
            <w:pPr>
              <w:pStyle w:val="12"/>
            </w:pPr>
            <w:r>
              <w:t>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1.69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2130199</w:t>
            </w:r>
          </w:p>
        </w:tc>
        <w:tc>
          <w:tcPr>
            <w:tcW w:w="1559" w:type="dxa"/>
            <w:vAlign w:val="center"/>
          </w:tcPr>
          <w:p>
            <w:pPr>
              <w:pStyle w:val="13"/>
            </w:pPr>
            <w:r>
              <w:t>其他农业农村支出</w:t>
            </w:r>
          </w:p>
        </w:tc>
        <w:tc>
          <w:tcPr>
            <w:tcW w:w="1134" w:type="dxa"/>
            <w:vAlign w:val="center"/>
          </w:tcPr>
          <w:p>
            <w:pPr>
              <w:pStyle w:val="12"/>
            </w:pPr>
            <w:r>
              <w:t>7.69</w:t>
            </w:r>
          </w:p>
        </w:tc>
        <w:tc>
          <w:tcPr>
            <w:tcW w:w="1134" w:type="dxa"/>
            <w:vAlign w:val="center"/>
          </w:tcPr>
          <w:p>
            <w:pPr>
              <w:pStyle w:val="12"/>
            </w:pPr>
            <w:r>
              <w:t>6.00</w:t>
            </w:r>
          </w:p>
        </w:tc>
        <w:tc>
          <w:tcPr>
            <w:tcW w:w="1134" w:type="dxa"/>
            <w:vAlign w:val="center"/>
          </w:tcPr>
          <w:p>
            <w:pPr>
              <w:pStyle w:val="12"/>
            </w:pPr>
            <w:r>
              <w:t>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1.69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85.08</w:t>
            </w:r>
          </w:p>
        </w:tc>
        <w:tc>
          <w:tcPr>
            <w:tcW w:w="1134" w:type="dxa"/>
            <w:vAlign w:val="center"/>
          </w:tcPr>
          <w:p>
            <w:pPr>
              <w:pStyle w:val="12"/>
            </w:pPr>
            <w:r>
              <w:t>85.08</w:t>
            </w:r>
          </w:p>
        </w:tc>
        <w:tc>
          <w:tcPr>
            <w:tcW w:w="1134" w:type="dxa"/>
            <w:vAlign w:val="center"/>
          </w:tcPr>
          <w:p>
            <w:pPr>
              <w:pStyle w:val="12"/>
            </w:pPr>
            <w:r>
              <w:t>85.08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85.08</w:t>
            </w:r>
          </w:p>
        </w:tc>
        <w:tc>
          <w:tcPr>
            <w:tcW w:w="1134" w:type="dxa"/>
            <w:vAlign w:val="center"/>
          </w:tcPr>
          <w:p>
            <w:pPr>
              <w:pStyle w:val="12"/>
            </w:pPr>
            <w:r>
              <w:t>85.08</w:t>
            </w:r>
          </w:p>
        </w:tc>
        <w:tc>
          <w:tcPr>
            <w:tcW w:w="1134" w:type="dxa"/>
            <w:vAlign w:val="center"/>
          </w:tcPr>
          <w:p>
            <w:pPr>
              <w:pStyle w:val="12"/>
            </w:pPr>
            <w:r>
              <w:t>85.08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85.08</w:t>
            </w:r>
          </w:p>
        </w:tc>
        <w:tc>
          <w:tcPr>
            <w:tcW w:w="1134" w:type="dxa"/>
            <w:vAlign w:val="center"/>
          </w:tcPr>
          <w:p>
            <w:pPr>
              <w:pStyle w:val="12"/>
            </w:pPr>
            <w:r>
              <w:t>85.08</w:t>
            </w:r>
          </w:p>
        </w:tc>
        <w:tc>
          <w:tcPr>
            <w:tcW w:w="1134" w:type="dxa"/>
            <w:vAlign w:val="center"/>
          </w:tcPr>
          <w:p>
            <w:pPr>
              <w:pStyle w:val="12"/>
            </w:pPr>
            <w:r>
              <w:t>85.08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318石家庄市鹿泉区财政局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2016.69</w:t>
            </w:r>
          </w:p>
        </w:tc>
        <w:tc>
          <w:tcPr>
            <w:tcW w:w="1361" w:type="dxa"/>
            <w:vAlign w:val="center"/>
          </w:tcPr>
          <w:p>
            <w:pPr>
              <w:pStyle w:val="16"/>
            </w:pPr>
            <w:r>
              <w:t>1453.86</w:t>
            </w:r>
          </w:p>
        </w:tc>
        <w:tc>
          <w:tcPr>
            <w:tcW w:w="1361" w:type="dxa"/>
            <w:vAlign w:val="center"/>
          </w:tcPr>
          <w:p>
            <w:pPr>
              <w:pStyle w:val="16"/>
            </w:pPr>
            <w:r>
              <w:t>562.83</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1485.75</w:t>
            </w:r>
          </w:p>
        </w:tc>
        <w:tc>
          <w:tcPr>
            <w:tcW w:w="1361" w:type="dxa"/>
            <w:vAlign w:val="center"/>
          </w:tcPr>
          <w:p>
            <w:pPr>
              <w:pStyle w:val="12"/>
            </w:pPr>
            <w:r>
              <w:t>930.61</w:t>
            </w:r>
          </w:p>
        </w:tc>
        <w:tc>
          <w:tcPr>
            <w:tcW w:w="1361" w:type="dxa"/>
            <w:vAlign w:val="center"/>
          </w:tcPr>
          <w:p>
            <w:pPr>
              <w:pStyle w:val="12"/>
            </w:pPr>
            <w:r>
              <w:t>555.14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20106</w:t>
            </w:r>
          </w:p>
        </w:tc>
        <w:tc>
          <w:tcPr>
            <w:tcW w:w="4535" w:type="dxa"/>
            <w:vAlign w:val="center"/>
          </w:tcPr>
          <w:p>
            <w:pPr>
              <w:pStyle w:val="13"/>
            </w:pPr>
            <w:r>
              <w:t>财政事务</w:t>
            </w:r>
          </w:p>
        </w:tc>
        <w:tc>
          <w:tcPr>
            <w:tcW w:w="1361" w:type="dxa"/>
            <w:vAlign w:val="center"/>
          </w:tcPr>
          <w:p>
            <w:pPr>
              <w:pStyle w:val="12"/>
            </w:pPr>
            <w:r>
              <w:t>1485.75</w:t>
            </w:r>
          </w:p>
        </w:tc>
        <w:tc>
          <w:tcPr>
            <w:tcW w:w="1361" w:type="dxa"/>
            <w:vAlign w:val="center"/>
          </w:tcPr>
          <w:p>
            <w:pPr>
              <w:pStyle w:val="12"/>
            </w:pPr>
            <w:r>
              <w:t>930.61</w:t>
            </w:r>
          </w:p>
        </w:tc>
        <w:tc>
          <w:tcPr>
            <w:tcW w:w="1361" w:type="dxa"/>
            <w:vAlign w:val="center"/>
          </w:tcPr>
          <w:p>
            <w:pPr>
              <w:pStyle w:val="12"/>
            </w:pPr>
            <w:r>
              <w:t>555.14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2010601</w:t>
            </w:r>
          </w:p>
        </w:tc>
        <w:tc>
          <w:tcPr>
            <w:tcW w:w="4535" w:type="dxa"/>
            <w:vAlign w:val="center"/>
          </w:tcPr>
          <w:p>
            <w:pPr>
              <w:pStyle w:val="13"/>
            </w:pPr>
            <w:r>
              <w:t>行政运行</w:t>
            </w:r>
          </w:p>
        </w:tc>
        <w:tc>
          <w:tcPr>
            <w:tcW w:w="1361" w:type="dxa"/>
            <w:vAlign w:val="center"/>
          </w:tcPr>
          <w:p>
            <w:pPr>
              <w:pStyle w:val="12"/>
            </w:pPr>
            <w:r>
              <w:t>930.61</w:t>
            </w:r>
          </w:p>
        </w:tc>
        <w:tc>
          <w:tcPr>
            <w:tcW w:w="1361" w:type="dxa"/>
            <w:vAlign w:val="center"/>
          </w:tcPr>
          <w:p>
            <w:pPr>
              <w:pStyle w:val="12"/>
            </w:pPr>
            <w:r>
              <w:t>930.61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2010602</w:t>
            </w:r>
          </w:p>
        </w:tc>
        <w:tc>
          <w:tcPr>
            <w:tcW w:w="4535" w:type="dxa"/>
            <w:vAlign w:val="center"/>
          </w:tcPr>
          <w:p>
            <w:pPr>
              <w:pStyle w:val="13"/>
            </w:pPr>
            <w:r>
              <w:t>一般行政管理事务</w:t>
            </w:r>
          </w:p>
        </w:tc>
        <w:tc>
          <w:tcPr>
            <w:tcW w:w="1361" w:type="dxa"/>
            <w:vAlign w:val="center"/>
          </w:tcPr>
          <w:p>
            <w:pPr>
              <w:pStyle w:val="12"/>
            </w:pPr>
            <w:r>
              <w:t>55.30</w:t>
            </w:r>
          </w:p>
        </w:tc>
        <w:tc>
          <w:tcPr>
            <w:tcW w:w="1361" w:type="dxa"/>
            <w:vAlign w:val="center"/>
          </w:tcPr>
          <w:p>
            <w:pPr>
              <w:pStyle w:val="12"/>
            </w:pPr>
          </w:p>
        </w:tc>
        <w:tc>
          <w:tcPr>
            <w:tcW w:w="1361" w:type="dxa"/>
            <w:vAlign w:val="center"/>
          </w:tcPr>
          <w:p>
            <w:pPr>
              <w:pStyle w:val="12"/>
            </w:pPr>
            <w:r>
              <w:t>55.30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2010604</w:t>
            </w:r>
          </w:p>
        </w:tc>
        <w:tc>
          <w:tcPr>
            <w:tcW w:w="4535" w:type="dxa"/>
            <w:vAlign w:val="center"/>
          </w:tcPr>
          <w:p>
            <w:pPr>
              <w:pStyle w:val="13"/>
            </w:pPr>
            <w:r>
              <w:t>预算改革业务</w:t>
            </w:r>
          </w:p>
        </w:tc>
        <w:tc>
          <w:tcPr>
            <w:tcW w:w="1361" w:type="dxa"/>
            <w:vAlign w:val="center"/>
          </w:tcPr>
          <w:p>
            <w:pPr>
              <w:pStyle w:val="12"/>
            </w:pPr>
            <w:r>
              <w:t>40.00</w:t>
            </w:r>
          </w:p>
        </w:tc>
        <w:tc>
          <w:tcPr>
            <w:tcW w:w="1361" w:type="dxa"/>
            <w:vAlign w:val="center"/>
          </w:tcPr>
          <w:p>
            <w:pPr>
              <w:pStyle w:val="12"/>
            </w:pPr>
          </w:p>
        </w:tc>
        <w:tc>
          <w:tcPr>
            <w:tcW w:w="1361" w:type="dxa"/>
            <w:vAlign w:val="center"/>
          </w:tcPr>
          <w:p>
            <w:pPr>
              <w:pStyle w:val="12"/>
            </w:pPr>
            <w:r>
              <w:t>40.00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2010607</w:t>
            </w:r>
          </w:p>
        </w:tc>
        <w:tc>
          <w:tcPr>
            <w:tcW w:w="4535" w:type="dxa"/>
            <w:vAlign w:val="center"/>
          </w:tcPr>
          <w:p>
            <w:pPr>
              <w:pStyle w:val="13"/>
            </w:pPr>
            <w:r>
              <w:t>信息化建设</w:t>
            </w:r>
          </w:p>
        </w:tc>
        <w:tc>
          <w:tcPr>
            <w:tcW w:w="1361" w:type="dxa"/>
            <w:vAlign w:val="center"/>
          </w:tcPr>
          <w:p>
            <w:pPr>
              <w:pStyle w:val="12"/>
            </w:pPr>
            <w:r>
              <w:t>48.84</w:t>
            </w:r>
          </w:p>
        </w:tc>
        <w:tc>
          <w:tcPr>
            <w:tcW w:w="1361" w:type="dxa"/>
            <w:vAlign w:val="center"/>
          </w:tcPr>
          <w:p>
            <w:pPr>
              <w:pStyle w:val="12"/>
            </w:pPr>
          </w:p>
        </w:tc>
        <w:tc>
          <w:tcPr>
            <w:tcW w:w="1361" w:type="dxa"/>
            <w:vAlign w:val="center"/>
          </w:tcPr>
          <w:p>
            <w:pPr>
              <w:pStyle w:val="12"/>
            </w:pPr>
            <w:r>
              <w:t>48.84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2010608</w:t>
            </w:r>
          </w:p>
        </w:tc>
        <w:tc>
          <w:tcPr>
            <w:tcW w:w="4535" w:type="dxa"/>
            <w:vAlign w:val="center"/>
          </w:tcPr>
          <w:p>
            <w:pPr>
              <w:pStyle w:val="13"/>
            </w:pPr>
            <w:r>
              <w:t>财政委托业务支出</w:t>
            </w:r>
          </w:p>
        </w:tc>
        <w:tc>
          <w:tcPr>
            <w:tcW w:w="1361" w:type="dxa"/>
            <w:vAlign w:val="center"/>
          </w:tcPr>
          <w:p>
            <w:pPr>
              <w:pStyle w:val="12"/>
            </w:pPr>
            <w:r>
              <w:t>411.00</w:t>
            </w:r>
          </w:p>
        </w:tc>
        <w:tc>
          <w:tcPr>
            <w:tcW w:w="1361" w:type="dxa"/>
            <w:vAlign w:val="center"/>
          </w:tcPr>
          <w:p>
            <w:pPr>
              <w:pStyle w:val="12"/>
            </w:pPr>
          </w:p>
        </w:tc>
        <w:tc>
          <w:tcPr>
            <w:tcW w:w="1361" w:type="dxa"/>
            <w:vAlign w:val="center"/>
          </w:tcPr>
          <w:p>
            <w:pPr>
              <w:pStyle w:val="12"/>
            </w:pPr>
            <w:r>
              <w:t>411.00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373.16</w:t>
            </w:r>
          </w:p>
        </w:tc>
        <w:tc>
          <w:tcPr>
            <w:tcW w:w="1361" w:type="dxa"/>
            <w:vAlign w:val="center"/>
          </w:tcPr>
          <w:p>
            <w:pPr>
              <w:pStyle w:val="12"/>
            </w:pPr>
            <w:r>
              <w:t>373.16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373.16</w:t>
            </w:r>
          </w:p>
        </w:tc>
        <w:tc>
          <w:tcPr>
            <w:tcW w:w="1361" w:type="dxa"/>
            <w:vAlign w:val="center"/>
          </w:tcPr>
          <w:p>
            <w:pPr>
              <w:pStyle w:val="12"/>
            </w:pPr>
            <w:r>
              <w:t>373.16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282.72</w:t>
            </w:r>
          </w:p>
        </w:tc>
        <w:tc>
          <w:tcPr>
            <w:tcW w:w="1361" w:type="dxa"/>
            <w:vAlign w:val="center"/>
          </w:tcPr>
          <w:p>
            <w:pPr>
              <w:pStyle w:val="12"/>
            </w:pPr>
            <w:r>
              <w:t>282.72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90.44</w:t>
            </w:r>
          </w:p>
        </w:tc>
        <w:tc>
          <w:tcPr>
            <w:tcW w:w="1361" w:type="dxa"/>
            <w:vAlign w:val="center"/>
          </w:tcPr>
          <w:p>
            <w:pPr>
              <w:pStyle w:val="12"/>
            </w:pPr>
            <w:r>
              <w:t>90.44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65.00</w:t>
            </w:r>
          </w:p>
        </w:tc>
        <w:tc>
          <w:tcPr>
            <w:tcW w:w="1361" w:type="dxa"/>
            <w:vAlign w:val="center"/>
          </w:tcPr>
          <w:p>
            <w:pPr>
              <w:pStyle w:val="12"/>
            </w:pPr>
            <w:r>
              <w:t>65.00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65.00</w:t>
            </w:r>
          </w:p>
        </w:tc>
        <w:tc>
          <w:tcPr>
            <w:tcW w:w="1361" w:type="dxa"/>
            <w:vAlign w:val="center"/>
          </w:tcPr>
          <w:p>
            <w:pPr>
              <w:pStyle w:val="12"/>
            </w:pPr>
            <w:r>
              <w:t>65.00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65.00</w:t>
            </w:r>
          </w:p>
        </w:tc>
        <w:tc>
          <w:tcPr>
            <w:tcW w:w="1361" w:type="dxa"/>
            <w:vAlign w:val="center"/>
          </w:tcPr>
          <w:p>
            <w:pPr>
              <w:pStyle w:val="12"/>
            </w:pPr>
            <w:r>
              <w:t>65.00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7.69</w:t>
            </w:r>
          </w:p>
        </w:tc>
        <w:tc>
          <w:tcPr>
            <w:tcW w:w="1361" w:type="dxa"/>
            <w:vAlign w:val="center"/>
          </w:tcPr>
          <w:p>
            <w:pPr>
              <w:pStyle w:val="12"/>
            </w:pPr>
          </w:p>
        </w:tc>
        <w:tc>
          <w:tcPr>
            <w:tcW w:w="1361" w:type="dxa"/>
            <w:vAlign w:val="center"/>
          </w:tcPr>
          <w:p>
            <w:pPr>
              <w:pStyle w:val="12"/>
            </w:pPr>
            <w:r>
              <w:t>7.69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21301</w:t>
            </w:r>
          </w:p>
        </w:tc>
        <w:tc>
          <w:tcPr>
            <w:tcW w:w="4535" w:type="dxa"/>
            <w:vAlign w:val="center"/>
          </w:tcPr>
          <w:p>
            <w:pPr>
              <w:pStyle w:val="13"/>
            </w:pPr>
            <w:r>
              <w:t>农业农村</w:t>
            </w:r>
          </w:p>
        </w:tc>
        <w:tc>
          <w:tcPr>
            <w:tcW w:w="1361" w:type="dxa"/>
            <w:vAlign w:val="center"/>
          </w:tcPr>
          <w:p>
            <w:pPr>
              <w:pStyle w:val="12"/>
            </w:pPr>
            <w:r>
              <w:t>7.69</w:t>
            </w:r>
          </w:p>
        </w:tc>
        <w:tc>
          <w:tcPr>
            <w:tcW w:w="1361" w:type="dxa"/>
            <w:vAlign w:val="center"/>
          </w:tcPr>
          <w:p>
            <w:pPr>
              <w:pStyle w:val="12"/>
            </w:pPr>
          </w:p>
        </w:tc>
        <w:tc>
          <w:tcPr>
            <w:tcW w:w="1361" w:type="dxa"/>
            <w:vAlign w:val="center"/>
          </w:tcPr>
          <w:p>
            <w:pPr>
              <w:pStyle w:val="12"/>
            </w:pPr>
            <w:r>
              <w:t>7.69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2130199</w:t>
            </w:r>
          </w:p>
        </w:tc>
        <w:tc>
          <w:tcPr>
            <w:tcW w:w="4535" w:type="dxa"/>
            <w:vAlign w:val="center"/>
          </w:tcPr>
          <w:p>
            <w:pPr>
              <w:pStyle w:val="13"/>
            </w:pPr>
            <w:r>
              <w:t>其他农业农村支出</w:t>
            </w:r>
          </w:p>
        </w:tc>
        <w:tc>
          <w:tcPr>
            <w:tcW w:w="1361" w:type="dxa"/>
            <w:vAlign w:val="center"/>
          </w:tcPr>
          <w:p>
            <w:pPr>
              <w:pStyle w:val="12"/>
            </w:pPr>
            <w:r>
              <w:t>7.69</w:t>
            </w:r>
          </w:p>
        </w:tc>
        <w:tc>
          <w:tcPr>
            <w:tcW w:w="1361" w:type="dxa"/>
            <w:vAlign w:val="center"/>
          </w:tcPr>
          <w:p>
            <w:pPr>
              <w:pStyle w:val="12"/>
            </w:pPr>
          </w:p>
        </w:tc>
        <w:tc>
          <w:tcPr>
            <w:tcW w:w="1361" w:type="dxa"/>
            <w:vAlign w:val="center"/>
          </w:tcPr>
          <w:p>
            <w:pPr>
              <w:pStyle w:val="12"/>
            </w:pPr>
            <w:r>
              <w:t>7.69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85.08</w:t>
            </w:r>
          </w:p>
        </w:tc>
        <w:tc>
          <w:tcPr>
            <w:tcW w:w="1361" w:type="dxa"/>
            <w:vAlign w:val="center"/>
          </w:tcPr>
          <w:p>
            <w:pPr>
              <w:pStyle w:val="12"/>
            </w:pPr>
            <w:r>
              <w:t>85.08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85.08</w:t>
            </w:r>
          </w:p>
        </w:tc>
        <w:tc>
          <w:tcPr>
            <w:tcW w:w="1361" w:type="dxa"/>
            <w:vAlign w:val="center"/>
          </w:tcPr>
          <w:p>
            <w:pPr>
              <w:pStyle w:val="12"/>
            </w:pPr>
            <w:r>
              <w:t>85.08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85.08</w:t>
            </w:r>
          </w:p>
        </w:tc>
        <w:tc>
          <w:tcPr>
            <w:tcW w:w="1361" w:type="dxa"/>
            <w:vAlign w:val="center"/>
          </w:tcPr>
          <w:p>
            <w:pPr>
              <w:pStyle w:val="12"/>
            </w:pPr>
            <w:r>
              <w:t>85.08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318石家庄市鹿泉区财政局</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2015.00</w:t>
            </w:r>
          </w:p>
        </w:tc>
        <w:tc>
          <w:tcPr>
            <w:tcW w:w="3402" w:type="dxa"/>
            <w:vAlign w:val="center"/>
          </w:tcPr>
          <w:p>
            <w:pPr>
              <w:pStyle w:val="13"/>
            </w:pPr>
            <w:r>
              <w:t>一、一般公共服务支出</w:t>
            </w:r>
          </w:p>
        </w:tc>
        <w:tc>
          <w:tcPr>
            <w:tcW w:w="1474" w:type="dxa"/>
            <w:vAlign w:val="center"/>
          </w:tcPr>
          <w:p>
            <w:pPr>
              <w:pStyle w:val="12"/>
            </w:pPr>
            <w:r>
              <w:t>1485.75</w:t>
            </w:r>
          </w:p>
        </w:tc>
        <w:tc>
          <w:tcPr>
            <w:tcW w:w="1474" w:type="dxa"/>
            <w:vAlign w:val="center"/>
          </w:tcPr>
          <w:p>
            <w:pPr>
              <w:pStyle w:val="12"/>
            </w:pPr>
            <w:r>
              <w:t>1485.75</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373.16</w:t>
            </w:r>
          </w:p>
        </w:tc>
        <w:tc>
          <w:tcPr>
            <w:tcW w:w="1474" w:type="dxa"/>
            <w:vAlign w:val="center"/>
          </w:tcPr>
          <w:p>
            <w:pPr>
              <w:pStyle w:val="12"/>
            </w:pPr>
            <w:r>
              <w:t>373.16</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65.00</w:t>
            </w:r>
          </w:p>
        </w:tc>
        <w:tc>
          <w:tcPr>
            <w:tcW w:w="1474" w:type="dxa"/>
            <w:vAlign w:val="center"/>
          </w:tcPr>
          <w:p>
            <w:pPr>
              <w:pStyle w:val="12"/>
            </w:pPr>
            <w:r>
              <w:t>65.00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7.69</w:t>
            </w:r>
          </w:p>
        </w:tc>
        <w:tc>
          <w:tcPr>
            <w:tcW w:w="1474" w:type="dxa"/>
            <w:vAlign w:val="center"/>
          </w:tcPr>
          <w:p>
            <w:pPr>
              <w:pStyle w:val="12"/>
            </w:pPr>
            <w:r>
              <w:t>7.69</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85.08</w:t>
            </w:r>
          </w:p>
        </w:tc>
        <w:tc>
          <w:tcPr>
            <w:tcW w:w="1474" w:type="dxa"/>
            <w:vAlign w:val="center"/>
          </w:tcPr>
          <w:p>
            <w:pPr>
              <w:pStyle w:val="12"/>
            </w:pPr>
            <w:r>
              <w:t>85.08</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2015.00</w:t>
            </w:r>
          </w:p>
        </w:tc>
        <w:tc>
          <w:tcPr>
            <w:tcW w:w="3402" w:type="dxa"/>
            <w:vAlign w:val="center"/>
          </w:tcPr>
          <w:p>
            <w:pPr>
              <w:pStyle w:val="15"/>
            </w:pPr>
            <w:r>
              <w:t>本年支出合计</w:t>
            </w:r>
          </w:p>
        </w:tc>
        <w:tc>
          <w:tcPr>
            <w:tcW w:w="1474" w:type="dxa"/>
            <w:vAlign w:val="center"/>
          </w:tcPr>
          <w:p>
            <w:pPr>
              <w:pStyle w:val="16"/>
            </w:pPr>
            <w:r>
              <w:t>2016.69</w:t>
            </w:r>
          </w:p>
        </w:tc>
        <w:tc>
          <w:tcPr>
            <w:tcW w:w="1474" w:type="dxa"/>
            <w:vAlign w:val="center"/>
          </w:tcPr>
          <w:p>
            <w:pPr>
              <w:pStyle w:val="16"/>
            </w:pPr>
            <w:r>
              <w:t>2016.69</w:t>
            </w:r>
          </w:p>
        </w:tc>
        <w:tc>
          <w:tcPr>
            <w:tcW w:w="1474" w:type="dxa"/>
            <w:vAlign w:val="center"/>
          </w:tcPr>
          <w:p>
            <w:pPr>
              <w:pStyle w:val="16"/>
            </w:pP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1.69</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1.69</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2016.69</w:t>
            </w:r>
          </w:p>
        </w:tc>
        <w:tc>
          <w:tcPr>
            <w:tcW w:w="3402" w:type="dxa"/>
            <w:vAlign w:val="center"/>
          </w:tcPr>
          <w:p>
            <w:pPr>
              <w:pStyle w:val="15"/>
            </w:pPr>
            <w:r>
              <w:t>支出总计</w:t>
            </w:r>
          </w:p>
        </w:tc>
        <w:tc>
          <w:tcPr>
            <w:tcW w:w="1474" w:type="dxa"/>
            <w:vAlign w:val="center"/>
          </w:tcPr>
          <w:p>
            <w:pPr>
              <w:pStyle w:val="16"/>
            </w:pPr>
            <w:r>
              <w:t>2016.69</w:t>
            </w:r>
          </w:p>
        </w:tc>
        <w:tc>
          <w:tcPr>
            <w:tcW w:w="1474" w:type="dxa"/>
            <w:vAlign w:val="center"/>
          </w:tcPr>
          <w:p>
            <w:pPr>
              <w:pStyle w:val="16"/>
            </w:pPr>
            <w:r>
              <w:t>2016.69</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318石家庄市鹿泉区财政局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2016.69</w:t>
            </w:r>
          </w:p>
        </w:tc>
        <w:tc>
          <w:tcPr>
            <w:tcW w:w="2551" w:type="dxa"/>
            <w:vAlign w:val="center"/>
          </w:tcPr>
          <w:p>
            <w:pPr>
              <w:pStyle w:val="16"/>
            </w:pPr>
            <w:r>
              <w:t>1453.86</w:t>
            </w:r>
          </w:p>
        </w:tc>
        <w:tc>
          <w:tcPr>
            <w:tcW w:w="2551" w:type="dxa"/>
            <w:vAlign w:val="center"/>
          </w:tcPr>
          <w:p>
            <w:pPr>
              <w:pStyle w:val="16"/>
            </w:pPr>
            <w:r>
              <w:t>562.83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1485.75</w:t>
            </w:r>
          </w:p>
        </w:tc>
        <w:tc>
          <w:tcPr>
            <w:tcW w:w="2551" w:type="dxa"/>
            <w:vAlign w:val="center"/>
          </w:tcPr>
          <w:p>
            <w:pPr>
              <w:pStyle w:val="12"/>
            </w:pPr>
            <w:r>
              <w:t>930.61</w:t>
            </w:r>
          </w:p>
        </w:tc>
        <w:tc>
          <w:tcPr>
            <w:tcW w:w="2551" w:type="dxa"/>
            <w:vAlign w:val="center"/>
          </w:tcPr>
          <w:p>
            <w:pPr>
              <w:pStyle w:val="12"/>
            </w:pPr>
            <w:r>
              <w:t>555.14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20106</w:t>
            </w:r>
          </w:p>
        </w:tc>
        <w:tc>
          <w:tcPr>
            <w:tcW w:w="4535" w:type="dxa"/>
            <w:vAlign w:val="center"/>
          </w:tcPr>
          <w:p>
            <w:pPr>
              <w:pStyle w:val="13"/>
            </w:pPr>
            <w:r>
              <w:t>财政事务</w:t>
            </w:r>
          </w:p>
        </w:tc>
        <w:tc>
          <w:tcPr>
            <w:tcW w:w="2551" w:type="dxa"/>
            <w:vAlign w:val="center"/>
          </w:tcPr>
          <w:p>
            <w:pPr>
              <w:pStyle w:val="12"/>
            </w:pPr>
            <w:r>
              <w:t>1485.75</w:t>
            </w:r>
          </w:p>
        </w:tc>
        <w:tc>
          <w:tcPr>
            <w:tcW w:w="2551" w:type="dxa"/>
            <w:vAlign w:val="center"/>
          </w:tcPr>
          <w:p>
            <w:pPr>
              <w:pStyle w:val="12"/>
            </w:pPr>
            <w:r>
              <w:t>930.61</w:t>
            </w:r>
          </w:p>
        </w:tc>
        <w:tc>
          <w:tcPr>
            <w:tcW w:w="2551" w:type="dxa"/>
            <w:vAlign w:val="center"/>
          </w:tcPr>
          <w:p>
            <w:pPr>
              <w:pStyle w:val="12"/>
            </w:pPr>
            <w:r>
              <w:t>555.14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2010601</w:t>
            </w:r>
          </w:p>
        </w:tc>
        <w:tc>
          <w:tcPr>
            <w:tcW w:w="4535" w:type="dxa"/>
            <w:vAlign w:val="center"/>
          </w:tcPr>
          <w:p>
            <w:pPr>
              <w:pStyle w:val="13"/>
            </w:pPr>
            <w:r>
              <w:t>行政运行</w:t>
            </w:r>
          </w:p>
        </w:tc>
        <w:tc>
          <w:tcPr>
            <w:tcW w:w="2551" w:type="dxa"/>
            <w:vAlign w:val="center"/>
          </w:tcPr>
          <w:p>
            <w:pPr>
              <w:pStyle w:val="12"/>
            </w:pPr>
            <w:r>
              <w:t>930.61</w:t>
            </w:r>
          </w:p>
        </w:tc>
        <w:tc>
          <w:tcPr>
            <w:tcW w:w="2551" w:type="dxa"/>
            <w:vAlign w:val="center"/>
          </w:tcPr>
          <w:p>
            <w:pPr>
              <w:pStyle w:val="12"/>
            </w:pPr>
            <w:r>
              <w:t>930.61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2010602</w:t>
            </w:r>
          </w:p>
        </w:tc>
        <w:tc>
          <w:tcPr>
            <w:tcW w:w="4535" w:type="dxa"/>
            <w:vAlign w:val="center"/>
          </w:tcPr>
          <w:p>
            <w:pPr>
              <w:pStyle w:val="13"/>
            </w:pPr>
            <w:r>
              <w:t>一般行政管理事务</w:t>
            </w:r>
          </w:p>
        </w:tc>
        <w:tc>
          <w:tcPr>
            <w:tcW w:w="2551" w:type="dxa"/>
            <w:vAlign w:val="center"/>
          </w:tcPr>
          <w:p>
            <w:pPr>
              <w:pStyle w:val="12"/>
            </w:pPr>
            <w:r>
              <w:t>55.30</w:t>
            </w:r>
          </w:p>
        </w:tc>
        <w:tc>
          <w:tcPr>
            <w:tcW w:w="2551" w:type="dxa"/>
            <w:vAlign w:val="center"/>
          </w:tcPr>
          <w:p>
            <w:pPr>
              <w:pStyle w:val="12"/>
            </w:pPr>
          </w:p>
        </w:tc>
        <w:tc>
          <w:tcPr>
            <w:tcW w:w="2551" w:type="dxa"/>
            <w:vAlign w:val="center"/>
          </w:tcPr>
          <w:p>
            <w:pPr>
              <w:pStyle w:val="12"/>
            </w:pPr>
            <w:r>
              <w:t>55.30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2010604</w:t>
            </w:r>
          </w:p>
        </w:tc>
        <w:tc>
          <w:tcPr>
            <w:tcW w:w="4535" w:type="dxa"/>
            <w:vAlign w:val="center"/>
          </w:tcPr>
          <w:p>
            <w:pPr>
              <w:pStyle w:val="13"/>
            </w:pPr>
            <w:r>
              <w:t>预算改革业务</w:t>
            </w:r>
          </w:p>
        </w:tc>
        <w:tc>
          <w:tcPr>
            <w:tcW w:w="2551" w:type="dxa"/>
            <w:vAlign w:val="center"/>
          </w:tcPr>
          <w:p>
            <w:pPr>
              <w:pStyle w:val="12"/>
            </w:pPr>
            <w:r>
              <w:t>40.00</w:t>
            </w:r>
          </w:p>
        </w:tc>
        <w:tc>
          <w:tcPr>
            <w:tcW w:w="2551" w:type="dxa"/>
            <w:vAlign w:val="center"/>
          </w:tcPr>
          <w:p>
            <w:pPr>
              <w:pStyle w:val="12"/>
            </w:pPr>
          </w:p>
        </w:tc>
        <w:tc>
          <w:tcPr>
            <w:tcW w:w="2551" w:type="dxa"/>
            <w:vAlign w:val="center"/>
          </w:tcPr>
          <w:p>
            <w:pPr>
              <w:pStyle w:val="12"/>
            </w:pPr>
            <w:r>
              <w:t>40.00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2010607</w:t>
            </w:r>
          </w:p>
        </w:tc>
        <w:tc>
          <w:tcPr>
            <w:tcW w:w="4535" w:type="dxa"/>
            <w:vAlign w:val="center"/>
          </w:tcPr>
          <w:p>
            <w:pPr>
              <w:pStyle w:val="13"/>
            </w:pPr>
            <w:r>
              <w:t>信息化建设</w:t>
            </w:r>
          </w:p>
        </w:tc>
        <w:tc>
          <w:tcPr>
            <w:tcW w:w="2551" w:type="dxa"/>
            <w:vAlign w:val="center"/>
          </w:tcPr>
          <w:p>
            <w:pPr>
              <w:pStyle w:val="12"/>
            </w:pPr>
            <w:r>
              <w:t>48.84</w:t>
            </w:r>
          </w:p>
        </w:tc>
        <w:tc>
          <w:tcPr>
            <w:tcW w:w="2551" w:type="dxa"/>
            <w:vAlign w:val="center"/>
          </w:tcPr>
          <w:p>
            <w:pPr>
              <w:pStyle w:val="12"/>
            </w:pPr>
          </w:p>
        </w:tc>
        <w:tc>
          <w:tcPr>
            <w:tcW w:w="2551" w:type="dxa"/>
            <w:vAlign w:val="center"/>
          </w:tcPr>
          <w:p>
            <w:pPr>
              <w:pStyle w:val="12"/>
            </w:pPr>
            <w:r>
              <w:t>48.84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2010608</w:t>
            </w:r>
          </w:p>
        </w:tc>
        <w:tc>
          <w:tcPr>
            <w:tcW w:w="4535" w:type="dxa"/>
            <w:vAlign w:val="center"/>
          </w:tcPr>
          <w:p>
            <w:pPr>
              <w:pStyle w:val="13"/>
            </w:pPr>
            <w:r>
              <w:t>财政委托业务支出</w:t>
            </w:r>
          </w:p>
        </w:tc>
        <w:tc>
          <w:tcPr>
            <w:tcW w:w="2551" w:type="dxa"/>
            <w:vAlign w:val="center"/>
          </w:tcPr>
          <w:p>
            <w:pPr>
              <w:pStyle w:val="12"/>
            </w:pPr>
            <w:r>
              <w:t>411.00</w:t>
            </w:r>
          </w:p>
        </w:tc>
        <w:tc>
          <w:tcPr>
            <w:tcW w:w="2551" w:type="dxa"/>
            <w:vAlign w:val="center"/>
          </w:tcPr>
          <w:p>
            <w:pPr>
              <w:pStyle w:val="12"/>
            </w:pPr>
          </w:p>
        </w:tc>
        <w:tc>
          <w:tcPr>
            <w:tcW w:w="2551" w:type="dxa"/>
            <w:vAlign w:val="center"/>
          </w:tcPr>
          <w:p>
            <w:pPr>
              <w:pStyle w:val="12"/>
            </w:pPr>
            <w:r>
              <w:t>411.00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373.16</w:t>
            </w:r>
          </w:p>
        </w:tc>
        <w:tc>
          <w:tcPr>
            <w:tcW w:w="2551" w:type="dxa"/>
            <w:vAlign w:val="center"/>
          </w:tcPr>
          <w:p>
            <w:pPr>
              <w:pStyle w:val="12"/>
            </w:pPr>
            <w:r>
              <w:t>373.16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373.16</w:t>
            </w:r>
          </w:p>
        </w:tc>
        <w:tc>
          <w:tcPr>
            <w:tcW w:w="2551" w:type="dxa"/>
            <w:vAlign w:val="center"/>
          </w:tcPr>
          <w:p>
            <w:pPr>
              <w:pStyle w:val="12"/>
            </w:pPr>
            <w:r>
              <w:t>373.16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282.72</w:t>
            </w:r>
          </w:p>
        </w:tc>
        <w:tc>
          <w:tcPr>
            <w:tcW w:w="2551" w:type="dxa"/>
            <w:vAlign w:val="center"/>
          </w:tcPr>
          <w:p>
            <w:pPr>
              <w:pStyle w:val="12"/>
            </w:pPr>
            <w:r>
              <w:t>282.72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90.44</w:t>
            </w:r>
          </w:p>
        </w:tc>
        <w:tc>
          <w:tcPr>
            <w:tcW w:w="2551" w:type="dxa"/>
            <w:vAlign w:val="center"/>
          </w:tcPr>
          <w:p>
            <w:pPr>
              <w:pStyle w:val="12"/>
            </w:pPr>
            <w:r>
              <w:t>90.44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65.00</w:t>
            </w:r>
          </w:p>
        </w:tc>
        <w:tc>
          <w:tcPr>
            <w:tcW w:w="2551" w:type="dxa"/>
            <w:vAlign w:val="center"/>
          </w:tcPr>
          <w:p>
            <w:pPr>
              <w:pStyle w:val="12"/>
            </w:pPr>
            <w:r>
              <w:t>65.00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65.00</w:t>
            </w:r>
          </w:p>
        </w:tc>
        <w:tc>
          <w:tcPr>
            <w:tcW w:w="2551" w:type="dxa"/>
            <w:vAlign w:val="center"/>
          </w:tcPr>
          <w:p>
            <w:pPr>
              <w:pStyle w:val="12"/>
            </w:pPr>
            <w:r>
              <w:t>65.00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65.00</w:t>
            </w:r>
          </w:p>
        </w:tc>
        <w:tc>
          <w:tcPr>
            <w:tcW w:w="2551" w:type="dxa"/>
            <w:vAlign w:val="center"/>
          </w:tcPr>
          <w:p>
            <w:pPr>
              <w:pStyle w:val="12"/>
            </w:pPr>
            <w:r>
              <w:t>65.00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7.69</w:t>
            </w:r>
          </w:p>
        </w:tc>
        <w:tc>
          <w:tcPr>
            <w:tcW w:w="2551" w:type="dxa"/>
            <w:vAlign w:val="center"/>
          </w:tcPr>
          <w:p>
            <w:pPr>
              <w:pStyle w:val="12"/>
            </w:pPr>
          </w:p>
        </w:tc>
        <w:tc>
          <w:tcPr>
            <w:tcW w:w="2551" w:type="dxa"/>
            <w:vAlign w:val="center"/>
          </w:tcPr>
          <w:p>
            <w:pPr>
              <w:pStyle w:val="12"/>
            </w:pPr>
            <w:r>
              <w:t>7.69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21301</w:t>
            </w:r>
          </w:p>
        </w:tc>
        <w:tc>
          <w:tcPr>
            <w:tcW w:w="4535" w:type="dxa"/>
            <w:vAlign w:val="center"/>
          </w:tcPr>
          <w:p>
            <w:pPr>
              <w:pStyle w:val="13"/>
            </w:pPr>
            <w:r>
              <w:t>农业农村</w:t>
            </w:r>
          </w:p>
        </w:tc>
        <w:tc>
          <w:tcPr>
            <w:tcW w:w="2551" w:type="dxa"/>
            <w:vAlign w:val="center"/>
          </w:tcPr>
          <w:p>
            <w:pPr>
              <w:pStyle w:val="12"/>
            </w:pPr>
            <w:r>
              <w:t>7.69</w:t>
            </w:r>
          </w:p>
        </w:tc>
        <w:tc>
          <w:tcPr>
            <w:tcW w:w="2551" w:type="dxa"/>
            <w:vAlign w:val="center"/>
          </w:tcPr>
          <w:p>
            <w:pPr>
              <w:pStyle w:val="12"/>
            </w:pPr>
          </w:p>
        </w:tc>
        <w:tc>
          <w:tcPr>
            <w:tcW w:w="2551" w:type="dxa"/>
            <w:vAlign w:val="center"/>
          </w:tcPr>
          <w:p>
            <w:pPr>
              <w:pStyle w:val="12"/>
            </w:pPr>
            <w:r>
              <w:t>7.69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2130199</w:t>
            </w:r>
          </w:p>
        </w:tc>
        <w:tc>
          <w:tcPr>
            <w:tcW w:w="4535" w:type="dxa"/>
            <w:vAlign w:val="center"/>
          </w:tcPr>
          <w:p>
            <w:pPr>
              <w:pStyle w:val="13"/>
            </w:pPr>
            <w:r>
              <w:t>其他农业农村支出</w:t>
            </w:r>
          </w:p>
        </w:tc>
        <w:tc>
          <w:tcPr>
            <w:tcW w:w="2551" w:type="dxa"/>
            <w:vAlign w:val="center"/>
          </w:tcPr>
          <w:p>
            <w:pPr>
              <w:pStyle w:val="12"/>
            </w:pPr>
            <w:r>
              <w:t>7.69</w:t>
            </w:r>
          </w:p>
        </w:tc>
        <w:tc>
          <w:tcPr>
            <w:tcW w:w="2551" w:type="dxa"/>
            <w:vAlign w:val="center"/>
          </w:tcPr>
          <w:p>
            <w:pPr>
              <w:pStyle w:val="12"/>
            </w:pPr>
          </w:p>
        </w:tc>
        <w:tc>
          <w:tcPr>
            <w:tcW w:w="2551" w:type="dxa"/>
            <w:vAlign w:val="center"/>
          </w:tcPr>
          <w:p>
            <w:pPr>
              <w:pStyle w:val="12"/>
            </w:pPr>
            <w:r>
              <w:t>7.69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85.08</w:t>
            </w:r>
          </w:p>
        </w:tc>
        <w:tc>
          <w:tcPr>
            <w:tcW w:w="2551" w:type="dxa"/>
            <w:vAlign w:val="center"/>
          </w:tcPr>
          <w:p>
            <w:pPr>
              <w:pStyle w:val="12"/>
            </w:pPr>
            <w:r>
              <w:t>85.08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85.08</w:t>
            </w:r>
          </w:p>
        </w:tc>
        <w:tc>
          <w:tcPr>
            <w:tcW w:w="2551" w:type="dxa"/>
            <w:vAlign w:val="center"/>
          </w:tcPr>
          <w:p>
            <w:pPr>
              <w:pStyle w:val="12"/>
            </w:pPr>
            <w:r>
              <w:t>85.08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85.08</w:t>
            </w:r>
          </w:p>
        </w:tc>
        <w:tc>
          <w:tcPr>
            <w:tcW w:w="2551" w:type="dxa"/>
            <w:vAlign w:val="center"/>
          </w:tcPr>
          <w:p>
            <w:pPr>
              <w:pStyle w:val="12"/>
            </w:pPr>
            <w:r>
              <w:t>85.08</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318石家庄市鹿泉区财政局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1453.86</w:t>
            </w:r>
          </w:p>
        </w:tc>
        <w:tc>
          <w:tcPr>
            <w:tcW w:w="2551" w:type="dxa"/>
            <w:vAlign w:val="center"/>
          </w:tcPr>
          <w:p>
            <w:pPr>
              <w:pStyle w:val="16"/>
            </w:pPr>
            <w:r>
              <w:t>1216.15</w:t>
            </w:r>
          </w:p>
        </w:tc>
        <w:tc>
          <w:tcPr>
            <w:tcW w:w="2551" w:type="dxa"/>
            <w:vAlign w:val="center"/>
          </w:tcPr>
          <w:p>
            <w:pPr>
              <w:pStyle w:val="16"/>
            </w:pPr>
            <w:r>
              <w:t>237.71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937.34</w:t>
            </w:r>
          </w:p>
        </w:tc>
        <w:tc>
          <w:tcPr>
            <w:tcW w:w="2551" w:type="dxa"/>
            <w:vAlign w:val="center"/>
          </w:tcPr>
          <w:p>
            <w:pPr>
              <w:pStyle w:val="12"/>
            </w:pPr>
            <w:r>
              <w:t>937.34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249.93</w:t>
            </w:r>
          </w:p>
        </w:tc>
        <w:tc>
          <w:tcPr>
            <w:tcW w:w="2551" w:type="dxa"/>
            <w:vAlign w:val="center"/>
          </w:tcPr>
          <w:p>
            <w:pPr>
              <w:pStyle w:val="12"/>
            </w:pPr>
            <w:r>
              <w:t>249.93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86.30</w:t>
            </w:r>
          </w:p>
        </w:tc>
        <w:tc>
          <w:tcPr>
            <w:tcW w:w="2551" w:type="dxa"/>
            <w:vAlign w:val="center"/>
          </w:tcPr>
          <w:p>
            <w:pPr>
              <w:pStyle w:val="12"/>
            </w:pPr>
            <w:r>
              <w:t>86.30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55.79</w:t>
            </w:r>
          </w:p>
        </w:tc>
        <w:tc>
          <w:tcPr>
            <w:tcW w:w="2551" w:type="dxa"/>
            <w:vAlign w:val="center"/>
          </w:tcPr>
          <w:p>
            <w:pPr>
              <w:pStyle w:val="12"/>
            </w:pPr>
            <w:r>
              <w:t>55.79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300.37</w:t>
            </w:r>
          </w:p>
        </w:tc>
        <w:tc>
          <w:tcPr>
            <w:tcW w:w="2551" w:type="dxa"/>
            <w:vAlign w:val="center"/>
          </w:tcPr>
          <w:p>
            <w:pPr>
              <w:pStyle w:val="12"/>
            </w:pPr>
            <w:r>
              <w:t>300.37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90.44</w:t>
            </w:r>
          </w:p>
        </w:tc>
        <w:tc>
          <w:tcPr>
            <w:tcW w:w="2551" w:type="dxa"/>
            <w:vAlign w:val="center"/>
          </w:tcPr>
          <w:p>
            <w:pPr>
              <w:pStyle w:val="12"/>
            </w:pPr>
            <w:r>
              <w:t>90.44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36.65</w:t>
            </w:r>
          </w:p>
        </w:tc>
        <w:tc>
          <w:tcPr>
            <w:tcW w:w="2551" w:type="dxa"/>
            <w:vAlign w:val="center"/>
          </w:tcPr>
          <w:p>
            <w:pPr>
              <w:pStyle w:val="12"/>
            </w:pPr>
            <w:r>
              <w:t>36.65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28.36</w:t>
            </w:r>
          </w:p>
        </w:tc>
        <w:tc>
          <w:tcPr>
            <w:tcW w:w="2551" w:type="dxa"/>
            <w:vAlign w:val="center"/>
          </w:tcPr>
          <w:p>
            <w:pPr>
              <w:pStyle w:val="12"/>
            </w:pPr>
            <w:r>
              <w:t>28.36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4.42</w:t>
            </w:r>
          </w:p>
        </w:tc>
        <w:tc>
          <w:tcPr>
            <w:tcW w:w="2551" w:type="dxa"/>
            <w:vAlign w:val="center"/>
          </w:tcPr>
          <w:p>
            <w:pPr>
              <w:pStyle w:val="12"/>
            </w:pPr>
            <w:r>
              <w:t>4.42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85.08</w:t>
            </w:r>
          </w:p>
        </w:tc>
        <w:tc>
          <w:tcPr>
            <w:tcW w:w="2551" w:type="dxa"/>
            <w:vAlign w:val="center"/>
          </w:tcPr>
          <w:p>
            <w:pPr>
              <w:pStyle w:val="12"/>
            </w:pPr>
            <w:r>
              <w:t>85.08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237.71</w:t>
            </w:r>
          </w:p>
        </w:tc>
        <w:tc>
          <w:tcPr>
            <w:tcW w:w="2551" w:type="dxa"/>
            <w:vAlign w:val="center"/>
          </w:tcPr>
          <w:p>
            <w:pPr>
              <w:pStyle w:val="12"/>
            </w:pPr>
          </w:p>
        </w:tc>
        <w:tc>
          <w:tcPr>
            <w:tcW w:w="2551" w:type="dxa"/>
            <w:vAlign w:val="center"/>
          </w:tcPr>
          <w:p>
            <w:pPr>
              <w:pStyle w:val="12"/>
            </w:pPr>
            <w:r>
              <w:t>237.71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33.00</w:t>
            </w:r>
          </w:p>
        </w:tc>
        <w:tc>
          <w:tcPr>
            <w:tcW w:w="2551" w:type="dxa"/>
            <w:vAlign w:val="center"/>
          </w:tcPr>
          <w:p>
            <w:pPr>
              <w:pStyle w:val="12"/>
            </w:pPr>
          </w:p>
        </w:tc>
        <w:tc>
          <w:tcPr>
            <w:tcW w:w="2551" w:type="dxa"/>
            <w:vAlign w:val="center"/>
          </w:tcPr>
          <w:p>
            <w:pPr>
              <w:pStyle w:val="12"/>
            </w:pPr>
            <w:r>
              <w:t>33.00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7.20</w:t>
            </w:r>
          </w:p>
        </w:tc>
        <w:tc>
          <w:tcPr>
            <w:tcW w:w="2551" w:type="dxa"/>
            <w:vAlign w:val="center"/>
          </w:tcPr>
          <w:p>
            <w:pPr>
              <w:pStyle w:val="12"/>
            </w:pPr>
          </w:p>
        </w:tc>
        <w:tc>
          <w:tcPr>
            <w:tcW w:w="2551" w:type="dxa"/>
            <w:vAlign w:val="center"/>
          </w:tcPr>
          <w:p>
            <w:pPr>
              <w:pStyle w:val="12"/>
            </w:pPr>
            <w:r>
              <w:t>7.20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18.53</w:t>
            </w:r>
          </w:p>
        </w:tc>
        <w:tc>
          <w:tcPr>
            <w:tcW w:w="2551" w:type="dxa"/>
            <w:vAlign w:val="center"/>
          </w:tcPr>
          <w:p>
            <w:pPr>
              <w:pStyle w:val="12"/>
            </w:pPr>
          </w:p>
        </w:tc>
        <w:tc>
          <w:tcPr>
            <w:tcW w:w="2551" w:type="dxa"/>
            <w:vAlign w:val="center"/>
          </w:tcPr>
          <w:p>
            <w:pPr>
              <w:pStyle w:val="12"/>
            </w:pPr>
            <w:r>
              <w:t>18.53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30215</w:t>
            </w:r>
          </w:p>
        </w:tc>
        <w:tc>
          <w:tcPr>
            <w:tcW w:w="4535" w:type="dxa"/>
            <w:vAlign w:val="center"/>
          </w:tcPr>
          <w:p>
            <w:pPr>
              <w:pStyle w:val="13"/>
            </w:pPr>
            <w:r>
              <w:t>会议费</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30216</w:t>
            </w:r>
          </w:p>
        </w:tc>
        <w:tc>
          <w:tcPr>
            <w:tcW w:w="4535" w:type="dxa"/>
            <w:vAlign w:val="center"/>
          </w:tcPr>
          <w:p>
            <w:pPr>
              <w:pStyle w:val="13"/>
            </w:pPr>
            <w:r>
              <w:t>培训费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30217</w:t>
            </w:r>
          </w:p>
        </w:tc>
        <w:tc>
          <w:tcPr>
            <w:tcW w:w="4535" w:type="dxa"/>
            <w:vAlign w:val="center"/>
          </w:tcPr>
          <w:p>
            <w:pPr>
              <w:pStyle w:val="13"/>
            </w:pPr>
            <w:r>
              <w:t>公务接待费</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136.46</w:t>
            </w:r>
          </w:p>
        </w:tc>
        <w:tc>
          <w:tcPr>
            <w:tcW w:w="2551" w:type="dxa"/>
            <w:vAlign w:val="center"/>
          </w:tcPr>
          <w:p>
            <w:pPr>
              <w:pStyle w:val="12"/>
            </w:pPr>
          </w:p>
        </w:tc>
        <w:tc>
          <w:tcPr>
            <w:tcW w:w="2551" w:type="dxa"/>
            <w:vAlign w:val="center"/>
          </w:tcPr>
          <w:p>
            <w:pPr>
              <w:pStyle w:val="12"/>
            </w:pPr>
            <w:r>
              <w:t>136.46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5.11</w:t>
            </w:r>
          </w:p>
        </w:tc>
        <w:tc>
          <w:tcPr>
            <w:tcW w:w="2551" w:type="dxa"/>
            <w:vAlign w:val="center"/>
          </w:tcPr>
          <w:p>
            <w:pPr>
              <w:pStyle w:val="12"/>
            </w:pPr>
          </w:p>
        </w:tc>
        <w:tc>
          <w:tcPr>
            <w:tcW w:w="2551" w:type="dxa"/>
            <w:vAlign w:val="center"/>
          </w:tcPr>
          <w:p>
            <w:pPr>
              <w:pStyle w:val="12"/>
            </w:pPr>
            <w:r>
              <w:t>5.11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6.25</w:t>
            </w:r>
          </w:p>
        </w:tc>
        <w:tc>
          <w:tcPr>
            <w:tcW w:w="2551" w:type="dxa"/>
            <w:vAlign w:val="center"/>
          </w:tcPr>
          <w:p>
            <w:pPr>
              <w:pStyle w:val="12"/>
            </w:pPr>
          </w:p>
        </w:tc>
        <w:tc>
          <w:tcPr>
            <w:tcW w:w="2551" w:type="dxa"/>
            <w:vAlign w:val="center"/>
          </w:tcPr>
          <w:p>
            <w:pPr>
              <w:pStyle w:val="12"/>
            </w:pPr>
            <w:r>
              <w:t>6.25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8.10</w:t>
            </w:r>
          </w:p>
        </w:tc>
        <w:tc>
          <w:tcPr>
            <w:tcW w:w="2551" w:type="dxa"/>
            <w:vAlign w:val="center"/>
          </w:tcPr>
          <w:p>
            <w:pPr>
              <w:pStyle w:val="12"/>
            </w:pPr>
          </w:p>
        </w:tc>
        <w:tc>
          <w:tcPr>
            <w:tcW w:w="2551" w:type="dxa"/>
            <w:vAlign w:val="center"/>
          </w:tcPr>
          <w:p>
            <w:pPr>
              <w:pStyle w:val="12"/>
            </w:pPr>
            <w:r>
              <w:t>8.10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10.20</w:t>
            </w:r>
          </w:p>
        </w:tc>
        <w:tc>
          <w:tcPr>
            <w:tcW w:w="2551" w:type="dxa"/>
            <w:vAlign w:val="center"/>
          </w:tcPr>
          <w:p>
            <w:pPr>
              <w:pStyle w:val="12"/>
            </w:pPr>
          </w:p>
        </w:tc>
        <w:tc>
          <w:tcPr>
            <w:tcW w:w="2551" w:type="dxa"/>
            <w:vAlign w:val="center"/>
          </w:tcPr>
          <w:p>
            <w:pPr>
              <w:pStyle w:val="12"/>
            </w:pPr>
            <w:r>
              <w:t>10.20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7.87</w:t>
            </w:r>
          </w:p>
        </w:tc>
        <w:tc>
          <w:tcPr>
            <w:tcW w:w="2551" w:type="dxa"/>
            <w:vAlign w:val="center"/>
          </w:tcPr>
          <w:p>
            <w:pPr>
              <w:pStyle w:val="12"/>
            </w:pPr>
          </w:p>
        </w:tc>
        <w:tc>
          <w:tcPr>
            <w:tcW w:w="2551" w:type="dxa"/>
            <w:vAlign w:val="center"/>
          </w:tcPr>
          <w:p>
            <w:pPr>
              <w:pStyle w:val="12"/>
            </w:pPr>
            <w:r>
              <w:t>7.87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278.81</w:t>
            </w:r>
          </w:p>
        </w:tc>
        <w:tc>
          <w:tcPr>
            <w:tcW w:w="2551" w:type="dxa"/>
            <w:vAlign w:val="center"/>
          </w:tcPr>
          <w:p>
            <w:pPr>
              <w:pStyle w:val="12"/>
            </w:pPr>
            <w:r>
              <w:t>278.81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30301</w:t>
            </w:r>
          </w:p>
        </w:tc>
        <w:tc>
          <w:tcPr>
            <w:tcW w:w="4535" w:type="dxa"/>
            <w:vAlign w:val="center"/>
          </w:tcPr>
          <w:p>
            <w:pPr>
              <w:pStyle w:val="13"/>
            </w:pPr>
            <w:r>
              <w:t>离休费</w:t>
            </w:r>
          </w:p>
        </w:tc>
        <w:tc>
          <w:tcPr>
            <w:tcW w:w="2551" w:type="dxa"/>
            <w:vAlign w:val="center"/>
          </w:tcPr>
          <w:p>
            <w:pPr>
              <w:pStyle w:val="12"/>
            </w:pPr>
            <w:r>
              <w:t>15.18</w:t>
            </w:r>
          </w:p>
        </w:tc>
        <w:tc>
          <w:tcPr>
            <w:tcW w:w="2551" w:type="dxa"/>
            <w:vAlign w:val="center"/>
          </w:tcPr>
          <w:p>
            <w:pPr>
              <w:pStyle w:val="12"/>
            </w:pPr>
            <w:r>
              <w:t>15.18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260.71</w:t>
            </w:r>
          </w:p>
        </w:tc>
        <w:tc>
          <w:tcPr>
            <w:tcW w:w="2551" w:type="dxa"/>
            <w:vAlign w:val="center"/>
          </w:tcPr>
          <w:p>
            <w:pPr>
              <w:pStyle w:val="12"/>
            </w:pPr>
            <w:r>
              <w:t>260.71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2.92</w:t>
            </w:r>
          </w:p>
        </w:tc>
        <w:tc>
          <w:tcPr>
            <w:tcW w:w="2551" w:type="dxa"/>
            <w:vAlign w:val="center"/>
          </w:tcPr>
          <w:p>
            <w:pPr>
              <w:pStyle w:val="12"/>
            </w:pPr>
            <w:r>
              <w:t>2.92</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318石家庄市鹿泉区财政局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318石家庄市鹿泉区财政局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318石家庄市鹿泉区财政局</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10.10</w:t>
            </w:r>
          </w:p>
        </w:tc>
        <w:tc>
          <w:tcPr>
            <w:tcW w:w="2381" w:type="dxa"/>
            <w:vAlign w:val="center"/>
          </w:tcPr>
          <w:p>
            <w:pPr>
              <w:pStyle w:val="16"/>
            </w:pPr>
            <w:r>
              <w:t>10.10</w:t>
            </w:r>
          </w:p>
        </w:tc>
        <w:tc>
          <w:tcPr>
            <w:tcW w:w="2381" w:type="dxa"/>
            <w:vAlign w:val="center"/>
          </w:tcPr>
          <w:p>
            <w:pPr>
              <w:pStyle w:val="16"/>
            </w:pPr>
          </w:p>
        </w:tc>
        <w:tc>
          <w:tcPr>
            <w:tcW w:w="238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10.10</w:t>
            </w:r>
          </w:p>
        </w:tc>
        <w:tc>
          <w:tcPr>
            <w:tcW w:w="2381" w:type="dxa"/>
            <w:vAlign w:val="center"/>
          </w:tcPr>
          <w:p>
            <w:pPr>
              <w:pStyle w:val="12"/>
            </w:pPr>
            <w:r>
              <w:t>10.10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8.10</w:t>
            </w:r>
          </w:p>
        </w:tc>
        <w:tc>
          <w:tcPr>
            <w:tcW w:w="2381" w:type="dxa"/>
            <w:vAlign w:val="center"/>
          </w:tcPr>
          <w:p>
            <w:pPr>
              <w:pStyle w:val="12"/>
            </w:pPr>
            <w:r>
              <w:t>8.10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8.10</w:t>
            </w:r>
          </w:p>
        </w:tc>
        <w:tc>
          <w:tcPr>
            <w:tcW w:w="2381" w:type="dxa"/>
            <w:vAlign w:val="center"/>
          </w:tcPr>
          <w:p>
            <w:pPr>
              <w:pStyle w:val="12"/>
            </w:pPr>
            <w:r>
              <w:t>8.10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r>
              <w:t>2.00</w:t>
            </w:r>
          </w:p>
        </w:tc>
        <w:tc>
          <w:tcPr>
            <w:tcW w:w="2381" w:type="dxa"/>
            <w:vAlign w:val="center"/>
          </w:tcPr>
          <w:p>
            <w:pPr>
              <w:pStyle w:val="12"/>
            </w:pPr>
            <w:r>
              <w:t>2.00</w:t>
            </w: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石家庄市鹿泉区财政局2025年部门预算信息公开情况说明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石家庄市鹿泉区财政局2025年部门预算信息公开情况说明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按照《中华人民共和国预算法》、《地方预决算公开操作规程》和《关于进一步推进预算公开工作的实施意见》规定，现将石家庄市鹿泉区财政局2025年部门预算公开如下：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贯彻落实党中央和省委、市委、区委关于财政和国有企业监督管理工作的方针政策和决策部署，在履行职责过程中坚持和加强党对财政工作的集中统一领导。主要职责是：</w:t>
      </w:r>
    </w:p>
    <w:p>
      <w:pPr>
        <w:pStyle w:val="18"/>
      </w:pPr>
      <w:r>
        <w:t>（一）贯彻执行财税发展规划、政策和改革方案。分析预测宏观经济形势，参与制定各项宏观经济政策，提出运用财税政策实施宏观调控和综合平衡社会财力的建议;拟订区与乡(镇、区)、政府与企业的分配政策，完善鼓励公益事业发展的财税政策。</w:t>
      </w:r>
    </w:p>
    <w:p>
      <w:pPr>
        <w:pStyle w:val="18"/>
      </w:pPr>
      <w:r>
        <w:t xml:space="preserve">(二)贯彻执行财政、财务、会计管理的法律法规和规章。 </w:t>
      </w:r>
    </w:p>
    <w:p>
      <w:pPr>
        <w:pStyle w:val="18"/>
      </w:pPr>
      <w:r>
        <w:t>（三）负责管理区级及乡级各项财政收支。编制年度区级及乡级预决算草案并组织执行，汇编全区预决算草案。组织制定经费开支标准、定额，审核批复部门(单位)年度预决算。受区政府委托，向区人民代表大会及其常委会报告财政预算、执行和决算等情况。负责政府投资基金区级财政出资的资产管理.负责区级及指导乡级财政预决算公开。</w:t>
      </w:r>
    </w:p>
    <w:p>
      <w:pPr>
        <w:pStyle w:val="18"/>
      </w:pPr>
      <w:r>
        <w:t>(四)贯彻执行税收地方性法规和规章、实施细则和税收政策调整方案。提出上级授权税目税率调整、减免和地方税收政策等重大事项的建议。组织推进税收制度改革。</w:t>
      </w:r>
    </w:p>
    <w:p>
      <w:pPr>
        <w:pStyle w:val="18"/>
      </w:pPr>
      <w:r>
        <w:t>(五)按分工负责政府非税收入管理。负责政府性基金管理，按规定管理行政事业性收费。管理财政票据。贯彻实施彩票管理政策和有关办法，按规定管理彩票资金。</w:t>
      </w:r>
    </w:p>
    <w:p>
      <w:pPr>
        <w:pStyle w:val="18"/>
      </w:pPr>
      <w:r>
        <w:t>(六)研究制定国库管理制度、国库集中收付制度，按规定开展国库资金现金管理工作。组织实施政府财务报告编制工作。制定政府采购制度并监督管。</w:t>
      </w:r>
    </w:p>
    <w:p>
      <w:pPr>
        <w:pStyle w:val="18"/>
      </w:pPr>
      <w:r>
        <w:t>(七)拟订政府债务管理制度和办法并组织实施。负责政府债务限额管理，按规定组织政府债券申报和还本付息等工作。执行国家外债管理政策，管理区政府国外债务。</w:t>
      </w:r>
    </w:p>
    <w:p>
      <w:pPr>
        <w:pStyle w:val="18"/>
      </w:pPr>
      <w:r>
        <w:t>(八)牵头编制国有资产管理情况报告。根据区政府授权，履行区级国有金融资本出资人职责。执行国有金融资本管理规章制度。贯彻执行行政事业单位国有资产管理制度并组织实施，制定全区统一规定的开支标准和支出政策。</w:t>
      </w:r>
    </w:p>
    <w:p>
      <w:pPr>
        <w:pStyle w:val="18"/>
      </w:pPr>
      <w:r>
        <w:t>(九)负责审核并汇总编制全区国有资本经营预决算草案，组织实施国有资本经营预算制度，收取区属企业国有资本收益。组织实施企业财务制度。</w:t>
      </w:r>
    </w:p>
    <w:p>
      <w:pPr>
        <w:pStyle w:val="18"/>
      </w:pPr>
      <w:r>
        <w:t>(十)负责审核并汇总编制全区社会保险基金预决算草案，会同有关部门拟订有关资金(基金)财务管理制度并组织实施。承担社会保险基金财政监管工作。</w:t>
      </w:r>
    </w:p>
    <w:p>
      <w:pPr>
        <w:pStyle w:val="18"/>
      </w:pPr>
      <w:r>
        <w:t>(十ー)负责办理和监督区级财政的经济发展支出、区级政府性投资项目的财政拨款，参与拟订区级建设投资的有关政策，贯彻执行上级制定的基建财务管理制度。负责财政评审管理。</w:t>
      </w:r>
    </w:p>
    <w:p>
      <w:pPr>
        <w:pStyle w:val="18"/>
      </w:pPr>
      <w:r>
        <w:t>(十ニ)负责管理全区会计工作，监督和规范会计行为，组织实施会计制度</w:t>
      </w:r>
    </w:p>
    <w:p>
      <w:pPr>
        <w:pStyle w:val="18"/>
      </w:pPr>
      <w:r>
        <w:t>(十三)根据区政府授权，依照《中华人民共和国企业国有资产法》《中华人民共和国公司法》等法律和行政法规履行国有资产出资人职责，不行使社会公共管理职能，专司国有资产监管，监管履行出资人职责企业的国有资产，加强国有资产的管理工作。</w:t>
      </w:r>
    </w:p>
    <w:p>
      <w:pPr>
        <w:pStyle w:val="18"/>
      </w:pPr>
      <w:r>
        <w:t>(十四)承担监督所监管企业国有资产保值增值的责任;建立和完善国有资产保值增值指标体系、拟订考核标准，通过统计、稽核对所监管企业国有资产的保值增值情况进行监管;优化考核分配，完善激励约東机制，健全监管企业收入分配管理和调控体系，负责所监管企业工资分配管理工作，制定所监管企业负责人收入分配政策并组织实施。</w:t>
      </w:r>
    </w:p>
    <w:p>
      <w:pPr>
        <w:pStyle w:val="18"/>
      </w:pPr>
      <w:r>
        <w:t>(十五)建立健全国有资本运作制度，制定国有资本运作规划;推动国有资本规范运作，组建区财政局履行出资人职责的国有资本投资、运营公司并指导其开展国有资本运营;根据调整和优化国有资本布局结构的要求，指导所监管企业对所从事的金融业务加强管理;组织指导有关投资基金的设立和运作;归口管理财政局履行多元投资主体企业股东职责有关工作。</w:t>
      </w:r>
    </w:p>
    <w:p>
      <w:pPr>
        <w:pStyle w:val="18"/>
      </w:pPr>
      <w:r>
        <w:t>(十六)指导推进国有企业改革和重组，推进国有企业的现代企业制度建设，完善公司治理结构:推动国有经济布局和结构的战略性调整，制定所监管企业整体规划，审核所监管企业发展战略和规划;改进投资监管方式，强化主业管理:指导所监管企业防范风险，开展违规投资追责。</w:t>
      </w:r>
    </w:p>
    <w:p>
      <w:pPr>
        <w:pStyle w:val="18"/>
      </w:pPr>
      <w:r>
        <w:t>(十七)通过法定程序对监管企业负责人进行任免、考核，并根据经营业绩及考核结果对其进行奖惩。</w:t>
      </w:r>
    </w:p>
    <w:p>
      <w:pPr>
        <w:pStyle w:val="18"/>
      </w:pPr>
      <w:r>
        <w:t>(十八)负责组织所监管企业上交国有资本收益，参与制定国有资本经营预算有关管理制度和办法，按照有关规定负责国有资本经营预决算编制和执行等工作。</w:t>
      </w:r>
    </w:p>
    <w:p>
      <w:pPr>
        <w:pStyle w:val="18"/>
      </w:pPr>
      <w:r>
        <w:t>(十九)负责有关监督成果的利用工作，分类处置、督办和深入核查监督检查发现移交的问题，对共性问题组织开展专项核查，组织开展国有资产重大损失调查，提出有关责任追究的意见建议。</w:t>
      </w:r>
    </w:p>
    <w:p>
      <w:pPr>
        <w:pStyle w:val="18"/>
      </w:pPr>
      <w:r>
        <w:t>(二十)按照出资人职责，配合相关部门督促监管企业贯彻落实国家安全生产、环境保护方针政策及有关法律法规、标准等工作。</w:t>
      </w:r>
    </w:p>
    <w:p>
      <w:pPr>
        <w:pStyle w:val="18"/>
      </w:pPr>
      <w:r>
        <w:t>(二十ー)负责监管企业国有资产基础管理，贯彻落实国家、省、市有关国有资产管理的法律法规和政府规章，制定有关制度和办法。</w:t>
      </w:r>
    </w:p>
    <w:p>
      <w:pPr>
        <w:pStyle w:val="18"/>
      </w:pPr>
      <w:r>
        <w:t>(二十ニ)建立健全党建工作责任制，完善企业党建工作考核评价体系，开展所监管企业党建工作考核;指导所监管企业开展党的建设工作。</w:t>
      </w:r>
    </w:p>
    <w:p>
      <w:pPr>
        <w:pStyle w:val="18"/>
      </w:pPr>
      <w:r>
        <w:t>(二十三)指导所监管企业和局属事业单位对巡视巡察、专项检查、审计中发现问题的整改;指导所监管企业开展内部巡察工作。</w:t>
      </w:r>
    </w:p>
    <w:p>
      <w:pPr>
        <w:pStyle w:val="18"/>
      </w:pPr>
      <w:r>
        <w:t>(二十四)完成区委、区政府交办的其他任务。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石家庄市鹿泉区财政局本级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按照预算管理有关规定，目前部门预算的编制实行综合预算管理，即全部收入和支出都反映在预算中。石家庄市鹿泉区财政局机关及所属事业单位的收支包含在部门预算中。</w:t>
      </w:r>
    </w:p>
    <w:p>
      <w:pPr>
        <w:pStyle w:val="19"/>
      </w:pPr>
      <w:r>
        <w:t>1、收入说明</w:t>
      </w:r>
    </w:p>
    <w:p>
      <w:pPr>
        <w:pStyle w:val="19"/>
      </w:pPr>
      <w:r>
        <w:t>反映本部门当年全部收入。2025年预算收入2016.69万元，其中：一般公共预算收入2015.00万元，基金预算收入0.00万元，国有资本经营预算收入0.00万元，财政专户核拨收入0.00万元，单位资金收入0.00万元，上年结转结余1.69万元。</w:t>
      </w:r>
    </w:p>
    <w:p>
      <w:pPr>
        <w:pStyle w:val="19"/>
      </w:pPr>
      <w:r>
        <w:t>2、支出说明</w:t>
      </w:r>
    </w:p>
    <w:p>
      <w:pPr>
        <w:pStyle w:val="19"/>
      </w:pPr>
      <w:r>
        <w:t>收支预算总表支出栏、基本支出表、项目支出表按经济分类和支出功能分类科目编制，反映石家庄市鹿泉区财政局年度部门预算中支出预算的总体情况。2025年支出预算2016.69万元，其中基本支出1453.86万元，包括人员经费1216.15万元和日常公用经费237.71万元；项目支出562.83万元，主要为评估及国有企业审计业务费200万元，政府购买投资评审服务项目150万元，财政改革业务费40万元，机关服务专项经费39.3万元，税收专项服务项目35万元，财政专网运行维护费29.64万元，保密信息安全建设费10万元，财政专网等级保护测评及整改10万元，预算绩效管理业务费15万元，网络运行维护、服务费9.2万元，法律咨询、律师代理服务费6万元，会计人员培训6万元，提前下达农村财会人员培训费7.69万元，政府财务报告及内控制度委托业务费5万元等。</w:t>
      </w:r>
    </w:p>
    <w:p>
      <w:pPr>
        <w:pStyle w:val="19"/>
      </w:pPr>
      <w:r>
        <w:t>3、比上年增减情况</w:t>
      </w:r>
    </w:p>
    <w:p>
      <w:pPr>
        <w:pStyle w:val="19"/>
      </w:pPr>
      <w:r>
        <w:t>2025年预算收支安排2016.69万元，较2024年预算减少14.71万元，其中：基本支出减少109.10万元，主要为2025年较2024年人员减少，人员经费减少96.13万元、日常公用经费等预算减少12.96万元。项目支出增加94.39万元，主要为本年度增加评估及国有企业审计业务费增加120万元，机关服务专项经费14.3万元，税收专项服务项目5万元，法律咨询、律师代理服务费2万元，农村财会人员培训费7.69万元；减少农村综合改革转移支付资金15万元，会议室终端建设15万元，占地补偿项目核查（旧欠）24.6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2025年，我部门机关运行经费共计安排237.71万元，主要用于日常维修、办公用房水电费、办公用房取暖费、办公用房物业管理费等日常运行支出。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2025年，我部门财政拨款“三公”经费预算安排10.10万元，其中因公出国（境）费0.00万元；公务用车购置及运维费8.10万元（其中：公务用车购置费为0.00万元，公务用车运维费8.10万元)；公务接待费2.00万元。与2024年相比持平，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以深入学习宣传贯彻党的二十大精神为主线，以习近平新时代中国特色社会主义思想为统领，认真落实区委区政府重点部署，聚焦社会主要矛盾转变，按照高质量发展的要求，优化财政保障机制结构；聚焦供给侧结构性改革，增强财政政策有效供给；聚焦提高质量和效益，深化绩效预算管理改革；聚焦区乡稳</w:t>
      </w:r>
      <w:r>
        <w:rPr>
          <w:rFonts w:hint="eastAsia"/>
          <w:lang w:eastAsia="zh-CN"/>
        </w:rPr>
        <w:t>中</w:t>
      </w:r>
      <w:bookmarkStart w:id="20" w:name="_GoBack"/>
      <w:bookmarkEnd w:id="20"/>
      <w:r>
        <w:t>求进，稳定政策预期、强化风险管理，努力为新时代全面建设美丽鹿泉提供坚强财政支撑。</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（一）、财政综合实力进一步增强</w:t>
      </w:r>
    </w:p>
    <w:p>
      <w:pPr>
        <w:pStyle w:val="23"/>
      </w:pPr>
      <w:r>
        <w:t>绩效目标：财政收入规模得到提升，财源基础不断壮大，可用财力稳步增长；争取上级支持有力有效，对我市的支持力度进一步加大。</w:t>
      </w:r>
    </w:p>
    <w:p>
      <w:pPr>
        <w:pStyle w:val="23"/>
      </w:pPr>
      <w:r>
        <w:t>绩效指标：预计2025年全区全部财政收入65.92亿元，其中一般公共预算收入47.55亿元，同比增长5%。合理调度库款，加快预算执行进度，确保完成全年任务目标。</w:t>
      </w:r>
    </w:p>
    <w:p>
      <w:pPr>
        <w:pStyle w:val="23"/>
      </w:pPr>
      <w:r>
        <w:t>（二）助推发展水平进一步提升</w:t>
      </w:r>
    </w:p>
    <w:p>
      <w:pPr>
        <w:pStyle w:val="23"/>
      </w:pPr>
      <w:r>
        <w:t>绩效目标：积极财政政策得到有效落实，“4+4”现代产业、“四种类型”经济等重大部署得到较好保障，减税降费政策全面落实，减轻企业负担的成效更加明显。</w:t>
      </w:r>
    </w:p>
    <w:p>
      <w:pPr>
        <w:pStyle w:val="23"/>
      </w:pPr>
      <w:r>
        <w:t>绩效指标：研究制定财政促进产业发展的政策措施，落实落细国家和省市减税降费政策，巩固减税降费成效，进一步激发市场活力。</w:t>
      </w:r>
    </w:p>
    <w:p>
      <w:pPr>
        <w:pStyle w:val="23"/>
      </w:pPr>
      <w:r>
        <w:t>（三）保障民生力度进一步加大</w:t>
      </w:r>
    </w:p>
    <w:p>
      <w:pPr>
        <w:pStyle w:val="23"/>
      </w:pPr>
      <w:r>
        <w:t>绩效目标：全面落实各项民生政策，就业、教育、医疗、养老、低保等普惠性、基础性、兜底性民生保障水平持续提高，人民群众获得感、幸福感、安全感不断增强。</w:t>
      </w:r>
    </w:p>
    <w:p>
      <w:pPr>
        <w:pStyle w:val="23"/>
      </w:pPr>
      <w:r>
        <w:t>绩效指标：全区民生支出占比保持在80%以上，惠民利民10件实事得到有效资金保障。</w:t>
      </w:r>
    </w:p>
    <w:p>
      <w:pPr>
        <w:pStyle w:val="23"/>
      </w:pPr>
      <w:r>
        <w:t>（四）政府债务风险持续平稳</w:t>
      </w:r>
    </w:p>
    <w:p>
      <w:pPr>
        <w:pStyle w:val="23"/>
      </w:pPr>
      <w:r>
        <w:t>绩效目标：政府债务保持合理规模，债务风险水平总体平稳可控。</w:t>
      </w:r>
    </w:p>
    <w:p>
      <w:pPr>
        <w:pStyle w:val="23"/>
      </w:pPr>
      <w:r>
        <w:t>绩效指标：政府债务不发生违约事件，全年不发生系统性区域性风险。</w:t>
      </w:r>
    </w:p>
    <w:p>
      <w:pPr>
        <w:pStyle w:val="23"/>
      </w:pPr>
      <w:r>
        <w:t>(五)现代财政制度进一步健全</w:t>
      </w:r>
    </w:p>
    <w:p>
      <w:pPr>
        <w:pStyle w:val="23"/>
      </w:pPr>
      <w:r>
        <w:t>绩效目标：预算绩效管理体系基本建成，区以下收入划分体制得到优化，农业、应急、公安、文化等领域财政事权与支出责任划分深入推进，国有金融资本管理、国有资产报告制度、政府采购制度管理持续深化。</w:t>
      </w:r>
    </w:p>
    <w:p>
      <w:pPr>
        <w:pStyle w:val="23"/>
      </w:pPr>
      <w:r>
        <w:t>绩效指标：2025年基本建成全方位、全过程、全覆盖的预算绩效管理体系，区财政与区直各部门及乡镇财政事权和支出责任划分更加清晰。</w:t>
      </w:r>
    </w:p>
    <w:p>
      <w:pPr>
        <w:pStyle w:val="23"/>
      </w:pPr>
      <w:r>
        <w:t>（六）财政财务管理进一步规范</w:t>
      </w:r>
    </w:p>
    <w:p>
      <w:pPr>
        <w:pStyle w:val="23"/>
      </w:pPr>
      <w:r>
        <w:t>绩效目标：预算编制更加细化实化，财政预决算公开内容完备、时间及时、科学规范，资金分配使用更加高效透明；资金支出更加及时高效、均衡有序，效益进一步发挥；财政监督更加有力，绩效评价工作质量进一步提高。</w:t>
      </w:r>
    </w:p>
    <w:p>
      <w:pPr>
        <w:pStyle w:val="23"/>
      </w:pPr>
      <w:r>
        <w:t>绩效指标：市级财政预决算在法定时限内公开，除涉密单位外，区直部门决算在财政部门批复之日起20日内公开，区直部门决算公开率达到100%，财政支出达到95%以上，预算项目绩效评价实现全覆盖。</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一）加强组织领导。建立健全财政局部门预算绩效管理路径和制度体系，不断完善工作机制和工作流程，将事前评估、目标管理、运行监控、绩效评价、结果应用等各项改革措施，有效融入预算管理的全过程、各环节。围绕年度总体绩效目标和分类绩效目标，细化工作方案，明确责任主体和实施进度要求，确保如期完成。</w:t>
      </w:r>
    </w:p>
    <w:p>
      <w:pPr>
        <w:pStyle w:val="24"/>
      </w:pPr>
      <w:r>
        <w:t>（二）狠抓任务落实。按照“谁花钱、谁负责，谁牵总、谁主责”的原则，明确各单位预算绩效管理职责。充分调动各项目单位的积极性和主动性，由项目单位负责科学制定分管项目和内容的中期、终期绩效目标和评价指标，动态收集评估数据信息，开展预算绩效中期评估、终期评价，落实整改措施等。</w:t>
      </w:r>
    </w:p>
    <w:p>
      <w:pPr>
        <w:pStyle w:val="24"/>
      </w:pPr>
      <w:r>
        <w:t>（三）强化预算执行。强化财政预算执行的刚性约束，及时启动项目和支付资金，加快履行政府采购程序，优化部门预算支出结构，创新财政资金支出思路，合理改进支出方式，做的按照时间节点完成支出任务。进一步加快转移支付资金下达进度，督促有关单位加快执行进度。规范财政资金使用和管理，强化内部控制制度建设，更好地发挥财政资金的使用效益。</w:t>
      </w:r>
    </w:p>
    <w:p>
      <w:pPr>
        <w:pStyle w:val="24"/>
      </w:pPr>
      <w:r>
        <w:t>（四）健全评价机制。结合第三方力量，成立专门的评价工作小组，制定科学评价办法，对政策和项目资金支出的经济性、效率性以及绩效目标的实现程度进行全方位评价，及时发现实施中存在的问题，并研究解决对策。评价过程要最大程度信息公开，运用法律、经济和行政手段规范、管理和保障预算绩效工作的有效推进，做到程序规范、方法合理、结果可信。</w:t>
      </w:r>
    </w:p>
    <w:p>
      <w:pPr>
        <w:pStyle w:val="24"/>
        <w:sectPr>
          <w:pgSz w:w="16840" w:h="11900" w:orient="landscape"/>
          <w:pgMar w:top="1361" w:right="1020" w:bottom="1361" w:left="1020" w:header="720" w:footer="720" w:gutter="0"/>
          <w:cols w:space="720" w:num="1"/>
        </w:sectPr>
      </w:pPr>
      <w:r>
        <w:t>（五）用好行政绩效。依托行政绩效管理系统，按照预算绩效目标和绩效指标，对专项资金管理设定明确的内部绩效管理目标指标，明确责任分工，细化支出节点，量化评价标准，强化过程监控，切实提高财政资金使用效益。同时，建设覆盖全面、高度集成的业务管理系统，全程管理、协作高效的行政管理系统，并完善预算绩效编制管理、预算执行管理、财政风险防控管理等系统，着力提升技术引领、支撑和保障作用。</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1400" w:firstLineChars="500"/>
        <w:jc w:val="left"/>
        <w:outlineLvl w:val="2"/>
        <w:rPr>
          <w:rFonts w:hint="eastAsia"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1、保密信息安全建设费绩效目标表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13011025P00003110001H</w:t>
            </w:r>
          </w:p>
        </w:tc>
        <w:tc>
          <w:tcPr>
            <w:tcW w:w="2835" w:type="dxa"/>
            <w:vAlign w:val="center"/>
          </w:tcPr>
          <w:p>
            <w:pPr>
              <w:pStyle w:val="11"/>
            </w:pPr>
            <w:r>
              <w:t>项目名称</w:t>
            </w:r>
          </w:p>
        </w:tc>
        <w:tc>
          <w:tcPr>
            <w:tcW w:w="6095" w:type="dxa"/>
            <w:gridSpan w:val="3"/>
            <w:vAlign w:val="center"/>
          </w:tcPr>
          <w:p>
            <w:pPr>
              <w:pStyle w:val="13"/>
            </w:pPr>
            <w:r>
              <w:t>保密信息安全建设费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用于购置档案柜、档案架、保密设备及保密信息安全建设等。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1.加强档案保密信息安全建设，实现档案工作规范化管理，使档案资源发挥最大效益</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设备购置数量</w:t>
            </w:r>
          </w:p>
        </w:tc>
        <w:tc>
          <w:tcPr>
            <w:tcW w:w="5386" w:type="dxa"/>
            <w:vAlign w:val="center"/>
          </w:tcPr>
          <w:p>
            <w:pPr>
              <w:pStyle w:val="13"/>
            </w:pPr>
            <w:r>
              <w:t>购置档案柜、架、保密设备数量</w:t>
            </w:r>
          </w:p>
        </w:tc>
        <w:tc>
          <w:tcPr>
            <w:tcW w:w="2268" w:type="dxa"/>
            <w:vAlign w:val="center"/>
          </w:tcPr>
          <w:p>
            <w:pPr>
              <w:pStyle w:val="13"/>
            </w:pPr>
            <w:r>
              <w:t>≤100个</w:t>
            </w:r>
          </w:p>
        </w:tc>
        <w:tc>
          <w:tcPr>
            <w:tcW w:w="1276" w:type="dxa"/>
            <w:vAlign w:val="center"/>
          </w:tcPr>
          <w:p>
            <w:pPr>
              <w:pStyle w:val="13"/>
            </w:pPr>
            <w:r>
              <w:t>机关档案管理规定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购置质量合格率</w:t>
            </w:r>
          </w:p>
        </w:tc>
        <w:tc>
          <w:tcPr>
            <w:tcW w:w="5386" w:type="dxa"/>
            <w:vAlign w:val="center"/>
          </w:tcPr>
          <w:p>
            <w:pPr>
              <w:pStyle w:val="13"/>
            </w:pPr>
            <w:r>
              <w:t>购置设备质量合格率</w:t>
            </w:r>
          </w:p>
        </w:tc>
        <w:tc>
          <w:tcPr>
            <w:tcW w:w="2268" w:type="dxa"/>
            <w:vAlign w:val="center"/>
          </w:tcPr>
          <w:p>
            <w:pPr>
              <w:pStyle w:val="13"/>
            </w:pPr>
            <w:r>
              <w:t>100%</w:t>
            </w:r>
          </w:p>
        </w:tc>
        <w:tc>
          <w:tcPr>
            <w:tcW w:w="1276" w:type="dxa"/>
            <w:vAlign w:val="center"/>
          </w:tcPr>
          <w:p>
            <w:pPr>
              <w:pStyle w:val="13"/>
            </w:pPr>
            <w:r>
              <w:t>机关档案管理规定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购置计划执行率</w:t>
            </w:r>
          </w:p>
        </w:tc>
        <w:tc>
          <w:tcPr>
            <w:tcW w:w="5386" w:type="dxa"/>
            <w:vAlign w:val="center"/>
          </w:tcPr>
          <w:p>
            <w:pPr>
              <w:pStyle w:val="13"/>
            </w:pPr>
            <w:r>
              <w:t>设备购置计划执行率</w:t>
            </w:r>
          </w:p>
        </w:tc>
        <w:tc>
          <w:tcPr>
            <w:tcW w:w="2268" w:type="dxa"/>
            <w:vAlign w:val="center"/>
          </w:tcPr>
          <w:p>
            <w:pPr>
              <w:pStyle w:val="13"/>
            </w:pPr>
            <w:r>
              <w:t>≥95%</w:t>
            </w:r>
          </w:p>
        </w:tc>
        <w:tc>
          <w:tcPr>
            <w:tcW w:w="1276" w:type="dxa"/>
            <w:vAlign w:val="center"/>
          </w:tcPr>
          <w:p>
            <w:pPr>
              <w:pStyle w:val="13"/>
            </w:pPr>
            <w:r>
              <w:t>机关档案管理规定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设备购置成本</w:t>
            </w:r>
          </w:p>
        </w:tc>
        <w:tc>
          <w:tcPr>
            <w:tcW w:w="5386" w:type="dxa"/>
            <w:vAlign w:val="center"/>
          </w:tcPr>
          <w:p>
            <w:pPr>
              <w:pStyle w:val="13"/>
            </w:pPr>
            <w:r>
              <w:t>设备购置成本</w:t>
            </w:r>
          </w:p>
        </w:tc>
        <w:tc>
          <w:tcPr>
            <w:tcW w:w="2268" w:type="dxa"/>
            <w:vAlign w:val="center"/>
          </w:tcPr>
          <w:p>
            <w:pPr>
              <w:pStyle w:val="13"/>
            </w:pPr>
            <w:r>
              <w:t>≤10万元</w:t>
            </w:r>
          </w:p>
        </w:tc>
        <w:tc>
          <w:tcPr>
            <w:tcW w:w="1276" w:type="dxa"/>
            <w:vAlign w:val="center"/>
          </w:tcPr>
          <w:p>
            <w:pPr>
              <w:pStyle w:val="13"/>
            </w:pPr>
            <w:r>
              <w:t>机关档案管理规定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设备购置持续使用时间</w:t>
            </w:r>
          </w:p>
        </w:tc>
        <w:tc>
          <w:tcPr>
            <w:tcW w:w="5386" w:type="dxa"/>
            <w:vAlign w:val="center"/>
          </w:tcPr>
          <w:p>
            <w:pPr>
              <w:pStyle w:val="13"/>
            </w:pPr>
            <w:r>
              <w:t>设备购置类项目持续使用时间</w:t>
            </w:r>
          </w:p>
        </w:tc>
        <w:tc>
          <w:tcPr>
            <w:tcW w:w="2268" w:type="dxa"/>
            <w:vAlign w:val="center"/>
          </w:tcPr>
          <w:p>
            <w:pPr>
              <w:pStyle w:val="13"/>
            </w:pPr>
            <w:r>
              <w:t>≥15年</w:t>
            </w:r>
          </w:p>
        </w:tc>
        <w:tc>
          <w:tcPr>
            <w:tcW w:w="1276" w:type="dxa"/>
            <w:vAlign w:val="center"/>
          </w:tcPr>
          <w:p>
            <w:pPr>
              <w:pStyle w:val="13"/>
            </w:pPr>
            <w:r>
              <w:t>机关档案管理规定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设备使用率</w:t>
            </w:r>
          </w:p>
        </w:tc>
        <w:tc>
          <w:tcPr>
            <w:tcW w:w="5386" w:type="dxa"/>
            <w:vAlign w:val="center"/>
          </w:tcPr>
          <w:p>
            <w:pPr>
              <w:pStyle w:val="13"/>
            </w:pPr>
            <w:r>
              <w:t>档案柜、架、保密设备使用率</w:t>
            </w:r>
          </w:p>
        </w:tc>
        <w:tc>
          <w:tcPr>
            <w:tcW w:w="2268" w:type="dxa"/>
            <w:vAlign w:val="center"/>
          </w:tcPr>
          <w:p>
            <w:pPr>
              <w:pStyle w:val="13"/>
            </w:pPr>
            <w:r>
              <w:t>100%</w:t>
            </w:r>
          </w:p>
        </w:tc>
        <w:tc>
          <w:tcPr>
            <w:tcW w:w="1276" w:type="dxa"/>
            <w:vAlign w:val="center"/>
          </w:tcPr>
          <w:p>
            <w:pPr>
              <w:pStyle w:val="13"/>
            </w:pPr>
            <w:r>
              <w:t>机关档案管理规定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设备使用的满意率</w:t>
            </w:r>
          </w:p>
        </w:tc>
        <w:tc>
          <w:tcPr>
            <w:tcW w:w="5386" w:type="dxa"/>
            <w:vAlign w:val="center"/>
          </w:tcPr>
          <w:p>
            <w:pPr>
              <w:pStyle w:val="13"/>
            </w:pPr>
            <w:r>
              <w:t>档案柜、架、保密设备使用满意率</w:t>
            </w:r>
          </w:p>
        </w:tc>
        <w:tc>
          <w:tcPr>
            <w:tcW w:w="2268" w:type="dxa"/>
            <w:vAlign w:val="center"/>
          </w:tcPr>
          <w:p>
            <w:pPr>
              <w:pStyle w:val="13"/>
            </w:pPr>
            <w:r>
              <w:t>≥95%</w:t>
            </w:r>
          </w:p>
        </w:tc>
        <w:tc>
          <w:tcPr>
            <w:tcW w:w="1276" w:type="dxa"/>
            <w:vAlign w:val="center"/>
          </w:tcPr>
          <w:p>
            <w:pPr>
              <w:pStyle w:val="13"/>
            </w:pPr>
            <w:r>
              <w:t>机关档案管理规定</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2、财政改革业务费绩效目标表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13011025P001512100012</w:t>
            </w:r>
          </w:p>
        </w:tc>
        <w:tc>
          <w:tcPr>
            <w:tcW w:w="2835" w:type="dxa"/>
            <w:vAlign w:val="center"/>
          </w:tcPr>
          <w:p>
            <w:pPr>
              <w:pStyle w:val="11"/>
            </w:pPr>
            <w:r>
              <w:t>项目名称</w:t>
            </w:r>
          </w:p>
        </w:tc>
        <w:tc>
          <w:tcPr>
            <w:tcW w:w="6095" w:type="dxa"/>
            <w:gridSpan w:val="3"/>
            <w:vAlign w:val="center"/>
          </w:tcPr>
          <w:p>
            <w:pPr>
              <w:pStyle w:val="13"/>
            </w:pPr>
            <w:r>
              <w:t>财政改革业务费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w:t>
            </w:r>
          </w:p>
        </w:tc>
        <w:tc>
          <w:tcPr>
            <w:tcW w:w="2835" w:type="dxa"/>
            <w:vAlign w:val="center"/>
          </w:tcPr>
          <w:p>
            <w:pPr>
              <w:pStyle w:val="11"/>
            </w:pPr>
            <w:r>
              <w:t>其中：财政    资金</w:t>
            </w:r>
          </w:p>
        </w:tc>
        <w:tc>
          <w:tcPr>
            <w:tcW w:w="2551" w:type="dxa"/>
            <w:vAlign w:val="center"/>
          </w:tcPr>
          <w:p>
            <w:pPr>
              <w:pStyle w:val="13"/>
            </w:pPr>
            <w:r>
              <w:t>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预算、国库集中支付推行会计集中核算平台及预算管理一体化部门决算系统、政府采购、预算绩效管理、涉农项目财政管理及农村综合改革业务等财政改革业务的培训，宣传，软件运维，办公用品及办公耗材，办公设备购置等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1.顺利推进财政改革业务，保证完成各级下达的指标任务</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改革业务的数量</w:t>
            </w:r>
          </w:p>
        </w:tc>
        <w:tc>
          <w:tcPr>
            <w:tcW w:w="5386" w:type="dxa"/>
            <w:vAlign w:val="center"/>
          </w:tcPr>
          <w:p>
            <w:pPr>
              <w:pStyle w:val="13"/>
            </w:pPr>
            <w:r>
              <w:t>财政部门通知的改革业务的数量</w:t>
            </w:r>
          </w:p>
        </w:tc>
        <w:tc>
          <w:tcPr>
            <w:tcW w:w="2268" w:type="dxa"/>
            <w:vAlign w:val="center"/>
          </w:tcPr>
          <w:p>
            <w:pPr>
              <w:pStyle w:val="13"/>
            </w:pPr>
            <w:r>
              <w:t>≥3项</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业务改革达标情况</w:t>
            </w:r>
          </w:p>
        </w:tc>
        <w:tc>
          <w:tcPr>
            <w:tcW w:w="5386" w:type="dxa"/>
            <w:vAlign w:val="center"/>
          </w:tcPr>
          <w:p>
            <w:pPr>
              <w:pStyle w:val="13"/>
            </w:pPr>
            <w:r>
              <w:t>完成目标任务达到改革目标</w:t>
            </w:r>
          </w:p>
        </w:tc>
        <w:tc>
          <w:tcPr>
            <w:tcW w:w="2268" w:type="dxa"/>
            <w:vAlign w:val="center"/>
          </w:tcPr>
          <w:p>
            <w:pPr>
              <w:pStyle w:val="13"/>
            </w:pPr>
            <w:r>
              <w:t>达到改革要求</w:t>
            </w:r>
          </w:p>
        </w:tc>
        <w:tc>
          <w:tcPr>
            <w:tcW w:w="1276" w:type="dxa"/>
            <w:vAlign w:val="center"/>
          </w:tcPr>
          <w:p>
            <w:pPr>
              <w:pStyle w:val="13"/>
            </w:pPr>
            <w:r>
              <w:t>工作总结</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各项改革业务完成及时率</w:t>
            </w:r>
          </w:p>
        </w:tc>
        <w:tc>
          <w:tcPr>
            <w:tcW w:w="5386" w:type="dxa"/>
            <w:vAlign w:val="center"/>
          </w:tcPr>
          <w:p>
            <w:pPr>
              <w:pStyle w:val="13"/>
            </w:pPr>
            <w:r>
              <w:t>各项业务改革及时完成的比例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业务改革成本</w:t>
            </w:r>
          </w:p>
        </w:tc>
        <w:tc>
          <w:tcPr>
            <w:tcW w:w="5386" w:type="dxa"/>
            <w:vAlign w:val="center"/>
          </w:tcPr>
          <w:p>
            <w:pPr>
              <w:pStyle w:val="13"/>
            </w:pPr>
            <w:r>
              <w:t>完成目标工作需要的总成本</w:t>
            </w:r>
          </w:p>
        </w:tc>
        <w:tc>
          <w:tcPr>
            <w:tcW w:w="2268" w:type="dxa"/>
            <w:vAlign w:val="center"/>
          </w:tcPr>
          <w:p>
            <w:pPr>
              <w:pStyle w:val="13"/>
            </w:pPr>
            <w:r>
              <w:t>≤40万元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改革成果落实率</w:t>
            </w:r>
          </w:p>
        </w:tc>
        <w:tc>
          <w:tcPr>
            <w:tcW w:w="5386" w:type="dxa"/>
            <w:vAlign w:val="center"/>
          </w:tcPr>
          <w:p>
            <w:pPr>
              <w:pStyle w:val="13"/>
            </w:pPr>
            <w:r>
              <w:t>改革成果落实程度</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使用人员满意情况</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3、财政专网等级保护测评及整改绩效目标表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13011025P00003410001J</w:t>
            </w:r>
          </w:p>
        </w:tc>
        <w:tc>
          <w:tcPr>
            <w:tcW w:w="2835" w:type="dxa"/>
            <w:vAlign w:val="center"/>
          </w:tcPr>
          <w:p>
            <w:pPr>
              <w:pStyle w:val="11"/>
            </w:pPr>
            <w:r>
              <w:t>项目名称</w:t>
            </w:r>
          </w:p>
        </w:tc>
        <w:tc>
          <w:tcPr>
            <w:tcW w:w="6095" w:type="dxa"/>
            <w:gridSpan w:val="3"/>
            <w:vAlign w:val="center"/>
          </w:tcPr>
          <w:p>
            <w:pPr>
              <w:pStyle w:val="13"/>
            </w:pPr>
            <w:r>
              <w:t>财政专网等级保护测评及整改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对财政专网维护、升级，对三级等级保护进行测评及整改等。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1.优化网络安全环境，达到上级信息安全标准</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监控保护财政网络用户数量</w:t>
            </w:r>
          </w:p>
        </w:tc>
        <w:tc>
          <w:tcPr>
            <w:tcW w:w="5386" w:type="dxa"/>
            <w:vAlign w:val="center"/>
          </w:tcPr>
          <w:p>
            <w:pPr>
              <w:pStyle w:val="13"/>
            </w:pPr>
            <w:r>
              <w:t>监控保护财政网络用户数量</w:t>
            </w:r>
          </w:p>
        </w:tc>
        <w:tc>
          <w:tcPr>
            <w:tcW w:w="2268" w:type="dxa"/>
            <w:vAlign w:val="center"/>
          </w:tcPr>
          <w:p>
            <w:pPr>
              <w:pStyle w:val="13"/>
            </w:pPr>
            <w:r>
              <w:t>≥200户</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系统运行质量</w:t>
            </w:r>
          </w:p>
        </w:tc>
        <w:tc>
          <w:tcPr>
            <w:tcW w:w="5386" w:type="dxa"/>
            <w:vAlign w:val="center"/>
          </w:tcPr>
          <w:p>
            <w:pPr>
              <w:pStyle w:val="13"/>
            </w:pPr>
            <w:r>
              <w:t>系统运行质量</w:t>
            </w:r>
          </w:p>
        </w:tc>
        <w:tc>
          <w:tcPr>
            <w:tcW w:w="2268" w:type="dxa"/>
            <w:vAlign w:val="center"/>
          </w:tcPr>
          <w:p>
            <w:pPr>
              <w:pStyle w:val="13"/>
            </w:pPr>
            <w:r>
              <w:t>提高防护安全等级</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及时发现并降低系统安全风险</w:t>
            </w:r>
          </w:p>
        </w:tc>
        <w:tc>
          <w:tcPr>
            <w:tcW w:w="5386" w:type="dxa"/>
            <w:vAlign w:val="center"/>
          </w:tcPr>
          <w:p>
            <w:pPr>
              <w:pStyle w:val="13"/>
            </w:pPr>
            <w:r>
              <w:t>及时发现风险的数量占总发现风险数量的比例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购置安全设备及测评整改服务</w:t>
            </w:r>
          </w:p>
        </w:tc>
        <w:tc>
          <w:tcPr>
            <w:tcW w:w="5386" w:type="dxa"/>
            <w:vAlign w:val="center"/>
          </w:tcPr>
          <w:p>
            <w:pPr>
              <w:pStyle w:val="13"/>
            </w:pPr>
            <w:r>
              <w:t>购置安全设备及测评整改服务</w:t>
            </w:r>
          </w:p>
        </w:tc>
        <w:tc>
          <w:tcPr>
            <w:tcW w:w="2268" w:type="dxa"/>
            <w:vAlign w:val="center"/>
          </w:tcPr>
          <w:p>
            <w:pPr>
              <w:pStyle w:val="13"/>
            </w:pPr>
            <w:r>
              <w:t>≤10万元</w:t>
            </w:r>
          </w:p>
        </w:tc>
        <w:tc>
          <w:tcPr>
            <w:tcW w:w="1276" w:type="dxa"/>
            <w:vAlign w:val="center"/>
          </w:tcPr>
          <w:p>
            <w:pPr>
              <w:pStyle w:val="13"/>
            </w:pPr>
            <w:r>
              <w:t>项目合同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提升信息化建设质量</w:t>
            </w:r>
          </w:p>
        </w:tc>
        <w:tc>
          <w:tcPr>
            <w:tcW w:w="5386" w:type="dxa"/>
            <w:vAlign w:val="center"/>
          </w:tcPr>
          <w:p>
            <w:pPr>
              <w:pStyle w:val="13"/>
            </w:pPr>
            <w:r>
              <w:t>提高网络运行安全防护程度</w:t>
            </w:r>
          </w:p>
        </w:tc>
        <w:tc>
          <w:tcPr>
            <w:tcW w:w="2268" w:type="dxa"/>
            <w:vAlign w:val="center"/>
          </w:tcPr>
          <w:p>
            <w:pPr>
              <w:pStyle w:val="13"/>
            </w:pPr>
            <w:r>
              <w:t>大大提高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网络安全稳定运行情况</w:t>
            </w:r>
          </w:p>
        </w:tc>
        <w:tc>
          <w:tcPr>
            <w:tcW w:w="5386" w:type="dxa"/>
            <w:vAlign w:val="center"/>
          </w:tcPr>
          <w:p>
            <w:pPr>
              <w:pStyle w:val="13"/>
            </w:pPr>
            <w:r>
              <w:t>保障网络安全稳定运行</w:t>
            </w:r>
          </w:p>
        </w:tc>
        <w:tc>
          <w:tcPr>
            <w:tcW w:w="2268" w:type="dxa"/>
            <w:vAlign w:val="center"/>
          </w:tcPr>
          <w:p>
            <w:pPr>
              <w:pStyle w:val="13"/>
            </w:pPr>
            <w:r>
              <w:t>长期安全</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服务对象满意占总调查数量的比例</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4、财政专网运行维护费绩效目标表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13011025P00150510001U</w:t>
            </w:r>
          </w:p>
        </w:tc>
        <w:tc>
          <w:tcPr>
            <w:tcW w:w="2835" w:type="dxa"/>
            <w:vAlign w:val="center"/>
          </w:tcPr>
          <w:p>
            <w:pPr>
              <w:pStyle w:val="11"/>
            </w:pPr>
            <w:r>
              <w:t>项目名称</w:t>
            </w:r>
          </w:p>
        </w:tc>
        <w:tc>
          <w:tcPr>
            <w:tcW w:w="6095" w:type="dxa"/>
            <w:gridSpan w:val="3"/>
            <w:vAlign w:val="center"/>
          </w:tcPr>
          <w:p>
            <w:pPr>
              <w:pStyle w:val="13"/>
            </w:pPr>
            <w:r>
              <w:t>财政专网运行维护费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29.64</w:t>
            </w:r>
          </w:p>
        </w:tc>
        <w:tc>
          <w:tcPr>
            <w:tcW w:w="2835" w:type="dxa"/>
            <w:vAlign w:val="center"/>
          </w:tcPr>
          <w:p>
            <w:pPr>
              <w:pStyle w:val="11"/>
            </w:pPr>
            <w:r>
              <w:t>其中：财政    资金</w:t>
            </w:r>
          </w:p>
        </w:tc>
        <w:tc>
          <w:tcPr>
            <w:tcW w:w="2551" w:type="dxa"/>
            <w:vAlign w:val="center"/>
          </w:tcPr>
          <w:p>
            <w:pPr>
              <w:pStyle w:val="13"/>
            </w:pPr>
            <w:r>
              <w:t>29.64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用于全区108个财政专线网络租赁费29.64万元。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1.租用108个财政专线大大提高办公效率，保障网络安全运行。</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网络专线租用成本控制率</w:t>
            </w:r>
          </w:p>
        </w:tc>
        <w:tc>
          <w:tcPr>
            <w:tcW w:w="5386" w:type="dxa"/>
            <w:vAlign w:val="center"/>
          </w:tcPr>
          <w:p>
            <w:pPr>
              <w:pStyle w:val="13"/>
            </w:pPr>
            <w:r>
              <w:t>网络专线租用成本控制率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网络和线路租赁数量</w:t>
            </w:r>
          </w:p>
        </w:tc>
        <w:tc>
          <w:tcPr>
            <w:tcW w:w="5386" w:type="dxa"/>
            <w:vAlign w:val="center"/>
          </w:tcPr>
          <w:p>
            <w:pPr>
              <w:pStyle w:val="13"/>
            </w:pPr>
            <w:r>
              <w:t>租赁网络和线路数量</w:t>
            </w:r>
          </w:p>
        </w:tc>
        <w:tc>
          <w:tcPr>
            <w:tcW w:w="2268" w:type="dxa"/>
            <w:vAlign w:val="center"/>
          </w:tcPr>
          <w:p>
            <w:pPr>
              <w:pStyle w:val="13"/>
            </w:pPr>
            <w:r>
              <w:t>108个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网络正常运行保障率</w:t>
            </w:r>
          </w:p>
        </w:tc>
        <w:tc>
          <w:tcPr>
            <w:tcW w:w="5386" w:type="dxa"/>
            <w:vAlign w:val="center"/>
          </w:tcPr>
          <w:p>
            <w:pPr>
              <w:pStyle w:val="13"/>
            </w:pPr>
            <w:r>
              <w:t>网络正常运行保障率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网络维护响应时间</w:t>
            </w:r>
          </w:p>
        </w:tc>
        <w:tc>
          <w:tcPr>
            <w:tcW w:w="5386" w:type="dxa"/>
            <w:vAlign w:val="center"/>
          </w:tcPr>
          <w:p>
            <w:pPr>
              <w:pStyle w:val="13"/>
            </w:pPr>
            <w:r>
              <w:t>网络维护响应时间</w:t>
            </w:r>
          </w:p>
        </w:tc>
        <w:tc>
          <w:tcPr>
            <w:tcW w:w="2268" w:type="dxa"/>
            <w:vAlign w:val="center"/>
          </w:tcPr>
          <w:p>
            <w:pPr>
              <w:pStyle w:val="13"/>
            </w:pPr>
            <w:r>
              <w:t>≤15分钟</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网络使用率</w:t>
            </w:r>
          </w:p>
        </w:tc>
        <w:tc>
          <w:tcPr>
            <w:tcW w:w="5386" w:type="dxa"/>
            <w:vAlign w:val="center"/>
          </w:tcPr>
          <w:p>
            <w:pPr>
              <w:pStyle w:val="13"/>
            </w:pPr>
            <w:r>
              <w:t>财政专网使用比例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提高工作效率</w:t>
            </w:r>
          </w:p>
        </w:tc>
        <w:tc>
          <w:tcPr>
            <w:tcW w:w="5386" w:type="dxa"/>
            <w:vAlign w:val="center"/>
          </w:tcPr>
          <w:p>
            <w:pPr>
              <w:pStyle w:val="13"/>
            </w:pPr>
            <w:r>
              <w:t>财政专网的安全保证，提高工作效率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办公人员对使用网络的满意度</w:t>
            </w:r>
          </w:p>
        </w:tc>
        <w:tc>
          <w:tcPr>
            <w:tcW w:w="5386" w:type="dxa"/>
            <w:vAlign w:val="center"/>
          </w:tcPr>
          <w:p>
            <w:pPr>
              <w:pStyle w:val="13"/>
            </w:pPr>
            <w:r>
              <w:t>办公人员对使用网络的满意度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5、法律咨询、律师代理服务费绩效目标表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13011025P00151210009Y</w:t>
            </w:r>
          </w:p>
        </w:tc>
        <w:tc>
          <w:tcPr>
            <w:tcW w:w="2835" w:type="dxa"/>
            <w:vAlign w:val="center"/>
          </w:tcPr>
          <w:p>
            <w:pPr>
              <w:pStyle w:val="11"/>
            </w:pPr>
            <w:r>
              <w:t>项目名称</w:t>
            </w:r>
          </w:p>
        </w:tc>
        <w:tc>
          <w:tcPr>
            <w:tcW w:w="6095" w:type="dxa"/>
            <w:gridSpan w:val="3"/>
            <w:vAlign w:val="center"/>
          </w:tcPr>
          <w:p>
            <w:pPr>
              <w:pStyle w:val="13"/>
            </w:pPr>
            <w:r>
              <w:t>法律咨询、律师代理服务费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w:t>
            </w:r>
          </w:p>
        </w:tc>
        <w:tc>
          <w:tcPr>
            <w:tcW w:w="2835" w:type="dxa"/>
            <w:vAlign w:val="center"/>
          </w:tcPr>
          <w:p>
            <w:pPr>
              <w:pStyle w:val="11"/>
            </w:pPr>
            <w:r>
              <w:t>其中：财政    资金</w:t>
            </w:r>
          </w:p>
        </w:tc>
        <w:tc>
          <w:tcPr>
            <w:tcW w:w="2551" w:type="dxa"/>
            <w:vAlign w:val="center"/>
          </w:tcPr>
          <w:p>
            <w:pPr>
              <w:pStyle w:val="13"/>
            </w:pPr>
            <w:r>
              <w:t>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聘请法律顾问服务费。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1.聘请法律顾问，提高职工法律知识，提供法律咨询，维护单位合法权益</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提供法律咨询数量</w:t>
            </w:r>
          </w:p>
        </w:tc>
        <w:tc>
          <w:tcPr>
            <w:tcW w:w="5386" w:type="dxa"/>
            <w:vAlign w:val="center"/>
          </w:tcPr>
          <w:p>
            <w:pPr>
              <w:pStyle w:val="13"/>
            </w:pPr>
            <w:r>
              <w:t>提供法律咨询数量</w:t>
            </w:r>
          </w:p>
        </w:tc>
        <w:tc>
          <w:tcPr>
            <w:tcW w:w="2268" w:type="dxa"/>
            <w:vAlign w:val="center"/>
          </w:tcPr>
          <w:p>
            <w:pPr>
              <w:pStyle w:val="13"/>
            </w:pPr>
            <w:r>
              <w:t>≥4次</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法律服务质量</w:t>
            </w:r>
          </w:p>
        </w:tc>
        <w:tc>
          <w:tcPr>
            <w:tcW w:w="5386" w:type="dxa"/>
            <w:vAlign w:val="center"/>
          </w:tcPr>
          <w:p>
            <w:pPr>
              <w:pStyle w:val="13"/>
            </w:pPr>
            <w:r>
              <w:t>法律服务质量</w:t>
            </w:r>
          </w:p>
        </w:tc>
        <w:tc>
          <w:tcPr>
            <w:tcW w:w="2268" w:type="dxa"/>
            <w:vAlign w:val="center"/>
          </w:tcPr>
          <w:p>
            <w:pPr>
              <w:pStyle w:val="13"/>
            </w:pPr>
            <w:r>
              <w:t>≥95%</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服务及时率</w:t>
            </w:r>
          </w:p>
        </w:tc>
        <w:tc>
          <w:tcPr>
            <w:tcW w:w="5386" w:type="dxa"/>
            <w:vAlign w:val="center"/>
          </w:tcPr>
          <w:p>
            <w:pPr>
              <w:pStyle w:val="13"/>
            </w:pPr>
            <w:r>
              <w:t>提供服务及时率</w:t>
            </w:r>
          </w:p>
        </w:tc>
        <w:tc>
          <w:tcPr>
            <w:tcW w:w="2268" w:type="dxa"/>
            <w:vAlign w:val="center"/>
          </w:tcPr>
          <w:p>
            <w:pPr>
              <w:pStyle w:val="13"/>
            </w:pPr>
            <w:r>
              <w:t>≥95%</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咨询服务费</w:t>
            </w:r>
          </w:p>
        </w:tc>
        <w:tc>
          <w:tcPr>
            <w:tcW w:w="5386" w:type="dxa"/>
            <w:vAlign w:val="center"/>
          </w:tcPr>
          <w:p>
            <w:pPr>
              <w:pStyle w:val="13"/>
            </w:pPr>
            <w:r>
              <w:t>法律咨询、律师代理服务费用</w:t>
            </w:r>
          </w:p>
        </w:tc>
        <w:tc>
          <w:tcPr>
            <w:tcW w:w="2268" w:type="dxa"/>
            <w:vAlign w:val="center"/>
          </w:tcPr>
          <w:p>
            <w:pPr>
              <w:pStyle w:val="13"/>
            </w:pPr>
            <w:r>
              <w:t>≤6万元</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保障服务能力</w:t>
            </w:r>
          </w:p>
        </w:tc>
        <w:tc>
          <w:tcPr>
            <w:tcW w:w="5386" w:type="dxa"/>
            <w:vAlign w:val="center"/>
          </w:tcPr>
          <w:p>
            <w:pPr>
              <w:pStyle w:val="13"/>
            </w:pPr>
            <w:r>
              <w:t>保障服务能力</w:t>
            </w:r>
          </w:p>
        </w:tc>
        <w:tc>
          <w:tcPr>
            <w:tcW w:w="2268" w:type="dxa"/>
            <w:vAlign w:val="center"/>
          </w:tcPr>
          <w:p>
            <w:pPr>
              <w:pStyle w:val="13"/>
            </w:pPr>
            <w:r>
              <w:t>≥90%</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法律服务专线接通率</w:t>
            </w:r>
          </w:p>
        </w:tc>
        <w:tc>
          <w:tcPr>
            <w:tcW w:w="5386" w:type="dxa"/>
            <w:vAlign w:val="center"/>
          </w:tcPr>
          <w:p>
            <w:pPr>
              <w:pStyle w:val="13"/>
            </w:pPr>
            <w:r>
              <w:t>法律服务专线接通率</w:t>
            </w:r>
          </w:p>
        </w:tc>
        <w:tc>
          <w:tcPr>
            <w:tcW w:w="2268" w:type="dxa"/>
            <w:vAlign w:val="center"/>
          </w:tcPr>
          <w:p>
            <w:pPr>
              <w:pStyle w:val="13"/>
            </w:pPr>
            <w:r>
              <w:t>≥95%</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单位对提供的法律咨询、律师代理服务的满意度</w:t>
            </w:r>
          </w:p>
        </w:tc>
        <w:tc>
          <w:tcPr>
            <w:tcW w:w="2268" w:type="dxa"/>
            <w:vAlign w:val="center"/>
          </w:tcPr>
          <w:p>
            <w:pPr>
              <w:pStyle w:val="13"/>
            </w:pPr>
            <w:r>
              <w:t>≥95%</w:t>
            </w:r>
          </w:p>
        </w:tc>
        <w:tc>
          <w:tcPr>
            <w:tcW w:w="1276"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6、关于提前下达2024年省级农村财会人员培训资金预算的通知绩效目标表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13011024P00001210536E</w:t>
            </w:r>
          </w:p>
        </w:tc>
        <w:tc>
          <w:tcPr>
            <w:tcW w:w="2835" w:type="dxa"/>
            <w:vAlign w:val="center"/>
          </w:tcPr>
          <w:p>
            <w:pPr>
              <w:pStyle w:val="11"/>
            </w:pPr>
            <w:r>
              <w:t>项目名称</w:t>
            </w:r>
          </w:p>
        </w:tc>
        <w:tc>
          <w:tcPr>
            <w:tcW w:w="6095" w:type="dxa"/>
            <w:gridSpan w:val="3"/>
            <w:vAlign w:val="center"/>
          </w:tcPr>
          <w:p>
            <w:pPr>
              <w:pStyle w:val="13"/>
            </w:pPr>
            <w:r>
              <w:t>关于提前下达2024年省级农村财会人员培训资金预算的通知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1.69</w:t>
            </w:r>
          </w:p>
        </w:tc>
        <w:tc>
          <w:tcPr>
            <w:tcW w:w="2835" w:type="dxa"/>
            <w:vAlign w:val="center"/>
          </w:tcPr>
          <w:p>
            <w:pPr>
              <w:pStyle w:val="11"/>
            </w:pPr>
            <w:r>
              <w:t>其中：财政    资金</w:t>
            </w:r>
          </w:p>
        </w:tc>
        <w:tc>
          <w:tcPr>
            <w:tcW w:w="2551" w:type="dxa"/>
            <w:vAlign w:val="center"/>
          </w:tcPr>
          <w:p>
            <w:pPr>
              <w:pStyle w:val="13"/>
            </w:pPr>
            <w:r>
              <w:t>1.69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用于支持做好农村财会人员支农政策培训工作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100%</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1.做好农村财会人员财政支农政策培训工作，提高农村财会人员政策水平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农村财会人员培训人数</w:t>
            </w:r>
          </w:p>
        </w:tc>
        <w:tc>
          <w:tcPr>
            <w:tcW w:w="5386" w:type="dxa"/>
            <w:vAlign w:val="center"/>
          </w:tcPr>
          <w:p>
            <w:pPr>
              <w:pStyle w:val="13"/>
            </w:pPr>
            <w:r>
              <w:t>参加农村财会人员培训的人数</w:t>
            </w:r>
          </w:p>
        </w:tc>
        <w:tc>
          <w:tcPr>
            <w:tcW w:w="2268" w:type="dxa"/>
            <w:vAlign w:val="center"/>
          </w:tcPr>
          <w:p>
            <w:pPr>
              <w:pStyle w:val="13"/>
            </w:pPr>
            <w:r>
              <w:t>≥800人</w:t>
            </w:r>
          </w:p>
        </w:tc>
        <w:tc>
          <w:tcPr>
            <w:tcW w:w="1276" w:type="dxa"/>
            <w:vAlign w:val="center"/>
          </w:tcPr>
          <w:p>
            <w:pPr>
              <w:pStyle w:val="13"/>
            </w:pPr>
            <w:r>
              <w:t>石财农【2023】103号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培训合格率</w:t>
            </w:r>
          </w:p>
        </w:tc>
        <w:tc>
          <w:tcPr>
            <w:tcW w:w="5386" w:type="dxa"/>
            <w:vAlign w:val="center"/>
          </w:tcPr>
          <w:p>
            <w:pPr>
              <w:pStyle w:val="13"/>
            </w:pPr>
            <w:r>
              <w:t>参加农村财会人员培训合格的人数占总财会人员的比率</w:t>
            </w:r>
          </w:p>
        </w:tc>
        <w:tc>
          <w:tcPr>
            <w:tcW w:w="2268" w:type="dxa"/>
            <w:vAlign w:val="center"/>
          </w:tcPr>
          <w:p>
            <w:pPr>
              <w:pStyle w:val="13"/>
            </w:pPr>
            <w:r>
              <w:t>100%</w:t>
            </w:r>
          </w:p>
        </w:tc>
        <w:tc>
          <w:tcPr>
            <w:tcW w:w="1276" w:type="dxa"/>
            <w:vAlign w:val="center"/>
          </w:tcPr>
          <w:p>
            <w:pPr>
              <w:pStyle w:val="13"/>
            </w:pPr>
            <w:r>
              <w:t>石财农【2023】103号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培训任务完成率</w:t>
            </w:r>
          </w:p>
        </w:tc>
        <w:tc>
          <w:tcPr>
            <w:tcW w:w="5386" w:type="dxa"/>
            <w:vAlign w:val="center"/>
          </w:tcPr>
          <w:p>
            <w:pPr>
              <w:pStyle w:val="13"/>
            </w:pPr>
            <w:r>
              <w:t>培训任务完成率</w:t>
            </w:r>
          </w:p>
        </w:tc>
        <w:tc>
          <w:tcPr>
            <w:tcW w:w="2268" w:type="dxa"/>
            <w:vAlign w:val="center"/>
          </w:tcPr>
          <w:p>
            <w:pPr>
              <w:pStyle w:val="13"/>
            </w:pPr>
            <w:r>
              <w:t>100%</w:t>
            </w:r>
          </w:p>
        </w:tc>
        <w:tc>
          <w:tcPr>
            <w:tcW w:w="1276" w:type="dxa"/>
            <w:vAlign w:val="center"/>
          </w:tcPr>
          <w:p>
            <w:pPr>
              <w:pStyle w:val="13"/>
            </w:pPr>
            <w:r>
              <w:t>石财农【2023】103号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人均培训成本</w:t>
            </w:r>
          </w:p>
        </w:tc>
        <w:tc>
          <w:tcPr>
            <w:tcW w:w="5386" w:type="dxa"/>
            <w:vAlign w:val="center"/>
          </w:tcPr>
          <w:p>
            <w:pPr>
              <w:pStyle w:val="13"/>
            </w:pPr>
            <w:r>
              <w:t>人均培训成本</w:t>
            </w:r>
          </w:p>
        </w:tc>
        <w:tc>
          <w:tcPr>
            <w:tcW w:w="2268" w:type="dxa"/>
            <w:vAlign w:val="center"/>
          </w:tcPr>
          <w:p>
            <w:pPr>
              <w:pStyle w:val="13"/>
            </w:pPr>
            <w:r>
              <w:t>≤80元</w:t>
            </w:r>
          </w:p>
        </w:tc>
        <w:tc>
          <w:tcPr>
            <w:tcW w:w="1276" w:type="dxa"/>
            <w:vAlign w:val="center"/>
          </w:tcPr>
          <w:p>
            <w:pPr>
              <w:pStyle w:val="13"/>
            </w:pPr>
            <w:r>
              <w:t>石财农【2023】103号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农村财会人员培训率</w:t>
            </w:r>
          </w:p>
        </w:tc>
        <w:tc>
          <w:tcPr>
            <w:tcW w:w="5386" w:type="dxa"/>
            <w:vAlign w:val="center"/>
          </w:tcPr>
          <w:p>
            <w:pPr>
              <w:pStyle w:val="13"/>
            </w:pPr>
            <w:r>
              <w:t>参加农村财会人员培训的人数占总财会人员的比率</w:t>
            </w:r>
          </w:p>
        </w:tc>
        <w:tc>
          <w:tcPr>
            <w:tcW w:w="2268" w:type="dxa"/>
            <w:vAlign w:val="center"/>
          </w:tcPr>
          <w:p>
            <w:pPr>
              <w:pStyle w:val="13"/>
            </w:pPr>
            <w:r>
              <w:t>100%</w:t>
            </w:r>
          </w:p>
        </w:tc>
        <w:tc>
          <w:tcPr>
            <w:tcW w:w="1276" w:type="dxa"/>
            <w:vAlign w:val="center"/>
          </w:tcPr>
          <w:p>
            <w:pPr>
              <w:pStyle w:val="13"/>
            </w:pPr>
            <w:r>
              <w:t>石财农【2023】103号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提高农村财会人员政策水平</w:t>
            </w:r>
          </w:p>
        </w:tc>
        <w:tc>
          <w:tcPr>
            <w:tcW w:w="5386" w:type="dxa"/>
            <w:vAlign w:val="center"/>
          </w:tcPr>
          <w:p>
            <w:pPr>
              <w:pStyle w:val="13"/>
            </w:pPr>
            <w:r>
              <w:t>提高农村财会人员政策水平</w:t>
            </w:r>
          </w:p>
        </w:tc>
        <w:tc>
          <w:tcPr>
            <w:tcW w:w="2268" w:type="dxa"/>
            <w:vAlign w:val="center"/>
          </w:tcPr>
          <w:p>
            <w:pPr>
              <w:pStyle w:val="13"/>
            </w:pPr>
            <w:r>
              <w:t>明显提高</w:t>
            </w:r>
          </w:p>
        </w:tc>
        <w:tc>
          <w:tcPr>
            <w:tcW w:w="1276" w:type="dxa"/>
            <w:vAlign w:val="center"/>
          </w:tcPr>
          <w:p>
            <w:pPr>
              <w:pStyle w:val="13"/>
            </w:pPr>
            <w:r>
              <w:t>石财农【2023】103号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财会人员满意度</w:t>
            </w:r>
          </w:p>
        </w:tc>
        <w:tc>
          <w:tcPr>
            <w:tcW w:w="5386" w:type="dxa"/>
            <w:vAlign w:val="center"/>
          </w:tcPr>
          <w:p>
            <w:pPr>
              <w:pStyle w:val="13"/>
            </w:pPr>
            <w:r>
              <w:t>参加农村财会人员培训的满意度</w:t>
            </w:r>
          </w:p>
        </w:tc>
        <w:tc>
          <w:tcPr>
            <w:tcW w:w="2268" w:type="dxa"/>
            <w:vAlign w:val="center"/>
          </w:tcPr>
          <w:p>
            <w:pPr>
              <w:pStyle w:val="13"/>
            </w:pPr>
            <w:r>
              <w:t>100%</w:t>
            </w:r>
          </w:p>
        </w:tc>
        <w:tc>
          <w:tcPr>
            <w:tcW w:w="1276" w:type="dxa"/>
            <w:vAlign w:val="center"/>
          </w:tcPr>
          <w:p>
            <w:pPr>
              <w:pStyle w:val="13"/>
            </w:pPr>
            <w:r>
              <w:t>石财农【2023】103号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7、会计人员培训费绩效目标表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13011025P00151210008B</w:t>
            </w:r>
          </w:p>
        </w:tc>
        <w:tc>
          <w:tcPr>
            <w:tcW w:w="2835" w:type="dxa"/>
            <w:vAlign w:val="center"/>
          </w:tcPr>
          <w:p>
            <w:pPr>
              <w:pStyle w:val="11"/>
            </w:pPr>
            <w:r>
              <w:t>项目名称</w:t>
            </w:r>
          </w:p>
        </w:tc>
        <w:tc>
          <w:tcPr>
            <w:tcW w:w="6095" w:type="dxa"/>
            <w:gridSpan w:val="3"/>
            <w:vAlign w:val="center"/>
          </w:tcPr>
          <w:p>
            <w:pPr>
              <w:pStyle w:val="13"/>
            </w:pPr>
            <w:r>
              <w:t>会计人员培训费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w:t>
            </w:r>
          </w:p>
        </w:tc>
        <w:tc>
          <w:tcPr>
            <w:tcW w:w="2835" w:type="dxa"/>
            <w:vAlign w:val="center"/>
          </w:tcPr>
          <w:p>
            <w:pPr>
              <w:pStyle w:val="11"/>
            </w:pPr>
            <w:r>
              <w:t>其中：财政    资金</w:t>
            </w:r>
          </w:p>
        </w:tc>
        <w:tc>
          <w:tcPr>
            <w:tcW w:w="2551" w:type="dxa"/>
            <w:vAlign w:val="center"/>
          </w:tcPr>
          <w:p>
            <w:pPr>
              <w:pStyle w:val="13"/>
            </w:pPr>
            <w:r>
              <w:t>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用于对会计人员的培训。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1.为了增强我区会计人员业务知识，加强会计人员懂法守法职业操守</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培训次数</w:t>
            </w:r>
          </w:p>
        </w:tc>
        <w:tc>
          <w:tcPr>
            <w:tcW w:w="5386" w:type="dxa"/>
            <w:vAlign w:val="center"/>
          </w:tcPr>
          <w:p>
            <w:pPr>
              <w:pStyle w:val="13"/>
            </w:pPr>
            <w:r>
              <w:t>组织培训的次数</w:t>
            </w:r>
          </w:p>
        </w:tc>
        <w:tc>
          <w:tcPr>
            <w:tcW w:w="2268" w:type="dxa"/>
            <w:vAlign w:val="center"/>
          </w:tcPr>
          <w:p>
            <w:pPr>
              <w:pStyle w:val="13"/>
            </w:pPr>
            <w:r>
              <w:t>≥2次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培训合格率</w:t>
            </w:r>
          </w:p>
        </w:tc>
        <w:tc>
          <w:tcPr>
            <w:tcW w:w="5386" w:type="dxa"/>
            <w:vAlign w:val="center"/>
          </w:tcPr>
          <w:p>
            <w:pPr>
              <w:pStyle w:val="13"/>
            </w:pPr>
            <w:r>
              <w:t>培训合格的人员数量占培训总人员数量的比例</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培训计划按期完成率（%）</w:t>
            </w:r>
          </w:p>
        </w:tc>
        <w:tc>
          <w:tcPr>
            <w:tcW w:w="5386" w:type="dxa"/>
            <w:vAlign w:val="center"/>
          </w:tcPr>
          <w:p>
            <w:pPr>
              <w:pStyle w:val="13"/>
            </w:pPr>
            <w:r>
              <w:t>培训按期完成的比例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培训成本</w:t>
            </w:r>
          </w:p>
        </w:tc>
        <w:tc>
          <w:tcPr>
            <w:tcW w:w="5386" w:type="dxa"/>
            <w:vAlign w:val="center"/>
          </w:tcPr>
          <w:p>
            <w:pPr>
              <w:pStyle w:val="13"/>
            </w:pPr>
            <w:r>
              <w:t>组织培训的花费</w:t>
            </w:r>
          </w:p>
        </w:tc>
        <w:tc>
          <w:tcPr>
            <w:tcW w:w="2268" w:type="dxa"/>
            <w:vAlign w:val="center"/>
          </w:tcPr>
          <w:p>
            <w:pPr>
              <w:pStyle w:val="13"/>
            </w:pPr>
            <w:r>
              <w:t>≤6万元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培训人员业务提升情况</w:t>
            </w:r>
          </w:p>
        </w:tc>
        <w:tc>
          <w:tcPr>
            <w:tcW w:w="5386" w:type="dxa"/>
            <w:vAlign w:val="center"/>
          </w:tcPr>
          <w:p>
            <w:pPr>
              <w:pStyle w:val="13"/>
            </w:pPr>
            <w:r>
              <w:t>培训内容对培训人员实际工作上的提升效果</w:t>
            </w:r>
          </w:p>
        </w:tc>
        <w:tc>
          <w:tcPr>
            <w:tcW w:w="2268" w:type="dxa"/>
            <w:vAlign w:val="center"/>
          </w:tcPr>
          <w:p>
            <w:pPr>
              <w:pStyle w:val="13"/>
            </w:pPr>
            <w:r>
              <w:t>有效提升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培训人员满意度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8、机关服务专项经费绩效目标表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13011025P00151210007P</w:t>
            </w:r>
          </w:p>
        </w:tc>
        <w:tc>
          <w:tcPr>
            <w:tcW w:w="2835" w:type="dxa"/>
            <w:vAlign w:val="center"/>
          </w:tcPr>
          <w:p>
            <w:pPr>
              <w:pStyle w:val="11"/>
            </w:pPr>
            <w:r>
              <w:t>项目名称</w:t>
            </w:r>
          </w:p>
        </w:tc>
        <w:tc>
          <w:tcPr>
            <w:tcW w:w="6095" w:type="dxa"/>
            <w:gridSpan w:val="3"/>
            <w:vAlign w:val="center"/>
          </w:tcPr>
          <w:p>
            <w:pPr>
              <w:pStyle w:val="13"/>
            </w:pPr>
            <w:r>
              <w:t>机关服务专项经费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39.30</w:t>
            </w:r>
          </w:p>
        </w:tc>
        <w:tc>
          <w:tcPr>
            <w:tcW w:w="2835" w:type="dxa"/>
            <w:vAlign w:val="center"/>
          </w:tcPr>
          <w:p>
            <w:pPr>
              <w:pStyle w:val="11"/>
            </w:pPr>
            <w:r>
              <w:t>其中：财政    资金</w:t>
            </w:r>
          </w:p>
        </w:tc>
        <w:tc>
          <w:tcPr>
            <w:tcW w:w="2551" w:type="dxa"/>
            <w:vAlign w:val="center"/>
          </w:tcPr>
          <w:p>
            <w:pPr>
              <w:pStyle w:val="13"/>
            </w:pPr>
            <w:r>
              <w:t>39.30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用于保安、保洁、门卫、维修、后勤服务等支出。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1.优化工作环境，提高服务质量</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服务保障支出项</w:t>
            </w:r>
          </w:p>
        </w:tc>
        <w:tc>
          <w:tcPr>
            <w:tcW w:w="5386" w:type="dxa"/>
            <w:vAlign w:val="center"/>
          </w:tcPr>
          <w:p>
            <w:pPr>
              <w:pStyle w:val="13"/>
            </w:pPr>
            <w:r>
              <w:t>服务保障支出项</w:t>
            </w:r>
          </w:p>
        </w:tc>
        <w:tc>
          <w:tcPr>
            <w:tcW w:w="2268" w:type="dxa"/>
            <w:vAlign w:val="center"/>
          </w:tcPr>
          <w:p>
            <w:pPr>
              <w:pStyle w:val="13"/>
            </w:pPr>
            <w:r>
              <w:t>5项</w:t>
            </w:r>
          </w:p>
        </w:tc>
        <w:tc>
          <w:tcPr>
            <w:tcW w:w="1276" w:type="dxa"/>
            <w:vAlign w:val="center"/>
          </w:tcPr>
          <w:p>
            <w:pPr>
              <w:pStyle w:val="13"/>
            </w:pPr>
            <w:r>
              <w:t>局党组会议纪要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服务保障率</w:t>
            </w:r>
          </w:p>
        </w:tc>
        <w:tc>
          <w:tcPr>
            <w:tcW w:w="5386" w:type="dxa"/>
            <w:vAlign w:val="center"/>
          </w:tcPr>
          <w:p>
            <w:pPr>
              <w:pStyle w:val="13"/>
            </w:pPr>
            <w:r>
              <w:t>服务保障率</w:t>
            </w:r>
          </w:p>
        </w:tc>
        <w:tc>
          <w:tcPr>
            <w:tcW w:w="2268" w:type="dxa"/>
            <w:vAlign w:val="center"/>
          </w:tcPr>
          <w:p>
            <w:pPr>
              <w:pStyle w:val="13"/>
            </w:pPr>
            <w:r>
              <w:t>≥95%</w:t>
            </w:r>
          </w:p>
        </w:tc>
        <w:tc>
          <w:tcPr>
            <w:tcW w:w="1276" w:type="dxa"/>
            <w:vAlign w:val="center"/>
          </w:tcPr>
          <w:p>
            <w:pPr>
              <w:pStyle w:val="13"/>
            </w:pPr>
            <w:r>
              <w:t>局党组会议纪要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服务及时率</w:t>
            </w:r>
          </w:p>
        </w:tc>
        <w:tc>
          <w:tcPr>
            <w:tcW w:w="5386" w:type="dxa"/>
            <w:vAlign w:val="center"/>
          </w:tcPr>
          <w:p>
            <w:pPr>
              <w:pStyle w:val="13"/>
            </w:pPr>
            <w:r>
              <w:t>后勤人员服务及时率</w:t>
            </w:r>
          </w:p>
        </w:tc>
        <w:tc>
          <w:tcPr>
            <w:tcW w:w="2268" w:type="dxa"/>
            <w:vAlign w:val="center"/>
          </w:tcPr>
          <w:p>
            <w:pPr>
              <w:pStyle w:val="13"/>
            </w:pPr>
            <w:r>
              <w:t>≥95%</w:t>
            </w:r>
          </w:p>
        </w:tc>
        <w:tc>
          <w:tcPr>
            <w:tcW w:w="1276" w:type="dxa"/>
            <w:vAlign w:val="center"/>
          </w:tcPr>
          <w:p>
            <w:pPr>
              <w:pStyle w:val="13"/>
            </w:pPr>
            <w:r>
              <w:t>局党组会议纪要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全年支付服务人员工资额</w:t>
            </w:r>
          </w:p>
        </w:tc>
        <w:tc>
          <w:tcPr>
            <w:tcW w:w="5386" w:type="dxa"/>
            <w:vAlign w:val="center"/>
          </w:tcPr>
          <w:p>
            <w:pPr>
              <w:pStyle w:val="13"/>
            </w:pPr>
            <w:r>
              <w:t>全年支付服务人员工资额</w:t>
            </w:r>
          </w:p>
        </w:tc>
        <w:tc>
          <w:tcPr>
            <w:tcW w:w="2268" w:type="dxa"/>
            <w:vAlign w:val="center"/>
          </w:tcPr>
          <w:p>
            <w:pPr>
              <w:pStyle w:val="13"/>
            </w:pPr>
            <w:r>
              <w:t>≤39.3万元</w:t>
            </w:r>
          </w:p>
        </w:tc>
        <w:tc>
          <w:tcPr>
            <w:tcW w:w="1276" w:type="dxa"/>
            <w:vAlign w:val="center"/>
          </w:tcPr>
          <w:p>
            <w:pPr>
              <w:pStyle w:val="13"/>
            </w:pPr>
            <w:r>
              <w:t>局党组会议纪要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增强服务保障能力</w:t>
            </w:r>
          </w:p>
        </w:tc>
        <w:tc>
          <w:tcPr>
            <w:tcW w:w="5386" w:type="dxa"/>
            <w:vAlign w:val="center"/>
          </w:tcPr>
          <w:p>
            <w:pPr>
              <w:pStyle w:val="13"/>
            </w:pPr>
            <w:r>
              <w:t>增强服务保障能力</w:t>
            </w:r>
          </w:p>
        </w:tc>
        <w:tc>
          <w:tcPr>
            <w:tcW w:w="2268" w:type="dxa"/>
            <w:vAlign w:val="center"/>
          </w:tcPr>
          <w:p>
            <w:pPr>
              <w:pStyle w:val="13"/>
            </w:pPr>
            <w:r>
              <w:t>≥95增强</w:t>
            </w:r>
          </w:p>
        </w:tc>
        <w:tc>
          <w:tcPr>
            <w:tcW w:w="1276" w:type="dxa"/>
            <w:vAlign w:val="center"/>
          </w:tcPr>
          <w:p>
            <w:pPr>
              <w:pStyle w:val="13"/>
            </w:pPr>
            <w:r>
              <w:t>局党组会议纪要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服务的改善与提升</w:t>
            </w:r>
          </w:p>
        </w:tc>
        <w:tc>
          <w:tcPr>
            <w:tcW w:w="5386" w:type="dxa"/>
            <w:vAlign w:val="center"/>
          </w:tcPr>
          <w:p>
            <w:pPr>
              <w:pStyle w:val="13"/>
            </w:pPr>
            <w:r>
              <w:t>服务的改善与提升</w:t>
            </w:r>
          </w:p>
        </w:tc>
        <w:tc>
          <w:tcPr>
            <w:tcW w:w="2268" w:type="dxa"/>
            <w:vAlign w:val="center"/>
          </w:tcPr>
          <w:p>
            <w:pPr>
              <w:pStyle w:val="13"/>
            </w:pPr>
            <w:r>
              <w:t>≥95提升</w:t>
            </w:r>
          </w:p>
        </w:tc>
        <w:tc>
          <w:tcPr>
            <w:tcW w:w="1276" w:type="dxa"/>
            <w:vAlign w:val="center"/>
          </w:tcPr>
          <w:p>
            <w:pPr>
              <w:pStyle w:val="13"/>
            </w:pPr>
            <w:r>
              <w:t>局党组会议纪要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职工对服务的满意度</w:t>
            </w:r>
          </w:p>
        </w:tc>
        <w:tc>
          <w:tcPr>
            <w:tcW w:w="5386" w:type="dxa"/>
            <w:vAlign w:val="center"/>
          </w:tcPr>
          <w:p>
            <w:pPr>
              <w:pStyle w:val="13"/>
            </w:pPr>
            <w:r>
              <w:t>职工对服务的满意度</w:t>
            </w:r>
          </w:p>
        </w:tc>
        <w:tc>
          <w:tcPr>
            <w:tcW w:w="2268" w:type="dxa"/>
            <w:vAlign w:val="center"/>
          </w:tcPr>
          <w:p>
            <w:pPr>
              <w:pStyle w:val="13"/>
            </w:pPr>
            <w:r>
              <w:t>≥95%</w:t>
            </w:r>
          </w:p>
        </w:tc>
        <w:tc>
          <w:tcPr>
            <w:tcW w:w="1276" w:type="dxa"/>
            <w:vAlign w:val="center"/>
          </w:tcPr>
          <w:p>
            <w:pPr>
              <w:pStyle w:val="13"/>
            </w:pPr>
            <w:r>
              <w:t>局党组会议纪要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9、评估及国有企业审计业务费绩效目标表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13011025P00151210004W</w:t>
            </w:r>
          </w:p>
        </w:tc>
        <w:tc>
          <w:tcPr>
            <w:tcW w:w="2835" w:type="dxa"/>
            <w:vAlign w:val="center"/>
          </w:tcPr>
          <w:p>
            <w:pPr>
              <w:pStyle w:val="11"/>
            </w:pPr>
            <w:r>
              <w:t>项目名称</w:t>
            </w:r>
          </w:p>
        </w:tc>
        <w:tc>
          <w:tcPr>
            <w:tcW w:w="6095" w:type="dxa"/>
            <w:gridSpan w:val="3"/>
            <w:vAlign w:val="center"/>
          </w:tcPr>
          <w:p>
            <w:pPr>
              <w:pStyle w:val="13"/>
            </w:pPr>
            <w:r>
              <w:t>评估及国有企业审计业务费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w:t>
            </w:r>
          </w:p>
        </w:tc>
        <w:tc>
          <w:tcPr>
            <w:tcW w:w="2835" w:type="dxa"/>
            <w:vAlign w:val="center"/>
          </w:tcPr>
          <w:p>
            <w:pPr>
              <w:pStyle w:val="11"/>
            </w:pPr>
            <w:r>
              <w:t>其中：财政    资金</w:t>
            </w:r>
          </w:p>
        </w:tc>
        <w:tc>
          <w:tcPr>
            <w:tcW w:w="2551" w:type="dxa"/>
            <w:vAlign w:val="center"/>
          </w:tcPr>
          <w:p>
            <w:pPr>
              <w:pStyle w:val="13"/>
            </w:pPr>
            <w:r>
              <w:t>200.00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用于全区涉及财政资金收支的评估业务费及对国有企业的审计等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1.委托第三方按实际需求做好所有涉及评估业务的评估工作和国有企业的审计工作，进一步提高财政资金使用绩效及国有企业的监管。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评估及审计业务安排的数量</w:t>
            </w:r>
          </w:p>
        </w:tc>
        <w:tc>
          <w:tcPr>
            <w:tcW w:w="5386" w:type="dxa"/>
            <w:vAlign w:val="center"/>
          </w:tcPr>
          <w:p>
            <w:pPr>
              <w:pStyle w:val="13"/>
            </w:pPr>
            <w:r>
              <w:t>根据需要开展评估及审计业务的数量</w:t>
            </w:r>
          </w:p>
        </w:tc>
        <w:tc>
          <w:tcPr>
            <w:tcW w:w="2268" w:type="dxa"/>
            <w:vAlign w:val="center"/>
          </w:tcPr>
          <w:p>
            <w:pPr>
              <w:pStyle w:val="13"/>
            </w:pPr>
            <w:r>
              <w:t>按照实际需求</w:t>
            </w:r>
          </w:p>
        </w:tc>
        <w:tc>
          <w:tcPr>
            <w:tcW w:w="1276" w:type="dxa"/>
            <w:vAlign w:val="center"/>
          </w:tcPr>
          <w:p>
            <w:pPr>
              <w:pStyle w:val="13"/>
            </w:pPr>
            <w:r>
              <w:t>政策要求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评估及审计业务完成率</w:t>
            </w:r>
          </w:p>
        </w:tc>
        <w:tc>
          <w:tcPr>
            <w:tcW w:w="5386" w:type="dxa"/>
            <w:vAlign w:val="center"/>
          </w:tcPr>
          <w:p>
            <w:pPr>
              <w:pStyle w:val="13"/>
            </w:pPr>
            <w:r>
              <w:t>实际完成的工作占计划工作的比例</w:t>
            </w:r>
          </w:p>
        </w:tc>
        <w:tc>
          <w:tcPr>
            <w:tcW w:w="2268" w:type="dxa"/>
            <w:vAlign w:val="center"/>
          </w:tcPr>
          <w:p>
            <w:pPr>
              <w:pStyle w:val="13"/>
            </w:pPr>
            <w:r>
              <w:t>100%</w:t>
            </w:r>
          </w:p>
        </w:tc>
        <w:tc>
          <w:tcPr>
            <w:tcW w:w="1276" w:type="dxa"/>
            <w:vAlign w:val="center"/>
          </w:tcPr>
          <w:p>
            <w:pPr>
              <w:pStyle w:val="13"/>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评估及审计业务完成时效</w:t>
            </w:r>
          </w:p>
        </w:tc>
        <w:tc>
          <w:tcPr>
            <w:tcW w:w="5386" w:type="dxa"/>
            <w:vAlign w:val="center"/>
          </w:tcPr>
          <w:p>
            <w:pPr>
              <w:pStyle w:val="13"/>
            </w:pPr>
            <w:r>
              <w:t>按时完成的工作数量占总工作数量的比例</w:t>
            </w:r>
          </w:p>
        </w:tc>
        <w:tc>
          <w:tcPr>
            <w:tcW w:w="2268" w:type="dxa"/>
            <w:vAlign w:val="center"/>
          </w:tcPr>
          <w:p>
            <w:pPr>
              <w:pStyle w:val="13"/>
            </w:pPr>
            <w:r>
              <w:t>≥98%</w:t>
            </w:r>
          </w:p>
        </w:tc>
        <w:tc>
          <w:tcPr>
            <w:tcW w:w="1276" w:type="dxa"/>
            <w:vAlign w:val="center"/>
          </w:tcPr>
          <w:p>
            <w:pPr>
              <w:pStyle w:val="13"/>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评估及审计业务成本</w:t>
            </w:r>
          </w:p>
        </w:tc>
        <w:tc>
          <w:tcPr>
            <w:tcW w:w="5386" w:type="dxa"/>
            <w:vAlign w:val="center"/>
          </w:tcPr>
          <w:p>
            <w:pPr>
              <w:pStyle w:val="13"/>
            </w:pPr>
            <w:r>
              <w:t>评估及审计业务单位成本</w:t>
            </w:r>
          </w:p>
        </w:tc>
        <w:tc>
          <w:tcPr>
            <w:tcW w:w="2268" w:type="dxa"/>
            <w:vAlign w:val="center"/>
          </w:tcPr>
          <w:p>
            <w:pPr>
              <w:pStyle w:val="13"/>
            </w:pPr>
            <w:r>
              <w:t>按照议价，不超预算</w:t>
            </w:r>
          </w:p>
        </w:tc>
        <w:tc>
          <w:tcPr>
            <w:tcW w:w="1276" w:type="dxa"/>
            <w:vAlign w:val="center"/>
          </w:tcPr>
          <w:p>
            <w:pPr>
              <w:pStyle w:val="13"/>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评估及审计结果应用率</w:t>
            </w:r>
          </w:p>
        </w:tc>
        <w:tc>
          <w:tcPr>
            <w:tcW w:w="5386" w:type="dxa"/>
            <w:vAlign w:val="center"/>
          </w:tcPr>
          <w:p>
            <w:pPr>
              <w:pStyle w:val="13"/>
            </w:pPr>
            <w:r>
              <w:t>评估及审计结果应用的程度</w:t>
            </w:r>
          </w:p>
        </w:tc>
        <w:tc>
          <w:tcPr>
            <w:tcW w:w="2268" w:type="dxa"/>
            <w:vAlign w:val="center"/>
          </w:tcPr>
          <w:p>
            <w:pPr>
              <w:pStyle w:val="13"/>
            </w:pPr>
            <w:r>
              <w:t>100%</w:t>
            </w:r>
          </w:p>
        </w:tc>
        <w:tc>
          <w:tcPr>
            <w:tcW w:w="1276" w:type="dxa"/>
            <w:vAlign w:val="center"/>
          </w:tcPr>
          <w:p>
            <w:pPr>
              <w:pStyle w:val="13"/>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促进资产评估事业健康发展的时效性</w:t>
            </w:r>
          </w:p>
        </w:tc>
        <w:tc>
          <w:tcPr>
            <w:tcW w:w="5386" w:type="dxa"/>
            <w:vAlign w:val="center"/>
          </w:tcPr>
          <w:p>
            <w:pPr>
              <w:pStyle w:val="13"/>
            </w:pPr>
            <w:r>
              <w:t>促进资产评估事业健康发展时效性</w:t>
            </w:r>
          </w:p>
        </w:tc>
        <w:tc>
          <w:tcPr>
            <w:tcW w:w="2268" w:type="dxa"/>
            <w:vAlign w:val="center"/>
          </w:tcPr>
          <w:p>
            <w:pPr>
              <w:pStyle w:val="13"/>
            </w:pPr>
            <w:r>
              <w:t>长期</w:t>
            </w:r>
          </w:p>
        </w:tc>
        <w:tc>
          <w:tcPr>
            <w:tcW w:w="1276" w:type="dxa"/>
            <w:vAlign w:val="center"/>
          </w:tcPr>
          <w:p>
            <w:pPr>
              <w:pStyle w:val="13"/>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促进国有企业监管</w:t>
            </w:r>
          </w:p>
        </w:tc>
        <w:tc>
          <w:tcPr>
            <w:tcW w:w="5386" w:type="dxa"/>
            <w:vAlign w:val="center"/>
          </w:tcPr>
          <w:p>
            <w:pPr>
              <w:pStyle w:val="13"/>
            </w:pPr>
            <w:r>
              <w:t>促进国有企业监管</w:t>
            </w:r>
          </w:p>
          <w:p>
            <w:pPr>
              <w:pStyle w:val="13"/>
            </w:pPr>
          </w:p>
        </w:tc>
        <w:tc>
          <w:tcPr>
            <w:tcW w:w="2268" w:type="dxa"/>
            <w:vAlign w:val="center"/>
          </w:tcPr>
          <w:p>
            <w:pPr>
              <w:pStyle w:val="13"/>
            </w:pPr>
            <w:r>
              <w:t xml:space="preserve">长期 </w:t>
            </w:r>
          </w:p>
        </w:tc>
        <w:tc>
          <w:tcPr>
            <w:tcW w:w="1276" w:type="dxa"/>
            <w:vAlign w:val="center"/>
          </w:tcPr>
          <w:p>
            <w:pPr>
              <w:pStyle w:val="13"/>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评估及审计对象对评估及审计结果的满意程度</w:t>
            </w:r>
          </w:p>
        </w:tc>
        <w:tc>
          <w:tcPr>
            <w:tcW w:w="2268" w:type="dxa"/>
            <w:vAlign w:val="center"/>
          </w:tcPr>
          <w:p>
            <w:pPr>
              <w:pStyle w:val="13"/>
            </w:pPr>
            <w:r>
              <w:t>≥95%</w:t>
            </w:r>
          </w:p>
        </w:tc>
        <w:tc>
          <w:tcPr>
            <w:tcW w:w="1276"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10、税收专项服务项目绩效目标表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13011025P00151210005G</w:t>
            </w:r>
          </w:p>
        </w:tc>
        <w:tc>
          <w:tcPr>
            <w:tcW w:w="2835" w:type="dxa"/>
            <w:vAlign w:val="center"/>
          </w:tcPr>
          <w:p>
            <w:pPr>
              <w:pStyle w:val="11"/>
            </w:pPr>
            <w:r>
              <w:t>项目名称</w:t>
            </w:r>
          </w:p>
        </w:tc>
        <w:tc>
          <w:tcPr>
            <w:tcW w:w="6095" w:type="dxa"/>
            <w:gridSpan w:val="3"/>
            <w:vAlign w:val="center"/>
          </w:tcPr>
          <w:p>
            <w:pPr>
              <w:pStyle w:val="13"/>
            </w:pPr>
            <w:r>
              <w:t>税收专项服务项目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35.00</w:t>
            </w:r>
          </w:p>
        </w:tc>
        <w:tc>
          <w:tcPr>
            <w:tcW w:w="2835" w:type="dxa"/>
            <w:vAlign w:val="center"/>
          </w:tcPr>
          <w:p>
            <w:pPr>
              <w:pStyle w:val="11"/>
            </w:pPr>
            <w:r>
              <w:t>其中：财政    资金</w:t>
            </w:r>
          </w:p>
        </w:tc>
        <w:tc>
          <w:tcPr>
            <w:tcW w:w="2551" w:type="dxa"/>
            <w:vAlign w:val="center"/>
          </w:tcPr>
          <w:p>
            <w:pPr>
              <w:pStyle w:val="13"/>
            </w:pPr>
            <w:r>
              <w:t>35.00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用于委托第三方进行土增税清算及财源跟踪评价评估费。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1.委托第三方进行土地增值税清算和新增财源跟踪评价，做好减税降费宣传工作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清算税收评估税源的企业数量</w:t>
            </w:r>
          </w:p>
        </w:tc>
        <w:tc>
          <w:tcPr>
            <w:tcW w:w="5386" w:type="dxa"/>
            <w:vAlign w:val="center"/>
          </w:tcPr>
          <w:p>
            <w:pPr>
              <w:pStyle w:val="13"/>
            </w:pPr>
            <w:r>
              <w:t>清算税收评估税源的企业数量</w:t>
            </w:r>
          </w:p>
        </w:tc>
        <w:tc>
          <w:tcPr>
            <w:tcW w:w="2268" w:type="dxa"/>
            <w:vAlign w:val="center"/>
          </w:tcPr>
          <w:p>
            <w:pPr>
              <w:pStyle w:val="13"/>
            </w:pPr>
            <w:r>
              <w:t>按照实际需求</w:t>
            </w:r>
          </w:p>
        </w:tc>
        <w:tc>
          <w:tcPr>
            <w:tcW w:w="1276" w:type="dxa"/>
            <w:vAlign w:val="center"/>
          </w:tcPr>
          <w:p>
            <w:pPr>
              <w:pStyle w:val="13"/>
            </w:pPr>
            <w:r>
              <w:t>石综税办[2019]1号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清算评估工作成本</w:t>
            </w:r>
          </w:p>
        </w:tc>
        <w:tc>
          <w:tcPr>
            <w:tcW w:w="5386" w:type="dxa"/>
            <w:vAlign w:val="center"/>
          </w:tcPr>
          <w:p>
            <w:pPr>
              <w:pStyle w:val="13"/>
            </w:pPr>
            <w:r>
              <w:t>清算评估工作成本</w:t>
            </w:r>
          </w:p>
        </w:tc>
        <w:tc>
          <w:tcPr>
            <w:tcW w:w="2268" w:type="dxa"/>
            <w:vAlign w:val="center"/>
          </w:tcPr>
          <w:p>
            <w:pPr>
              <w:pStyle w:val="13"/>
            </w:pPr>
            <w:r>
              <w:t>按照实际工作</w:t>
            </w:r>
          </w:p>
        </w:tc>
        <w:tc>
          <w:tcPr>
            <w:tcW w:w="1276" w:type="dxa"/>
            <w:vAlign w:val="center"/>
          </w:tcPr>
          <w:p>
            <w:pPr>
              <w:pStyle w:val="13"/>
            </w:pPr>
            <w:r>
              <w:t>石综税办[2019]1号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清算评估工作完成率</w:t>
            </w:r>
          </w:p>
        </w:tc>
        <w:tc>
          <w:tcPr>
            <w:tcW w:w="5386" w:type="dxa"/>
            <w:vAlign w:val="center"/>
          </w:tcPr>
          <w:p>
            <w:pPr>
              <w:pStyle w:val="13"/>
            </w:pPr>
            <w:r>
              <w:t>实际完成的项目占计划的比例</w:t>
            </w:r>
          </w:p>
        </w:tc>
        <w:tc>
          <w:tcPr>
            <w:tcW w:w="2268" w:type="dxa"/>
            <w:vAlign w:val="center"/>
          </w:tcPr>
          <w:p>
            <w:pPr>
              <w:pStyle w:val="13"/>
            </w:pPr>
            <w:r>
              <w:t>≥95%</w:t>
            </w:r>
          </w:p>
        </w:tc>
        <w:tc>
          <w:tcPr>
            <w:tcW w:w="1276" w:type="dxa"/>
            <w:vAlign w:val="center"/>
          </w:tcPr>
          <w:p>
            <w:pPr>
              <w:pStyle w:val="13"/>
            </w:pPr>
            <w:r>
              <w:t>石综税办[2019]1号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清算评估工作按时完成率</w:t>
            </w:r>
          </w:p>
        </w:tc>
        <w:tc>
          <w:tcPr>
            <w:tcW w:w="5386" w:type="dxa"/>
            <w:vAlign w:val="center"/>
          </w:tcPr>
          <w:p>
            <w:pPr>
              <w:pStyle w:val="13"/>
            </w:pPr>
            <w:r>
              <w:t>按时完成的项目数量占总数量的比例</w:t>
            </w:r>
          </w:p>
        </w:tc>
        <w:tc>
          <w:tcPr>
            <w:tcW w:w="2268" w:type="dxa"/>
            <w:vAlign w:val="center"/>
          </w:tcPr>
          <w:p>
            <w:pPr>
              <w:pStyle w:val="13"/>
            </w:pPr>
            <w:r>
              <w:t>≥95%</w:t>
            </w:r>
          </w:p>
        </w:tc>
        <w:tc>
          <w:tcPr>
            <w:tcW w:w="1276" w:type="dxa"/>
            <w:vAlign w:val="center"/>
          </w:tcPr>
          <w:p>
            <w:pPr>
              <w:pStyle w:val="13"/>
            </w:pPr>
            <w:r>
              <w:t>石综税办[2019]1号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促进经济增长</w:t>
            </w:r>
          </w:p>
        </w:tc>
        <w:tc>
          <w:tcPr>
            <w:tcW w:w="5386" w:type="dxa"/>
            <w:vAlign w:val="center"/>
          </w:tcPr>
          <w:p>
            <w:pPr>
              <w:pStyle w:val="13"/>
            </w:pPr>
            <w:r>
              <w:t>促进经济增长</w:t>
            </w:r>
          </w:p>
        </w:tc>
        <w:tc>
          <w:tcPr>
            <w:tcW w:w="2268" w:type="dxa"/>
            <w:vAlign w:val="center"/>
          </w:tcPr>
          <w:p>
            <w:pPr>
              <w:pStyle w:val="13"/>
            </w:pPr>
            <w:r>
              <w:t>≥1500万元</w:t>
            </w:r>
          </w:p>
        </w:tc>
        <w:tc>
          <w:tcPr>
            <w:tcW w:w="1276" w:type="dxa"/>
            <w:vAlign w:val="center"/>
          </w:tcPr>
          <w:p>
            <w:pPr>
              <w:pStyle w:val="13"/>
            </w:pPr>
            <w:r>
              <w:t>石综税办[2019]1号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增加财政收入质量</w:t>
            </w:r>
          </w:p>
        </w:tc>
        <w:tc>
          <w:tcPr>
            <w:tcW w:w="5386" w:type="dxa"/>
            <w:vAlign w:val="center"/>
          </w:tcPr>
          <w:p>
            <w:pPr>
              <w:pStyle w:val="13"/>
            </w:pPr>
            <w:r>
              <w:t>增加财政收入质量</w:t>
            </w:r>
          </w:p>
        </w:tc>
        <w:tc>
          <w:tcPr>
            <w:tcW w:w="2268" w:type="dxa"/>
            <w:vAlign w:val="center"/>
          </w:tcPr>
          <w:p>
            <w:pPr>
              <w:pStyle w:val="13"/>
            </w:pPr>
            <w:r>
              <w:t>≥95%</w:t>
            </w:r>
          </w:p>
        </w:tc>
        <w:tc>
          <w:tcPr>
            <w:tcW w:w="1276" w:type="dxa"/>
            <w:vAlign w:val="center"/>
          </w:tcPr>
          <w:p>
            <w:pPr>
              <w:pStyle w:val="13"/>
            </w:pPr>
            <w:r>
              <w:t>石综税办[2019]1号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石综税办[2019]1号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11、提前下达2025年省级农村财会人员培训资金绩效目标表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13011025P000028100012</w:t>
            </w:r>
          </w:p>
        </w:tc>
        <w:tc>
          <w:tcPr>
            <w:tcW w:w="2835" w:type="dxa"/>
            <w:vAlign w:val="center"/>
          </w:tcPr>
          <w:p>
            <w:pPr>
              <w:pStyle w:val="11"/>
            </w:pPr>
            <w:r>
              <w:t>项目名称</w:t>
            </w:r>
          </w:p>
        </w:tc>
        <w:tc>
          <w:tcPr>
            <w:tcW w:w="6095" w:type="dxa"/>
            <w:gridSpan w:val="3"/>
            <w:vAlign w:val="center"/>
          </w:tcPr>
          <w:p>
            <w:pPr>
              <w:pStyle w:val="13"/>
            </w:pPr>
            <w:r>
              <w:t>提前下达2025年省级农村财会人员培训资金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w:t>
            </w:r>
          </w:p>
        </w:tc>
        <w:tc>
          <w:tcPr>
            <w:tcW w:w="2835" w:type="dxa"/>
            <w:vAlign w:val="center"/>
          </w:tcPr>
          <w:p>
            <w:pPr>
              <w:pStyle w:val="11"/>
            </w:pPr>
            <w:r>
              <w:t>其中：财政    资金</w:t>
            </w:r>
          </w:p>
        </w:tc>
        <w:tc>
          <w:tcPr>
            <w:tcW w:w="2551" w:type="dxa"/>
            <w:vAlign w:val="center"/>
          </w:tcPr>
          <w:p>
            <w:pPr>
              <w:pStyle w:val="13"/>
            </w:pPr>
            <w:r>
              <w:t>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用于做好农村财会人员财政支农政策培训工作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1.做好农村财会人员支农政策培训工作，提高农村财会人员政策水平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农村财会人员培训人数</w:t>
            </w:r>
          </w:p>
        </w:tc>
        <w:tc>
          <w:tcPr>
            <w:tcW w:w="5386" w:type="dxa"/>
            <w:vAlign w:val="center"/>
          </w:tcPr>
          <w:p>
            <w:pPr>
              <w:pStyle w:val="13"/>
            </w:pPr>
            <w:r>
              <w:t>参加农村财会人员培训的人数</w:t>
            </w:r>
          </w:p>
        </w:tc>
        <w:tc>
          <w:tcPr>
            <w:tcW w:w="2268" w:type="dxa"/>
            <w:vAlign w:val="center"/>
          </w:tcPr>
          <w:p>
            <w:pPr>
              <w:pStyle w:val="13"/>
            </w:pPr>
            <w:r>
              <w:t>≥800人</w:t>
            </w:r>
          </w:p>
        </w:tc>
        <w:tc>
          <w:tcPr>
            <w:tcW w:w="1276" w:type="dxa"/>
            <w:vAlign w:val="center"/>
          </w:tcPr>
          <w:p>
            <w:pPr>
              <w:pStyle w:val="13"/>
            </w:pPr>
            <w:r>
              <w:t>石财农【2024】65号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培训合格率</w:t>
            </w:r>
          </w:p>
        </w:tc>
        <w:tc>
          <w:tcPr>
            <w:tcW w:w="5386" w:type="dxa"/>
            <w:vAlign w:val="center"/>
          </w:tcPr>
          <w:p>
            <w:pPr>
              <w:pStyle w:val="13"/>
            </w:pPr>
            <w:r>
              <w:t>参加农村财会人员培训合格的人数占总财会人员的比率</w:t>
            </w:r>
          </w:p>
        </w:tc>
        <w:tc>
          <w:tcPr>
            <w:tcW w:w="2268" w:type="dxa"/>
            <w:vAlign w:val="center"/>
          </w:tcPr>
          <w:p>
            <w:pPr>
              <w:pStyle w:val="13"/>
            </w:pPr>
            <w:r>
              <w:t>100%</w:t>
            </w:r>
          </w:p>
        </w:tc>
        <w:tc>
          <w:tcPr>
            <w:tcW w:w="1276" w:type="dxa"/>
            <w:vAlign w:val="center"/>
          </w:tcPr>
          <w:p>
            <w:pPr>
              <w:pStyle w:val="13"/>
            </w:pPr>
            <w:r>
              <w:t>石财农【2024】65号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培训任务完成率</w:t>
            </w:r>
          </w:p>
        </w:tc>
        <w:tc>
          <w:tcPr>
            <w:tcW w:w="5386" w:type="dxa"/>
            <w:vAlign w:val="center"/>
          </w:tcPr>
          <w:p>
            <w:pPr>
              <w:pStyle w:val="13"/>
            </w:pPr>
            <w:r>
              <w:t>培训任务完成率</w:t>
            </w:r>
          </w:p>
        </w:tc>
        <w:tc>
          <w:tcPr>
            <w:tcW w:w="2268" w:type="dxa"/>
            <w:vAlign w:val="center"/>
          </w:tcPr>
          <w:p>
            <w:pPr>
              <w:pStyle w:val="13"/>
            </w:pPr>
            <w:r>
              <w:t>100%</w:t>
            </w:r>
          </w:p>
        </w:tc>
        <w:tc>
          <w:tcPr>
            <w:tcW w:w="1276" w:type="dxa"/>
            <w:vAlign w:val="center"/>
          </w:tcPr>
          <w:p>
            <w:pPr>
              <w:pStyle w:val="13"/>
            </w:pPr>
            <w:r>
              <w:t>石财农【2024】65号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人均培训成本</w:t>
            </w:r>
          </w:p>
        </w:tc>
        <w:tc>
          <w:tcPr>
            <w:tcW w:w="5386" w:type="dxa"/>
            <w:vAlign w:val="center"/>
          </w:tcPr>
          <w:p>
            <w:pPr>
              <w:pStyle w:val="13"/>
            </w:pPr>
            <w:r>
              <w:t>人均培训成本</w:t>
            </w:r>
          </w:p>
        </w:tc>
        <w:tc>
          <w:tcPr>
            <w:tcW w:w="2268" w:type="dxa"/>
            <w:vAlign w:val="center"/>
          </w:tcPr>
          <w:p>
            <w:pPr>
              <w:pStyle w:val="13"/>
            </w:pPr>
            <w:r>
              <w:t>≤80元</w:t>
            </w:r>
          </w:p>
        </w:tc>
        <w:tc>
          <w:tcPr>
            <w:tcW w:w="1276" w:type="dxa"/>
            <w:vAlign w:val="center"/>
          </w:tcPr>
          <w:p>
            <w:pPr>
              <w:pStyle w:val="13"/>
            </w:pPr>
            <w:r>
              <w:t>石财农【2024】65号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农村财会人员培训率</w:t>
            </w:r>
          </w:p>
        </w:tc>
        <w:tc>
          <w:tcPr>
            <w:tcW w:w="5386" w:type="dxa"/>
            <w:vAlign w:val="center"/>
          </w:tcPr>
          <w:p>
            <w:pPr>
              <w:pStyle w:val="13"/>
            </w:pPr>
            <w:r>
              <w:t>参加农村财会人员培训的人数占总财会人员的比率</w:t>
            </w:r>
          </w:p>
        </w:tc>
        <w:tc>
          <w:tcPr>
            <w:tcW w:w="2268" w:type="dxa"/>
            <w:vAlign w:val="center"/>
          </w:tcPr>
          <w:p>
            <w:pPr>
              <w:pStyle w:val="13"/>
            </w:pPr>
            <w:r>
              <w:t>≥95%</w:t>
            </w:r>
          </w:p>
        </w:tc>
        <w:tc>
          <w:tcPr>
            <w:tcW w:w="1276" w:type="dxa"/>
            <w:vAlign w:val="center"/>
          </w:tcPr>
          <w:p>
            <w:pPr>
              <w:pStyle w:val="13"/>
            </w:pPr>
            <w:r>
              <w:t>石财农【2024】65号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提高农村财会人员政策水平</w:t>
            </w:r>
          </w:p>
        </w:tc>
        <w:tc>
          <w:tcPr>
            <w:tcW w:w="5386" w:type="dxa"/>
            <w:vAlign w:val="center"/>
          </w:tcPr>
          <w:p>
            <w:pPr>
              <w:pStyle w:val="13"/>
            </w:pPr>
            <w:r>
              <w:t>提高农村财会人员政策水平</w:t>
            </w:r>
          </w:p>
        </w:tc>
        <w:tc>
          <w:tcPr>
            <w:tcW w:w="2268" w:type="dxa"/>
            <w:vAlign w:val="center"/>
          </w:tcPr>
          <w:p>
            <w:pPr>
              <w:pStyle w:val="13"/>
            </w:pPr>
            <w:r>
              <w:t>明显提高</w:t>
            </w:r>
          </w:p>
        </w:tc>
        <w:tc>
          <w:tcPr>
            <w:tcW w:w="1276" w:type="dxa"/>
            <w:vAlign w:val="center"/>
          </w:tcPr>
          <w:p>
            <w:pPr>
              <w:pStyle w:val="13"/>
            </w:pPr>
            <w:r>
              <w:t>石财农【2024】65号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财会人员满意度</w:t>
            </w:r>
          </w:p>
        </w:tc>
        <w:tc>
          <w:tcPr>
            <w:tcW w:w="5386" w:type="dxa"/>
            <w:vAlign w:val="center"/>
          </w:tcPr>
          <w:p>
            <w:pPr>
              <w:pStyle w:val="13"/>
            </w:pPr>
            <w:r>
              <w:t>参加农村财会人员培训的满意度</w:t>
            </w:r>
          </w:p>
        </w:tc>
        <w:tc>
          <w:tcPr>
            <w:tcW w:w="2268" w:type="dxa"/>
            <w:vAlign w:val="center"/>
          </w:tcPr>
          <w:p>
            <w:pPr>
              <w:pStyle w:val="13"/>
            </w:pPr>
            <w:r>
              <w:t>100%</w:t>
            </w:r>
          </w:p>
        </w:tc>
        <w:tc>
          <w:tcPr>
            <w:tcW w:w="1276" w:type="dxa"/>
            <w:vAlign w:val="center"/>
          </w:tcPr>
          <w:p>
            <w:pPr>
              <w:pStyle w:val="13"/>
            </w:pPr>
            <w:r>
              <w:t>石财农【2024】65号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12、网络运行维护、服务费绩效目标表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13011025P00150510002F</w:t>
            </w:r>
          </w:p>
        </w:tc>
        <w:tc>
          <w:tcPr>
            <w:tcW w:w="2835" w:type="dxa"/>
            <w:vAlign w:val="center"/>
          </w:tcPr>
          <w:p>
            <w:pPr>
              <w:pStyle w:val="11"/>
            </w:pPr>
            <w:r>
              <w:t>项目名称</w:t>
            </w:r>
          </w:p>
        </w:tc>
        <w:tc>
          <w:tcPr>
            <w:tcW w:w="6095" w:type="dxa"/>
            <w:gridSpan w:val="3"/>
            <w:vAlign w:val="center"/>
          </w:tcPr>
          <w:p>
            <w:pPr>
              <w:pStyle w:val="13"/>
            </w:pPr>
            <w:r>
              <w:t>网络运行维护、服务费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9.20</w:t>
            </w:r>
          </w:p>
        </w:tc>
        <w:tc>
          <w:tcPr>
            <w:tcW w:w="2835" w:type="dxa"/>
            <w:vAlign w:val="center"/>
          </w:tcPr>
          <w:p>
            <w:pPr>
              <w:pStyle w:val="11"/>
            </w:pPr>
            <w:r>
              <w:t>其中：财政    资金</w:t>
            </w:r>
          </w:p>
        </w:tc>
        <w:tc>
          <w:tcPr>
            <w:tcW w:w="2551" w:type="dxa"/>
            <w:vAlign w:val="center"/>
          </w:tcPr>
          <w:p>
            <w:pPr>
              <w:pStyle w:val="13"/>
            </w:pPr>
            <w:r>
              <w:t>9.20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用于支付财政互联网租赁费、网络系统运行维护及服务费等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1.确保网络传输正常，实时监控内部网络运转，不断优化系统架构提升部署效率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网络使用覆盖率</w:t>
            </w:r>
          </w:p>
        </w:tc>
        <w:tc>
          <w:tcPr>
            <w:tcW w:w="5386" w:type="dxa"/>
            <w:vAlign w:val="center"/>
          </w:tcPr>
          <w:p>
            <w:pPr>
              <w:pStyle w:val="13"/>
            </w:pPr>
            <w:r>
              <w:t>网络在单位的覆盖比例</w:t>
            </w:r>
          </w:p>
        </w:tc>
        <w:tc>
          <w:tcPr>
            <w:tcW w:w="2268" w:type="dxa"/>
            <w:vAlign w:val="center"/>
          </w:tcPr>
          <w:p>
            <w:pPr>
              <w:pStyle w:val="13"/>
            </w:pPr>
            <w:r>
              <w:t>100%</w:t>
            </w:r>
          </w:p>
        </w:tc>
        <w:tc>
          <w:tcPr>
            <w:tcW w:w="1276" w:type="dxa"/>
            <w:vAlign w:val="center"/>
          </w:tcPr>
          <w:p>
            <w:pPr>
              <w:pStyle w:val="13"/>
            </w:pPr>
            <w:r>
              <w:t>河北省人民政府办公厅关于进一步加强和规范政府网站建设管理的通知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正常使用率</w:t>
            </w:r>
          </w:p>
        </w:tc>
        <w:tc>
          <w:tcPr>
            <w:tcW w:w="5386" w:type="dxa"/>
            <w:vAlign w:val="center"/>
          </w:tcPr>
          <w:p>
            <w:pPr>
              <w:pStyle w:val="13"/>
            </w:pPr>
            <w:r>
              <w:t>网络正常使用的比例</w:t>
            </w:r>
          </w:p>
        </w:tc>
        <w:tc>
          <w:tcPr>
            <w:tcW w:w="2268" w:type="dxa"/>
            <w:vAlign w:val="center"/>
          </w:tcPr>
          <w:p>
            <w:pPr>
              <w:pStyle w:val="13"/>
            </w:pPr>
            <w:r>
              <w:t>≥95%</w:t>
            </w:r>
          </w:p>
        </w:tc>
        <w:tc>
          <w:tcPr>
            <w:tcW w:w="1276" w:type="dxa"/>
            <w:vAlign w:val="center"/>
          </w:tcPr>
          <w:p>
            <w:pPr>
              <w:pStyle w:val="13"/>
            </w:pPr>
            <w:r>
              <w:t>河北省人民政府办公厅关于进一步加强和规范政府网站建设管理的通知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网络运行维护时间及时率</w:t>
            </w:r>
          </w:p>
        </w:tc>
        <w:tc>
          <w:tcPr>
            <w:tcW w:w="5386" w:type="dxa"/>
            <w:vAlign w:val="center"/>
          </w:tcPr>
          <w:p>
            <w:pPr>
              <w:pStyle w:val="13"/>
            </w:pPr>
            <w:r>
              <w:t>网络运行维护需要的时间</w:t>
            </w:r>
          </w:p>
        </w:tc>
        <w:tc>
          <w:tcPr>
            <w:tcW w:w="2268" w:type="dxa"/>
            <w:vAlign w:val="center"/>
          </w:tcPr>
          <w:p>
            <w:pPr>
              <w:pStyle w:val="13"/>
            </w:pPr>
            <w:r>
              <w:t>≥90%</w:t>
            </w:r>
          </w:p>
        </w:tc>
        <w:tc>
          <w:tcPr>
            <w:tcW w:w="1276" w:type="dxa"/>
            <w:vAlign w:val="center"/>
          </w:tcPr>
          <w:p>
            <w:pPr>
              <w:pStyle w:val="13"/>
            </w:pPr>
            <w:r>
              <w:t>河北省人民政府办公厅关于进一步加强和规范政府网站建设管理的通知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网络运行维护资金完成率</w:t>
            </w:r>
          </w:p>
        </w:tc>
        <w:tc>
          <w:tcPr>
            <w:tcW w:w="5386" w:type="dxa"/>
            <w:vAlign w:val="center"/>
          </w:tcPr>
          <w:p>
            <w:pPr>
              <w:pStyle w:val="13"/>
            </w:pPr>
            <w:r>
              <w:t>网络运行维护使用的比例</w:t>
            </w:r>
          </w:p>
        </w:tc>
        <w:tc>
          <w:tcPr>
            <w:tcW w:w="2268" w:type="dxa"/>
            <w:vAlign w:val="center"/>
          </w:tcPr>
          <w:p>
            <w:pPr>
              <w:pStyle w:val="13"/>
            </w:pPr>
            <w:r>
              <w:t>≤100%</w:t>
            </w:r>
          </w:p>
        </w:tc>
        <w:tc>
          <w:tcPr>
            <w:tcW w:w="1276" w:type="dxa"/>
            <w:vAlign w:val="center"/>
          </w:tcPr>
          <w:p>
            <w:pPr>
              <w:pStyle w:val="13"/>
            </w:pPr>
            <w:r>
              <w:t>河北省人民政府办公厅关于进一步加强和规范政府网站建设管理的通知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提高工作效率</w:t>
            </w:r>
          </w:p>
        </w:tc>
        <w:tc>
          <w:tcPr>
            <w:tcW w:w="5386" w:type="dxa"/>
            <w:vAlign w:val="center"/>
          </w:tcPr>
          <w:p>
            <w:pPr>
              <w:pStyle w:val="13"/>
            </w:pPr>
            <w:r>
              <w:t>网络的安全保证，提高工作效率</w:t>
            </w:r>
          </w:p>
        </w:tc>
        <w:tc>
          <w:tcPr>
            <w:tcW w:w="2268" w:type="dxa"/>
            <w:vAlign w:val="center"/>
          </w:tcPr>
          <w:p>
            <w:pPr>
              <w:pStyle w:val="13"/>
            </w:pPr>
            <w:r>
              <w:t>≥95%</w:t>
            </w:r>
          </w:p>
        </w:tc>
        <w:tc>
          <w:tcPr>
            <w:tcW w:w="1276" w:type="dxa"/>
            <w:vAlign w:val="center"/>
          </w:tcPr>
          <w:p>
            <w:pPr>
              <w:pStyle w:val="13"/>
            </w:pPr>
            <w:r>
              <w:t>河北省人民政府办公厅关于进一步加强和规范政府网站建设管理的通知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设备使用率</w:t>
            </w:r>
          </w:p>
        </w:tc>
        <w:tc>
          <w:tcPr>
            <w:tcW w:w="5386" w:type="dxa"/>
            <w:vAlign w:val="center"/>
          </w:tcPr>
          <w:p>
            <w:pPr>
              <w:pStyle w:val="13"/>
            </w:pPr>
            <w:r>
              <w:t>办公软件的使用比例</w:t>
            </w:r>
          </w:p>
        </w:tc>
        <w:tc>
          <w:tcPr>
            <w:tcW w:w="2268" w:type="dxa"/>
            <w:vAlign w:val="center"/>
          </w:tcPr>
          <w:p>
            <w:pPr>
              <w:pStyle w:val="13"/>
            </w:pPr>
            <w:r>
              <w:t>100%</w:t>
            </w:r>
          </w:p>
        </w:tc>
        <w:tc>
          <w:tcPr>
            <w:tcW w:w="1276" w:type="dxa"/>
            <w:vAlign w:val="center"/>
          </w:tcPr>
          <w:p>
            <w:pPr>
              <w:pStyle w:val="13"/>
            </w:pPr>
            <w:r>
              <w:t>河北省人民政府办公厅关于进一步加强和规范政府网站建设管理的通知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对网络使用的满意度</w:t>
            </w:r>
          </w:p>
        </w:tc>
        <w:tc>
          <w:tcPr>
            <w:tcW w:w="2268" w:type="dxa"/>
            <w:vAlign w:val="center"/>
          </w:tcPr>
          <w:p>
            <w:pPr>
              <w:pStyle w:val="13"/>
            </w:pPr>
            <w:r>
              <w:t>≥95%</w:t>
            </w:r>
          </w:p>
        </w:tc>
        <w:tc>
          <w:tcPr>
            <w:tcW w:w="1276" w:type="dxa"/>
            <w:vAlign w:val="center"/>
          </w:tcPr>
          <w:p>
            <w:pPr>
              <w:pStyle w:val="13"/>
            </w:pPr>
            <w:r>
              <w:t>河北省人民政府办公厅关于进一步加强和规范政府网站建设管理的通知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13、预算绩效管理业务费绩效目标表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13011025P00007110001E</w:t>
            </w:r>
          </w:p>
        </w:tc>
        <w:tc>
          <w:tcPr>
            <w:tcW w:w="2835" w:type="dxa"/>
            <w:vAlign w:val="center"/>
          </w:tcPr>
          <w:p>
            <w:pPr>
              <w:pStyle w:val="11"/>
            </w:pPr>
            <w:r>
              <w:t>项目名称</w:t>
            </w:r>
          </w:p>
        </w:tc>
        <w:tc>
          <w:tcPr>
            <w:tcW w:w="6095" w:type="dxa"/>
            <w:gridSpan w:val="3"/>
            <w:vAlign w:val="center"/>
          </w:tcPr>
          <w:p>
            <w:pPr>
              <w:pStyle w:val="13"/>
            </w:pPr>
            <w:r>
              <w:t>预算绩效管理业务费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用于委托第三方预算项目重点绩效评价费。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1.通过委托第三方开展至少5个预算项目的绩效重点评价，提高财政资金使用效率，提升预算绩效管理水平。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绩效评价报告数量</w:t>
            </w:r>
          </w:p>
        </w:tc>
        <w:tc>
          <w:tcPr>
            <w:tcW w:w="5386" w:type="dxa"/>
            <w:vAlign w:val="center"/>
          </w:tcPr>
          <w:p>
            <w:pPr>
              <w:pStyle w:val="13"/>
            </w:pPr>
            <w:r>
              <w:t>绩效评价报告数量</w:t>
            </w:r>
          </w:p>
        </w:tc>
        <w:tc>
          <w:tcPr>
            <w:tcW w:w="2268" w:type="dxa"/>
            <w:vAlign w:val="center"/>
          </w:tcPr>
          <w:p>
            <w:pPr>
              <w:pStyle w:val="13"/>
            </w:pPr>
            <w:r>
              <w:t>5个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绩效评价工作完时间</w:t>
            </w:r>
          </w:p>
        </w:tc>
        <w:tc>
          <w:tcPr>
            <w:tcW w:w="5386" w:type="dxa"/>
            <w:vAlign w:val="center"/>
          </w:tcPr>
          <w:p>
            <w:pPr>
              <w:pStyle w:val="13"/>
            </w:pPr>
            <w:r>
              <w:t>计划完成时间</w:t>
            </w:r>
          </w:p>
        </w:tc>
        <w:tc>
          <w:tcPr>
            <w:tcW w:w="2268" w:type="dxa"/>
            <w:vAlign w:val="center"/>
          </w:tcPr>
          <w:p>
            <w:pPr>
              <w:pStyle w:val="13"/>
            </w:pPr>
            <w:r>
              <w:t>2025年底</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绩效评价工作完成率</w:t>
            </w:r>
          </w:p>
        </w:tc>
        <w:tc>
          <w:tcPr>
            <w:tcW w:w="5386" w:type="dxa"/>
            <w:vAlign w:val="center"/>
          </w:tcPr>
          <w:p>
            <w:pPr>
              <w:pStyle w:val="13"/>
            </w:pPr>
            <w:r>
              <w:t>实际完成的工作占计划工作的比例</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绩效评价成本</w:t>
            </w:r>
          </w:p>
        </w:tc>
        <w:tc>
          <w:tcPr>
            <w:tcW w:w="5386" w:type="dxa"/>
            <w:vAlign w:val="center"/>
          </w:tcPr>
          <w:p>
            <w:pPr>
              <w:pStyle w:val="13"/>
            </w:pPr>
            <w:r>
              <w:t>财政投入水平</w:t>
            </w:r>
          </w:p>
        </w:tc>
        <w:tc>
          <w:tcPr>
            <w:tcW w:w="2268" w:type="dxa"/>
            <w:vAlign w:val="center"/>
          </w:tcPr>
          <w:p>
            <w:pPr>
              <w:pStyle w:val="13"/>
            </w:pPr>
            <w:r>
              <w:t>≤24万元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问题整改落实率</w:t>
            </w:r>
          </w:p>
        </w:tc>
        <w:tc>
          <w:tcPr>
            <w:tcW w:w="5386" w:type="dxa"/>
            <w:vAlign w:val="center"/>
          </w:tcPr>
          <w:p>
            <w:pPr>
              <w:pStyle w:val="13"/>
            </w:pPr>
            <w:r>
              <w:t>反映发现问题后整改落实情况</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预算绩效管理水平水平</w:t>
            </w:r>
          </w:p>
        </w:tc>
        <w:tc>
          <w:tcPr>
            <w:tcW w:w="5386" w:type="dxa"/>
            <w:vAlign w:val="center"/>
          </w:tcPr>
          <w:p>
            <w:pPr>
              <w:pStyle w:val="13"/>
            </w:pPr>
            <w:r>
              <w:t>反映预算绩效管理水平提高的程度</w:t>
            </w:r>
          </w:p>
        </w:tc>
        <w:tc>
          <w:tcPr>
            <w:tcW w:w="2268" w:type="dxa"/>
            <w:vAlign w:val="center"/>
          </w:tcPr>
          <w:p>
            <w:pPr>
              <w:pStyle w:val="13"/>
            </w:pPr>
            <w:r>
              <w:t>较以前年度显著提高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评价单位满意度</w:t>
            </w:r>
          </w:p>
        </w:tc>
        <w:tc>
          <w:tcPr>
            <w:tcW w:w="5386" w:type="dxa"/>
            <w:vAlign w:val="center"/>
          </w:tcPr>
          <w:p>
            <w:pPr>
              <w:pStyle w:val="13"/>
            </w:pPr>
            <w:r>
              <w:t>评价单位满意度</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14、政府财务报告及内控制度编制委托业务费绩效目标表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13011025P001512100064</w:t>
            </w:r>
          </w:p>
        </w:tc>
        <w:tc>
          <w:tcPr>
            <w:tcW w:w="2835" w:type="dxa"/>
            <w:vAlign w:val="center"/>
          </w:tcPr>
          <w:p>
            <w:pPr>
              <w:pStyle w:val="11"/>
            </w:pPr>
            <w:r>
              <w:t>项目名称</w:t>
            </w:r>
          </w:p>
        </w:tc>
        <w:tc>
          <w:tcPr>
            <w:tcW w:w="6095" w:type="dxa"/>
            <w:gridSpan w:val="3"/>
            <w:vAlign w:val="center"/>
          </w:tcPr>
          <w:p>
            <w:pPr>
              <w:pStyle w:val="13"/>
            </w:pPr>
            <w:r>
              <w:t>政府财务报告及内控制度编制委托业务费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用于财务报告及内控制度等业务的委托代理费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1.提高我区各预算部门及政府财务报告编制的准确性、完整性和规范性，合理保证政府财务报告的可靠性，保证单位经济活动的合法合规。</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政府报告及内控制度数量完成率</w:t>
            </w:r>
          </w:p>
        </w:tc>
        <w:tc>
          <w:tcPr>
            <w:tcW w:w="5386" w:type="dxa"/>
            <w:vAlign w:val="center"/>
          </w:tcPr>
          <w:p>
            <w:pPr>
              <w:pStyle w:val="13"/>
            </w:pPr>
            <w:r>
              <w:t>按预定数量完成的比例</w:t>
            </w:r>
          </w:p>
        </w:tc>
        <w:tc>
          <w:tcPr>
            <w:tcW w:w="2268" w:type="dxa"/>
            <w:vAlign w:val="center"/>
          </w:tcPr>
          <w:p>
            <w:pPr>
              <w:pStyle w:val="13"/>
            </w:pPr>
            <w:r>
              <w:t>100%</w:t>
            </w:r>
          </w:p>
        </w:tc>
        <w:tc>
          <w:tcPr>
            <w:tcW w:w="1276" w:type="dxa"/>
            <w:vAlign w:val="center"/>
          </w:tcPr>
          <w:p>
            <w:pPr>
              <w:pStyle w:val="13"/>
            </w:pPr>
            <w:r>
              <w:t>冀财库【2019】24号文《政府财务报告编制试点工作实施方案》，河北省财政厅《关于全面推进行政事业单位内部控制建设的指导意见》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政府报告优良率</w:t>
            </w:r>
          </w:p>
        </w:tc>
        <w:tc>
          <w:tcPr>
            <w:tcW w:w="5386" w:type="dxa"/>
            <w:vAlign w:val="center"/>
          </w:tcPr>
          <w:p>
            <w:pPr>
              <w:pStyle w:val="13"/>
            </w:pPr>
            <w:r>
              <w:t>省厅鉴定财务报告审核通过数量占总数量的比例</w:t>
            </w:r>
          </w:p>
        </w:tc>
        <w:tc>
          <w:tcPr>
            <w:tcW w:w="2268" w:type="dxa"/>
            <w:vAlign w:val="center"/>
          </w:tcPr>
          <w:p>
            <w:pPr>
              <w:pStyle w:val="13"/>
            </w:pPr>
            <w:r>
              <w:t>100%</w:t>
            </w:r>
          </w:p>
        </w:tc>
        <w:tc>
          <w:tcPr>
            <w:tcW w:w="1276" w:type="dxa"/>
            <w:vAlign w:val="center"/>
          </w:tcPr>
          <w:p>
            <w:pPr>
              <w:pStyle w:val="13"/>
            </w:pPr>
            <w:r>
              <w:t>冀财库【2019】24号文《政府财务报告编制试点工作实施方案》，河北省财政厅《关于全面推进行政事业单位内部控制建设的指导意见》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政府报告及内控制度完成及时率</w:t>
            </w:r>
          </w:p>
        </w:tc>
        <w:tc>
          <w:tcPr>
            <w:tcW w:w="5386" w:type="dxa"/>
            <w:vAlign w:val="center"/>
          </w:tcPr>
          <w:p>
            <w:pPr>
              <w:pStyle w:val="13"/>
            </w:pPr>
            <w:r>
              <w:t>按预定进度完成的比例</w:t>
            </w:r>
          </w:p>
        </w:tc>
        <w:tc>
          <w:tcPr>
            <w:tcW w:w="2268" w:type="dxa"/>
            <w:vAlign w:val="center"/>
          </w:tcPr>
          <w:p>
            <w:pPr>
              <w:pStyle w:val="13"/>
            </w:pPr>
            <w:r>
              <w:t>100%</w:t>
            </w:r>
          </w:p>
        </w:tc>
        <w:tc>
          <w:tcPr>
            <w:tcW w:w="1276" w:type="dxa"/>
            <w:vAlign w:val="center"/>
          </w:tcPr>
          <w:p>
            <w:pPr>
              <w:pStyle w:val="13"/>
            </w:pPr>
            <w:r>
              <w:t>冀财库【2019】24号文《政府财务报告编制试点工作实施方案》，河北省财政厅《关于全面推进行政事业单位内部控制建设的指导意见》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编制成本</w:t>
            </w:r>
          </w:p>
        </w:tc>
        <w:tc>
          <w:tcPr>
            <w:tcW w:w="5386" w:type="dxa"/>
            <w:vAlign w:val="center"/>
          </w:tcPr>
          <w:p>
            <w:pPr>
              <w:pStyle w:val="13"/>
            </w:pPr>
            <w:r>
              <w:t>财务报告及内控制度编制所需成本</w:t>
            </w:r>
          </w:p>
        </w:tc>
        <w:tc>
          <w:tcPr>
            <w:tcW w:w="2268" w:type="dxa"/>
            <w:vAlign w:val="center"/>
          </w:tcPr>
          <w:p>
            <w:pPr>
              <w:pStyle w:val="13"/>
            </w:pPr>
            <w:r>
              <w:t>≤5万元</w:t>
            </w:r>
          </w:p>
        </w:tc>
        <w:tc>
          <w:tcPr>
            <w:tcW w:w="1276" w:type="dxa"/>
            <w:vAlign w:val="center"/>
          </w:tcPr>
          <w:p>
            <w:pPr>
              <w:pStyle w:val="13"/>
            </w:pPr>
            <w:r>
              <w:t>冀财库【2019】24号文《政府财务报告编制试点工作实施方案》，河北省财政厅《关于全面推进行政事业单位内部控制建设的指导意见》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政府财务报告完成率</w:t>
            </w:r>
          </w:p>
        </w:tc>
        <w:tc>
          <w:tcPr>
            <w:tcW w:w="5386" w:type="dxa"/>
            <w:vAlign w:val="center"/>
          </w:tcPr>
          <w:p>
            <w:pPr>
              <w:pStyle w:val="13"/>
            </w:pPr>
            <w:r>
              <w:t>财务报告完成数量占总数量的比例</w:t>
            </w:r>
          </w:p>
        </w:tc>
        <w:tc>
          <w:tcPr>
            <w:tcW w:w="2268" w:type="dxa"/>
            <w:vAlign w:val="center"/>
          </w:tcPr>
          <w:p>
            <w:pPr>
              <w:pStyle w:val="13"/>
            </w:pPr>
            <w:r>
              <w:t>100%</w:t>
            </w:r>
          </w:p>
        </w:tc>
        <w:tc>
          <w:tcPr>
            <w:tcW w:w="1276" w:type="dxa"/>
            <w:vAlign w:val="center"/>
          </w:tcPr>
          <w:p>
            <w:pPr>
              <w:pStyle w:val="13"/>
            </w:pPr>
            <w:r>
              <w:t>冀财库【2019】24号文《政府财务报告编制试点工作实施方案》，河北省财政厅《关于全面推进行政事业单位内部控制建设的指导意见》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政府财务报告及内控制度落实率</w:t>
            </w:r>
          </w:p>
        </w:tc>
        <w:tc>
          <w:tcPr>
            <w:tcW w:w="5386" w:type="dxa"/>
            <w:vAlign w:val="center"/>
          </w:tcPr>
          <w:p>
            <w:pPr>
              <w:pStyle w:val="13"/>
            </w:pPr>
            <w:r>
              <w:t>政府财务报告及内控制度落实的情况，实施对本单位带来的可持续影响</w:t>
            </w:r>
          </w:p>
        </w:tc>
        <w:tc>
          <w:tcPr>
            <w:tcW w:w="2268" w:type="dxa"/>
            <w:vAlign w:val="center"/>
          </w:tcPr>
          <w:p>
            <w:pPr>
              <w:pStyle w:val="13"/>
            </w:pPr>
            <w:r>
              <w:t>100%</w:t>
            </w:r>
          </w:p>
        </w:tc>
        <w:tc>
          <w:tcPr>
            <w:tcW w:w="1276" w:type="dxa"/>
            <w:vAlign w:val="center"/>
          </w:tcPr>
          <w:p>
            <w:pPr>
              <w:pStyle w:val="13"/>
            </w:pPr>
            <w:r>
              <w:t>冀财库【2019】24号文《政府财务报告编制试点工作实施方案》，河北省财政厅《关于全面推进行政事业单位内部控制建设的指导意见》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提高资金使用的有效率</w:t>
            </w:r>
          </w:p>
        </w:tc>
        <w:tc>
          <w:tcPr>
            <w:tcW w:w="5386" w:type="dxa"/>
            <w:vAlign w:val="center"/>
          </w:tcPr>
          <w:p>
            <w:pPr>
              <w:pStyle w:val="13"/>
            </w:pPr>
            <w:r>
              <w:t>成本节约</w:t>
            </w:r>
          </w:p>
        </w:tc>
        <w:tc>
          <w:tcPr>
            <w:tcW w:w="2268" w:type="dxa"/>
            <w:vAlign w:val="center"/>
          </w:tcPr>
          <w:p>
            <w:pPr>
              <w:pStyle w:val="13"/>
            </w:pPr>
            <w:r>
              <w:t>100%</w:t>
            </w:r>
          </w:p>
        </w:tc>
        <w:tc>
          <w:tcPr>
            <w:tcW w:w="1276" w:type="dxa"/>
            <w:vAlign w:val="center"/>
          </w:tcPr>
          <w:p>
            <w:pPr>
              <w:pStyle w:val="13"/>
            </w:pPr>
            <w:r>
              <w:t>冀财库【2019】24号文《政府财务报告编制试点工作实施方案》，河北省财政厅《关于全面推进行政事业单位内部控制建设的指导意见》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对编制的财务报告质量方面的满意度</w:t>
            </w:r>
          </w:p>
        </w:tc>
        <w:tc>
          <w:tcPr>
            <w:tcW w:w="2268" w:type="dxa"/>
            <w:vAlign w:val="center"/>
          </w:tcPr>
          <w:p>
            <w:pPr>
              <w:pStyle w:val="13"/>
            </w:pPr>
            <w:r>
              <w:t>≥95%</w:t>
            </w:r>
          </w:p>
        </w:tc>
        <w:tc>
          <w:tcPr>
            <w:tcW w:w="1276" w:type="dxa"/>
            <w:vAlign w:val="center"/>
          </w:tcPr>
          <w:p>
            <w:pPr>
              <w:pStyle w:val="13"/>
            </w:pPr>
            <w:r>
              <w:t>冀财库【2019】24号文《政府财务报告编制试点工作实施方案》，河北省财政厅《关于全面推进行政事业单位内部控制建设的指导意见》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15、政府购买投资评审服务项目绩效目标表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13011025P00002710001C</w:t>
            </w:r>
          </w:p>
        </w:tc>
        <w:tc>
          <w:tcPr>
            <w:tcW w:w="2835" w:type="dxa"/>
            <w:vAlign w:val="center"/>
          </w:tcPr>
          <w:p>
            <w:pPr>
              <w:pStyle w:val="11"/>
            </w:pPr>
            <w:r>
              <w:t>项目名称</w:t>
            </w:r>
          </w:p>
        </w:tc>
        <w:tc>
          <w:tcPr>
            <w:tcW w:w="6095" w:type="dxa"/>
            <w:gridSpan w:val="3"/>
            <w:vAlign w:val="center"/>
          </w:tcPr>
          <w:p>
            <w:pPr>
              <w:pStyle w:val="13"/>
            </w:pPr>
            <w:r>
              <w:t>政府购买投资评审服务项目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150.00</w:t>
            </w:r>
          </w:p>
        </w:tc>
        <w:tc>
          <w:tcPr>
            <w:tcW w:w="2835" w:type="dxa"/>
            <w:vAlign w:val="center"/>
          </w:tcPr>
          <w:p>
            <w:pPr>
              <w:pStyle w:val="11"/>
            </w:pPr>
            <w:r>
              <w:t>其中：财政    资金</w:t>
            </w:r>
          </w:p>
        </w:tc>
        <w:tc>
          <w:tcPr>
            <w:tcW w:w="2551" w:type="dxa"/>
            <w:vAlign w:val="center"/>
          </w:tcPr>
          <w:p>
            <w:pPr>
              <w:pStyle w:val="13"/>
            </w:pPr>
            <w:r>
              <w:t>150.00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用于评审预、结算，财政聘请第三方机构评审费，评审软件维护、设备购置等。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1.按送审项目数量，及时完成评审任务，节约财政资金，避免经济损失</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送审项目完成率</w:t>
            </w:r>
          </w:p>
        </w:tc>
        <w:tc>
          <w:tcPr>
            <w:tcW w:w="5386" w:type="dxa"/>
            <w:vAlign w:val="center"/>
          </w:tcPr>
          <w:p>
            <w:pPr>
              <w:pStyle w:val="13"/>
            </w:pPr>
            <w:r>
              <w:t>出具报告占报送比例</w:t>
            </w:r>
          </w:p>
        </w:tc>
        <w:tc>
          <w:tcPr>
            <w:tcW w:w="2268" w:type="dxa"/>
            <w:vAlign w:val="center"/>
          </w:tcPr>
          <w:p>
            <w:pPr>
              <w:pStyle w:val="13"/>
            </w:pPr>
            <w:r>
              <w:t>≥95%</w:t>
            </w:r>
          </w:p>
        </w:tc>
        <w:tc>
          <w:tcPr>
            <w:tcW w:w="1276" w:type="dxa"/>
            <w:vAlign w:val="center"/>
          </w:tcPr>
          <w:p>
            <w:pPr>
              <w:pStyle w:val="13"/>
            </w:pPr>
            <w:r>
              <w:t>往年统计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评审项目数量</w:t>
            </w:r>
          </w:p>
        </w:tc>
        <w:tc>
          <w:tcPr>
            <w:tcW w:w="5386" w:type="dxa"/>
            <w:vAlign w:val="center"/>
          </w:tcPr>
          <w:p>
            <w:pPr>
              <w:pStyle w:val="13"/>
            </w:pPr>
            <w:r>
              <w:t>计划评审项目数量</w:t>
            </w:r>
          </w:p>
        </w:tc>
        <w:tc>
          <w:tcPr>
            <w:tcW w:w="2268" w:type="dxa"/>
            <w:vAlign w:val="center"/>
          </w:tcPr>
          <w:p>
            <w:pPr>
              <w:pStyle w:val="13"/>
            </w:pPr>
            <w:r>
              <w:t>≥100%</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各项工作按时完成率</w:t>
            </w:r>
          </w:p>
        </w:tc>
        <w:tc>
          <w:tcPr>
            <w:tcW w:w="5386" w:type="dxa"/>
            <w:vAlign w:val="center"/>
          </w:tcPr>
          <w:p>
            <w:pPr>
              <w:pStyle w:val="13"/>
            </w:pPr>
            <w:r>
              <w:t>实际按时完成的工作数量占计划工作的比例</w:t>
            </w:r>
          </w:p>
        </w:tc>
        <w:tc>
          <w:tcPr>
            <w:tcW w:w="2268" w:type="dxa"/>
            <w:vAlign w:val="center"/>
          </w:tcPr>
          <w:p>
            <w:pPr>
              <w:pStyle w:val="13"/>
            </w:pPr>
            <w:r>
              <w:t>100%</w:t>
            </w:r>
          </w:p>
          <w:p>
            <w:pPr>
              <w:pStyle w:val="13"/>
            </w:pP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委托评审费用</w:t>
            </w:r>
          </w:p>
        </w:tc>
        <w:tc>
          <w:tcPr>
            <w:tcW w:w="5386" w:type="dxa"/>
            <w:vAlign w:val="center"/>
          </w:tcPr>
          <w:p>
            <w:pPr>
              <w:pStyle w:val="13"/>
            </w:pPr>
            <w:r>
              <w:t>聘请第三方机构评审费</w:t>
            </w:r>
          </w:p>
        </w:tc>
        <w:tc>
          <w:tcPr>
            <w:tcW w:w="2268" w:type="dxa"/>
            <w:vAlign w:val="center"/>
          </w:tcPr>
          <w:p>
            <w:pPr>
              <w:pStyle w:val="13"/>
            </w:pPr>
            <w:r>
              <w:t>≤200万元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节约金额比例</w:t>
            </w:r>
          </w:p>
        </w:tc>
        <w:tc>
          <w:tcPr>
            <w:tcW w:w="5386" w:type="dxa"/>
            <w:vAlign w:val="center"/>
          </w:tcPr>
          <w:p>
            <w:pPr>
              <w:pStyle w:val="13"/>
            </w:pPr>
            <w:r>
              <w:t>节约金额占送审金额比例</w:t>
            </w:r>
          </w:p>
        </w:tc>
        <w:tc>
          <w:tcPr>
            <w:tcW w:w="2268" w:type="dxa"/>
            <w:vAlign w:val="center"/>
          </w:tcPr>
          <w:p>
            <w:pPr>
              <w:pStyle w:val="13"/>
            </w:pPr>
            <w:r>
              <w:t>≥15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财政评审管理水平</w:t>
            </w:r>
          </w:p>
        </w:tc>
        <w:tc>
          <w:tcPr>
            <w:tcW w:w="5386" w:type="dxa"/>
            <w:vAlign w:val="center"/>
          </w:tcPr>
          <w:p>
            <w:pPr>
              <w:pStyle w:val="13"/>
            </w:pPr>
            <w:r>
              <w:t>反映财政评审管理水平提高的程度</w:t>
            </w:r>
          </w:p>
        </w:tc>
        <w:tc>
          <w:tcPr>
            <w:tcW w:w="2268" w:type="dxa"/>
            <w:vAlign w:val="center"/>
          </w:tcPr>
          <w:p>
            <w:pPr>
              <w:pStyle w:val="13"/>
            </w:pPr>
            <w:r>
              <w:t>较以前年度显著提高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318石家庄市鹿泉区财政局</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131.43</w:t>
            </w:r>
          </w:p>
        </w:tc>
        <w:tc>
          <w:tcPr>
            <w:tcW w:w="964" w:type="dxa"/>
            <w:vAlign w:val="center"/>
          </w:tcPr>
          <w:p>
            <w:pPr>
              <w:pStyle w:val="16"/>
            </w:pPr>
            <w:r>
              <w:t>131.43</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131.43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石家庄市鹿泉区财政局本级小计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131.43</w:t>
            </w:r>
          </w:p>
        </w:tc>
        <w:tc>
          <w:tcPr>
            <w:tcW w:w="964" w:type="dxa"/>
            <w:vAlign w:val="center"/>
          </w:tcPr>
          <w:p>
            <w:pPr>
              <w:pStyle w:val="16"/>
            </w:pPr>
            <w:r>
              <w:t>131.43</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131.43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公用经费二</w:t>
            </w:r>
          </w:p>
        </w:tc>
        <w:tc>
          <w:tcPr>
            <w:tcW w:w="964" w:type="dxa"/>
            <w:vAlign w:val="center"/>
          </w:tcPr>
          <w:p>
            <w:pPr>
              <w:pStyle w:val="12"/>
            </w:pPr>
            <w:r>
              <w:t>204.71</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0.59</w:t>
            </w:r>
          </w:p>
        </w:tc>
        <w:tc>
          <w:tcPr>
            <w:tcW w:w="964" w:type="dxa"/>
            <w:vAlign w:val="center"/>
          </w:tcPr>
          <w:p>
            <w:pPr>
              <w:pStyle w:val="12"/>
            </w:pPr>
            <w:r>
              <w:t>0.59</w:t>
            </w:r>
          </w:p>
        </w:tc>
        <w:tc>
          <w:tcPr>
            <w:tcW w:w="964" w:type="dxa"/>
            <w:vAlign w:val="center"/>
          </w:tcPr>
          <w:p>
            <w:pPr>
              <w:pStyle w:val="12"/>
            </w:pPr>
            <w:r>
              <w:t>0.59</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公用经费二</w:t>
            </w:r>
          </w:p>
        </w:tc>
        <w:tc>
          <w:tcPr>
            <w:tcW w:w="964" w:type="dxa"/>
            <w:vAlign w:val="center"/>
          </w:tcPr>
          <w:p>
            <w:pPr>
              <w:pStyle w:val="12"/>
            </w:pPr>
            <w:r>
              <w:t>204.71</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4.20</w:t>
            </w:r>
          </w:p>
        </w:tc>
        <w:tc>
          <w:tcPr>
            <w:tcW w:w="964" w:type="dxa"/>
            <w:vAlign w:val="center"/>
          </w:tcPr>
          <w:p>
            <w:pPr>
              <w:pStyle w:val="12"/>
            </w:pPr>
            <w:r>
              <w:t>4.20</w:t>
            </w:r>
          </w:p>
        </w:tc>
        <w:tc>
          <w:tcPr>
            <w:tcW w:w="964" w:type="dxa"/>
            <w:vAlign w:val="center"/>
          </w:tcPr>
          <w:p>
            <w:pPr>
              <w:pStyle w:val="12"/>
            </w:pPr>
            <w:r>
              <w:t>4.20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公用经费二</w:t>
            </w:r>
          </w:p>
        </w:tc>
        <w:tc>
          <w:tcPr>
            <w:tcW w:w="964" w:type="dxa"/>
            <w:vAlign w:val="center"/>
          </w:tcPr>
          <w:p>
            <w:pPr>
              <w:pStyle w:val="12"/>
            </w:pPr>
            <w:r>
              <w:t>204.71</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3.00</w:t>
            </w:r>
          </w:p>
        </w:tc>
        <w:tc>
          <w:tcPr>
            <w:tcW w:w="964" w:type="dxa"/>
            <w:vAlign w:val="center"/>
          </w:tcPr>
          <w:p>
            <w:pPr>
              <w:pStyle w:val="12"/>
            </w:pPr>
            <w:r>
              <w:t>3.00</w:t>
            </w:r>
          </w:p>
        </w:tc>
        <w:tc>
          <w:tcPr>
            <w:tcW w:w="964" w:type="dxa"/>
            <w:vAlign w:val="center"/>
          </w:tcPr>
          <w:p>
            <w:pPr>
              <w:pStyle w:val="12"/>
            </w:pPr>
            <w:r>
              <w:t>3.00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保密信息安全建设费</w:t>
            </w:r>
          </w:p>
        </w:tc>
        <w:tc>
          <w:tcPr>
            <w:tcW w:w="964" w:type="dxa"/>
            <w:vAlign w:val="center"/>
          </w:tcPr>
          <w:p>
            <w:pPr>
              <w:pStyle w:val="12"/>
            </w:pPr>
            <w:r>
              <w:t>10.00</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0.50</w:t>
            </w:r>
          </w:p>
        </w:tc>
        <w:tc>
          <w:tcPr>
            <w:tcW w:w="964" w:type="dxa"/>
            <w:vAlign w:val="center"/>
          </w:tcPr>
          <w:p>
            <w:pPr>
              <w:pStyle w:val="12"/>
            </w:pPr>
            <w:r>
              <w:t>0.50</w:t>
            </w:r>
          </w:p>
        </w:tc>
        <w:tc>
          <w:tcPr>
            <w:tcW w:w="964" w:type="dxa"/>
            <w:vAlign w:val="center"/>
          </w:tcPr>
          <w:p>
            <w:pPr>
              <w:pStyle w:val="12"/>
            </w:pPr>
            <w:r>
              <w:t>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保密信息安全建设费</w:t>
            </w:r>
          </w:p>
        </w:tc>
        <w:tc>
          <w:tcPr>
            <w:tcW w:w="964" w:type="dxa"/>
            <w:vAlign w:val="center"/>
          </w:tcPr>
          <w:p>
            <w:pPr>
              <w:pStyle w:val="12"/>
            </w:pPr>
            <w:r>
              <w:t>10.00</w:t>
            </w:r>
          </w:p>
        </w:tc>
        <w:tc>
          <w:tcPr>
            <w:tcW w:w="1134" w:type="dxa"/>
            <w:vAlign w:val="center"/>
          </w:tcPr>
          <w:p>
            <w:pPr>
              <w:pStyle w:val="13"/>
            </w:pPr>
            <w:r>
              <w:t>文件柜</w:t>
            </w:r>
          </w:p>
        </w:tc>
        <w:tc>
          <w:tcPr>
            <w:tcW w:w="1134" w:type="dxa"/>
            <w:vAlign w:val="center"/>
          </w:tcPr>
          <w:p>
            <w:pPr>
              <w:pStyle w:val="13"/>
            </w:pPr>
            <w:r>
              <w:t>A05010502</w:t>
            </w:r>
          </w:p>
        </w:tc>
        <w:tc>
          <w:tcPr>
            <w:tcW w:w="709" w:type="dxa"/>
            <w:vAlign w:val="center"/>
          </w:tcPr>
          <w:p>
            <w:pPr>
              <w:pStyle w:val="14"/>
            </w:pPr>
            <w:r>
              <w:t>个</w:t>
            </w:r>
          </w:p>
        </w:tc>
        <w:tc>
          <w:tcPr>
            <w:tcW w:w="850" w:type="dxa"/>
            <w:vAlign w:val="center"/>
          </w:tcPr>
          <w:p>
            <w:pPr>
              <w:pStyle w:val="12"/>
            </w:pPr>
            <w:r>
              <w:t>110</w:t>
            </w:r>
          </w:p>
        </w:tc>
        <w:tc>
          <w:tcPr>
            <w:tcW w:w="850" w:type="dxa"/>
            <w:vAlign w:val="center"/>
          </w:tcPr>
          <w:p>
            <w:pPr>
              <w:pStyle w:val="12"/>
            </w:pPr>
            <w:r>
              <w:t>0.08</w:t>
            </w:r>
          </w:p>
        </w:tc>
        <w:tc>
          <w:tcPr>
            <w:tcW w:w="964" w:type="dxa"/>
            <w:vAlign w:val="center"/>
          </w:tcPr>
          <w:p>
            <w:pPr>
              <w:pStyle w:val="12"/>
            </w:pPr>
            <w:r>
              <w:t>8.80</w:t>
            </w:r>
          </w:p>
        </w:tc>
        <w:tc>
          <w:tcPr>
            <w:tcW w:w="964" w:type="dxa"/>
            <w:vAlign w:val="center"/>
          </w:tcPr>
          <w:p>
            <w:pPr>
              <w:pStyle w:val="12"/>
            </w:pPr>
            <w:r>
              <w:t>8.80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8.80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保密信息安全建设费</w:t>
            </w:r>
          </w:p>
        </w:tc>
        <w:tc>
          <w:tcPr>
            <w:tcW w:w="964" w:type="dxa"/>
            <w:vAlign w:val="center"/>
          </w:tcPr>
          <w:p>
            <w:pPr>
              <w:pStyle w:val="12"/>
            </w:pPr>
            <w:r>
              <w:t>10.00</w:t>
            </w:r>
          </w:p>
        </w:tc>
        <w:tc>
          <w:tcPr>
            <w:tcW w:w="1134" w:type="dxa"/>
            <w:vAlign w:val="center"/>
          </w:tcPr>
          <w:p>
            <w:pPr>
              <w:pStyle w:val="13"/>
            </w:pPr>
            <w:r>
              <w:t>保密柜</w:t>
            </w:r>
          </w:p>
        </w:tc>
        <w:tc>
          <w:tcPr>
            <w:tcW w:w="1134" w:type="dxa"/>
            <w:vAlign w:val="center"/>
          </w:tcPr>
          <w:p>
            <w:pPr>
              <w:pStyle w:val="13"/>
            </w:pPr>
            <w:r>
              <w:t>A05010504</w:t>
            </w:r>
          </w:p>
        </w:tc>
        <w:tc>
          <w:tcPr>
            <w:tcW w:w="709" w:type="dxa"/>
            <w:vAlign w:val="center"/>
          </w:tcPr>
          <w:p>
            <w:pPr>
              <w:pStyle w:val="14"/>
            </w:pPr>
            <w:r>
              <w:t>个</w:t>
            </w:r>
          </w:p>
        </w:tc>
        <w:tc>
          <w:tcPr>
            <w:tcW w:w="850" w:type="dxa"/>
            <w:vAlign w:val="center"/>
          </w:tcPr>
          <w:p>
            <w:pPr>
              <w:pStyle w:val="12"/>
            </w:pPr>
            <w:r>
              <w:t>7</w:t>
            </w:r>
          </w:p>
        </w:tc>
        <w:tc>
          <w:tcPr>
            <w:tcW w:w="850" w:type="dxa"/>
            <w:vAlign w:val="center"/>
          </w:tcPr>
          <w:p>
            <w:pPr>
              <w:pStyle w:val="12"/>
            </w:pPr>
            <w:r>
              <w:t>0.10</w:t>
            </w:r>
          </w:p>
        </w:tc>
        <w:tc>
          <w:tcPr>
            <w:tcW w:w="964" w:type="dxa"/>
            <w:vAlign w:val="center"/>
          </w:tcPr>
          <w:p>
            <w:pPr>
              <w:pStyle w:val="12"/>
            </w:pPr>
            <w:r>
              <w:t>0.70</w:t>
            </w:r>
          </w:p>
        </w:tc>
        <w:tc>
          <w:tcPr>
            <w:tcW w:w="964" w:type="dxa"/>
            <w:vAlign w:val="center"/>
          </w:tcPr>
          <w:p>
            <w:pPr>
              <w:pStyle w:val="12"/>
            </w:pPr>
            <w:r>
              <w:t>0.70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财政改革业务费</w:t>
            </w:r>
          </w:p>
        </w:tc>
        <w:tc>
          <w:tcPr>
            <w:tcW w:w="964" w:type="dxa"/>
            <w:vAlign w:val="center"/>
          </w:tcPr>
          <w:p>
            <w:pPr>
              <w:pStyle w:val="12"/>
            </w:pPr>
            <w:r>
              <w:t>40.00</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台</w:t>
            </w:r>
          </w:p>
        </w:tc>
        <w:tc>
          <w:tcPr>
            <w:tcW w:w="850" w:type="dxa"/>
            <w:vAlign w:val="center"/>
          </w:tcPr>
          <w:p>
            <w:pPr>
              <w:pStyle w:val="12"/>
            </w:pPr>
            <w:r>
              <w:t>5</w:t>
            </w:r>
          </w:p>
        </w:tc>
        <w:tc>
          <w:tcPr>
            <w:tcW w:w="850" w:type="dxa"/>
            <w:vAlign w:val="center"/>
          </w:tcPr>
          <w:p>
            <w:pPr>
              <w:pStyle w:val="12"/>
            </w:pPr>
            <w:r>
              <w:t>0.50</w:t>
            </w:r>
          </w:p>
        </w:tc>
        <w:tc>
          <w:tcPr>
            <w:tcW w:w="964" w:type="dxa"/>
            <w:vAlign w:val="center"/>
          </w:tcPr>
          <w:p>
            <w:pPr>
              <w:pStyle w:val="12"/>
            </w:pPr>
            <w:r>
              <w:t>2.50</w:t>
            </w:r>
          </w:p>
        </w:tc>
        <w:tc>
          <w:tcPr>
            <w:tcW w:w="964" w:type="dxa"/>
            <w:vAlign w:val="center"/>
          </w:tcPr>
          <w:p>
            <w:pPr>
              <w:pStyle w:val="12"/>
            </w:pPr>
            <w:r>
              <w:t>2.50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财政改革业务费</w:t>
            </w:r>
          </w:p>
        </w:tc>
        <w:tc>
          <w:tcPr>
            <w:tcW w:w="964" w:type="dxa"/>
            <w:vAlign w:val="center"/>
          </w:tcPr>
          <w:p>
            <w:pPr>
              <w:pStyle w:val="12"/>
            </w:pPr>
            <w:r>
              <w:t>40.00</w:t>
            </w:r>
          </w:p>
        </w:tc>
        <w:tc>
          <w:tcPr>
            <w:tcW w:w="1134" w:type="dxa"/>
            <w:vAlign w:val="center"/>
          </w:tcPr>
          <w:p>
            <w:pPr>
              <w:pStyle w:val="13"/>
            </w:pPr>
            <w:r>
              <w:t>便携式计算机</w:t>
            </w:r>
          </w:p>
        </w:tc>
        <w:tc>
          <w:tcPr>
            <w:tcW w:w="1134" w:type="dxa"/>
            <w:vAlign w:val="center"/>
          </w:tcPr>
          <w:p>
            <w:pPr>
              <w:pStyle w:val="13"/>
            </w:pPr>
            <w:r>
              <w:t>A02010108</w:t>
            </w:r>
          </w:p>
        </w:tc>
        <w:tc>
          <w:tcPr>
            <w:tcW w:w="709" w:type="dxa"/>
            <w:vAlign w:val="center"/>
          </w:tcPr>
          <w:p>
            <w:pPr>
              <w:pStyle w:val="14"/>
            </w:pPr>
            <w:r>
              <w:t>台</w:t>
            </w:r>
          </w:p>
        </w:tc>
        <w:tc>
          <w:tcPr>
            <w:tcW w:w="850" w:type="dxa"/>
            <w:vAlign w:val="center"/>
          </w:tcPr>
          <w:p>
            <w:pPr>
              <w:pStyle w:val="12"/>
            </w:pPr>
            <w:r>
              <w:t>4</w:t>
            </w:r>
          </w:p>
        </w:tc>
        <w:tc>
          <w:tcPr>
            <w:tcW w:w="850" w:type="dxa"/>
            <w:vAlign w:val="center"/>
          </w:tcPr>
          <w:p>
            <w:pPr>
              <w:pStyle w:val="12"/>
            </w:pPr>
            <w:r>
              <w:t>0.60</w:t>
            </w:r>
          </w:p>
        </w:tc>
        <w:tc>
          <w:tcPr>
            <w:tcW w:w="964" w:type="dxa"/>
            <w:vAlign w:val="center"/>
          </w:tcPr>
          <w:p>
            <w:pPr>
              <w:pStyle w:val="12"/>
            </w:pPr>
            <w:r>
              <w:t>2.40</w:t>
            </w:r>
          </w:p>
        </w:tc>
        <w:tc>
          <w:tcPr>
            <w:tcW w:w="964" w:type="dxa"/>
            <w:vAlign w:val="center"/>
          </w:tcPr>
          <w:p>
            <w:pPr>
              <w:pStyle w:val="12"/>
            </w:pPr>
            <w:r>
              <w:t>2.40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财政改革业务费</w:t>
            </w:r>
          </w:p>
        </w:tc>
        <w:tc>
          <w:tcPr>
            <w:tcW w:w="964" w:type="dxa"/>
            <w:vAlign w:val="center"/>
          </w:tcPr>
          <w:p>
            <w:pPr>
              <w:pStyle w:val="12"/>
            </w:pPr>
            <w:r>
              <w:t>40.00</w:t>
            </w:r>
          </w:p>
        </w:tc>
        <w:tc>
          <w:tcPr>
            <w:tcW w:w="1134" w:type="dxa"/>
            <w:vAlign w:val="center"/>
          </w:tcPr>
          <w:p>
            <w:pPr>
              <w:pStyle w:val="13"/>
            </w:pPr>
            <w:r>
              <w:t>复印机</w:t>
            </w:r>
          </w:p>
        </w:tc>
        <w:tc>
          <w:tcPr>
            <w:tcW w:w="1134" w:type="dxa"/>
            <w:vAlign w:val="center"/>
          </w:tcPr>
          <w:p>
            <w:pPr>
              <w:pStyle w:val="13"/>
            </w:pPr>
            <w:r>
              <w:t>A02020100</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0.85</w:t>
            </w:r>
          </w:p>
        </w:tc>
        <w:tc>
          <w:tcPr>
            <w:tcW w:w="964" w:type="dxa"/>
            <w:vAlign w:val="center"/>
          </w:tcPr>
          <w:p>
            <w:pPr>
              <w:pStyle w:val="12"/>
            </w:pPr>
            <w:r>
              <w:t>0.85</w:t>
            </w:r>
          </w:p>
        </w:tc>
        <w:tc>
          <w:tcPr>
            <w:tcW w:w="964" w:type="dxa"/>
            <w:vAlign w:val="center"/>
          </w:tcPr>
          <w:p>
            <w:pPr>
              <w:pStyle w:val="12"/>
            </w:pPr>
            <w:r>
              <w:t>0.85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0.85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财政改革业务费</w:t>
            </w:r>
          </w:p>
        </w:tc>
        <w:tc>
          <w:tcPr>
            <w:tcW w:w="964" w:type="dxa"/>
            <w:vAlign w:val="center"/>
          </w:tcPr>
          <w:p>
            <w:pPr>
              <w:pStyle w:val="12"/>
            </w:pPr>
            <w:r>
              <w:t>40.00</w:t>
            </w:r>
          </w:p>
        </w:tc>
        <w:tc>
          <w:tcPr>
            <w:tcW w:w="1134" w:type="dxa"/>
            <w:vAlign w:val="center"/>
          </w:tcPr>
          <w:p>
            <w:pPr>
              <w:pStyle w:val="13"/>
            </w:pPr>
            <w:r>
              <w:t>A3 黑白打印机</w:t>
            </w:r>
          </w:p>
        </w:tc>
        <w:tc>
          <w:tcPr>
            <w:tcW w:w="1134" w:type="dxa"/>
            <w:vAlign w:val="center"/>
          </w:tcPr>
          <w:p>
            <w:pPr>
              <w:pStyle w:val="13"/>
            </w:pPr>
            <w:r>
              <w:t>A02021001</w:t>
            </w:r>
          </w:p>
        </w:tc>
        <w:tc>
          <w:tcPr>
            <w:tcW w:w="709" w:type="dxa"/>
            <w:vAlign w:val="center"/>
          </w:tcPr>
          <w:p>
            <w:pPr>
              <w:pStyle w:val="14"/>
            </w:pPr>
            <w:r>
              <w:t>台</w:t>
            </w:r>
          </w:p>
        </w:tc>
        <w:tc>
          <w:tcPr>
            <w:tcW w:w="850" w:type="dxa"/>
            <w:vAlign w:val="center"/>
          </w:tcPr>
          <w:p>
            <w:pPr>
              <w:pStyle w:val="12"/>
            </w:pPr>
            <w:r>
              <w:t>5</w:t>
            </w:r>
          </w:p>
        </w:tc>
        <w:tc>
          <w:tcPr>
            <w:tcW w:w="850" w:type="dxa"/>
            <w:vAlign w:val="center"/>
          </w:tcPr>
          <w:p>
            <w:pPr>
              <w:pStyle w:val="12"/>
            </w:pPr>
            <w:r>
              <w:t>0.50</w:t>
            </w:r>
          </w:p>
        </w:tc>
        <w:tc>
          <w:tcPr>
            <w:tcW w:w="964" w:type="dxa"/>
            <w:vAlign w:val="center"/>
          </w:tcPr>
          <w:p>
            <w:pPr>
              <w:pStyle w:val="12"/>
            </w:pPr>
            <w:r>
              <w:t>2.50</w:t>
            </w:r>
          </w:p>
        </w:tc>
        <w:tc>
          <w:tcPr>
            <w:tcW w:w="964" w:type="dxa"/>
            <w:vAlign w:val="center"/>
          </w:tcPr>
          <w:p>
            <w:pPr>
              <w:pStyle w:val="12"/>
            </w:pPr>
            <w:r>
              <w:t>2.50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财政改革业务费</w:t>
            </w:r>
          </w:p>
        </w:tc>
        <w:tc>
          <w:tcPr>
            <w:tcW w:w="964" w:type="dxa"/>
            <w:vAlign w:val="center"/>
          </w:tcPr>
          <w:p>
            <w:pPr>
              <w:pStyle w:val="12"/>
            </w:pPr>
            <w:r>
              <w:t>40.00</w:t>
            </w:r>
          </w:p>
        </w:tc>
        <w:tc>
          <w:tcPr>
            <w:tcW w:w="1134" w:type="dxa"/>
            <w:vAlign w:val="center"/>
          </w:tcPr>
          <w:p>
            <w:pPr>
              <w:pStyle w:val="13"/>
            </w:pPr>
            <w:r>
              <w:t>碎纸机</w:t>
            </w:r>
          </w:p>
        </w:tc>
        <w:tc>
          <w:tcPr>
            <w:tcW w:w="1134" w:type="dxa"/>
            <w:vAlign w:val="center"/>
          </w:tcPr>
          <w:p>
            <w:pPr>
              <w:pStyle w:val="13"/>
            </w:pPr>
            <w:r>
              <w:t>A02021301</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0.10</w:t>
            </w:r>
          </w:p>
        </w:tc>
        <w:tc>
          <w:tcPr>
            <w:tcW w:w="964" w:type="dxa"/>
            <w:vAlign w:val="center"/>
          </w:tcPr>
          <w:p>
            <w:pPr>
              <w:pStyle w:val="12"/>
            </w:pPr>
            <w:r>
              <w:t>0.20</w:t>
            </w:r>
          </w:p>
        </w:tc>
        <w:tc>
          <w:tcPr>
            <w:tcW w:w="964" w:type="dxa"/>
            <w:vAlign w:val="center"/>
          </w:tcPr>
          <w:p>
            <w:pPr>
              <w:pStyle w:val="12"/>
            </w:pPr>
            <w:r>
              <w:t>0.20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财政改革业务费</w:t>
            </w:r>
          </w:p>
        </w:tc>
        <w:tc>
          <w:tcPr>
            <w:tcW w:w="964" w:type="dxa"/>
            <w:vAlign w:val="center"/>
          </w:tcPr>
          <w:p>
            <w:pPr>
              <w:pStyle w:val="12"/>
            </w:pPr>
            <w:r>
              <w:t>40.00</w:t>
            </w:r>
          </w:p>
        </w:tc>
        <w:tc>
          <w:tcPr>
            <w:tcW w:w="1134" w:type="dxa"/>
            <w:vAlign w:val="center"/>
          </w:tcPr>
          <w:p>
            <w:pPr>
              <w:pStyle w:val="13"/>
            </w:pPr>
            <w:r>
              <w:t>办公桌</w:t>
            </w:r>
          </w:p>
        </w:tc>
        <w:tc>
          <w:tcPr>
            <w:tcW w:w="1134" w:type="dxa"/>
            <w:vAlign w:val="center"/>
          </w:tcPr>
          <w:p>
            <w:pPr>
              <w:pStyle w:val="13"/>
            </w:pPr>
            <w:r>
              <w:t>A05010201</w:t>
            </w:r>
          </w:p>
        </w:tc>
        <w:tc>
          <w:tcPr>
            <w:tcW w:w="709" w:type="dxa"/>
            <w:vAlign w:val="center"/>
          </w:tcPr>
          <w:p>
            <w:pPr>
              <w:pStyle w:val="14"/>
            </w:pPr>
            <w:r>
              <w:t>个</w:t>
            </w:r>
          </w:p>
        </w:tc>
        <w:tc>
          <w:tcPr>
            <w:tcW w:w="850" w:type="dxa"/>
            <w:vAlign w:val="center"/>
          </w:tcPr>
          <w:p>
            <w:pPr>
              <w:pStyle w:val="12"/>
            </w:pPr>
            <w:r>
              <w:t>20</w:t>
            </w:r>
          </w:p>
        </w:tc>
        <w:tc>
          <w:tcPr>
            <w:tcW w:w="850" w:type="dxa"/>
            <w:vAlign w:val="center"/>
          </w:tcPr>
          <w:p>
            <w:pPr>
              <w:pStyle w:val="12"/>
            </w:pPr>
            <w:r>
              <w:t>0.15</w:t>
            </w:r>
          </w:p>
        </w:tc>
        <w:tc>
          <w:tcPr>
            <w:tcW w:w="964" w:type="dxa"/>
            <w:vAlign w:val="center"/>
          </w:tcPr>
          <w:p>
            <w:pPr>
              <w:pStyle w:val="12"/>
            </w:pPr>
            <w:r>
              <w:t>3.00</w:t>
            </w:r>
          </w:p>
        </w:tc>
        <w:tc>
          <w:tcPr>
            <w:tcW w:w="964" w:type="dxa"/>
            <w:vAlign w:val="center"/>
          </w:tcPr>
          <w:p>
            <w:pPr>
              <w:pStyle w:val="12"/>
            </w:pPr>
            <w:r>
              <w:t>3.00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财政改革业务费</w:t>
            </w:r>
          </w:p>
        </w:tc>
        <w:tc>
          <w:tcPr>
            <w:tcW w:w="964" w:type="dxa"/>
            <w:vAlign w:val="center"/>
          </w:tcPr>
          <w:p>
            <w:pPr>
              <w:pStyle w:val="12"/>
            </w:pPr>
            <w:r>
              <w:t>40.00</w:t>
            </w:r>
          </w:p>
        </w:tc>
        <w:tc>
          <w:tcPr>
            <w:tcW w:w="1134" w:type="dxa"/>
            <w:vAlign w:val="center"/>
          </w:tcPr>
          <w:p>
            <w:pPr>
              <w:pStyle w:val="13"/>
            </w:pPr>
            <w:r>
              <w:t>办公椅</w:t>
            </w:r>
          </w:p>
        </w:tc>
        <w:tc>
          <w:tcPr>
            <w:tcW w:w="1134" w:type="dxa"/>
            <w:vAlign w:val="center"/>
          </w:tcPr>
          <w:p>
            <w:pPr>
              <w:pStyle w:val="13"/>
            </w:pPr>
            <w:r>
              <w:t>A05010301</w:t>
            </w:r>
          </w:p>
        </w:tc>
        <w:tc>
          <w:tcPr>
            <w:tcW w:w="709" w:type="dxa"/>
            <w:vAlign w:val="center"/>
          </w:tcPr>
          <w:p>
            <w:pPr>
              <w:pStyle w:val="14"/>
            </w:pPr>
            <w:r>
              <w:t>个</w:t>
            </w:r>
          </w:p>
        </w:tc>
        <w:tc>
          <w:tcPr>
            <w:tcW w:w="850" w:type="dxa"/>
            <w:vAlign w:val="center"/>
          </w:tcPr>
          <w:p>
            <w:pPr>
              <w:pStyle w:val="12"/>
            </w:pPr>
            <w:r>
              <w:t>20</w:t>
            </w:r>
          </w:p>
        </w:tc>
        <w:tc>
          <w:tcPr>
            <w:tcW w:w="850" w:type="dxa"/>
            <w:vAlign w:val="center"/>
          </w:tcPr>
          <w:p>
            <w:pPr>
              <w:pStyle w:val="12"/>
            </w:pPr>
            <w:r>
              <w:t>0.04</w:t>
            </w:r>
          </w:p>
        </w:tc>
        <w:tc>
          <w:tcPr>
            <w:tcW w:w="964" w:type="dxa"/>
            <w:vAlign w:val="center"/>
          </w:tcPr>
          <w:p>
            <w:pPr>
              <w:pStyle w:val="12"/>
            </w:pPr>
            <w:r>
              <w:t>0.70</w:t>
            </w:r>
          </w:p>
        </w:tc>
        <w:tc>
          <w:tcPr>
            <w:tcW w:w="964" w:type="dxa"/>
            <w:vAlign w:val="center"/>
          </w:tcPr>
          <w:p>
            <w:pPr>
              <w:pStyle w:val="12"/>
            </w:pPr>
            <w:r>
              <w:t>0.70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财政改革业务费</w:t>
            </w:r>
          </w:p>
        </w:tc>
        <w:tc>
          <w:tcPr>
            <w:tcW w:w="964" w:type="dxa"/>
            <w:vAlign w:val="center"/>
          </w:tcPr>
          <w:p>
            <w:pPr>
              <w:pStyle w:val="12"/>
            </w:pPr>
            <w:r>
              <w:t>40.00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包</w:t>
            </w:r>
          </w:p>
        </w:tc>
        <w:tc>
          <w:tcPr>
            <w:tcW w:w="850" w:type="dxa"/>
            <w:vAlign w:val="center"/>
          </w:tcPr>
          <w:p>
            <w:pPr>
              <w:pStyle w:val="12"/>
            </w:pPr>
            <w:r>
              <w:t>500</w:t>
            </w:r>
          </w:p>
        </w:tc>
        <w:tc>
          <w:tcPr>
            <w:tcW w:w="850" w:type="dxa"/>
            <w:vAlign w:val="center"/>
          </w:tcPr>
          <w:p>
            <w:pPr>
              <w:pStyle w:val="12"/>
            </w:pPr>
            <w:r>
              <w:t>0.02</w:t>
            </w:r>
          </w:p>
        </w:tc>
        <w:tc>
          <w:tcPr>
            <w:tcW w:w="964" w:type="dxa"/>
            <w:vAlign w:val="center"/>
          </w:tcPr>
          <w:p>
            <w:pPr>
              <w:pStyle w:val="12"/>
            </w:pPr>
            <w:r>
              <w:t>11.25</w:t>
            </w:r>
          </w:p>
        </w:tc>
        <w:tc>
          <w:tcPr>
            <w:tcW w:w="964" w:type="dxa"/>
            <w:vAlign w:val="center"/>
          </w:tcPr>
          <w:p>
            <w:pPr>
              <w:pStyle w:val="12"/>
            </w:pPr>
            <w:r>
              <w:t>11.25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11.25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财政改革业务费</w:t>
            </w:r>
          </w:p>
        </w:tc>
        <w:tc>
          <w:tcPr>
            <w:tcW w:w="964" w:type="dxa"/>
            <w:vAlign w:val="center"/>
          </w:tcPr>
          <w:p>
            <w:pPr>
              <w:pStyle w:val="12"/>
            </w:pPr>
            <w:r>
              <w:t>40.00</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3.50</w:t>
            </w:r>
          </w:p>
        </w:tc>
        <w:tc>
          <w:tcPr>
            <w:tcW w:w="964" w:type="dxa"/>
            <w:vAlign w:val="center"/>
          </w:tcPr>
          <w:p>
            <w:pPr>
              <w:pStyle w:val="12"/>
            </w:pPr>
            <w:r>
              <w:t>3.50</w:t>
            </w:r>
          </w:p>
        </w:tc>
        <w:tc>
          <w:tcPr>
            <w:tcW w:w="964" w:type="dxa"/>
            <w:vAlign w:val="center"/>
          </w:tcPr>
          <w:p>
            <w:pPr>
              <w:pStyle w:val="12"/>
            </w:pPr>
            <w:r>
              <w:t>3.50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财政专网等级保护测评及整改</w:t>
            </w:r>
          </w:p>
        </w:tc>
        <w:tc>
          <w:tcPr>
            <w:tcW w:w="964" w:type="dxa"/>
            <w:vAlign w:val="center"/>
          </w:tcPr>
          <w:p>
            <w:pPr>
              <w:pStyle w:val="12"/>
            </w:pPr>
            <w:r>
              <w:t>10.00</w:t>
            </w:r>
          </w:p>
        </w:tc>
        <w:tc>
          <w:tcPr>
            <w:tcW w:w="1134" w:type="dxa"/>
            <w:vAlign w:val="center"/>
          </w:tcPr>
          <w:p>
            <w:pPr>
              <w:pStyle w:val="13"/>
            </w:pPr>
            <w:r>
              <w:t>其他信息安全设备</w:t>
            </w:r>
          </w:p>
        </w:tc>
        <w:tc>
          <w:tcPr>
            <w:tcW w:w="1134" w:type="dxa"/>
            <w:vAlign w:val="center"/>
          </w:tcPr>
          <w:p>
            <w:pPr>
              <w:pStyle w:val="13"/>
            </w:pPr>
            <w:r>
              <w:t>A02010399</w:t>
            </w:r>
          </w:p>
        </w:tc>
        <w:tc>
          <w:tcPr>
            <w:tcW w:w="709" w:type="dxa"/>
            <w:vAlign w:val="center"/>
          </w:tcPr>
          <w:p>
            <w:pPr>
              <w:pStyle w:val="14"/>
            </w:pPr>
            <w:r>
              <w:t>套</w:t>
            </w:r>
          </w:p>
        </w:tc>
        <w:tc>
          <w:tcPr>
            <w:tcW w:w="850" w:type="dxa"/>
            <w:vAlign w:val="center"/>
          </w:tcPr>
          <w:p>
            <w:pPr>
              <w:pStyle w:val="12"/>
            </w:pPr>
            <w:r>
              <w:t>1</w:t>
            </w:r>
          </w:p>
        </w:tc>
        <w:tc>
          <w:tcPr>
            <w:tcW w:w="850" w:type="dxa"/>
            <w:vAlign w:val="center"/>
          </w:tcPr>
          <w:p>
            <w:pPr>
              <w:pStyle w:val="12"/>
            </w:pPr>
            <w:r>
              <w:t>2.00</w:t>
            </w:r>
          </w:p>
        </w:tc>
        <w:tc>
          <w:tcPr>
            <w:tcW w:w="964" w:type="dxa"/>
            <w:vAlign w:val="center"/>
          </w:tcPr>
          <w:p>
            <w:pPr>
              <w:pStyle w:val="12"/>
            </w:pPr>
            <w:r>
              <w:t>2.00</w:t>
            </w:r>
          </w:p>
        </w:tc>
        <w:tc>
          <w:tcPr>
            <w:tcW w:w="964" w:type="dxa"/>
            <w:vAlign w:val="center"/>
          </w:tcPr>
          <w:p>
            <w:pPr>
              <w:pStyle w:val="12"/>
            </w:pPr>
            <w:r>
              <w:t>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财政专网等级保护测评及整改</w:t>
            </w:r>
          </w:p>
        </w:tc>
        <w:tc>
          <w:tcPr>
            <w:tcW w:w="964" w:type="dxa"/>
            <w:vAlign w:val="center"/>
          </w:tcPr>
          <w:p>
            <w:pPr>
              <w:pStyle w:val="12"/>
            </w:pPr>
            <w:r>
              <w:t>10.00</w:t>
            </w:r>
          </w:p>
        </w:tc>
        <w:tc>
          <w:tcPr>
            <w:tcW w:w="1134" w:type="dxa"/>
            <w:vAlign w:val="center"/>
          </w:tcPr>
          <w:p>
            <w:pPr>
              <w:pStyle w:val="13"/>
            </w:pPr>
            <w:r>
              <w:t>信息安全软件开发服务</w:t>
            </w:r>
          </w:p>
        </w:tc>
        <w:tc>
          <w:tcPr>
            <w:tcW w:w="1134" w:type="dxa"/>
            <w:vAlign w:val="center"/>
          </w:tcPr>
          <w:p>
            <w:pPr>
              <w:pStyle w:val="13"/>
            </w:pPr>
            <w:r>
              <w:t>C16010500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8.00</w:t>
            </w:r>
          </w:p>
        </w:tc>
        <w:tc>
          <w:tcPr>
            <w:tcW w:w="964" w:type="dxa"/>
            <w:vAlign w:val="center"/>
          </w:tcPr>
          <w:p>
            <w:pPr>
              <w:pStyle w:val="12"/>
            </w:pPr>
            <w:r>
              <w:t>8.00</w:t>
            </w:r>
          </w:p>
        </w:tc>
        <w:tc>
          <w:tcPr>
            <w:tcW w:w="964" w:type="dxa"/>
            <w:vAlign w:val="center"/>
          </w:tcPr>
          <w:p>
            <w:pPr>
              <w:pStyle w:val="12"/>
            </w:pPr>
            <w:r>
              <w:t>8.00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财政专网运行维护费</w:t>
            </w:r>
          </w:p>
        </w:tc>
        <w:tc>
          <w:tcPr>
            <w:tcW w:w="964" w:type="dxa"/>
            <w:vAlign w:val="center"/>
          </w:tcPr>
          <w:p>
            <w:pPr>
              <w:pStyle w:val="12"/>
            </w:pPr>
            <w:r>
              <w:t>29.64</w:t>
            </w:r>
          </w:p>
        </w:tc>
        <w:tc>
          <w:tcPr>
            <w:tcW w:w="1134" w:type="dxa"/>
            <w:vAlign w:val="center"/>
          </w:tcPr>
          <w:p>
            <w:pPr>
              <w:pStyle w:val="13"/>
            </w:pPr>
            <w:r>
              <w:t>硬件运维服务</w:t>
            </w:r>
          </w:p>
        </w:tc>
        <w:tc>
          <w:tcPr>
            <w:tcW w:w="1134" w:type="dxa"/>
            <w:vAlign w:val="center"/>
          </w:tcPr>
          <w:p>
            <w:pPr>
              <w:pStyle w:val="13"/>
            </w:pPr>
            <w:r>
              <w:t>C16070200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29.64</w:t>
            </w:r>
          </w:p>
        </w:tc>
        <w:tc>
          <w:tcPr>
            <w:tcW w:w="964" w:type="dxa"/>
            <w:vAlign w:val="center"/>
          </w:tcPr>
          <w:p>
            <w:pPr>
              <w:pStyle w:val="12"/>
            </w:pPr>
            <w:r>
              <w:t>29.64</w:t>
            </w:r>
          </w:p>
        </w:tc>
        <w:tc>
          <w:tcPr>
            <w:tcW w:w="964" w:type="dxa"/>
            <w:vAlign w:val="center"/>
          </w:tcPr>
          <w:p>
            <w:pPr>
              <w:pStyle w:val="12"/>
            </w:pPr>
            <w:r>
              <w:t>29.64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29.64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机关服务专项经费</w:t>
            </w:r>
          </w:p>
        </w:tc>
        <w:tc>
          <w:tcPr>
            <w:tcW w:w="964" w:type="dxa"/>
            <w:vAlign w:val="center"/>
          </w:tcPr>
          <w:p>
            <w:pPr>
              <w:pStyle w:val="12"/>
            </w:pPr>
            <w:r>
              <w:t>39.30</w:t>
            </w:r>
          </w:p>
        </w:tc>
        <w:tc>
          <w:tcPr>
            <w:tcW w:w="1134" w:type="dxa"/>
            <w:vAlign w:val="center"/>
          </w:tcPr>
          <w:p>
            <w:pPr>
              <w:pStyle w:val="13"/>
            </w:pPr>
            <w:r>
              <w:t>保安服务</w:t>
            </w:r>
          </w:p>
        </w:tc>
        <w:tc>
          <w:tcPr>
            <w:tcW w:w="1134" w:type="dxa"/>
            <w:vAlign w:val="center"/>
          </w:tcPr>
          <w:p>
            <w:pPr>
              <w:pStyle w:val="13"/>
            </w:pPr>
            <w:r>
              <w:t>C05040300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8.90</w:t>
            </w:r>
          </w:p>
        </w:tc>
        <w:tc>
          <w:tcPr>
            <w:tcW w:w="964" w:type="dxa"/>
            <w:vAlign w:val="center"/>
          </w:tcPr>
          <w:p>
            <w:pPr>
              <w:pStyle w:val="12"/>
            </w:pPr>
            <w:r>
              <w:t>8.90</w:t>
            </w:r>
          </w:p>
        </w:tc>
        <w:tc>
          <w:tcPr>
            <w:tcW w:w="964" w:type="dxa"/>
            <w:vAlign w:val="center"/>
          </w:tcPr>
          <w:p>
            <w:pPr>
              <w:pStyle w:val="12"/>
            </w:pPr>
            <w:r>
              <w:t>8.90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8.90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机关服务专项经费</w:t>
            </w:r>
          </w:p>
        </w:tc>
        <w:tc>
          <w:tcPr>
            <w:tcW w:w="964" w:type="dxa"/>
            <w:vAlign w:val="center"/>
          </w:tcPr>
          <w:p>
            <w:pPr>
              <w:pStyle w:val="12"/>
            </w:pPr>
            <w:r>
              <w:t>39.30</w:t>
            </w:r>
          </w:p>
        </w:tc>
        <w:tc>
          <w:tcPr>
            <w:tcW w:w="1134" w:type="dxa"/>
            <w:vAlign w:val="center"/>
          </w:tcPr>
          <w:p>
            <w:pPr>
              <w:pStyle w:val="13"/>
            </w:pPr>
            <w:r>
              <w:t>物业管理服务</w:t>
            </w:r>
          </w:p>
        </w:tc>
        <w:tc>
          <w:tcPr>
            <w:tcW w:w="1134" w:type="dxa"/>
            <w:vAlign w:val="center"/>
          </w:tcPr>
          <w:p>
            <w:pPr>
              <w:pStyle w:val="13"/>
            </w:pPr>
            <w:r>
              <w:t>C21040000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26.00</w:t>
            </w:r>
          </w:p>
        </w:tc>
        <w:tc>
          <w:tcPr>
            <w:tcW w:w="964" w:type="dxa"/>
            <w:vAlign w:val="center"/>
          </w:tcPr>
          <w:p>
            <w:pPr>
              <w:pStyle w:val="12"/>
            </w:pPr>
            <w:r>
              <w:t>26.00</w:t>
            </w:r>
          </w:p>
        </w:tc>
        <w:tc>
          <w:tcPr>
            <w:tcW w:w="964" w:type="dxa"/>
            <w:vAlign w:val="center"/>
          </w:tcPr>
          <w:p>
            <w:pPr>
              <w:pStyle w:val="12"/>
            </w:pPr>
            <w:r>
              <w:t>26.00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网络运行维护、服务费</w:t>
            </w:r>
          </w:p>
        </w:tc>
        <w:tc>
          <w:tcPr>
            <w:tcW w:w="964" w:type="dxa"/>
            <w:vAlign w:val="center"/>
          </w:tcPr>
          <w:p>
            <w:pPr>
              <w:pStyle w:val="12"/>
            </w:pPr>
            <w:r>
              <w:t>9.20</w:t>
            </w:r>
          </w:p>
        </w:tc>
        <w:tc>
          <w:tcPr>
            <w:tcW w:w="1134" w:type="dxa"/>
            <w:vAlign w:val="center"/>
          </w:tcPr>
          <w:p>
            <w:pPr>
              <w:pStyle w:val="13"/>
            </w:pPr>
            <w:r>
              <w:t>硬件运维服务</w:t>
            </w:r>
          </w:p>
        </w:tc>
        <w:tc>
          <w:tcPr>
            <w:tcW w:w="1134" w:type="dxa"/>
            <w:vAlign w:val="center"/>
          </w:tcPr>
          <w:p>
            <w:pPr>
              <w:pStyle w:val="13"/>
            </w:pPr>
            <w:r>
              <w:t>C16070200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4.20</w:t>
            </w:r>
          </w:p>
        </w:tc>
        <w:tc>
          <w:tcPr>
            <w:tcW w:w="964" w:type="dxa"/>
            <w:vAlign w:val="center"/>
          </w:tcPr>
          <w:p>
            <w:pPr>
              <w:pStyle w:val="12"/>
            </w:pPr>
            <w:r>
              <w:t>4.20</w:t>
            </w:r>
          </w:p>
        </w:tc>
        <w:tc>
          <w:tcPr>
            <w:tcW w:w="964" w:type="dxa"/>
            <w:vAlign w:val="center"/>
          </w:tcPr>
          <w:p>
            <w:pPr>
              <w:pStyle w:val="12"/>
            </w:pPr>
            <w:r>
              <w:t>4.20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政府购买投资评审服务项目</w:t>
            </w:r>
          </w:p>
        </w:tc>
        <w:tc>
          <w:tcPr>
            <w:tcW w:w="964" w:type="dxa"/>
            <w:vAlign w:val="center"/>
          </w:tcPr>
          <w:p>
            <w:pPr>
              <w:pStyle w:val="12"/>
            </w:pPr>
            <w:r>
              <w:t>150.00</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台</w:t>
            </w:r>
          </w:p>
        </w:tc>
        <w:tc>
          <w:tcPr>
            <w:tcW w:w="850" w:type="dxa"/>
            <w:vAlign w:val="center"/>
          </w:tcPr>
          <w:p>
            <w:pPr>
              <w:pStyle w:val="12"/>
            </w:pPr>
            <w:r>
              <w:t>10</w:t>
            </w:r>
          </w:p>
        </w:tc>
        <w:tc>
          <w:tcPr>
            <w:tcW w:w="850" w:type="dxa"/>
            <w:vAlign w:val="center"/>
          </w:tcPr>
          <w:p>
            <w:pPr>
              <w:pStyle w:val="12"/>
            </w:pPr>
            <w:r>
              <w:t>0.50</w:t>
            </w:r>
          </w:p>
        </w:tc>
        <w:tc>
          <w:tcPr>
            <w:tcW w:w="964" w:type="dxa"/>
            <w:vAlign w:val="center"/>
          </w:tcPr>
          <w:p>
            <w:pPr>
              <w:pStyle w:val="12"/>
            </w:pPr>
            <w:r>
              <w:t>5.00</w:t>
            </w:r>
          </w:p>
        </w:tc>
        <w:tc>
          <w:tcPr>
            <w:tcW w:w="964" w:type="dxa"/>
            <w:vAlign w:val="center"/>
          </w:tcPr>
          <w:p>
            <w:pPr>
              <w:pStyle w:val="12"/>
            </w:pPr>
            <w:r>
              <w:t>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政府购买投资评审服务项目</w:t>
            </w:r>
          </w:p>
        </w:tc>
        <w:tc>
          <w:tcPr>
            <w:tcW w:w="964" w:type="dxa"/>
            <w:vAlign w:val="center"/>
          </w:tcPr>
          <w:p>
            <w:pPr>
              <w:pStyle w:val="12"/>
            </w:pPr>
            <w:r>
              <w:t>150.00</w:t>
            </w:r>
          </w:p>
        </w:tc>
        <w:tc>
          <w:tcPr>
            <w:tcW w:w="1134" w:type="dxa"/>
            <w:vAlign w:val="center"/>
          </w:tcPr>
          <w:p>
            <w:pPr>
              <w:pStyle w:val="13"/>
            </w:pPr>
            <w:r>
              <w:t>便携式计算机</w:t>
            </w:r>
          </w:p>
        </w:tc>
        <w:tc>
          <w:tcPr>
            <w:tcW w:w="1134" w:type="dxa"/>
            <w:vAlign w:val="center"/>
          </w:tcPr>
          <w:p>
            <w:pPr>
              <w:pStyle w:val="13"/>
            </w:pPr>
            <w:r>
              <w:t>A02010108</w:t>
            </w:r>
          </w:p>
        </w:tc>
        <w:tc>
          <w:tcPr>
            <w:tcW w:w="709" w:type="dxa"/>
            <w:vAlign w:val="center"/>
          </w:tcPr>
          <w:p>
            <w:pPr>
              <w:pStyle w:val="14"/>
            </w:pPr>
            <w:r>
              <w:t>台</w:t>
            </w:r>
          </w:p>
        </w:tc>
        <w:tc>
          <w:tcPr>
            <w:tcW w:w="850" w:type="dxa"/>
            <w:vAlign w:val="center"/>
          </w:tcPr>
          <w:p>
            <w:pPr>
              <w:pStyle w:val="12"/>
            </w:pPr>
            <w:r>
              <w:t>5</w:t>
            </w:r>
          </w:p>
        </w:tc>
        <w:tc>
          <w:tcPr>
            <w:tcW w:w="850" w:type="dxa"/>
            <w:vAlign w:val="center"/>
          </w:tcPr>
          <w:p>
            <w:pPr>
              <w:pStyle w:val="12"/>
            </w:pPr>
            <w:r>
              <w:t>0.60</w:t>
            </w:r>
          </w:p>
        </w:tc>
        <w:tc>
          <w:tcPr>
            <w:tcW w:w="964" w:type="dxa"/>
            <w:vAlign w:val="center"/>
          </w:tcPr>
          <w:p>
            <w:pPr>
              <w:pStyle w:val="12"/>
            </w:pPr>
            <w:r>
              <w:t>3.00</w:t>
            </w:r>
          </w:p>
        </w:tc>
        <w:tc>
          <w:tcPr>
            <w:tcW w:w="964" w:type="dxa"/>
            <w:vAlign w:val="center"/>
          </w:tcPr>
          <w:p>
            <w:pPr>
              <w:pStyle w:val="12"/>
            </w:pPr>
            <w:r>
              <w:t>3.00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石家庄市鹿泉区财政局（含所属单位）上年末固定资产金额为2731.32万元（详见下表）。本年度拟购置固定资产总额为131.43万元，已按要求列入政府采购预算，详见政府采购预算表。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318石家庄市鹿泉区财政局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2731.32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1、房屋（平方米）</w:t>
            </w:r>
          </w:p>
        </w:tc>
        <w:tc>
          <w:tcPr>
            <w:tcW w:w="2835" w:type="dxa"/>
            <w:vAlign w:val="center"/>
          </w:tcPr>
          <w:p>
            <w:pPr>
              <w:pStyle w:val="14"/>
            </w:pPr>
            <w:r>
              <w:t>7068.49</w:t>
            </w:r>
          </w:p>
        </w:tc>
        <w:tc>
          <w:tcPr>
            <w:tcW w:w="2835" w:type="dxa"/>
            <w:vAlign w:val="center"/>
          </w:tcPr>
          <w:p>
            <w:pPr>
              <w:pStyle w:val="12"/>
            </w:pPr>
            <w:r>
              <w:t>2262.03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　　其中：办公用房（平方米）</w:t>
            </w:r>
          </w:p>
        </w:tc>
        <w:tc>
          <w:tcPr>
            <w:tcW w:w="2835" w:type="dxa"/>
            <w:vAlign w:val="center"/>
          </w:tcPr>
          <w:p>
            <w:pPr>
              <w:pStyle w:val="14"/>
            </w:pPr>
            <w:r>
              <w:t>3049</w:t>
            </w:r>
          </w:p>
        </w:tc>
        <w:tc>
          <w:tcPr>
            <w:tcW w:w="2835" w:type="dxa"/>
            <w:vAlign w:val="center"/>
          </w:tcPr>
          <w:p>
            <w:pPr>
              <w:pStyle w:val="12"/>
            </w:pPr>
            <w:r>
              <w:t>975.73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2、车辆（台、辆）</w:t>
            </w:r>
          </w:p>
        </w:tc>
        <w:tc>
          <w:tcPr>
            <w:tcW w:w="2835" w:type="dxa"/>
            <w:vAlign w:val="center"/>
          </w:tcPr>
          <w:p>
            <w:pPr>
              <w:pStyle w:val="14"/>
            </w:pPr>
            <w:r>
              <w:t>3</w:t>
            </w:r>
          </w:p>
        </w:tc>
        <w:tc>
          <w:tcPr>
            <w:tcW w:w="2835" w:type="dxa"/>
            <w:vAlign w:val="center"/>
          </w:tcPr>
          <w:p>
            <w:pPr>
              <w:pStyle w:val="12"/>
            </w:pPr>
            <w:r>
              <w:t>41.99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4、其他固定资产</w:t>
            </w:r>
          </w:p>
        </w:tc>
        <w:tc>
          <w:tcPr>
            <w:tcW w:w="2835" w:type="dxa"/>
            <w:vAlign w:val="center"/>
          </w:tcPr>
          <w:p>
            <w:pPr>
              <w:pStyle w:val="14"/>
            </w:pPr>
            <w:r>
              <w:t>2336</w:t>
            </w:r>
          </w:p>
        </w:tc>
        <w:tc>
          <w:tcPr>
            <w:tcW w:w="2835" w:type="dxa"/>
            <w:vAlign w:val="center"/>
          </w:tcPr>
          <w:p>
            <w:pPr>
              <w:pStyle w:val="12"/>
            </w:pPr>
            <w:r>
              <w:t>427.30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46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14A2FD6"/>
    <w:rsid w:val="1E9A636F"/>
    <w:rsid w:val="1FCF584B"/>
    <w:rsid w:val="33524BEC"/>
    <w:rsid w:val="36C80D62"/>
    <w:rsid w:val="47647150"/>
    <w:rsid w:val="4AE64BDE"/>
    <w:rsid w:val="528E2FB0"/>
    <w:rsid w:val="5A5E0495"/>
    <w:rsid w:val="5CC4793A"/>
    <w:rsid w:val="5E405543"/>
    <w:rsid w:val="758C6E07"/>
    <w:rsid w:val="75AF4A66"/>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56</Pages>
  <Words>16946</Words>
  <Characters>20361</Characters>
  <TotalTime>14</TotalTime>
  <ScaleCrop>false</ScaleCrop>
  <LinksUpToDate>false</LinksUpToDate>
  <CharactersWithSpaces>20675</CharactersWithSpaces>
  <Application>WPS Office_11.8.2.12195_F1E327BC-269C-435d-A152-05C5408002CA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2025-02-10T11:12:00Z</dcterms:created>
  <dc:creator>Administrator</dc:creator>
  <cp:lastModifiedBy>Administrator</cp:lastModifiedBy>
  <dcterms:modified xsi:type="dcterms:W3CDTF">2025-02-11T07:59:57Z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2052-11.8.2.12195</vt:lpwstr>
  </property>
  <property fmtid="{D5CDD505-2E9C-101B-9397-08002B2CF9AE}" pid="3" name="ICV">
    <vt:lpwstr>505F34225D9149829AF41F4B65506173</vt:lpwstr>
  </property>
</Properties>
</file>