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w:t>
      </w:r>
      <w:r>
        <w:rPr>
          <w:rFonts w:hint="eastAsia" w:ascii="黑体" w:hAnsi="黑体" w:eastAsia="黑体" w:cs="黑体"/>
          <w:b/>
          <w:bCs/>
          <w:sz w:val="72"/>
          <w:szCs w:val="96"/>
          <w:lang w:eastAsia="zh-CN"/>
        </w:rPr>
        <w:t>单位</w:t>
      </w:r>
      <w:r>
        <w:rPr>
          <w:rFonts w:hint="eastAsia" w:ascii="黑体" w:hAnsi="黑体" w:eastAsia="黑体" w:cs="黑体"/>
          <w:b/>
          <w:bCs/>
          <w:sz w:val="72"/>
          <w:szCs w:val="96"/>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石家庄市鹿泉区公用事业管理中心</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第一部分  </w:t>
                            </w:r>
                            <w:r>
                              <w:rPr>
                                <w:rFonts w:hint="eastAsia" w:ascii="黑体" w:hAnsi="黑体" w:eastAsia="黑体" w:cs="黑体"/>
                                <w:color w:val="000000" w:themeColor="text1"/>
                                <w:sz w:val="96"/>
                                <w:szCs w:val="96"/>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fill type="pattern" on="t" color2="#FFFFFF [3212]"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第一部分  </w:t>
                      </w:r>
                      <w:r>
                        <w:rPr>
                          <w:rFonts w:hint="eastAsia" w:ascii="黑体" w:hAnsi="黑体" w:eastAsia="黑体" w:cs="黑体"/>
                          <w:color w:val="000000" w:themeColor="text1"/>
                          <w:sz w:val="96"/>
                          <w:szCs w:val="96"/>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2、负责全市城乡公园绿地、风景林地和主要道路绿化的方案设计和建设管理；负责城市绿化“绿线”管理，并监督检查；参与风景名胜区的规划编制、建设工作。</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3、负责全市城乡新、扩、改建项目配套绿地审查和绿化工程竣工验收；负责全市政府投资城乡园林绿化工程的设计、建设和维护管理并行使法律、法规规定的行政处罚权。</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4、负责城市规划区内砍伐移植树木、绿地占用、异地绿化的审批工作；参与审查新建各类公园的选址定点、规划设计方案和已建成公园规划调整方案。</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5、负责全市城乡绿地广场、公园、小游园等管理工作；监督指导全市企事业单位、住宅小区等绿化达标；组织申报“园林式单位”和“园林式小区”。</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6、负责园林绿化的普法教育和宣传工作。</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kern w:val="2"/>
          <w:sz w:val="32"/>
          <w:szCs w:val="32"/>
          <w:lang w:val="en-US" w:eastAsia="zh-CN" w:bidi="ar"/>
        </w:rPr>
      </w:pPr>
      <w:r>
        <w:rPr>
          <w:rFonts w:hint="eastAsia" w:ascii="仿宋_GB2312" w:hAnsi="宋体" w:eastAsia="仿宋_GB2312" w:cs="仿宋_GB2312"/>
          <w:bCs/>
          <w:kern w:val="2"/>
          <w:sz w:val="32"/>
          <w:szCs w:val="32"/>
          <w:lang w:val="en-US" w:eastAsia="zh-CN" w:bidi="ar"/>
        </w:rPr>
        <w:t>7、加强城区市政基础设施维护、绿化、亮化、城区防汛及公园管理。</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kern w:val="2"/>
          <w:sz w:val="32"/>
          <w:szCs w:val="32"/>
          <w:lang w:val="en-US" w:eastAsia="zh-CN" w:bidi="ar"/>
        </w:rPr>
      </w:pPr>
    </w:p>
    <w:p>
      <w:pPr>
        <w:keepNext w:val="0"/>
        <w:keepLines w:val="0"/>
        <w:widowControl w:val="0"/>
        <w:numPr>
          <w:ilvl w:val="0"/>
          <w:numId w:val="0"/>
        </w:numPr>
        <w:suppressLineNumbers w:val="0"/>
        <w:spacing w:before="0" w:beforeAutospacing="0" w:after="0" w:afterAutospacing="0" w:line="600" w:lineRule="exact"/>
        <w:ind w:leftChars="200" w:right="0" w:rightChars="0" w:firstLine="320" w:firstLineChars="1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8、依法查处破坏市政基础设施行为。</w:t>
      </w:r>
    </w:p>
    <w:p>
      <w:pPr>
        <w:keepNext w:val="0"/>
        <w:keepLines w:val="0"/>
        <w:widowControl w:val="0"/>
        <w:numPr>
          <w:ilvl w:val="0"/>
          <w:numId w:val="0"/>
        </w:numPr>
        <w:suppressLineNumbers w:val="0"/>
        <w:spacing w:before="0" w:beforeAutospacing="0" w:after="0" w:afterAutospacing="0" w:line="600" w:lineRule="exact"/>
        <w:ind w:leftChars="200" w:right="0" w:rightChars="0" w:firstLine="320" w:firstLineChars="1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9、审批占用、挖掘市政基础设施、绿化设施项目。</w:t>
      </w:r>
    </w:p>
    <w:p>
      <w:pPr>
        <w:keepNext w:val="0"/>
        <w:keepLines w:val="0"/>
        <w:widowControl w:val="0"/>
        <w:numPr>
          <w:ilvl w:val="0"/>
          <w:numId w:val="0"/>
        </w:numPr>
        <w:suppressLineNumbers w:val="0"/>
        <w:spacing w:before="0" w:beforeAutospacing="0" w:after="0" w:afterAutospacing="0" w:line="600" w:lineRule="exact"/>
        <w:ind w:leftChars="200" w:right="0" w:rightChars="0" w:firstLine="320" w:firstLineChars="1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10、负责城区集中供热管理及液化气供应保障工作。</w:t>
      </w:r>
    </w:p>
    <w:p>
      <w:pPr>
        <w:keepNext w:val="0"/>
        <w:keepLines w:val="0"/>
        <w:widowControl w:val="0"/>
        <w:numPr>
          <w:ilvl w:val="0"/>
          <w:numId w:val="0"/>
        </w:numPr>
        <w:suppressLineNumbers w:val="0"/>
        <w:spacing w:before="0" w:beforeAutospacing="0" w:after="0" w:afterAutospacing="0" w:line="600" w:lineRule="exact"/>
        <w:ind w:leftChars="200" w:right="0" w:rightChars="0" w:firstLine="320" w:firstLineChars="1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11、承办市委、市政府交办的其他事项。</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2019年度收支总计（含结转和结余）</w:t>
      </w:r>
      <w:r>
        <w:rPr>
          <w:rFonts w:hint="eastAsia" w:ascii="仿宋_GB2312" w:hAnsi="Times New Roman" w:eastAsia="仿宋_GB2312" w:cs="DengXian-Regular"/>
          <w:sz w:val="32"/>
          <w:szCs w:val="32"/>
          <w:lang w:val="en-US" w:eastAsia="zh-CN"/>
        </w:rPr>
        <w:t>24693.34</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6908.58</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21.86</w:t>
      </w:r>
      <w:r>
        <w:rPr>
          <w:rFonts w:hint="eastAsia" w:ascii="仿宋_GB2312" w:hAnsi="Times New Roman" w:eastAsia="仿宋_GB2312" w:cs="DengXian-Regular"/>
          <w:sz w:val="32"/>
          <w:szCs w:val="32"/>
        </w:rPr>
        <w:t>%，主要原因</w:t>
      </w:r>
      <w:r>
        <w:rPr>
          <w:rFonts w:hint="eastAsia" w:ascii="仿宋_GB2312" w:hAnsi="Times New Roman" w:eastAsia="仿宋_GB2312" w:cs="DengXian-Regular"/>
          <w:sz w:val="32"/>
          <w:szCs w:val="32"/>
          <w:lang w:eastAsia="zh-CN"/>
        </w:rPr>
        <w:t>是项目建设较</w:t>
      </w:r>
      <w:r>
        <w:rPr>
          <w:rFonts w:hint="eastAsia" w:ascii="仿宋_GB2312" w:hAnsi="Times New Roman" w:eastAsia="仿宋_GB2312" w:cs="DengXian-Regular"/>
          <w:sz w:val="32"/>
          <w:szCs w:val="32"/>
          <w:lang w:val="en-US" w:eastAsia="zh-CN"/>
        </w:rPr>
        <w:t>2018年度有所减少</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2019年度本年收入合计</w:t>
      </w:r>
      <w:r>
        <w:rPr>
          <w:rFonts w:hint="eastAsia" w:ascii="仿宋_GB2312" w:hAnsi="Times New Roman" w:eastAsia="仿宋_GB2312" w:cs="DengXian-Regular"/>
          <w:sz w:val="32"/>
          <w:szCs w:val="32"/>
          <w:lang w:val="en-US" w:eastAsia="zh-CN"/>
        </w:rPr>
        <w:t>21282.67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21229.41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99.75</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53.26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0.25</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after="160" w:line="560" w:lineRule="exact"/>
        <w:jc w:val="center"/>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w:t>
      </w:r>
      <w:r>
        <w:rPr>
          <w:rFonts w:hint="eastAsia" w:ascii="仿宋_GB2312" w:hAnsi="Times New Roman" w:eastAsia="仿宋_GB2312" w:cs="DengXian-Regular"/>
          <w:sz w:val="28"/>
          <w:szCs w:val="28"/>
          <w:lang w:eastAsia="zh-CN"/>
        </w:rPr>
        <w:t>收入</w:t>
      </w:r>
      <w:r>
        <w:rPr>
          <w:rFonts w:hint="eastAsia" w:ascii="仿宋_GB2312" w:hAnsi="Times New Roman" w:eastAsia="仿宋_GB2312" w:cs="DengXian-Regular"/>
          <w:sz w:val="28"/>
          <w:szCs w:val="28"/>
        </w:rPr>
        <w:t>构成情况</w:t>
      </w:r>
      <w:r>
        <w:rPr>
          <w:rFonts w:hint="eastAsia" w:ascii="仿宋_GB2312" w:hAnsi="Times New Roman" w:eastAsia="仿宋_GB2312" w:cs="DengXian-Regular"/>
          <w:sz w:val="32"/>
          <w:szCs w:val="32"/>
          <w:lang w:eastAsia="zh-CN"/>
        </w:rPr>
        <w:drawing>
          <wp:anchor distT="0" distB="0" distL="114300" distR="114300" simplePos="0" relativeHeight="437319680" behindDoc="0" locked="0" layoutInCell="1" allowOverlap="1">
            <wp:simplePos x="0" y="0"/>
            <wp:positionH relativeFrom="column">
              <wp:posOffset>376555</wp:posOffset>
            </wp:positionH>
            <wp:positionV relativeFrom="paragraph">
              <wp:posOffset>343535</wp:posOffset>
            </wp:positionV>
            <wp:extent cx="5111750" cy="3080385"/>
            <wp:effectExtent l="4445" t="4445" r="8255" b="20320"/>
            <wp:wrapTopAndBottom/>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2019年度本年支出合计</w:t>
      </w:r>
      <w:r>
        <w:rPr>
          <w:rFonts w:hint="eastAsia" w:ascii="仿宋_GB2312" w:hAnsi="Times New Roman" w:eastAsia="仿宋_GB2312" w:cs="DengXian-Regular"/>
          <w:sz w:val="32"/>
          <w:szCs w:val="32"/>
          <w:lang w:val="en-US" w:eastAsia="zh-CN"/>
        </w:rPr>
        <w:t>24286.82</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359.07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1.48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23927.75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98.52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lang w:val="en-US"/>
        </w:rPr>
      </w:pPr>
      <w:r>
        <w:rPr>
          <w:rFonts w:hint="eastAsia" w:ascii="仿宋_GB2312" w:hAnsi="Times New Roman" w:eastAsia="仿宋_GB2312" w:cs="DengXian-Regular"/>
          <w:sz w:val="32"/>
          <w:szCs w:val="32"/>
          <w:lang w:eastAsia="zh-CN"/>
        </w:rPr>
        <w:drawing>
          <wp:anchor distT="0" distB="0" distL="114300" distR="114300" simplePos="0" relativeHeight="437357568" behindDoc="0" locked="0" layoutInCell="1" allowOverlap="1">
            <wp:simplePos x="0" y="0"/>
            <wp:positionH relativeFrom="column">
              <wp:posOffset>198755</wp:posOffset>
            </wp:positionH>
            <wp:positionV relativeFrom="paragraph">
              <wp:posOffset>281940</wp:posOffset>
            </wp:positionV>
            <wp:extent cx="5090795" cy="2846705"/>
            <wp:effectExtent l="4445" t="4445" r="10160" b="6350"/>
            <wp:wrapTopAndBottom/>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Pr>
          <w:rFonts w:hint="eastAsia" w:ascii="仿宋_GB2312" w:hAnsi="Times New Roman" w:eastAsia="仿宋_GB2312" w:cs="DengXian-Regular"/>
          <w:sz w:val="32"/>
          <w:szCs w:val="32"/>
          <w:lang w:eastAsia="zh-CN"/>
        </w:rPr>
        <w:t>图</w:t>
      </w:r>
      <w:r>
        <w:rPr>
          <w:rFonts w:hint="eastAsia" w:ascii="仿宋_GB2312" w:hAnsi="Times New Roman" w:eastAsia="仿宋_GB2312" w:cs="DengXian-Regular"/>
          <w:sz w:val="32"/>
          <w:szCs w:val="32"/>
          <w:lang w:val="en-US" w:eastAsia="zh-CN"/>
        </w:rPr>
        <w:t>2：支出构成情况（按支出性质）</w:t>
      </w: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2019年度财政拨款本年收入</w:t>
      </w:r>
      <w:r>
        <w:rPr>
          <w:rFonts w:hint="eastAsia" w:ascii="仿宋_GB2312" w:hAnsi="Times New Roman" w:eastAsia="仿宋_GB2312" w:cs="DengXian-Regular"/>
          <w:sz w:val="32"/>
          <w:szCs w:val="32"/>
          <w:lang w:val="en-US" w:eastAsia="zh-CN"/>
        </w:rPr>
        <w:t>21229.41</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6924.29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24.59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项目建设减少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24264.55</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2808.79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项目建设减少</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10390.68</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3804.6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26.80%，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减少了燃煤锅炉置换补贴的发放</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11637.34</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1731.59</w:t>
      </w:r>
      <w:r>
        <w:rPr>
          <w:rFonts w:hint="eastAsia" w:ascii="仿宋_GB2312" w:hAnsi="Times New Roman" w:eastAsia="仿宋_GB2312" w:cs="DengXian-Regular"/>
          <w:sz w:val="32"/>
          <w:szCs w:val="32"/>
        </w:rPr>
        <w:t>万元，降</w:t>
      </w:r>
      <w:r>
        <w:rPr>
          <w:rFonts w:hint="eastAsia" w:ascii="仿宋_GB2312" w:hAnsi="Times New Roman" w:eastAsia="仿宋_GB2312" w:cs="DengXian-Regular"/>
          <w:sz w:val="32"/>
          <w:szCs w:val="32"/>
          <w:lang w:eastAsia="zh-CN"/>
        </w:rPr>
        <w:t>低</w:t>
      </w:r>
      <w:r>
        <w:rPr>
          <w:rFonts w:hint="eastAsia" w:ascii="仿宋_GB2312" w:hAnsi="Times New Roman" w:eastAsia="仿宋_GB2312" w:cs="DengXian-Regular"/>
          <w:sz w:val="32"/>
          <w:szCs w:val="32"/>
          <w:lang w:val="en-US" w:eastAsia="zh-CN"/>
        </w:rPr>
        <w:t>12.95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b w:val="0"/>
          <w:bCs w:val="0"/>
          <w:sz w:val="32"/>
          <w:szCs w:val="32"/>
          <w:lang w:eastAsia="zh-CN"/>
        </w:rPr>
        <w:t>减少了燃煤锅炉置换补贴的支付</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10838.73</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3119.69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22.35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项目建设较</w:t>
      </w:r>
      <w:r>
        <w:rPr>
          <w:rFonts w:hint="eastAsia" w:ascii="仿宋_GB2312" w:hAnsi="Times New Roman" w:eastAsia="仿宋_GB2312" w:cs="DengXian-Regular"/>
          <w:sz w:val="32"/>
          <w:szCs w:val="32"/>
          <w:lang w:val="en-US" w:eastAsia="zh-CN"/>
        </w:rPr>
        <w:t>2018年度有所减少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12627.2</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1077.21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减少了项目建设。</w: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437413888" behindDoc="0" locked="0" layoutInCell="1" allowOverlap="1">
            <wp:simplePos x="0" y="0"/>
            <wp:positionH relativeFrom="column">
              <wp:posOffset>264795</wp:posOffset>
            </wp:positionH>
            <wp:positionV relativeFrom="paragraph">
              <wp:posOffset>290830</wp:posOffset>
            </wp:positionV>
            <wp:extent cx="4833620" cy="3103880"/>
            <wp:effectExtent l="4445" t="4445" r="19685" b="15875"/>
            <wp:wrapNone/>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tabs>
          <w:tab w:val="left" w:pos="2162"/>
        </w:tabs>
        <w:adjustRightInd w:val="0"/>
        <w:snapToGrid w:val="0"/>
        <w:spacing w:line="580" w:lineRule="exact"/>
        <w:ind w:firstLine="1600" w:firstLineChars="500"/>
        <w:jc w:val="both"/>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eastAsia="zh-CN"/>
        </w:rPr>
        <w:t>图</w:t>
      </w:r>
      <w:r>
        <w:rPr>
          <w:rFonts w:hint="eastAsia" w:ascii="仿宋_GB2312" w:hAnsi="Times New Roman" w:eastAsia="仿宋_GB2312" w:cs="DengXian-Regular"/>
          <w:sz w:val="32"/>
          <w:szCs w:val="32"/>
          <w:lang w:val="en-US" w:eastAsia="zh-CN"/>
        </w:rPr>
        <w:t>3：收入支出对比情况（按年度）</w: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2019年度财政拨款本年收入</w:t>
      </w:r>
      <w:r>
        <w:rPr>
          <w:rFonts w:hint="eastAsia" w:ascii="仿宋_GB2312" w:hAnsi="Times New Roman" w:eastAsia="仿宋_GB2312" w:cs="DengXian-Regular"/>
          <w:sz w:val="32"/>
          <w:szCs w:val="32"/>
          <w:lang w:val="en-US" w:eastAsia="zh-CN"/>
        </w:rPr>
        <w:t>21229.41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74.01</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7456.93</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调整减少了项目收入</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24264.55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84.59</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4421.79</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调整减少了项目支出</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268.72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6523.94</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增加了南太平河综合整治工程建设资金及供热补贴</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300.96</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7770.6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增加了南太平河综合整治工程建设资金及供热补贴的支出</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43.67</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13980.87</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减少了项目建设</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50.88</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12192.4</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减少了项目建设</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eastAsia="仿宋_GB2312" w:cs="DengXian-Regular"/>
          <w:sz w:val="32"/>
          <w:szCs w:val="32"/>
          <w:highlight w:val="yellow"/>
          <w:lang w:eastAsia="zh-CN"/>
        </w:rPr>
        <w:drawing>
          <wp:anchor distT="0" distB="0" distL="114300" distR="114300" simplePos="0" relativeHeight="437439488" behindDoc="0" locked="0" layoutInCell="1" allowOverlap="1">
            <wp:simplePos x="0" y="0"/>
            <wp:positionH relativeFrom="column">
              <wp:posOffset>318135</wp:posOffset>
            </wp:positionH>
            <wp:positionV relativeFrom="paragraph">
              <wp:posOffset>288290</wp:posOffset>
            </wp:positionV>
            <wp:extent cx="5080000" cy="3057525"/>
            <wp:effectExtent l="4445" t="4445" r="20955" b="508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24264.55</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：社会保障和就业（类）</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42.61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0.18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34.11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0.14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节能环保</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4235.27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17.45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城乡社区</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19934.54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82.15</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18.01</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0.07</w:t>
      </w:r>
      <w:r>
        <w:rPr>
          <w:rFonts w:hint="eastAsia" w:ascii="仿宋_GB2312" w:hAnsi="Times New Roman" w:eastAsia="仿宋_GB2312" w:cs="DengXian-Regular"/>
          <w:sz w:val="32"/>
          <w:szCs w:val="32"/>
        </w:rPr>
        <w:t>%。</w:t>
      </w:r>
    </w:p>
    <w:p>
      <w:pPr>
        <w:adjustRightInd w:val="0"/>
        <w:snapToGrid w:val="0"/>
        <w:spacing w:line="580" w:lineRule="exact"/>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sz w:val="32"/>
          <w:szCs w:val="32"/>
          <w:lang w:eastAsia="zh-CN"/>
        </w:rPr>
        <w:drawing>
          <wp:anchor distT="0" distB="0" distL="114300" distR="114300" simplePos="0" relativeHeight="437478400" behindDoc="0" locked="0" layoutInCell="1" allowOverlap="1">
            <wp:simplePos x="0" y="0"/>
            <wp:positionH relativeFrom="column">
              <wp:posOffset>301625</wp:posOffset>
            </wp:positionH>
            <wp:positionV relativeFrom="paragraph">
              <wp:posOffset>163830</wp:posOffset>
            </wp:positionV>
            <wp:extent cx="5048250" cy="3048000"/>
            <wp:effectExtent l="4445" t="4445" r="14605" b="14605"/>
            <wp:wrapTopAndBottom/>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357.75</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305.4万元。主要包括</w:t>
      </w:r>
      <w:r>
        <w:rPr>
          <w:rFonts w:hint="eastAsia" w:ascii="仿宋_GB2312" w:hAnsi="Times New Roman" w:eastAsia="仿宋_GB2312" w:cs="DengXian-Regular"/>
          <w:sz w:val="32"/>
          <w:szCs w:val="32"/>
        </w:rPr>
        <w:t xml:space="preserve">机关事业单位基本养老保险缴费、职业年金缴费、职工基本医疗保险缴费、住房公积金、其他社会保障缴费、其他工资福利支出、退休费、奖励金、其他对个人和家庭的补助支出；公用经费 </w:t>
      </w:r>
      <w:r>
        <w:rPr>
          <w:rFonts w:hint="eastAsia" w:ascii="仿宋_GB2312" w:hAnsi="Times New Roman" w:eastAsia="仿宋_GB2312" w:cs="DengXian-Regular"/>
          <w:sz w:val="32"/>
          <w:szCs w:val="32"/>
          <w:lang w:val="en-US" w:eastAsia="zh-CN"/>
        </w:rPr>
        <w:t>52.34</w:t>
      </w:r>
      <w:r>
        <w:rPr>
          <w:rFonts w:hint="eastAsia" w:ascii="仿宋_GB2312" w:hAnsi="Times New Roman" w:eastAsia="仿宋_GB2312" w:cs="DengXian-Regular"/>
          <w:sz w:val="32"/>
          <w:szCs w:val="32"/>
        </w:rPr>
        <w:t>万元，主要包括办公费、印刷费、咨询费、手续费、水费、电费、邮电费、取暖费、差旅费、维修（护）费、培训费、专用材料费、劳务费、委托业务费、工会经费、福利费、其他交通费用、其他商品和服务支出、办公设备购置、信息网络及软件购置更新。</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2.9</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2.58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公务用车运行费的减少，认真贯彻落实中央八项规定精神和厉行节约要求，从严控制“三公”经费开支，全年实际比</w:t>
      </w:r>
      <w:r>
        <w:rPr>
          <w:rFonts w:hint="eastAsia" w:ascii="仿宋_GB2312" w:hAnsi="Times New Roman" w:eastAsia="仿宋_GB2312" w:cs="DengXian-Regular"/>
          <w:sz w:val="32"/>
          <w:szCs w:val="32"/>
          <w:lang w:val="en-US" w:eastAsia="zh-CN"/>
        </w:rPr>
        <w:t>2018年有所节约</w:t>
      </w:r>
      <w:r>
        <w:rPr>
          <w:rFonts w:hint="eastAsia" w:ascii="仿宋_GB2312" w:hAnsi="Times New Roman" w:eastAsia="仿宋_GB2312" w:cs="DengXian-Regular"/>
          <w:sz w:val="32"/>
          <w:szCs w:val="32"/>
        </w:rPr>
        <w:t>。具体情况如下：</w:t>
      </w:r>
    </w:p>
    <w:p>
      <w:pPr>
        <w:adjustRightInd w:val="0"/>
        <w:snapToGrid w:val="0"/>
        <w:spacing w:after="0" w:line="58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437514240"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35" name="组合 3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43751424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AM0cATcDAAAcCQAADgAAAGRycy9lMm9Eb2MueG1s&#10;7VbNbhMxEL4j8Q6W73Szm2yzWTWtooZUSIVWKoiz4/X+SF7b2E425cyBI2+AxI1nQDxOxWsw9m62&#10;aakEbQUnFMmxPeP5+TzfeA+ONjVHa6ZNJcUUh3sDjJigMqtEMcVvXi+eJRgZS0RGuBRsii+ZwUeH&#10;T58cNCplkSwlz5hGYESYtFFTXFqr0iAwtGQ1MXtSMQHCXOqaWFjqIsg0acB6zYNoMNgPGqkzpSVl&#10;xsDuvBXiQ28/zxm1Z3lumEV8iiE260ftx6Ubg8MDkhaaqLKiXRjkAVHUpBLgtDc1J5agla5+MVVX&#10;VEsjc7tHZR3IPK8o8zlANuHgVjYnWq6Uz6VIm0L1MAG0t3B6sFn6an2uUZVN8TDGSJAa7ujHtw9X&#10;nz4i2AB0GlWkoHSi1YU6191G0a5cwptc1+4fUkEbj+tljyvbWERhc5gMh6MJ2Kcgi+Mk3PemSUpL&#10;uB13bBTHIUZOGu2HvfB5dz6JR/vt4XA4SVxUwdZx4OLrw2kUVJG5Bso8DqiLkijm8TcOgw6oZNgD&#10;9fnr1fcvKBy2QHmlHiWTGgDsDojuynWL1E6m4djj0GdKUqWNPWGyRm4yxRqK29ccWZ8a24KyVXFu&#10;jeRVtqg49wtdLI+5RmsCRJhP3M+f5av6pcza7SQeDDwjwKdp9T3SNwxxgRogejQGVUQJUDbnxMK0&#10;VlBERhQYEV5AL6BWew9CuhggvDaBOTFl686bdciRtK4sdAFe1VOcQAx9FFxAAO5SWyjdbCmzS7gI&#10;LVsqG0UXFcBxSow9Jxq4C2FBP7JnMORcQqyym2FUSv3+rn2nD5UCUowa6AWQx7sV0Qwj/kJADU3C&#10;0cg1D78YxeMIFnpXstyViFV9LAFlKGiIzk+dvuXbaa5l/Rba1sx5BRERFHy3iHWLY9v2KGh8lM1m&#10;Xg0ahiL2VFwo6ow73IScrazMK3/71+h0oAETHH//BSVGtykxuiclxuOO/smka8o9JYYRWHedIwwj&#10;z7S/QYnZfDCI5l1r8ZW5Zc69C/7G6Y5HbcVHizhKFv7mTEky1u461v2Wdo7Yj6WO3Sw3QLfrOvnP&#10;oj9lkX9m4An2/bD7XHBv/O7as+76o+bwJ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BJ+ys7bAAAA&#10;CwEAAA8AAAAAAAAAAQAgAAAAIgAAAGRycy9kb3ducmV2LnhtbFBLAQIUABQAAAAIAIdO4kAAzRwB&#10;NwMAABwJAAAOAAAAAAAAAAEAIAAAACoBAABkcnMvZTJvRG9jLnhtbFBLBQYAAAAABgAGAFkBAADT&#10;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Nb2TLwAAADb&#10;AAAADwAAAGRycy9kb3ducmV2LnhtbEWPQWsCMRSE7wX/Q3iCt5qoYGVr9CBKe7JWPXh8bF43i5uX&#10;NYm6/ntTKPQ4zMw3zHzZuUbcKMTas4bRUIEgLr2pudJwPGxeZyBiQjbYeCYND4qwXPRe5lgYf+dv&#10;uu1TJTKEY4EabEptIWUsLTmMQ98SZ+/HB4cpy1BJE/Ce4a6RY6Wm0mHNecFiSytL5Xl/dRp2162t&#10;Jqfwdkgfbbc+qenOfF20HvRH6h1Eoi79h//an0bDbAK/X/IPkI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TW9ky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AqJLLgAAADb&#10;AAAADwAAAGRycy9kb3ducmV2LnhtbEWPwQrCMBBE74L/EFbwpqkiWmqjB0Hw4EUtntdmbYvNpjSp&#10;1b83guBxmJk3TLp9mVo8qXWVZQWzaQSCOLe64kJBdtlPYhDOI2usLZOCNznYboaDFBNtez7R8+wL&#10;ESDsElRQet8kUrq8JINuahvi4N1ta9AH2RZSt9gHuKnlPIqW0mDFYaHEhnYl5Y9zZxSYanXvbtdj&#10;fXLyGOeUFTbb9UqNR7NoDcLTy//Dv/ZBK4gX8P0SfoDcfA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AqJLL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p>
    <w:p>
      <w:pPr>
        <w:adjustRightInd w:val="0"/>
        <w:snapToGrid w:val="0"/>
        <w:spacing w:line="580" w:lineRule="exact"/>
        <w:ind w:firstLine="640" w:firstLineChars="200"/>
        <w:rPr>
          <w:rFonts w:hint="eastAsia" w:ascii="楷体_GB2312" w:eastAsia="楷体_GB2312" w:cs="DengXian-Bold"/>
          <w:b w:val="0"/>
          <w:bCs w:val="0"/>
          <w:sz w:val="32"/>
          <w:szCs w:val="32"/>
        </w:rPr>
      </w:pPr>
      <w:r>
        <w:rPr>
          <w:rFonts w:hint="eastAsia" w:ascii="楷体_GB2312" w:eastAsia="楷体_GB2312" w:cs="DengXian-Bold"/>
          <w:b w:val="0"/>
          <w:bCs w:val="0"/>
          <w:sz w:val="32"/>
          <w:szCs w:val="32"/>
        </w:rPr>
        <w:t>本</w:t>
      </w:r>
      <w:r>
        <w:rPr>
          <w:rFonts w:hint="eastAsia" w:ascii="楷体_GB2312" w:eastAsia="楷体_GB2312" w:cs="DengXian-Bold"/>
          <w:b w:val="0"/>
          <w:bCs w:val="0"/>
          <w:sz w:val="32"/>
          <w:szCs w:val="32"/>
          <w:lang w:eastAsia="zh-CN"/>
        </w:rPr>
        <w:t>单位</w:t>
      </w:r>
      <w:r>
        <w:rPr>
          <w:rFonts w:hint="eastAsia" w:ascii="楷体_GB2312" w:eastAsia="楷体_GB2312" w:cs="DengXian-Bold"/>
          <w:b w:val="0"/>
          <w:bCs w:val="0"/>
          <w:sz w:val="32"/>
          <w:szCs w:val="32"/>
        </w:rPr>
        <w:t>2019 年度因公出国（境）团组 0 个、共 0 人参加其他单位组织的因公出国（境）团组、无本单位组织的出国（境）团组。因公出国（境）费支出较预算及 2018 年决算均无增减变化。</w:t>
      </w:r>
    </w:p>
    <w:p>
      <w:pPr>
        <w:numPr>
          <w:ilvl w:val="0"/>
          <w:numId w:val="4"/>
        </w:numPr>
        <w:adjustRightInd w:val="0"/>
        <w:snapToGrid w:val="0"/>
        <w:spacing w:line="580" w:lineRule="exact"/>
        <w:ind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p>
    <w:p>
      <w:pPr>
        <w:numPr>
          <w:ilvl w:val="0"/>
          <w:numId w:val="0"/>
        </w:numPr>
        <w:adjustRightInd w:val="0"/>
        <w:snapToGrid w:val="0"/>
        <w:spacing w:line="580" w:lineRule="exact"/>
        <w:ind w:firstLine="640" w:firstLineChars="200"/>
        <w:rPr>
          <w:rFonts w:ascii="仿宋_GB2312" w:hAnsi="Times New Roman" w:eastAsia="仿宋_GB2312" w:cs="DengXian-Bold"/>
          <w:b/>
          <w:bCs/>
          <w:color w:val="auto"/>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2019年度公务用车购置及运行维护费较预算减少</w:t>
      </w:r>
      <w:r>
        <w:rPr>
          <w:rFonts w:hint="eastAsia" w:ascii="仿宋_GB2312" w:hAnsi="Times New Roman" w:eastAsia="仿宋_GB2312" w:cs="DengXian-Regular"/>
          <w:sz w:val="32"/>
          <w:szCs w:val="32"/>
          <w:lang w:val="en-US" w:eastAsia="zh-CN"/>
        </w:rPr>
        <w:t>2.7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w:t>
      </w:r>
      <w:r>
        <w:rPr>
          <w:rFonts w:hint="eastAsia" w:ascii="仿宋_GB2312" w:hAnsi="Times New Roman" w:eastAsia="仿宋_GB2312" w:cs="DengXian-Regular"/>
          <w:color w:val="auto"/>
          <w:sz w:val="32"/>
          <w:szCs w:val="32"/>
        </w:rPr>
        <w:t>是</w:t>
      </w:r>
      <w:r>
        <w:rPr>
          <w:rFonts w:hint="eastAsia" w:ascii="仿宋_GB2312" w:hAnsi="Times New Roman" w:eastAsia="仿宋_GB2312" w:cs="DengXian-Regular"/>
          <w:color w:val="auto"/>
          <w:sz w:val="32"/>
          <w:szCs w:val="32"/>
          <w:lang w:eastAsia="zh-CN"/>
        </w:rPr>
        <w:t>事业单位公车改革，取消公务用车</w:t>
      </w:r>
      <w:r>
        <w:rPr>
          <w:rFonts w:hint="eastAsia" w:ascii="仿宋_GB2312" w:hAnsi="Times New Roman" w:eastAsia="仿宋_GB2312" w:cs="DengXian-Regular"/>
          <w:color w:val="auto"/>
          <w:sz w:val="32"/>
          <w:szCs w:val="32"/>
        </w:rPr>
        <w:t>；较上年减少</w:t>
      </w:r>
      <w:r>
        <w:rPr>
          <w:rFonts w:hint="eastAsia" w:ascii="仿宋_GB2312" w:hAnsi="Times New Roman" w:eastAsia="仿宋_GB2312" w:cs="DengXian-Regular"/>
          <w:color w:val="auto"/>
          <w:sz w:val="32"/>
          <w:szCs w:val="32"/>
          <w:lang w:val="en-US" w:eastAsia="zh-CN"/>
        </w:rPr>
        <w:t>2.58</w:t>
      </w:r>
      <w:r>
        <w:rPr>
          <w:rFonts w:hint="eastAsia" w:ascii="仿宋_GB2312" w:hAnsi="Times New Roman" w:eastAsia="仿宋_GB2312" w:cs="DengXian-Regular"/>
          <w:color w:val="auto"/>
          <w:sz w:val="32"/>
          <w:szCs w:val="32"/>
        </w:rPr>
        <w:t>万元，降低</w:t>
      </w:r>
      <w:r>
        <w:rPr>
          <w:rFonts w:hint="eastAsia" w:ascii="仿宋_GB2312" w:hAnsi="Times New Roman" w:eastAsia="仿宋_GB2312" w:cs="DengXian-Regular"/>
          <w:color w:val="auto"/>
          <w:sz w:val="32"/>
          <w:szCs w:val="32"/>
          <w:lang w:val="en-US" w:eastAsia="zh-CN"/>
        </w:rPr>
        <w:t>100%</w:t>
      </w:r>
      <w:r>
        <w:rPr>
          <w:rFonts w:hint="eastAsia" w:ascii="仿宋_GB2312" w:hAnsi="Times New Roman" w:eastAsia="仿宋_GB2312" w:cs="DengXian-Regular"/>
          <w:color w:val="auto"/>
          <w:sz w:val="32"/>
          <w:szCs w:val="32"/>
        </w:rPr>
        <w:t>,主要是</w:t>
      </w:r>
      <w:r>
        <w:rPr>
          <w:rFonts w:hint="eastAsia" w:ascii="仿宋_GB2312" w:hAnsi="Times New Roman" w:eastAsia="仿宋_GB2312" w:cs="DengXian-Regular"/>
          <w:color w:val="auto"/>
          <w:sz w:val="32"/>
          <w:szCs w:val="32"/>
          <w:lang w:eastAsia="zh-CN"/>
        </w:rPr>
        <w:t>事业单位公车改革，取消公务用车</w:t>
      </w:r>
      <w:r>
        <w:rPr>
          <w:rFonts w:hint="eastAsia" w:ascii="仿宋_GB2312" w:hAnsi="Times New Roman" w:eastAsia="仿宋_GB2312" w:cs="DengXian-Regular"/>
          <w:color w:val="auto"/>
          <w:sz w:val="32"/>
          <w:szCs w:val="32"/>
        </w:rPr>
        <w:t>。</w:t>
      </w:r>
      <w:r>
        <w:rPr>
          <w:rFonts w:hint="eastAsia" w:ascii="仿宋_GB2312" w:hAnsi="Times New Roman" w:eastAsia="仿宋_GB2312" w:cs="DengXian-Bold"/>
          <w:b/>
          <w:bCs/>
          <w:color w:val="auto"/>
          <w:sz w:val="32"/>
          <w:szCs w:val="32"/>
        </w:rPr>
        <w:t>其中：</w:t>
      </w:r>
    </w:p>
    <w:p>
      <w:pPr>
        <w:adjustRightInd w:val="0"/>
        <w:snapToGrid w:val="0"/>
        <w:spacing w:line="580" w:lineRule="exact"/>
        <w:ind w:firstLine="643" w:firstLineChars="200"/>
        <w:rPr>
          <w:rFonts w:hint="eastAsia" w:ascii="仿宋_GB2312" w:hAnsi="Times New Roman" w:eastAsia="仿宋_GB2312" w:cs="DengXian-Regular"/>
          <w:b/>
          <w:sz w:val="32"/>
          <w:szCs w:val="32"/>
        </w:rPr>
      </w:pPr>
      <w:r>
        <w:rPr>
          <w:rFonts w:hint="eastAsia" w:ascii="仿宋_GB2312" w:hAnsi="Times New Roman" w:eastAsia="仿宋_GB2312" w:cs="DengXian-Regular"/>
          <w:b/>
          <w:sz w:val="32"/>
          <w:szCs w:val="32"/>
        </w:rPr>
        <w:t>公务用车购置费：</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 xml:space="preserve"> 2019 年度公务用车购置量 0 辆，发生“公务用车购置”经费支出 0 万元。公务用车购置费支出较预算及 2018 年决算支出持平</w:t>
      </w:r>
      <w:r>
        <w:rPr>
          <w:rFonts w:hint="eastAsia" w:ascii="仿宋_GB2312" w:hAnsi="Times New Roman" w:eastAsia="仿宋_GB2312" w:cs="DengXian-Regular"/>
          <w:sz w:val="32"/>
          <w:szCs w:val="32"/>
          <w:lang w:eastAsia="zh-CN"/>
        </w:rPr>
        <w:t>。</w:t>
      </w:r>
    </w:p>
    <w:p>
      <w:pPr>
        <w:adjustRightInd w:val="0"/>
        <w:snapToGrid w:val="0"/>
        <w:spacing w:line="580" w:lineRule="exact"/>
        <w:ind w:firstLine="643" w:firstLineChars="200"/>
        <w:rPr>
          <w:rFonts w:hint="eastAsia" w:ascii="仿宋_GB2312" w:hAnsi="Times New Roman" w:eastAsia="仿宋_GB2312" w:cs="DengXian-Regular"/>
          <w:b/>
          <w:sz w:val="32"/>
          <w:szCs w:val="32"/>
        </w:rPr>
      </w:pPr>
      <w:r>
        <w:rPr>
          <w:rFonts w:hint="eastAsia" w:ascii="仿宋_GB2312" w:hAnsi="Times New Roman" w:eastAsia="仿宋_GB2312" w:cs="DengXian-Regular"/>
          <w:b/>
          <w:sz w:val="32"/>
          <w:szCs w:val="32"/>
        </w:rPr>
        <w:t>公务用车运行维护费：</w:t>
      </w:r>
    </w:p>
    <w:p>
      <w:pPr>
        <w:adjustRightInd w:val="0"/>
        <w:snapToGrid w:val="0"/>
        <w:spacing w:line="580" w:lineRule="exact"/>
        <w:ind w:firstLine="640" w:firstLineChars="200"/>
        <w:rPr>
          <w:rFonts w:ascii="仿宋_GB2312" w:hAnsi="Times New Roman" w:eastAsia="仿宋_GB2312" w:cs="DengXian-Regular"/>
          <w:color w:val="auto"/>
          <w:sz w:val="32"/>
          <w:szCs w:val="32"/>
        </w:rPr>
      </w:pPr>
      <w:r>
        <w:rPr>
          <w:rFonts w:hint="eastAsia" w:ascii="仿宋_GB2312" w:hAnsi="Times New Roman" w:eastAsia="仿宋_GB2312" w:cs="DengXian-Regular"/>
          <w:color w:val="auto"/>
          <w:sz w:val="32"/>
          <w:szCs w:val="32"/>
        </w:rPr>
        <w:t>本</w:t>
      </w:r>
      <w:r>
        <w:rPr>
          <w:rFonts w:hint="eastAsia" w:ascii="仿宋_GB2312" w:hAnsi="Times New Roman" w:eastAsia="仿宋_GB2312" w:cs="DengXian-Regular"/>
          <w:color w:val="auto"/>
          <w:sz w:val="32"/>
          <w:szCs w:val="32"/>
          <w:lang w:eastAsia="zh-CN"/>
        </w:rPr>
        <w:t>单位</w:t>
      </w:r>
      <w:r>
        <w:rPr>
          <w:rFonts w:hint="eastAsia" w:ascii="仿宋_GB2312" w:hAnsi="Times New Roman" w:eastAsia="仿宋_GB2312" w:cs="DengXian-Regular"/>
          <w:color w:val="auto"/>
          <w:sz w:val="32"/>
          <w:szCs w:val="32"/>
        </w:rPr>
        <w:t>2019年度单位公务用车保有量</w:t>
      </w:r>
      <w:r>
        <w:rPr>
          <w:rFonts w:hint="eastAsia" w:ascii="仿宋_GB2312" w:hAnsi="Times New Roman" w:eastAsia="仿宋_GB2312" w:cs="DengXian-Regular"/>
          <w:color w:val="auto"/>
          <w:sz w:val="32"/>
          <w:szCs w:val="32"/>
          <w:lang w:val="en-US" w:eastAsia="zh-CN"/>
        </w:rPr>
        <w:t>0</w:t>
      </w:r>
      <w:r>
        <w:rPr>
          <w:rFonts w:hint="eastAsia" w:ascii="仿宋_GB2312" w:hAnsi="Times New Roman" w:eastAsia="仿宋_GB2312" w:cs="DengXian-Regular"/>
          <w:color w:val="auto"/>
          <w:sz w:val="32"/>
          <w:szCs w:val="32"/>
        </w:rPr>
        <w:t>辆。公车运行维护费支出较预算减少</w:t>
      </w:r>
      <w:r>
        <w:rPr>
          <w:rFonts w:hint="eastAsia" w:ascii="仿宋_GB2312" w:hAnsi="Times New Roman" w:eastAsia="仿宋_GB2312" w:cs="DengXian-Regular"/>
          <w:color w:val="auto"/>
          <w:sz w:val="32"/>
          <w:szCs w:val="32"/>
          <w:lang w:val="en-US" w:eastAsia="zh-CN"/>
        </w:rPr>
        <w:t>2.7</w:t>
      </w:r>
      <w:r>
        <w:rPr>
          <w:rFonts w:hint="eastAsia" w:ascii="仿宋_GB2312" w:hAnsi="Times New Roman" w:eastAsia="仿宋_GB2312" w:cs="DengXian-Regular"/>
          <w:color w:val="auto"/>
          <w:sz w:val="32"/>
          <w:szCs w:val="32"/>
        </w:rPr>
        <w:t>万元，降低</w:t>
      </w:r>
      <w:r>
        <w:rPr>
          <w:rFonts w:hint="eastAsia" w:ascii="仿宋_GB2312" w:hAnsi="Times New Roman" w:eastAsia="仿宋_GB2312" w:cs="DengXian-Regular"/>
          <w:color w:val="auto"/>
          <w:sz w:val="32"/>
          <w:szCs w:val="32"/>
          <w:lang w:val="en-US" w:eastAsia="zh-CN"/>
        </w:rPr>
        <w:t>100</w:t>
      </w:r>
      <w:r>
        <w:rPr>
          <w:rFonts w:hint="eastAsia" w:ascii="仿宋_GB2312" w:hAnsi="Times New Roman" w:eastAsia="仿宋_GB2312" w:cs="DengXian-Regular"/>
          <w:color w:val="auto"/>
          <w:sz w:val="32"/>
          <w:szCs w:val="32"/>
        </w:rPr>
        <w:t>%,主要是</w:t>
      </w:r>
      <w:r>
        <w:rPr>
          <w:rFonts w:hint="eastAsia" w:ascii="仿宋_GB2312" w:hAnsi="Times New Roman" w:eastAsia="仿宋_GB2312" w:cs="DengXian-Regular"/>
          <w:color w:val="auto"/>
          <w:sz w:val="32"/>
          <w:szCs w:val="32"/>
          <w:lang w:eastAsia="zh-CN"/>
        </w:rPr>
        <w:t>事业单位公车改革，取消公务用车</w:t>
      </w:r>
      <w:r>
        <w:rPr>
          <w:rFonts w:hint="eastAsia" w:ascii="仿宋_GB2312" w:hAnsi="Times New Roman" w:eastAsia="仿宋_GB2312" w:cs="DengXian-Regular"/>
          <w:color w:val="auto"/>
          <w:sz w:val="32"/>
          <w:szCs w:val="32"/>
        </w:rPr>
        <w:t>；较上年减少</w:t>
      </w:r>
      <w:r>
        <w:rPr>
          <w:rFonts w:hint="eastAsia" w:ascii="仿宋_GB2312" w:hAnsi="Times New Roman" w:eastAsia="仿宋_GB2312" w:cs="DengXian-Regular"/>
          <w:color w:val="auto"/>
          <w:sz w:val="32"/>
          <w:szCs w:val="32"/>
          <w:lang w:val="en-US" w:eastAsia="zh-CN"/>
        </w:rPr>
        <w:t>2.58</w:t>
      </w:r>
      <w:r>
        <w:rPr>
          <w:rFonts w:hint="eastAsia" w:ascii="仿宋_GB2312" w:hAnsi="Times New Roman" w:eastAsia="仿宋_GB2312" w:cs="DengXian-Regular"/>
          <w:color w:val="auto"/>
          <w:sz w:val="32"/>
          <w:szCs w:val="32"/>
        </w:rPr>
        <w:t>万元，降低</w:t>
      </w:r>
      <w:r>
        <w:rPr>
          <w:rFonts w:hint="eastAsia" w:ascii="仿宋_GB2312" w:hAnsi="Times New Roman" w:eastAsia="仿宋_GB2312" w:cs="DengXian-Regular"/>
          <w:color w:val="auto"/>
          <w:sz w:val="32"/>
          <w:szCs w:val="32"/>
          <w:lang w:val="en-US" w:eastAsia="zh-CN"/>
        </w:rPr>
        <w:t>100</w:t>
      </w:r>
      <w:r>
        <w:rPr>
          <w:rFonts w:hint="eastAsia" w:ascii="仿宋_GB2312" w:hAnsi="Times New Roman" w:eastAsia="仿宋_GB2312" w:cs="DengXian-Regular"/>
          <w:color w:val="auto"/>
          <w:sz w:val="32"/>
          <w:szCs w:val="32"/>
        </w:rPr>
        <w:t>%，主要是</w:t>
      </w:r>
      <w:r>
        <w:rPr>
          <w:rFonts w:hint="eastAsia" w:ascii="仿宋_GB2312" w:hAnsi="Times New Roman" w:eastAsia="仿宋_GB2312" w:cs="DengXian-Regular"/>
          <w:color w:val="auto"/>
          <w:sz w:val="32"/>
          <w:szCs w:val="32"/>
          <w:lang w:eastAsia="zh-CN"/>
        </w:rPr>
        <w:t>事业单位公车改革，取消公务用车</w:t>
      </w:r>
      <w:r>
        <w:rPr>
          <w:rFonts w:hint="eastAsia" w:ascii="仿宋_GB2312" w:hAnsi="Times New Roman" w:eastAsia="仿宋_GB2312" w:cs="DengXian-Regular"/>
          <w:color w:val="auto"/>
          <w:sz w:val="32"/>
          <w:szCs w:val="32"/>
        </w:rPr>
        <w:t>。</w:t>
      </w:r>
    </w:p>
    <w:p>
      <w:pPr>
        <w:numPr>
          <w:ilvl w:val="0"/>
          <w:numId w:val="4"/>
        </w:numPr>
        <w:adjustRightInd w:val="0"/>
        <w:snapToGrid w:val="0"/>
        <w:spacing w:line="580" w:lineRule="exact"/>
        <w:ind w:left="0" w:leftChars="0"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p>
    <w:p>
      <w:pPr>
        <w:numPr>
          <w:ilvl w:val="0"/>
          <w:numId w:val="0"/>
        </w:numPr>
        <w:adjustRightInd w:val="0"/>
        <w:snapToGrid w:val="0"/>
        <w:spacing w:line="580" w:lineRule="exact"/>
        <w:ind w:leftChars="200"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%,主要是严格厉行勤俭节约，反对铺张浪费的原则，严格接待费用标准；较上年度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%,主要是严格厉行勤俭节约，反对铺张浪费的原则，严格接待费用标准。</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w:t>
      </w:r>
      <w:r>
        <w:rPr>
          <w:rFonts w:hint="eastAsia" w:ascii="仿宋_GB2312" w:hAnsi="仿宋_GB2312" w:eastAsia="仿宋_GB2312" w:cs="仿宋_GB2312"/>
          <w:sz w:val="32"/>
          <w:szCs w:val="32"/>
          <w:lang w:eastAsia="zh-CN"/>
        </w:rPr>
        <w:t>翠屏大街大修工程、山前大道及北斗路六个立体花坛</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7209.6972</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54.38%</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翠屏大街大修工程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山前大道及北斗路六个立体花坛工程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“奇石街绿化提升改造工程”</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个项目开展了部门评价，涉及政府性基金预算支出</w:t>
      </w:r>
      <w:r>
        <w:rPr>
          <w:rFonts w:hint="eastAsia" w:ascii="仿宋_GB2312" w:hAnsi="仿宋_GB2312" w:eastAsia="仿宋_GB2312" w:cs="仿宋_GB2312"/>
          <w:sz w:val="32"/>
          <w:szCs w:val="32"/>
          <w:lang w:val="en-US" w:eastAsia="zh-CN"/>
        </w:rPr>
        <w:t>302.87</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翠屏大街大修</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eastAsia="zh-CN"/>
        </w:rPr>
        <w:t>奇石街绿化提升改造</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翠屏大街大修</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翠屏大街大修</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272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168.33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61.89%</w:t>
      </w:r>
      <w:r>
        <w:rPr>
          <w:rFonts w:hint="eastAsia" w:ascii="仿宋_GB2312" w:hAnsi="仿宋_GB2312" w:eastAsia="仿宋_GB2312" w:cs="仿宋_GB2312"/>
          <w:sz w:val="32"/>
          <w:szCs w:val="32"/>
        </w:rPr>
        <w:t>。项目绩效目标完成情况：一</w:t>
      </w:r>
      <w:r>
        <w:rPr>
          <w:rFonts w:hint="eastAsia" w:ascii="仿宋_GB2312" w:hAnsi="仿宋_GB2312" w:eastAsia="仿宋_GB2312" w:cs="仿宋_GB2312"/>
          <w:sz w:val="32"/>
          <w:szCs w:val="32"/>
          <w:lang w:eastAsia="zh-CN"/>
        </w:rPr>
        <w:t>是完成了海山大街至京赞线全长</w:t>
      </w:r>
      <w:r>
        <w:rPr>
          <w:rFonts w:hint="eastAsia" w:ascii="仿宋_GB2312" w:hAnsi="仿宋_GB2312" w:eastAsia="仿宋_GB2312" w:cs="仿宋_GB2312"/>
          <w:sz w:val="32"/>
          <w:szCs w:val="32"/>
          <w:lang w:val="en-US" w:eastAsia="zh-CN"/>
        </w:rPr>
        <w:t>1.6公里宽12米的道路维修</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完成了铺筑</w:t>
      </w:r>
      <w:r>
        <w:rPr>
          <w:rFonts w:hint="eastAsia" w:ascii="仿宋_GB2312" w:hAnsi="仿宋_GB2312" w:eastAsia="仿宋_GB2312" w:cs="仿宋_GB2312"/>
          <w:sz w:val="32"/>
          <w:szCs w:val="32"/>
          <w:lang w:val="en-US" w:eastAsia="zh-CN"/>
        </w:rPr>
        <w:t>12厘米厚的沥青路面</w:t>
      </w:r>
      <w:r>
        <w:rPr>
          <w:rFonts w:hint="eastAsia" w:ascii="仿宋_GB2312" w:hAnsi="仿宋_GB2312" w:eastAsia="仿宋_GB2312" w:cs="仿宋_GB2312"/>
          <w:sz w:val="32"/>
          <w:szCs w:val="32"/>
        </w:rPr>
        <w:t>。发现的主要问题及原因：一是部分项目预算执行率未达到 100%；二是部分项目绩效目标完成值与预期指标值有偏差。</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部门预算项目绩效目标自评表 </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24"/>
          <w:szCs w:val="24"/>
        </w:rPr>
        <w:t>（201</w:t>
      </w:r>
      <w:r>
        <w:rPr>
          <w:rFonts w:hint="eastAsia" w:ascii="仿宋_GB2312" w:hAnsi="仿宋_GB2312" w:eastAsia="仿宋_GB2312" w:cs="仿宋_GB2312"/>
          <w:sz w:val="24"/>
          <w:szCs w:val="24"/>
          <w:lang w:val="en-US" w:eastAsia="zh-CN"/>
        </w:rPr>
        <w:t>9</w:t>
      </w:r>
      <w:r>
        <w:rPr>
          <w:rFonts w:hint="eastAsia" w:ascii="仿宋_GB2312" w:hAnsi="仿宋_GB2312" w:eastAsia="仿宋_GB2312" w:cs="仿宋_GB2312"/>
          <w:sz w:val="24"/>
          <w:szCs w:val="24"/>
        </w:rPr>
        <w:t>年度）</w:t>
      </w:r>
    </w:p>
    <w:p>
      <w:pPr>
        <w:numPr>
          <w:ilvl w:val="0"/>
          <w:numId w:val="0"/>
        </w:numPr>
        <w:adjustRightInd w:val="0"/>
        <w:snapToGrid w:val="0"/>
        <w:spacing w:line="580" w:lineRule="exact"/>
        <w:jc w:val="left"/>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填报单位：鹿泉区公用事业管理中心</w:t>
      </w:r>
      <w:r>
        <w:rPr>
          <w:rFonts w:hint="eastAsia" w:ascii="仿宋_GB2312" w:hAnsi="仿宋_GB2312" w:eastAsia="仿宋_GB2312" w:cs="仿宋_GB2312"/>
          <w:sz w:val="28"/>
          <w:szCs w:val="28"/>
          <w:lang w:val="en-US" w:eastAsia="zh-CN"/>
        </w:rPr>
        <w:t xml:space="preserve">                金额单位：万元</w:t>
      </w:r>
    </w:p>
    <w:tbl>
      <w:tblPr>
        <w:tblStyle w:val="8"/>
        <w:tblW w:w="93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6"/>
        <w:gridCol w:w="1320"/>
        <w:gridCol w:w="1200"/>
        <w:gridCol w:w="1260"/>
        <w:gridCol w:w="900"/>
        <w:gridCol w:w="990"/>
        <w:gridCol w:w="285"/>
        <w:gridCol w:w="720"/>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一、基本情况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项目名称</w:t>
            </w:r>
          </w:p>
        </w:tc>
        <w:tc>
          <w:tcPr>
            <w:tcW w:w="24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翠屏大街道路维修工程</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实施单位</w:t>
            </w:r>
          </w:p>
        </w:tc>
        <w:tc>
          <w:tcPr>
            <w:tcW w:w="3270"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鹿泉区公用事业管理中心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二、预算执行情况</w:t>
            </w:r>
          </w:p>
        </w:tc>
        <w:tc>
          <w:tcPr>
            <w:tcW w:w="252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预算安排情况（调整后）</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资金到位情况</w:t>
            </w:r>
          </w:p>
        </w:tc>
        <w:tc>
          <w:tcPr>
            <w:tcW w:w="1995"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资金执行情况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预算数</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到位数</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执行数</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其中：财政资金</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其他</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trPr>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三、目标完成情况</w:t>
            </w: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年度预期目标</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具体完成情况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一是完成了海山大街至京赞线全长1.6公里宽12米的道路维修；二是完成了铺筑12厘米厚的沥青路面</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一是完成了海山大街至京赞线全长1.6公里宽12米的道路维修；二是完成了铺筑12厘米厚的沥青路面</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四、年度绩效指标完成情况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一级指标</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二级指标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三级指标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预期指标值</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实际完成值</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产出指标（</w:t>
            </w:r>
            <w:r>
              <w:rPr>
                <w:rFonts w:hint="eastAsia" w:ascii="仿宋_GB2312" w:hAnsi="仿宋_GB2312" w:eastAsia="仿宋_GB2312" w:cs="仿宋_GB2312"/>
                <w:sz w:val="21"/>
                <w:szCs w:val="21"/>
                <w:vertAlign w:val="baseline"/>
                <w:lang w:val="en-US" w:eastAsia="zh-CN"/>
              </w:rPr>
              <w:t>40分</w:t>
            </w:r>
            <w:r>
              <w:rPr>
                <w:rFonts w:hint="eastAsia" w:ascii="仿宋_GB2312" w:hAnsi="仿宋_GB2312" w:eastAsia="仿宋_GB2312" w:cs="仿宋_GB2312"/>
                <w:sz w:val="21"/>
                <w:szCs w:val="21"/>
                <w:vertAlign w:val="baseline"/>
                <w:lang w:eastAsia="zh-CN"/>
              </w:rPr>
              <w:t>）</w:t>
            </w:r>
          </w:p>
        </w:tc>
        <w:tc>
          <w:tcPr>
            <w:tcW w:w="120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数量指标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道路维修长度</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1671</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1626</w:t>
            </w:r>
          </w:p>
        </w:tc>
        <w:tc>
          <w:tcPr>
            <w:tcW w:w="1275"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道路维修宽度</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c>
          <w:tcPr>
            <w:tcW w:w="1275"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质量指标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工作验收合格率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时效指标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工程完成及时率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成本指标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共需总投资</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680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630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3"/>
                <w:szCs w:val="13"/>
                <w:vertAlign w:val="baseline"/>
                <w:lang w:eastAsia="zh-CN"/>
              </w:rPr>
              <w:t>预算执行率指标</w:t>
            </w:r>
            <w:r>
              <w:rPr>
                <w:rFonts w:hint="eastAsia" w:ascii="仿宋_GB2312" w:hAnsi="仿宋_GB2312" w:eastAsia="仿宋_GB2312" w:cs="仿宋_GB2312"/>
                <w:sz w:val="13"/>
                <w:szCs w:val="13"/>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8"/>
                <w:szCs w:val="18"/>
                <w:vertAlign w:val="baseline"/>
                <w:lang w:eastAsia="zh-CN"/>
              </w:rPr>
              <w:t>预算执行率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实际支出占预算数的比率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tabs>
                <w:tab w:val="left" w:pos="342"/>
              </w:tabs>
              <w:kinsoku/>
              <w:wordWrap/>
              <w:overflowPunct/>
              <w:topLinePunct w:val="0"/>
              <w:autoSpaceDE/>
              <w:autoSpaceDN/>
              <w:bidi w:val="0"/>
              <w:adjustRightInd w:val="0"/>
              <w:snapToGrid w:val="0"/>
              <w:spacing w:line="240" w:lineRule="auto"/>
              <w:jc w:val="left"/>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ab/>
            </w: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0"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效益指标（</w:t>
            </w:r>
            <w:r>
              <w:rPr>
                <w:rFonts w:hint="eastAsia" w:ascii="仿宋_GB2312" w:hAnsi="仿宋_GB2312" w:eastAsia="仿宋_GB2312" w:cs="仿宋_GB2312"/>
                <w:sz w:val="15"/>
                <w:szCs w:val="15"/>
                <w:vertAlign w:val="baseline"/>
                <w:lang w:val="en-US" w:eastAsia="zh-CN"/>
              </w:rPr>
              <w:t>40</w:t>
            </w:r>
            <w:r>
              <w:rPr>
                <w:rFonts w:hint="eastAsia" w:ascii="仿宋_GB2312" w:hAnsi="仿宋_GB2312" w:eastAsia="仿宋_GB2312" w:cs="仿宋_GB2312"/>
                <w:sz w:val="15"/>
                <w:szCs w:val="15"/>
                <w:vertAlign w:val="baseline"/>
                <w:lang w:eastAsia="zh-CN"/>
              </w:rPr>
              <w:t>）</w:t>
            </w: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经济效益指标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提高行车平稳通行率，节约能源，改善环境质量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提高行车平稳通行率，改善环境质量</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提高行车平稳通行率，改善环境质量</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社会效益指标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提高城市形象，提高环境质量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提高城市形象</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提高城市形象</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3"/>
                <w:szCs w:val="13"/>
                <w:vertAlign w:val="baseline"/>
                <w:lang w:eastAsia="zh-CN"/>
              </w:rPr>
              <w:t>可持续影响指标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提高行车安全和舒适度</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提高行车安全和舒适度</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提高行车安全和舒适度</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18"/>
                <w:szCs w:val="18"/>
                <w:vertAlign w:val="baseline"/>
                <w:lang w:eastAsia="zh-CN"/>
              </w:rPr>
              <w:t>满意度指标</w:t>
            </w:r>
            <w:r>
              <w:rPr>
                <w:rFonts w:hint="eastAsia" w:ascii="仿宋_GB2312" w:hAnsi="仿宋_GB2312" w:eastAsia="仿宋_GB2312" w:cs="仿宋_GB2312"/>
                <w:sz w:val="18"/>
                <w:szCs w:val="18"/>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满意度指标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受益群众对工程的满意程度</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default" w:ascii="Arial" w:hAnsi="Arial" w:eastAsia="仿宋_GB2312" w:cs="Arial"/>
                <w:sz w:val="21"/>
                <w:szCs w:val="21"/>
                <w:vertAlign w:val="baseline"/>
                <w:lang w:eastAsia="zh-CN"/>
              </w:rPr>
              <w:t>≥</w:t>
            </w:r>
            <w:r>
              <w:rPr>
                <w:rFonts w:hint="eastAsia" w:ascii="仿宋_GB2312" w:hAnsi="仿宋_GB2312" w:eastAsia="仿宋_GB2312" w:cs="仿宋_GB2312"/>
                <w:sz w:val="21"/>
                <w:szCs w:val="21"/>
                <w:vertAlign w:val="baseline"/>
                <w:lang w:val="en-US" w:eastAsia="zh-CN"/>
              </w:rPr>
              <w:t>80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6675" w:type="dxa"/>
            <w:gridSpan w:val="7"/>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总分</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五、存在的问题、原因及下一步整改措施</w:t>
            </w:r>
          </w:p>
        </w:tc>
        <w:tc>
          <w:tcPr>
            <w:tcW w:w="7950" w:type="dxa"/>
            <w:gridSpan w:val="8"/>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无</w:t>
            </w:r>
          </w:p>
        </w:tc>
      </w:tr>
    </w:tbl>
    <w:p>
      <w:pPr>
        <w:numPr>
          <w:ilvl w:val="0"/>
          <w:numId w:val="0"/>
        </w:numPr>
        <w:adjustRightInd w:val="0"/>
        <w:snapToGrid w:val="0"/>
        <w:spacing w:line="580" w:lineRule="exact"/>
        <w:jc w:val="center"/>
        <w:rPr>
          <w:rFonts w:hint="eastAsia"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下一步改进措施：一是优化机制，完善政策，以制度建设为抓手，出台我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预算支出进度考核办法，加强专项转移支付资金管理，制订专项资金监督检查办法，强化执行为驱动，努力推进预算管理更上台阶；二是细化措施，强化评估，在新的预算年度中，着力就改善现存问题精准施策，准确把握绩效管理的各个节点，做好绩效预算的事前谋划、事中实践、事后检验，全面提升绩效管理工作；三是拓展思路，提升效能，探索转移支付资金绩效考核的有效途径、探索日常绩效管理与长期绩效管理的有效机制探索绩效评价结果的实际应用的有效抓手。</w:t>
      </w: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奇石街绿化提升改造</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奇石街绿化提升改造</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96.5</w:t>
      </w:r>
      <w:r>
        <w:rPr>
          <w:rFonts w:hint="eastAsia" w:ascii="仿宋_GB2312" w:hAnsi="仿宋_GB2312" w:eastAsia="仿宋_GB2312" w:cs="仿宋_GB2312"/>
          <w:sz w:val="32"/>
          <w:szCs w:val="32"/>
        </w:rPr>
        <w:t>分（绩效自评表附后）。全年</w:t>
      </w:r>
      <w:r>
        <w:rPr>
          <w:rFonts w:hint="eastAsia" w:ascii="仿宋_GB2312" w:hAnsi="仿宋_GB2312" w:eastAsia="仿宋_GB2312" w:cs="仿宋_GB2312"/>
          <w:sz w:val="32"/>
          <w:szCs w:val="32"/>
          <w:lang w:eastAsia="zh-CN"/>
        </w:rPr>
        <w:t>调整</w:t>
      </w:r>
      <w:r>
        <w:rPr>
          <w:rFonts w:hint="eastAsia" w:ascii="仿宋_GB2312" w:hAnsi="仿宋_GB2312" w:eastAsia="仿宋_GB2312" w:cs="仿宋_GB2312"/>
          <w:sz w:val="32"/>
          <w:szCs w:val="32"/>
        </w:rPr>
        <w:t>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w:t>
      </w:r>
      <w:r>
        <w:rPr>
          <w:rFonts w:hint="eastAsia" w:ascii="仿宋_GB2312" w:hAnsi="仿宋_GB2312" w:eastAsia="仿宋_GB2312" w:cs="仿宋_GB2312"/>
          <w:sz w:val="32"/>
          <w:szCs w:val="32"/>
          <w:lang w:eastAsia="zh-CN"/>
        </w:rPr>
        <w:t>是完成了</w:t>
      </w:r>
      <w:r>
        <w:rPr>
          <w:rFonts w:hint="eastAsia" w:ascii="仿宋_GB2312" w:hAnsi="仿宋_GB2312" w:eastAsia="仿宋_GB2312" w:cs="仿宋_GB2312"/>
          <w:sz w:val="32"/>
          <w:szCs w:val="32"/>
          <w:lang w:val="en-US" w:eastAsia="zh-CN"/>
        </w:rPr>
        <w:t>4300平方米草坪的铺设</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完成了</w:t>
      </w:r>
      <w:r>
        <w:rPr>
          <w:rFonts w:hint="eastAsia" w:ascii="仿宋_GB2312" w:hAnsi="仿宋_GB2312" w:eastAsia="仿宋_GB2312" w:cs="仿宋_GB2312"/>
          <w:sz w:val="32"/>
          <w:szCs w:val="32"/>
          <w:lang w:val="en-US" w:eastAsia="zh-CN"/>
        </w:rPr>
        <w:t>2.53万株法桐、白蜡、白皮松等乔灌木栽植</w:t>
      </w:r>
      <w:r>
        <w:rPr>
          <w:rFonts w:hint="eastAsia" w:ascii="仿宋_GB2312" w:hAnsi="仿宋_GB2312" w:eastAsia="仿宋_GB2312" w:cs="仿宋_GB2312"/>
          <w:sz w:val="32"/>
          <w:szCs w:val="32"/>
        </w:rPr>
        <w:t>。发现的主要问题及原因：部分项目绩效目标完成值与预期指标值有偏差。下一步改进措施：一是优化机制，完善政策，以制度建设为抓手，出台我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预算支出进度考核办法，加强专项转移支付资金管理，制订专项资金监督检查办法，强化执行为驱动，努力推进预算管理更上台阶；二是细化措施，强化评估，在新的预算年度中，着力就改善现存问题精准施策，准确把握绩效管理的各个节点，做好绩效预算的事前谋划、事中实践、事后检验，全面提升绩效管理工作；三是拓展思路，提升效能，探索转移支付资金绩效考核的有效途径、探索日常绩效管理与长期绩效管理的有效机制探索绩效评价结果的实际应用的有效抓手。</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部门预算项目绩效目标自评表 </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24"/>
          <w:szCs w:val="24"/>
        </w:rPr>
        <w:t>（201</w:t>
      </w:r>
      <w:r>
        <w:rPr>
          <w:rFonts w:hint="eastAsia" w:ascii="仿宋_GB2312" w:hAnsi="仿宋_GB2312" w:eastAsia="仿宋_GB2312" w:cs="仿宋_GB2312"/>
          <w:sz w:val="24"/>
          <w:szCs w:val="24"/>
          <w:lang w:val="en-US" w:eastAsia="zh-CN"/>
        </w:rPr>
        <w:t>9</w:t>
      </w:r>
      <w:r>
        <w:rPr>
          <w:rFonts w:hint="eastAsia" w:ascii="仿宋_GB2312" w:hAnsi="仿宋_GB2312" w:eastAsia="仿宋_GB2312" w:cs="仿宋_GB2312"/>
          <w:sz w:val="24"/>
          <w:szCs w:val="24"/>
        </w:rPr>
        <w:t>年度）</w:t>
      </w:r>
    </w:p>
    <w:p>
      <w:pPr>
        <w:numPr>
          <w:ilvl w:val="0"/>
          <w:numId w:val="0"/>
        </w:numPr>
        <w:adjustRightInd w:val="0"/>
        <w:snapToGrid w:val="0"/>
        <w:spacing w:line="580" w:lineRule="exact"/>
        <w:jc w:val="left"/>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填报单位：鹿泉区公用事业管理中心</w:t>
      </w:r>
      <w:r>
        <w:rPr>
          <w:rFonts w:hint="eastAsia" w:ascii="仿宋_GB2312" w:hAnsi="仿宋_GB2312" w:eastAsia="仿宋_GB2312" w:cs="仿宋_GB2312"/>
          <w:sz w:val="28"/>
          <w:szCs w:val="28"/>
          <w:lang w:val="en-US" w:eastAsia="zh-CN"/>
        </w:rPr>
        <w:t xml:space="preserve">                金额单位：万元</w:t>
      </w:r>
    </w:p>
    <w:tbl>
      <w:tblPr>
        <w:tblStyle w:val="8"/>
        <w:tblW w:w="93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6"/>
        <w:gridCol w:w="1320"/>
        <w:gridCol w:w="1200"/>
        <w:gridCol w:w="1260"/>
        <w:gridCol w:w="900"/>
        <w:gridCol w:w="990"/>
        <w:gridCol w:w="285"/>
        <w:gridCol w:w="720"/>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一、基本情况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项目名称</w:t>
            </w:r>
          </w:p>
        </w:tc>
        <w:tc>
          <w:tcPr>
            <w:tcW w:w="24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奇石街绿化提升改造</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实施单位</w:t>
            </w:r>
          </w:p>
        </w:tc>
        <w:tc>
          <w:tcPr>
            <w:tcW w:w="3270"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鹿泉区公用事业管理中心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二、预算执行情况</w:t>
            </w:r>
          </w:p>
        </w:tc>
        <w:tc>
          <w:tcPr>
            <w:tcW w:w="252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预算安排情况（调整后）</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资金到位情况</w:t>
            </w:r>
          </w:p>
        </w:tc>
        <w:tc>
          <w:tcPr>
            <w:tcW w:w="1995"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资金执行情况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预算数</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到位数</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执行数</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其中：财政资金</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其他</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trPr>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三、目标完成情况</w:t>
            </w: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年度预期目标</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具体完成情况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一是完成了4300平方米草坪的铺设；二是完成了2.53万株法桐、白蜡、白皮松等乔灌木栽植</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一是完成了4300平方米草坪的铺设；二是完成了2.53万株法桐、白蜡、白皮松等乔灌木栽植</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四、年度绩效指标完成情况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一级指标</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二级指标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三级指标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预期指标值</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实际完成值</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产出指标（</w:t>
            </w:r>
            <w:r>
              <w:rPr>
                <w:rFonts w:hint="eastAsia" w:ascii="仿宋_GB2312" w:hAnsi="仿宋_GB2312" w:eastAsia="仿宋_GB2312" w:cs="仿宋_GB2312"/>
                <w:sz w:val="21"/>
                <w:szCs w:val="21"/>
                <w:vertAlign w:val="baseline"/>
                <w:lang w:val="en-US" w:eastAsia="zh-CN"/>
              </w:rPr>
              <w:t>40分</w:t>
            </w:r>
            <w:r>
              <w:rPr>
                <w:rFonts w:hint="eastAsia" w:ascii="仿宋_GB2312" w:hAnsi="仿宋_GB2312" w:eastAsia="仿宋_GB2312" w:cs="仿宋_GB2312"/>
                <w:sz w:val="21"/>
                <w:szCs w:val="21"/>
                <w:vertAlign w:val="baseline"/>
                <w:lang w:eastAsia="zh-CN"/>
              </w:rPr>
              <w:t>）</w:t>
            </w:r>
          </w:p>
        </w:tc>
        <w:tc>
          <w:tcPr>
            <w:tcW w:w="120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数量指标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草坪铺设面积</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4300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4300</w:t>
            </w:r>
          </w:p>
        </w:tc>
        <w:tc>
          <w:tcPr>
            <w:tcW w:w="1275"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乔灌木栽植</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25300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25300</w:t>
            </w:r>
          </w:p>
        </w:tc>
        <w:tc>
          <w:tcPr>
            <w:tcW w:w="1275"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质量指标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工作验收合格率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时效指标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工程完成及时率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成本指标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共需总投资</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680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3"/>
                <w:szCs w:val="13"/>
                <w:vertAlign w:val="baseline"/>
                <w:lang w:eastAsia="zh-CN"/>
              </w:rPr>
              <w:t>预算执行率指标</w:t>
            </w:r>
            <w:r>
              <w:rPr>
                <w:rFonts w:hint="eastAsia" w:ascii="仿宋_GB2312" w:hAnsi="仿宋_GB2312" w:eastAsia="仿宋_GB2312" w:cs="仿宋_GB2312"/>
                <w:sz w:val="13"/>
                <w:szCs w:val="13"/>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8"/>
                <w:szCs w:val="18"/>
                <w:vertAlign w:val="baseline"/>
                <w:lang w:eastAsia="zh-CN"/>
              </w:rPr>
              <w:t>预算执行率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实际支出占预算数的比率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tabs>
                <w:tab w:val="left" w:pos="342"/>
              </w:tabs>
              <w:kinsoku/>
              <w:wordWrap/>
              <w:overflowPunct/>
              <w:topLinePunct w:val="0"/>
              <w:autoSpaceDE/>
              <w:autoSpaceDN/>
              <w:bidi w:val="0"/>
              <w:adjustRightInd w:val="0"/>
              <w:snapToGrid w:val="0"/>
              <w:spacing w:line="240" w:lineRule="auto"/>
              <w:jc w:val="left"/>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ab/>
            </w: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0"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效益指标（</w:t>
            </w:r>
            <w:r>
              <w:rPr>
                <w:rFonts w:hint="eastAsia" w:ascii="仿宋_GB2312" w:hAnsi="仿宋_GB2312" w:eastAsia="仿宋_GB2312" w:cs="仿宋_GB2312"/>
                <w:sz w:val="15"/>
                <w:szCs w:val="15"/>
                <w:vertAlign w:val="baseline"/>
                <w:lang w:val="en-US" w:eastAsia="zh-CN"/>
              </w:rPr>
              <w:t>40</w:t>
            </w:r>
            <w:r>
              <w:rPr>
                <w:rFonts w:hint="eastAsia" w:ascii="仿宋_GB2312" w:hAnsi="仿宋_GB2312" w:eastAsia="仿宋_GB2312" w:cs="仿宋_GB2312"/>
                <w:sz w:val="15"/>
                <w:szCs w:val="15"/>
                <w:vertAlign w:val="baseline"/>
                <w:lang w:eastAsia="zh-CN"/>
              </w:rPr>
              <w:t>）</w:t>
            </w: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经济效益指标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提高城区绿化率，改善环境质量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改善环境质量</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改善环境质量</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社会效益指标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提高城市形象，提高环境质量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3"/>
                <w:szCs w:val="13"/>
                <w:vertAlign w:val="baseline"/>
                <w:lang w:eastAsia="zh-CN"/>
              </w:rPr>
              <w:t>可持续影响指标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提高周边生态环境</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提高周边生态环境</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提高周边生态环境</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18"/>
                <w:szCs w:val="18"/>
                <w:vertAlign w:val="baseline"/>
                <w:lang w:eastAsia="zh-CN"/>
              </w:rPr>
              <w:t>满意度指标</w:t>
            </w:r>
            <w:r>
              <w:rPr>
                <w:rFonts w:hint="eastAsia" w:ascii="仿宋_GB2312" w:hAnsi="仿宋_GB2312" w:eastAsia="仿宋_GB2312" w:cs="仿宋_GB2312"/>
                <w:sz w:val="18"/>
                <w:szCs w:val="18"/>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满意度指标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受益群众对工程的满意程度</w:t>
            </w:r>
          </w:p>
        </w:tc>
        <w:tc>
          <w:tcPr>
            <w:tcW w:w="99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lang w:eastAsia="zh-CN"/>
              </w:rPr>
            </w:pPr>
            <w:r>
              <w:rPr>
                <w:rFonts w:hint="default" w:ascii="Arial" w:hAnsi="Arial" w:eastAsia="仿宋_GB2312" w:cs="Arial"/>
                <w:sz w:val="21"/>
                <w:szCs w:val="21"/>
                <w:vertAlign w:val="baseline"/>
                <w:lang w:eastAsia="zh-CN"/>
              </w:rPr>
              <w:t>≥</w:t>
            </w:r>
            <w:r>
              <w:rPr>
                <w:rFonts w:hint="eastAsia" w:ascii="仿宋_GB2312" w:hAnsi="仿宋_GB2312" w:eastAsia="仿宋_GB2312" w:cs="仿宋_GB2312"/>
                <w:sz w:val="21"/>
                <w:szCs w:val="21"/>
                <w:vertAlign w:val="baseline"/>
                <w:lang w:val="en-US" w:eastAsia="zh-CN"/>
              </w:rPr>
              <w:t>80</w:t>
            </w:r>
          </w:p>
        </w:tc>
        <w:tc>
          <w:tcPr>
            <w:tcW w:w="100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val="en-US" w:eastAsia="zh-CN"/>
              </w:rPr>
              <w:t>100</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6675" w:type="dxa"/>
            <w:gridSpan w:val="7"/>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总分</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五、存在的问题、原因及下一步整改措施</w:t>
            </w:r>
          </w:p>
        </w:tc>
        <w:tc>
          <w:tcPr>
            <w:tcW w:w="7950" w:type="dxa"/>
            <w:gridSpan w:val="8"/>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无</w:t>
            </w:r>
          </w:p>
        </w:tc>
      </w:tr>
    </w:tbl>
    <w:p>
      <w:pPr>
        <w:numPr>
          <w:ilvl w:val="0"/>
          <w:numId w:val="0"/>
        </w:numPr>
        <w:adjustRightInd w:val="0"/>
        <w:snapToGrid w:val="0"/>
        <w:spacing w:line="580" w:lineRule="exact"/>
        <w:jc w:val="center"/>
        <w:rPr>
          <w:rFonts w:hint="eastAsia" w:ascii="仿宋_GB2312" w:hAnsi="仿宋_GB2312" w:eastAsia="仿宋_GB2312" w:cs="仿宋_GB2312"/>
          <w:sz w:val="32"/>
          <w:szCs w:val="32"/>
        </w:rPr>
      </w:pPr>
    </w:p>
    <w:p>
      <w:pPr>
        <w:numPr>
          <w:ilvl w:val="0"/>
          <w:numId w:val="0"/>
        </w:numPr>
        <w:adjustRightInd w:val="0"/>
        <w:snapToGrid w:val="0"/>
        <w:spacing w:line="58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）山前大道及北斗路六个立体花坛</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山前大道及北斗路六个立体花坛</w:t>
      </w:r>
      <w:r>
        <w:rPr>
          <w:rFonts w:hint="eastAsia" w:ascii="仿宋_GB2312" w:hAnsi="仿宋_GB2312" w:eastAsia="仿宋_GB2312" w:cs="仿宋_GB2312"/>
          <w:sz w:val="32"/>
          <w:szCs w:val="32"/>
        </w:rPr>
        <w:t>项目绩效自评分为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部门预算项目绩效目标自评表 </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24"/>
          <w:szCs w:val="24"/>
        </w:rPr>
        <w:t>（201</w:t>
      </w:r>
      <w:r>
        <w:rPr>
          <w:rFonts w:hint="eastAsia" w:ascii="仿宋_GB2312" w:hAnsi="仿宋_GB2312" w:eastAsia="仿宋_GB2312" w:cs="仿宋_GB2312"/>
          <w:sz w:val="24"/>
          <w:szCs w:val="24"/>
          <w:lang w:val="en-US" w:eastAsia="zh-CN"/>
        </w:rPr>
        <w:t>9</w:t>
      </w:r>
      <w:r>
        <w:rPr>
          <w:rFonts w:hint="eastAsia" w:ascii="仿宋_GB2312" w:hAnsi="仿宋_GB2312" w:eastAsia="仿宋_GB2312" w:cs="仿宋_GB2312"/>
          <w:sz w:val="24"/>
          <w:szCs w:val="24"/>
        </w:rPr>
        <w:t>年度）</w:t>
      </w:r>
    </w:p>
    <w:p>
      <w:pPr>
        <w:numPr>
          <w:ilvl w:val="0"/>
          <w:numId w:val="0"/>
        </w:numPr>
        <w:adjustRightInd w:val="0"/>
        <w:snapToGrid w:val="0"/>
        <w:spacing w:line="580" w:lineRule="exact"/>
        <w:jc w:val="left"/>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填报单位：鹿泉区公用事业管理中心</w:t>
      </w:r>
      <w:r>
        <w:rPr>
          <w:rFonts w:hint="eastAsia" w:ascii="仿宋_GB2312" w:hAnsi="仿宋_GB2312" w:eastAsia="仿宋_GB2312" w:cs="仿宋_GB2312"/>
          <w:sz w:val="28"/>
          <w:szCs w:val="28"/>
          <w:lang w:val="en-US" w:eastAsia="zh-CN"/>
        </w:rPr>
        <w:t xml:space="preserve">                金额单位：万元</w:t>
      </w:r>
    </w:p>
    <w:tbl>
      <w:tblPr>
        <w:tblStyle w:val="8"/>
        <w:tblW w:w="93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6"/>
        <w:gridCol w:w="1320"/>
        <w:gridCol w:w="1200"/>
        <w:gridCol w:w="1260"/>
        <w:gridCol w:w="900"/>
        <w:gridCol w:w="990"/>
        <w:gridCol w:w="285"/>
        <w:gridCol w:w="720"/>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一、基本情况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项目名称</w:t>
            </w:r>
          </w:p>
        </w:tc>
        <w:tc>
          <w:tcPr>
            <w:tcW w:w="24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山前大道及北斗路六个立体花坛</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实施单位</w:t>
            </w:r>
          </w:p>
        </w:tc>
        <w:tc>
          <w:tcPr>
            <w:tcW w:w="3270"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鹿泉区公用事业管理中心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二、预算执行情况</w:t>
            </w:r>
          </w:p>
        </w:tc>
        <w:tc>
          <w:tcPr>
            <w:tcW w:w="252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预算安排情况（调整后）</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资金到位情况</w:t>
            </w:r>
          </w:p>
        </w:tc>
        <w:tc>
          <w:tcPr>
            <w:tcW w:w="1995"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资金执行情况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预算数</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到位数</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执行数</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其中：财政资金</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其他</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trPr>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三、目标完成情况</w:t>
            </w: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年度预期目标</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具体完成情况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一是山前大道沿线幸福鹿泉立体花坛、绿水青山立体花坛、土城园立体花坛；二是北斗路沿线孔雀立体花坛、中国结立体花坛。</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一是山前大道沿线幸福鹿泉立体花坛、绿水青山立体花坛、土城园立体花坛；二是北斗路沿线孔雀立体花坛、中国结立体花坛。</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四、年度绩效指标完成情况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一级指标</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二级指标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三级指标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预期指标值</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实际完成值</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产出指标（</w:t>
            </w:r>
            <w:r>
              <w:rPr>
                <w:rFonts w:hint="eastAsia" w:ascii="仿宋_GB2312" w:hAnsi="仿宋_GB2312" w:eastAsia="仿宋_GB2312" w:cs="仿宋_GB2312"/>
                <w:sz w:val="21"/>
                <w:szCs w:val="21"/>
                <w:vertAlign w:val="baseline"/>
                <w:lang w:val="en-US" w:eastAsia="zh-CN"/>
              </w:rPr>
              <w:t>40分</w:t>
            </w:r>
            <w:r>
              <w:rPr>
                <w:rFonts w:hint="eastAsia" w:ascii="仿宋_GB2312" w:hAnsi="仿宋_GB2312" w:eastAsia="仿宋_GB2312" w:cs="仿宋_GB2312"/>
                <w:sz w:val="21"/>
                <w:szCs w:val="21"/>
                <w:vertAlign w:val="baseline"/>
                <w:lang w:eastAsia="zh-CN"/>
              </w:rPr>
              <w:t>）</w:t>
            </w:r>
          </w:p>
        </w:tc>
        <w:tc>
          <w:tcPr>
            <w:tcW w:w="120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数量指标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山前大道</w:t>
            </w:r>
            <w:r>
              <w:rPr>
                <w:rFonts w:hint="eastAsia" w:ascii="仿宋_GB2312" w:hAnsi="仿宋_GB2312" w:eastAsia="仿宋_GB2312" w:cs="仿宋_GB2312"/>
                <w:sz w:val="21"/>
                <w:szCs w:val="21"/>
                <w:vertAlign w:val="baseline"/>
                <w:lang w:val="en-US" w:eastAsia="zh-CN"/>
              </w:rPr>
              <w:t>4个花坛</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w:t>
            </w:r>
          </w:p>
        </w:tc>
        <w:tc>
          <w:tcPr>
            <w:tcW w:w="1275"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北斗路</w:t>
            </w:r>
            <w:r>
              <w:rPr>
                <w:rFonts w:hint="eastAsia" w:ascii="仿宋_GB2312" w:hAnsi="仿宋_GB2312" w:eastAsia="仿宋_GB2312" w:cs="仿宋_GB2312"/>
                <w:sz w:val="21"/>
                <w:szCs w:val="21"/>
                <w:vertAlign w:val="baseline"/>
                <w:lang w:val="en-US" w:eastAsia="zh-CN"/>
              </w:rPr>
              <w:t>2个花坛</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275"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质量指标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工作验收合格率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时效指标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工程完成及时率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成本指标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共需总投资</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240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175.35</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3"/>
                <w:szCs w:val="13"/>
                <w:vertAlign w:val="baseline"/>
                <w:lang w:eastAsia="zh-CN"/>
              </w:rPr>
              <w:t>预算执行率指标</w:t>
            </w:r>
            <w:r>
              <w:rPr>
                <w:rFonts w:hint="eastAsia" w:ascii="仿宋_GB2312" w:hAnsi="仿宋_GB2312" w:eastAsia="仿宋_GB2312" w:cs="仿宋_GB2312"/>
                <w:sz w:val="13"/>
                <w:szCs w:val="13"/>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8"/>
                <w:szCs w:val="18"/>
                <w:vertAlign w:val="baseline"/>
                <w:lang w:eastAsia="zh-CN"/>
              </w:rPr>
              <w:t>预算执行率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实际支出占预算数的比率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tabs>
                <w:tab w:val="left" w:pos="342"/>
              </w:tabs>
              <w:kinsoku/>
              <w:wordWrap/>
              <w:overflowPunct/>
              <w:topLinePunct w:val="0"/>
              <w:autoSpaceDE/>
              <w:autoSpaceDN/>
              <w:bidi w:val="0"/>
              <w:adjustRightInd w:val="0"/>
              <w:snapToGrid w:val="0"/>
              <w:spacing w:line="240" w:lineRule="auto"/>
              <w:jc w:val="left"/>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ab/>
            </w: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0"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效益指标（</w:t>
            </w:r>
            <w:r>
              <w:rPr>
                <w:rFonts w:hint="eastAsia" w:ascii="仿宋_GB2312" w:hAnsi="仿宋_GB2312" w:eastAsia="仿宋_GB2312" w:cs="仿宋_GB2312"/>
                <w:sz w:val="15"/>
                <w:szCs w:val="15"/>
                <w:vertAlign w:val="baseline"/>
                <w:lang w:val="en-US" w:eastAsia="zh-CN"/>
              </w:rPr>
              <w:t>40</w:t>
            </w:r>
            <w:r>
              <w:rPr>
                <w:rFonts w:hint="eastAsia" w:ascii="仿宋_GB2312" w:hAnsi="仿宋_GB2312" w:eastAsia="仿宋_GB2312" w:cs="仿宋_GB2312"/>
                <w:sz w:val="15"/>
                <w:szCs w:val="15"/>
                <w:vertAlign w:val="baseline"/>
                <w:lang w:eastAsia="zh-CN"/>
              </w:rPr>
              <w:t>）</w:t>
            </w: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经济效益指标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提高城区景观，改善环境质量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改善环境质量</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改善环境质量</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社会效益指标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提高城市形象，提高环境质量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3"/>
                <w:szCs w:val="13"/>
                <w:vertAlign w:val="baseline"/>
                <w:lang w:eastAsia="zh-CN"/>
              </w:rPr>
              <w:t>可持续影响指标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提高周边生态环境</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提高周边生态环境</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提高周边生态环境</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18"/>
                <w:szCs w:val="18"/>
                <w:vertAlign w:val="baseline"/>
                <w:lang w:eastAsia="zh-CN"/>
              </w:rPr>
              <w:t>满意度指标</w:t>
            </w:r>
            <w:r>
              <w:rPr>
                <w:rFonts w:hint="eastAsia" w:ascii="仿宋_GB2312" w:hAnsi="仿宋_GB2312" w:eastAsia="仿宋_GB2312" w:cs="仿宋_GB2312"/>
                <w:sz w:val="18"/>
                <w:szCs w:val="18"/>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满意度指标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受益群众对工程的满意程度</w:t>
            </w:r>
          </w:p>
        </w:tc>
        <w:tc>
          <w:tcPr>
            <w:tcW w:w="99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lang w:eastAsia="zh-CN"/>
              </w:rPr>
            </w:pPr>
            <w:r>
              <w:rPr>
                <w:rFonts w:hint="default" w:ascii="Arial" w:hAnsi="Arial" w:eastAsia="仿宋_GB2312" w:cs="Arial"/>
                <w:sz w:val="21"/>
                <w:szCs w:val="21"/>
                <w:vertAlign w:val="baseline"/>
                <w:lang w:eastAsia="zh-CN"/>
              </w:rPr>
              <w:t>≥</w:t>
            </w:r>
            <w:r>
              <w:rPr>
                <w:rFonts w:hint="eastAsia" w:ascii="仿宋_GB2312" w:hAnsi="仿宋_GB2312" w:eastAsia="仿宋_GB2312" w:cs="仿宋_GB2312"/>
                <w:sz w:val="21"/>
                <w:szCs w:val="21"/>
                <w:vertAlign w:val="baseline"/>
                <w:lang w:val="en-US" w:eastAsia="zh-CN"/>
              </w:rPr>
              <w:t>80</w:t>
            </w:r>
          </w:p>
        </w:tc>
        <w:tc>
          <w:tcPr>
            <w:tcW w:w="100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val="en-US" w:eastAsia="zh-CN"/>
              </w:rPr>
              <w:t>100</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6675" w:type="dxa"/>
            <w:gridSpan w:val="7"/>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总分</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五、存在的问题、原因及下一步整改措施</w:t>
            </w:r>
          </w:p>
        </w:tc>
        <w:tc>
          <w:tcPr>
            <w:tcW w:w="7950" w:type="dxa"/>
            <w:gridSpan w:val="8"/>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无</w:t>
            </w:r>
          </w:p>
        </w:tc>
      </w:tr>
    </w:tbl>
    <w:p>
      <w:pPr>
        <w:numPr>
          <w:ilvl w:val="0"/>
          <w:numId w:val="0"/>
        </w:num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全年</w:t>
      </w:r>
      <w:r>
        <w:rPr>
          <w:rFonts w:hint="eastAsia" w:ascii="仿宋_GB2312" w:hAnsi="仿宋_GB2312" w:eastAsia="仿宋_GB2312" w:cs="仿宋_GB2312"/>
          <w:sz w:val="32"/>
          <w:szCs w:val="32"/>
          <w:lang w:eastAsia="zh-CN"/>
        </w:rPr>
        <w:t>调整</w:t>
      </w:r>
      <w:r>
        <w:rPr>
          <w:rFonts w:hint="eastAsia" w:ascii="仿宋_GB2312" w:hAnsi="仿宋_GB2312" w:eastAsia="仿宋_GB2312" w:cs="仿宋_GB2312"/>
          <w:sz w:val="32"/>
          <w:szCs w:val="32"/>
        </w:rPr>
        <w:t>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山前大道沿线幸福鹿泉立体花坛、绿水青山立体花坛、土城园立体花坛；二是北斗路沿线孔雀立体花坛、中国结立体花坛。发现的主要问题及原因：部分项目绩效目标完成值与预期指标值有偏差。下一步改进措施：一是优化机制，完善政策，以制度建设为抓手，出台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预算支出进度考核办法，加强专项转移支付资金管理，制订专项资金监督检查办法，强化执行为驱动，努力推进预算管理更上台阶；二是细化措施，强化评估，在新的预算年度中，着力就改善现存问题精准施策，准确把握绩效管理的各个节点，做好绩效预算的事前谋划、事中实践、事后检验，全面提升绩效管理工作；三是拓展思路，提升效能，探索转移支付资金绩效考核的有效途径、探索日常绩效管理与长期绩效管理的有效机制探索绩效评价结果的实际应用的有效抓手。</w:t>
      </w:r>
    </w:p>
    <w:p>
      <w:pPr>
        <w:keepNext/>
        <w:keepLines/>
        <w:numPr>
          <w:ilvl w:val="0"/>
          <w:numId w:val="2"/>
        </w:numPr>
        <w:snapToGrid w:val="0"/>
        <w:spacing w:line="580" w:lineRule="exact"/>
        <w:ind w:firstLine="643" w:firstLineChars="200"/>
        <w:outlineLvl w:val="1"/>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单位为事业单位，</w:t>
      </w:r>
      <w:r>
        <w:rPr>
          <w:rFonts w:hint="eastAsia" w:ascii="仿宋_GB2312" w:hAnsi="Times New Roman" w:eastAsia="仿宋_GB2312" w:cs="DengXian-Regular"/>
          <w:sz w:val="32"/>
          <w:szCs w:val="32"/>
        </w:rPr>
        <w:t>2019年度</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机关运行经费支出</w:t>
      </w:r>
      <w:r>
        <w:rPr>
          <w:rFonts w:hint="eastAsia" w:ascii="仿宋_GB2312" w:hAnsi="Times New Roman" w:eastAsia="仿宋_GB2312" w:cs="DengXian-Regular"/>
          <w:sz w:val="32"/>
          <w:szCs w:val="32"/>
          <w:lang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2019年度政府采购支出总额</w:t>
      </w:r>
      <w:r>
        <w:rPr>
          <w:rFonts w:hint="eastAsia" w:ascii="仿宋_GB2312" w:hAnsi="Times New Roman" w:eastAsia="仿宋_GB2312" w:cs="DengXian-Regular"/>
          <w:sz w:val="32"/>
          <w:szCs w:val="32"/>
          <w:lang w:val="en-US" w:eastAsia="zh-CN"/>
        </w:rPr>
        <w:t>14309.23</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238.56</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14044.71</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25.96</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14167.36</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99</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320.89</w:t>
      </w:r>
      <w:r>
        <w:rPr>
          <w:rFonts w:ascii="仿宋_GB2312" w:hAnsi="仿宋_GB2312" w:eastAsia="仿宋_GB2312" w:cs="仿宋_GB2312"/>
          <w:color w:val="000000"/>
          <w:kern w:val="0"/>
          <w:sz w:val="32"/>
          <w:szCs w:val="32"/>
          <w:lang w:bidi="ar"/>
        </w:rPr>
        <w:t>万元，占政府采购支出总额</w:t>
      </w:r>
      <w:r>
        <w:rPr>
          <w:rFonts w:hint="eastAsia" w:ascii="仿宋_GB2312" w:hAnsi="仿宋_GB2312" w:eastAsia="仿宋_GB2312" w:cs="仿宋_GB2312"/>
          <w:color w:val="000000"/>
          <w:kern w:val="0"/>
          <w:sz w:val="32"/>
          <w:szCs w:val="32"/>
          <w:lang w:val="en-US" w:eastAsia="zh-CN" w:bidi="ar"/>
        </w:rPr>
        <w:t>2.24</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截至2019年12月31日，本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16</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事业单位公务用车改革</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。其他用车主要是高空作业车、洒水车等生产用车。</w:t>
      </w:r>
    </w:p>
    <w:p>
      <w:pPr>
        <w:adjustRightInd w:val="0"/>
        <w:snapToGrid w:val="0"/>
        <w:spacing w:line="580" w:lineRule="exact"/>
        <w:ind w:firstLine="640" w:firstLineChars="200"/>
        <w:rPr>
          <w:rFonts w:hint="eastAsia" w:ascii="楷体_GB2312" w:hAnsi="Times New Roman" w:eastAsia="仿宋_GB2312" w:cs="DengXian-Bold"/>
          <w:b/>
          <w:bCs/>
          <w:sz w:val="32"/>
          <w:szCs w:val="32"/>
          <w:lang w:eastAsia="zh-CN"/>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w:t>
      </w:r>
      <w:r>
        <w:rPr>
          <w:rFonts w:hint="eastAsia" w:ascii="仿宋_GB2312" w:hAnsi="Times New Roman" w:eastAsia="仿宋_GB2312" w:cs="DengXian-Regular"/>
          <w:sz w:val="32"/>
          <w:szCs w:val="32"/>
          <w:lang w:eastAsia="zh-CN"/>
        </w:rPr>
        <w:t>国有资本经营预算财政拨款</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eastAsia="zh-CN"/>
        </w:rPr>
        <w:t>国有资本经营预算财政拨款支出决算</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fill type="pattern" on="t" color2="#FFFFFF [3212]"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决算报表</w:t>
                      </w:r>
                    </w:p>
                  </w:txbxContent>
                </v:textbox>
              </v:shape>
            </w:pict>
          </mc:Fallback>
        </mc:AlternateContent>
      </w:r>
    </w:p>
    <w:p>
      <w:pPr>
        <w:jc w:val="left"/>
      </w:pPr>
    </w:p>
    <w:tbl>
      <w:tblPr>
        <w:tblStyle w:val="7"/>
        <w:tblpPr w:leftFromText="180" w:rightFromText="180" w:vertAnchor="text" w:horzAnchor="page" w:tblpXSpec="center" w:tblpY="31"/>
        <w:tblOverlap w:val="never"/>
        <w:tblW w:w="9738" w:type="dxa"/>
        <w:jc w:val="center"/>
        <w:tblInd w:w="0" w:type="dxa"/>
        <w:tblLayout w:type="fixed"/>
        <w:tblCellMar>
          <w:top w:w="0" w:type="dxa"/>
          <w:left w:w="0" w:type="dxa"/>
          <w:bottom w:w="0" w:type="dxa"/>
          <w:right w:w="0" w:type="dxa"/>
        </w:tblCellMar>
      </w:tblPr>
      <w:tblGrid>
        <w:gridCol w:w="3236"/>
        <w:gridCol w:w="483"/>
        <w:gridCol w:w="1087"/>
        <w:gridCol w:w="3326"/>
        <w:gridCol w:w="518"/>
        <w:gridCol w:w="1088"/>
      </w:tblGrid>
      <w:tr>
        <w:tblPrEx>
          <w:tblLayout w:type="fixed"/>
          <w:tblCellMar>
            <w:top w:w="0" w:type="dxa"/>
            <w:left w:w="0" w:type="dxa"/>
            <w:bottom w:w="0" w:type="dxa"/>
            <w:right w:w="0" w:type="dxa"/>
          </w:tblCellMar>
        </w:tblPrEx>
        <w:trPr>
          <w:trHeight w:val="489" w:hRule="atLeast"/>
          <w:jc w:val="center"/>
        </w:trPr>
        <w:tc>
          <w:tcPr>
            <w:tcW w:w="9738"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8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932"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343" w:hRule="atLeast"/>
          <w:jc w:val="center"/>
        </w:trPr>
        <w:tc>
          <w:tcPr>
            <w:tcW w:w="4806"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部门：石家庄市鹿泉区公用事业管理中心（本级）</w:t>
            </w:r>
          </w:p>
        </w:tc>
        <w:tc>
          <w:tcPr>
            <w:tcW w:w="4932"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80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93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40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10,390.68</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一、一般公共服务支出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10,838.73</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二、外交支出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三、上级补助收入</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三、国防支出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四、事业收入</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四、公共安全支出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五、经营收入</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五、教育支出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六、附属单位上缴收入</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六、科学技术支出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七、其他收入</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53.26</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七、文化旅游体育与传媒支出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八、社会保障和就业支出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43.93</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九、卫生健康支出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十、节能环保支出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十一、城乡社区支出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19,955.49</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十二、农林水支出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40</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十三、交通运输支出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十四、资源勘探信息等支出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十五、商业服务业等支出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十六、金融支出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十七、援助其他地区支出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十九、住房保障支出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二十、粮油物资储备支出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48</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二十二、其他支出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二十四、债务付息支出</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本年收入合计</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21,282.67</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本年支出合计</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24,286.82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用事业基金弥补收支差额</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25</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结余分配</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年初结转和结余</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3,410.67</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年末结转和结余</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406.53</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4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28</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24,693.34</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24,693.34</w:t>
            </w:r>
          </w:p>
        </w:tc>
      </w:tr>
      <w:tr>
        <w:tblPrEx>
          <w:tblLayout w:type="fixed"/>
          <w:tblCellMar>
            <w:top w:w="0" w:type="dxa"/>
            <w:left w:w="0" w:type="dxa"/>
            <w:bottom w:w="0" w:type="dxa"/>
            <w:right w:w="0" w:type="dxa"/>
          </w:tblCellMar>
        </w:tblPrEx>
        <w:trPr>
          <w:trHeight w:val="213" w:hRule="atLeast"/>
          <w:jc w:val="center"/>
        </w:trPr>
        <w:tc>
          <w:tcPr>
            <w:tcW w:w="9738"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7"/>
        <w:tblW w:w="9580" w:type="dxa"/>
        <w:jc w:val="center"/>
        <w:tblInd w:w="0" w:type="dxa"/>
        <w:tblLayout w:type="fixed"/>
        <w:tblCellMar>
          <w:top w:w="0" w:type="dxa"/>
          <w:left w:w="0" w:type="dxa"/>
          <w:bottom w:w="0" w:type="dxa"/>
          <w:right w:w="0" w:type="dxa"/>
        </w:tblCellMar>
      </w:tblPr>
      <w:tblGrid>
        <w:gridCol w:w="844"/>
        <w:gridCol w:w="164"/>
        <w:gridCol w:w="58"/>
        <w:gridCol w:w="58"/>
        <w:gridCol w:w="2063"/>
        <w:gridCol w:w="1238"/>
        <w:gridCol w:w="1219"/>
        <w:gridCol w:w="806"/>
        <w:gridCol w:w="750"/>
        <w:gridCol w:w="675"/>
        <w:gridCol w:w="704"/>
        <w:gridCol w:w="1001"/>
      </w:tblGrid>
      <w:tr>
        <w:tblPrEx>
          <w:tblLayout w:type="fixed"/>
          <w:tblCellMar>
            <w:top w:w="0" w:type="dxa"/>
            <w:left w:w="0" w:type="dxa"/>
            <w:bottom w:w="0" w:type="dxa"/>
            <w:right w:w="0" w:type="dxa"/>
          </w:tblCellMar>
        </w:tblPrEx>
        <w:trPr>
          <w:trHeight w:val="670" w:hRule="atLeast"/>
          <w:jc w:val="center"/>
        </w:trPr>
        <w:tc>
          <w:tcPr>
            <w:tcW w:w="9580" w:type="dxa"/>
            <w:gridSpan w:val="12"/>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6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3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1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0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05"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5644" w:type="dxa"/>
            <w:gridSpan w:val="7"/>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部门：石家庄市鹿泉区公用事业管理中心（本级）</w:t>
            </w:r>
          </w:p>
        </w:tc>
        <w:tc>
          <w:tcPr>
            <w:tcW w:w="80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80"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318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23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本年收入合计</w:t>
            </w:r>
          </w:p>
        </w:tc>
        <w:tc>
          <w:tcPr>
            <w:tcW w:w="121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财政拨款收入</w:t>
            </w:r>
          </w:p>
        </w:tc>
        <w:tc>
          <w:tcPr>
            <w:tcW w:w="80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上级补助收入</w:t>
            </w:r>
          </w:p>
        </w:tc>
        <w:tc>
          <w:tcPr>
            <w:tcW w:w="7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事业收入</w:t>
            </w:r>
          </w:p>
        </w:tc>
        <w:tc>
          <w:tcPr>
            <w:tcW w:w="67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经营收入</w:t>
            </w:r>
          </w:p>
        </w:tc>
        <w:tc>
          <w:tcPr>
            <w:tcW w:w="70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其他收入</w:t>
            </w:r>
          </w:p>
        </w:tc>
      </w:tr>
      <w:tr>
        <w:tblPrEx>
          <w:tblLayout w:type="fixed"/>
          <w:tblCellMar>
            <w:top w:w="0" w:type="dxa"/>
            <w:left w:w="0" w:type="dxa"/>
            <w:bottom w:w="0" w:type="dxa"/>
            <w:right w:w="0" w:type="dxa"/>
          </w:tblCellMar>
        </w:tblPrEx>
        <w:trPr>
          <w:trHeight w:val="380" w:hRule="atLeast"/>
          <w:jc w:val="center"/>
        </w:trPr>
        <w:tc>
          <w:tcPr>
            <w:tcW w:w="1124"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0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2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24"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187"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3187"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21,282.67</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21,229.41</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53.26</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社会保障和就业支出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43.22</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41.90</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行政事业单位离退休</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35.93</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34.61</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35.93</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34.61</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退役安置</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退役士兵安置</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卫生健康支出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23.44</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23.44</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行政事业单位医疗</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23.44</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23.44</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行政单位医疗</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3.96</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3.96</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2101102</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事业单位医疗</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19.48</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19.48</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节能环保支出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3,008.27</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3,008.27</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污染防治</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3,008.27</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3,008.27</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大气</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3,008.27</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3,008.27</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城乡社区支出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18,188.65</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18,136.71</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51.94</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城乡社区管理事务</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270.84</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267.34</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行政运行</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265.92</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265.92</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2120104</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城管执法</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2120199</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21202</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城乡社区规划与管理</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7.95</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7.95</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2120201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7.95</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7.95</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城乡社区公共设施</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7,071.13</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7,030.64</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40.49</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2120303</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7,071.13</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7,030.64</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40.49</w:t>
            </w: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3,888.75</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3,888.75</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2120803</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城市建设支出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3,888.75</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3,888.75</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6,949.98</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6,949.98</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2121301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城市公共设施</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6,949.98</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6,949.98</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住房保障支出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19.09</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19.09</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住房改革支出</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19.09</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19.09</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23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 xml:space="preserve">  住房公积金</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19.09</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19.09</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580" w:type="dxa"/>
            <w:gridSpan w:val="12"/>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7"/>
        <w:tblW w:w="9680" w:type="dxa"/>
        <w:jc w:val="center"/>
        <w:tblInd w:w="0" w:type="dxa"/>
        <w:tblLayout w:type="fixed"/>
        <w:tblCellMar>
          <w:top w:w="0" w:type="dxa"/>
          <w:left w:w="0" w:type="dxa"/>
          <w:bottom w:w="0" w:type="dxa"/>
          <w:right w:w="0" w:type="dxa"/>
        </w:tblCellMar>
      </w:tblPr>
      <w:tblGrid>
        <w:gridCol w:w="800"/>
        <w:gridCol w:w="141"/>
        <w:gridCol w:w="53"/>
        <w:gridCol w:w="111"/>
        <w:gridCol w:w="2470"/>
        <w:gridCol w:w="1556"/>
        <w:gridCol w:w="1031"/>
        <w:gridCol w:w="1182"/>
        <w:gridCol w:w="750"/>
        <w:gridCol w:w="750"/>
        <w:gridCol w:w="836"/>
      </w:tblGrid>
      <w:tr>
        <w:tblPrEx>
          <w:tblLayout w:type="fixed"/>
          <w:tblCellMar>
            <w:top w:w="0" w:type="dxa"/>
            <w:left w:w="0" w:type="dxa"/>
            <w:bottom w:w="0" w:type="dxa"/>
            <w:right w:w="0" w:type="dxa"/>
          </w:tblCellMar>
        </w:tblPrEx>
        <w:trPr>
          <w:trHeight w:val="612" w:hRule="atLeast"/>
          <w:jc w:val="center"/>
        </w:trPr>
        <w:tc>
          <w:tcPr>
            <w:tcW w:w="9680" w:type="dxa"/>
            <w:gridSpan w:val="11"/>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5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8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6162" w:type="dxa"/>
            <w:gridSpan w:val="7"/>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部门：石家庄市鹿泉区公用事业管理中心（本级）</w:t>
            </w:r>
          </w:p>
        </w:tc>
        <w:tc>
          <w:tcPr>
            <w:tcW w:w="11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8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357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5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03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7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7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83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4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05"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3575"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3575"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24,286.82</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359.07</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23,927.75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43.93</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43.93</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36.63</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36.63</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36.63</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36.63</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6.15</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6.15</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2101102</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27.96</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27.96</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污染防治</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大气</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19,955.49</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263.02</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19,692.48</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279.01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263.02</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261.60</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261.60</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2120103</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12.50</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2120104</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城管执法</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2120199</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21202</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城乡社区规划与管理</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7.95</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7.95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2120201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7.95</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7.95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城乡社区公共设施</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7,041.33</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7,041.33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2120303</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7,041.33</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7,041.33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5,675.07</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5,675.07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2120803</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城市建设支出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5,675.07</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5,675.07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6,952.13</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6,952.13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2121301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城市公共设施</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6,949.98</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6,949.98</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2121302</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城市环境卫生</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2.15</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277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7"/>
        <w:tblW w:w="9520" w:type="dxa"/>
        <w:jc w:val="center"/>
        <w:tblInd w:w="0" w:type="dxa"/>
        <w:tblLayout w:type="fixed"/>
        <w:tblCellMar>
          <w:top w:w="0" w:type="dxa"/>
          <w:left w:w="0" w:type="dxa"/>
          <w:bottom w:w="0" w:type="dxa"/>
          <w:right w:w="0" w:type="dxa"/>
        </w:tblCellMar>
      </w:tblPr>
      <w:tblGrid>
        <w:gridCol w:w="2070"/>
        <w:gridCol w:w="337"/>
        <w:gridCol w:w="1050"/>
        <w:gridCol w:w="2382"/>
        <w:gridCol w:w="375"/>
        <w:gridCol w:w="1031"/>
        <w:gridCol w:w="1106"/>
        <w:gridCol w:w="1169"/>
      </w:tblGrid>
      <w:tr>
        <w:tblPrEx>
          <w:tblLayout w:type="fixed"/>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06"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5839"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部门：石家庄市鹿泉区公用事业管理中心（本级）</w:t>
            </w:r>
          </w:p>
        </w:tc>
        <w:tc>
          <w:tcPr>
            <w:tcW w:w="37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06"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345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6063"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07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38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3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0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07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w:t>
            </w: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10,390.68</w:t>
            </w: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一、一般公共服务支出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w:t>
            </w: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10,838.73</w:t>
            </w: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二、外交支出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三、国防支出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四、公共安全支出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五、教育支出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六、科学技术支出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七、文化旅游体育与传媒支出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八、社会保障和就业支出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42.61</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42.61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九、卫生健康支出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十、节能环保支出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十一、城乡社区支出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40</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19,934.54</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7,307.34</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12,627.20</w:t>
            </w: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十二、农林水支出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十三、交通运输支出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十四、资源勘探信息等支出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十五、商业服务业等支出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十六、金融支出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十七、援助其他地区支出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十九、住房保障支出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48</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二十、粮油物资储备支出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二十二、其他支出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二十四、债务付息支出</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本年收入合计</w:t>
            </w: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21,229.41</w:t>
            </w: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本年支出合计</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24,264.55</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11,637.34</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12,627.20</w:t>
            </w: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年初财政拨款结转和结余</w:t>
            </w: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25</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3,410.67</w:t>
            </w: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年末财政拨款结转和结余</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375.54</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51.21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324.33</w:t>
            </w: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w:t>
            </w: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1,297.87</w:t>
            </w: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w:t>
            </w: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2,112.80</w:t>
            </w: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28</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24,640.08</w:t>
            </w:r>
          </w:p>
        </w:tc>
        <w:tc>
          <w:tcPr>
            <w:tcW w:w="23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3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w:t>
            </w:r>
          </w:p>
        </w:tc>
        <w:tc>
          <w:tcPr>
            <w:tcW w:w="10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24,640.08</w:t>
            </w:r>
          </w:p>
        </w:tc>
        <w:tc>
          <w:tcPr>
            <w:tcW w:w="11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11,688.55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12,951.53</w:t>
            </w: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7"/>
        <w:tblW w:w="9990" w:type="dxa"/>
        <w:jc w:val="center"/>
        <w:tblInd w:w="0" w:type="dxa"/>
        <w:tblLayout w:type="fixed"/>
        <w:tblCellMar>
          <w:top w:w="0" w:type="dxa"/>
          <w:left w:w="0" w:type="dxa"/>
          <w:bottom w:w="0" w:type="dxa"/>
          <w:right w:w="0" w:type="dxa"/>
        </w:tblCellMar>
      </w:tblPr>
      <w:tblGrid>
        <w:gridCol w:w="899"/>
        <w:gridCol w:w="275"/>
        <w:gridCol w:w="67"/>
        <w:gridCol w:w="67"/>
        <w:gridCol w:w="2384"/>
        <w:gridCol w:w="2119"/>
        <w:gridCol w:w="2119"/>
        <w:gridCol w:w="2060"/>
      </w:tblGrid>
      <w:tr>
        <w:tblPrEx>
          <w:tblLayout w:type="fixed"/>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8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11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179"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5811" w:type="dxa"/>
            <w:gridSpan w:val="6"/>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部门：石家庄市鹿泉区公用事业管理中心（本级）</w:t>
            </w:r>
          </w:p>
        </w:tc>
        <w:tc>
          <w:tcPr>
            <w:tcW w:w="4179"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69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298"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38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11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11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0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1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1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1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1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69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369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11,637.34</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357.75</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11,279.59</w:t>
            </w: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42.61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42.61</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35.31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35.31</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35.31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35.31</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34.11</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6.15</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6.15</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2101102</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27.96</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27.96</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污染防治</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2110301</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大气</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7,307.34</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263.02</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7,044.32</w:t>
            </w: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275.51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263.02</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12.50</w:t>
            </w: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261.60</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261.60</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2120103</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12.50</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12.50</w:t>
            </w: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2120104</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城管执法</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城乡社区公共设施</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7,031.83</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7,031.83</w:t>
            </w: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2120303</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7,031.83</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7,031.83</w:t>
            </w: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8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27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21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18.01</w:t>
            </w:r>
          </w:p>
        </w:tc>
        <w:tc>
          <w:tcPr>
            <w:tcW w:w="2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bl>
    <w:p>
      <w:r>
        <w:br w:type="page"/>
      </w:r>
    </w:p>
    <w:tbl>
      <w:tblPr>
        <w:tblStyle w:val="7"/>
        <w:tblW w:w="10000" w:type="dxa"/>
        <w:jc w:val="center"/>
        <w:tblInd w:w="0" w:type="dxa"/>
        <w:tblLayout w:type="fixed"/>
        <w:tblCellMar>
          <w:top w:w="0" w:type="dxa"/>
          <w:left w:w="0" w:type="dxa"/>
          <w:bottom w:w="0" w:type="dxa"/>
          <w:right w:w="0" w:type="dxa"/>
        </w:tblCellMar>
      </w:tblPr>
      <w:tblGrid>
        <w:gridCol w:w="660"/>
        <w:gridCol w:w="1987"/>
        <w:gridCol w:w="788"/>
        <w:gridCol w:w="694"/>
        <w:gridCol w:w="1736"/>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6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8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5865"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部门：石家庄市鹿泉区公用事业管理中心（本级）</w:t>
            </w: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4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56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66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9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73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66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3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工资福利支出</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305.40</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45.84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30101</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基本工资</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95.96</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30201</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5.64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30102</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津贴补贴</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12.26</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30202</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30103</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奖金</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59.43</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30203</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6.50</w:t>
            </w: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30106</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伙食补助费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30204</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30107</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绩效工资</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61.25</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30205</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0.60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6.50</w:t>
            </w: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30108</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31.96</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30206</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30109</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职业年金缴费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30207</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12.17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30110</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23.41</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30208</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5.70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30111</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30209</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30112</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2.20</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30211</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0.21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30113</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住房公积金</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18.93</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30212</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30114</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医疗费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30213</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0.69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30199</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30214</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对个人和家庭的补助</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30215</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30301</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离休费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30216</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30302</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退休费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30303</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退职（役）费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30218</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30304</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抚恤金</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30224</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30305</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生活补助</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30225</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30306</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救济费</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30226</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7.30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30307</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医疗费补助</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30227</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30308</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助学金</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30228</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2.12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30309</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奖励金</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30229</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2.99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30310</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30231</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30399</w:t>
            </w: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30239</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7.53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30240</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30299</w:t>
            </w:r>
          </w:p>
        </w:tc>
        <w:tc>
          <w:tcPr>
            <w:tcW w:w="17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0.85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647"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人员经费合计</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305.40</w:t>
            </w:r>
          </w:p>
        </w:tc>
        <w:tc>
          <w:tcPr>
            <w:tcW w:w="583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52.34</w:t>
            </w:r>
          </w:p>
        </w:tc>
      </w:tr>
    </w:tbl>
    <w:p>
      <w:r>
        <w:br w:type="page"/>
      </w:r>
    </w:p>
    <w:tbl>
      <w:tblPr>
        <w:tblStyle w:val="7"/>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部门：石家庄市鹿泉区公用事业管理中心（本级）</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2.9</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2.7</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2.7</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0.2</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4910" w:type="dxa"/>
            <w:gridSpan w:val="6"/>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部门：石家庄市鹿泉区公用事业管理中心（本级）</w:t>
            </w: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部门：石家庄市鹿泉区公用事业管理中心（本级）</w:t>
            </w: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UnicodeMS">
    <w:altName w:val="Malgun Gothic"/>
    <w:panose1 w:val="00000000000000000000"/>
    <w:charset w:val="81"/>
    <w:family w:val="auto"/>
    <w:pitch w:val="default"/>
    <w:sig w:usb0="00000000" w:usb1="00000000" w:usb2="00000010" w:usb3="00000000" w:csb0="00080001"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Guli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w:t>
                            </w:r>
                            <w:r>
                              <w:rPr>
                                <w:rFonts w:hint="eastAsia" w:ascii="微软雅黑" w:hAnsi="微软雅黑" w:eastAsia="微软雅黑" w:cs="微软雅黑"/>
                                <w:b/>
                                <w:bCs/>
                                <w:sz w:val="32"/>
                                <w:szCs w:val="40"/>
                                <w:lang w:eastAsia="zh-CN"/>
                              </w:rPr>
                              <w:t>单位</w:t>
                            </w:r>
                            <w:r>
                              <w:rPr>
                                <w:rFonts w:hint="eastAsia" w:ascii="微软雅黑" w:hAnsi="微软雅黑" w:eastAsia="微软雅黑" w:cs="微软雅黑"/>
                                <w:b/>
                                <w:bCs/>
                                <w:sz w:val="32"/>
                                <w:szCs w:val="40"/>
                              </w:rPr>
                              <w:t>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w:t>
                      </w:r>
                      <w:r>
                        <w:rPr>
                          <w:rFonts w:hint="eastAsia" w:ascii="微软雅黑" w:hAnsi="微软雅黑" w:eastAsia="微软雅黑" w:cs="微软雅黑"/>
                          <w:b/>
                          <w:bCs/>
                          <w:sz w:val="32"/>
                          <w:szCs w:val="40"/>
                          <w:lang w:eastAsia="zh-CN"/>
                        </w:rPr>
                        <w:t>单位</w:t>
                      </w:r>
                      <w:r>
                        <w:rPr>
                          <w:rFonts w:hint="eastAsia" w:ascii="微软雅黑" w:hAnsi="微软雅黑" w:eastAsia="微软雅黑" w:cs="微软雅黑"/>
                          <w:b/>
                          <w:bCs/>
                          <w:sz w:val="32"/>
                          <w:szCs w:val="40"/>
                        </w:rPr>
                        <w:t>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 xml:space="preserve">第一部分  </w:t>
                            </w:r>
                            <w:r>
                              <w:rPr>
                                <w:rFonts w:hint="eastAsia" w:ascii="微软雅黑" w:hAnsi="微软雅黑" w:eastAsia="微软雅黑" w:cs="微软雅黑"/>
                                <w:b/>
                                <w:bCs/>
                                <w:sz w:val="32"/>
                                <w:szCs w:val="40"/>
                                <w:lang w:eastAsia="zh-CN"/>
                              </w:rPr>
                              <w:t>单位</w:t>
                            </w:r>
                            <w:r>
                              <w:rPr>
                                <w:rFonts w:hint="eastAsia" w:ascii="微软雅黑" w:hAnsi="微软雅黑" w:eastAsia="微软雅黑" w:cs="微软雅黑"/>
                                <w:b/>
                                <w:bCs/>
                                <w:sz w:val="32"/>
                                <w:szCs w:val="40"/>
                              </w:rPr>
                              <w:t>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 xml:space="preserve">第一部分  </w:t>
                      </w:r>
                      <w:r>
                        <w:rPr>
                          <w:rFonts w:hint="eastAsia" w:ascii="微软雅黑" w:hAnsi="微软雅黑" w:eastAsia="微软雅黑" w:cs="微软雅黑"/>
                          <w:b/>
                          <w:bCs/>
                          <w:sz w:val="32"/>
                          <w:szCs w:val="40"/>
                          <w:lang w:eastAsia="zh-CN"/>
                        </w:rPr>
                        <w:t>单位</w:t>
                      </w:r>
                      <w:r>
                        <w:rPr>
                          <w:rFonts w:hint="eastAsia" w:ascii="微软雅黑" w:hAnsi="微软雅黑" w:eastAsia="微软雅黑" w:cs="微软雅黑"/>
                          <w:b/>
                          <w:bCs/>
                          <w:sz w:val="32"/>
                          <w:szCs w:val="40"/>
                        </w:rPr>
                        <w:t>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 xml:space="preserve">第二部分  </w:t>
                            </w:r>
                            <w:r>
                              <w:rPr>
                                <w:rFonts w:hint="eastAsia" w:ascii="微软雅黑" w:hAnsi="微软雅黑" w:eastAsia="微软雅黑" w:cs="微软雅黑"/>
                                <w:b/>
                                <w:bCs/>
                                <w:sz w:val="32"/>
                                <w:szCs w:val="40"/>
                                <w:lang w:eastAsia="zh-CN"/>
                              </w:rPr>
                              <w:t>单位</w:t>
                            </w:r>
                            <w:r>
                              <w:rPr>
                                <w:rFonts w:hint="eastAsia" w:ascii="微软雅黑" w:hAnsi="微软雅黑" w:eastAsia="微软雅黑" w:cs="微软雅黑"/>
                                <w:b/>
                                <w:bCs/>
                                <w:sz w:val="32"/>
                                <w:szCs w:val="40"/>
                              </w:rPr>
                              <w:t>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 xml:space="preserve">第二部分  </w:t>
                      </w:r>
                      <w:r>
                        <w:rPr>
                          <w:rFonts w:hint="eastAsia" w:ascii="微软雅黑" w:hAnsi="微软雅黑" w:eastAsia="微软雅黑" w:cs="微软雅黑"/>
                          <w:b/>
                          <w:bCs/>
                          <w:sz w:val="32"/>
                          <w:szCs w:val="40"/>
                          <w:lang w:eastAsia="zh-CN"/>
                        </w:rPr>
                        <w:t>单位</w:t>
                      </w:r>
                      <w:r>
                        <w:rPr>
                          <w:rFonts w:hint="eastAsia" w:ascii="微软雅黑" w:hAnsi="微软雅黑" w:eastAsia="微软雅黑" w:cs="微软雅黑"/>
                          <w:b/>
                          <w:bCs/>
                          <w:sz w:val="32"/>
                          <w:szCs w:val="40"/>
                        </w:rPr>
                        <w:t>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84F2D7"/>
    <w:multiLevelType w:val="singleLevel"/>
    <w:tmpl w:val="AF84F2D7"/>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5F222FFA"/>
    <w:multiLevelType w:val="singleLevel"/>
    <w:tmpl w:val="5F222FFA"/>
    <w:lvl w:ilvl="0" w:tentative="0">
      <w:start w:val="1"/>
      <w:numFmt w:val="decimal"/>
      <w:suff w:val="nothing"/>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4"/>
  </w:num>
  <w:num w:numId="2">
    <w:abstractNumId w:val="2"/>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8111C47"/>
    <w:rsid w:val="08CE7968"/>
    <w:rsid w:val="0B011416"/>
    <w:rsid w:val="0DBA1AF4"/>
    <w:rsid w:val="17395F75"/>
    <w:rsid w:val="240967AD"/>
    <w:rsid w:val="31C2036A"/>
    <w:rsid w:val="320D02A5"/>
    <w:rsid w:val="348E566F"/>
    <w:rsid w:val="34E726A4"/>
    <w:rsid w:val="389C000A"/>
    <w:rsid w:val="3A226944"/>
    <w:rsid w:val="3AEE6A48"/>
    <w:rsid w:val="3C1620AA"/>
    <w:rsid w:val="3D8F080F"/>
    <w:rsid w:val="435C77AD"/>
    <w:rsid w:val="44CE1FA4"/>
    <w:rsid w:val="487F73ED"/>
    <w:rsid w:val="488F4177"/>
    <w:rsid w:val="4A347EAE"/>
    <w:rsid w:val="52427146"/>
    <w:rsid w:val="52600405"/>
    <w:rsid w:val="529B4319"/>
    <w:rsid w:val="57773DD6"/>
    <w:rsid w:val="578B79AB"/>
    <w:rsid w:val="58487522"/>
    <w:rsid w:val="5CCD3FD5"/>
    <w:rsid w:val="5D8166A2"/>
    <w:rsid w:val="5E2A3DEE"/>
    <w:rsid w:val="61FA5F9D"/>
    <w:rsid w:val="64CD6910"/>
    <w:rsid w:val="6789158D"/>
    <w:rsid w:val="67D81BA4"/>
    <w:rsid w:val="6AAF1C96"/>
    <w:rsid w:val="75681757"/>
    <w:rsid w:val="75A346A8"/>
    <w:rsid w:val="76F46290"/>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6"/>
    <w:link w:val="5"/>
    <w:qFormat/>
    <w:uiPriority w:val="99"/>
    <w:rPr>
      <w:rFonts w:asciiTheme="minorHAnsi" w:hAnsiTheme="minorHAnsi" w:eastAsiaTheme="minorEastAsia"/>
      <w:sz w:val="18"/>
      <w:szCs w:val="18"/>
    </w:rPr>
  </w:style>
  <w:style w:type="character" w:customStyle="1" w:styleId="10">
    <w:name w:val="页脚 Char"/>
    <w:basedOn w:val="6"/>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cap="none" spc="20" baseline="0">
              <a:solidFill>
                <a:schemeClr val="tx1">
                  <a:lumMod val="50000"/>
                  <a:lumOff val="50000"/>
                </a:schemeClr>
              </a:solidFill>
              <a:latin typeface="+mn-lt"/>
              <a:ea typeface="+mn-ea"/>
              <a:cs typeface="+mn-cs"/>
            </a:defRPr>
          </a:pPr>
        </a:p>
      </c:txPr>
    </c:title>
    <c:autoTitleDeleted val="0"/>
    <c:plotArea>
      <c:layout>
        <c:manualLayout>
          <c:layoutTarget val="inner"/>
          <c:xMode val="edge"/>
          <c:yMode val="edge"/>
          <c:x val="0.025375"/>
          <c:y val="0.127"/>
          <c:w val="0.945"/>
          <c:h val="0.760833333333333"/>
        </c:manualLayout>
      </c:layout>
      <c:pieChart>
        <c:varyColors val="1"/>
        <c:ser>
          <c:idx val="0"/>
          <c:order val="0"/>
          <c:tx>
            <c:strRef>
              <c:f>Sheet1!$B$1</c:f>
              <c:strCache>
                <c:ptCount val="1"/>
                <c:pt idx="0">
                  <c:v>本年收入</c:v>
                </c:pt>
              </c:strCache>
            </c:strRef>
          </c:tx>
          <c:spPr/>
          <c:explosion val="0"/>
          <c:dPt>
            <c:idx val="0"/>
            <c:bubble3D val="0"/>
            <c:explosion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65000"/>
                        <a:lumOff val="35000"/>
                      </a:schemeClr>
                    </a:solidFill>
                    <a:latin typeface="+mn-lt"/>
                    <a:ea typeface="+mn-ea"/>
                    <a:cs typeface="+mn-cs"/>
                  </a:defRPr>
                </a:pPr>
              </a:p>
            </c:txPr>
            <c:dLblPos val="ctr"/>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Sheet1!$A$2:$A$3</c:f>
              <c:strCache>
                <c:ptCount val="2"/>
                <c:pt idx="0">
                  <c:v>财政拨款收入</c:v>
                </c:pt>
                <c:pt idx="1">
                  <c:v>其他收入</c:v>
                </c:pt>
              </c:strCache>
            </c:strRef>
          </c:cat>
          <c:val>
            <c:numRef>
              <c:f>Sheet1!$B$2:$B$3</c:f>
              <c:numCache>
                <c:formatCode>0.00%</c:formatCode>
                <c:ptCount val="2"/>
                <c:pt idx="0">
                  <c:v>0.9975</c:v>
                </c:pt>
                <c:pt idx="1">
                  <c:v>0.0025</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50000"/>
                  <a:lumOff val="50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本年支出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0.0148</c:v>
                </c:pt>
                <c:pt idx="1">
                  <c:v>0.9852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89805570152391"/>
          <c:y val="0.0445990180032733"/>
          <c:w val="0.8768"/>
          <c:h val="0.8074"/>
        </c:manualLayout>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2018年收入</c:v>
                </c:pt>
                <c:pt idx="1">
                  <c:v>2019年收入</c:v>
                </c:pt>
                <c:pt idx="2">
                  <c:v>2018年支出</c:v>
                </c:pt>
                <c:pt idx="3">
                  <c:v>2019年支出</c:v>
                </c:pt>
              </c:strCache>
            </c:strRef>
          </c:cat>
          <c:val>
            <c:numRef>
              <c:f>Sheet1!$B$2:$B$5</c:f>
              <c:numCache>
                <c:formatCode>General</c:formatCode>
                <c:ptCount val="4"/>
                <c:pt idx="0">
                  <c:v>28153.7</c:v>
                </c:pt>
                <c:pt idx="1">
                  <c:v>21229.41</c:v>
                </c:pt>
              </c:numCache>
            </c:numRef>
          </c:val>
        </c:ser>
        <c:ser>
          <c:idx val="1"/>
          <c:order val="1"/>
          <c:tx>
            <c:strRef>
              <c:f>Sheet1!$C$1</c:f>
              <c:strCache>
                <c:ptCount val="1"/>
                <c:pt idx="0">
                  <c:v>系列 2</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2018年收入</c:v>
                </c:pt>
                <c:pt idx="1">
                  <c:v>2019年收入</c:v>
                </c:pt>
                <c:pt idx="2">
                  <c:v>2018年支出</c:v>
                </c:pt>
                <c:pt idx="3">
                  <c:v>2019年支出</c:v>
                </c:pt>
              </c:strCache>
            </c:strRef>
          </c:cat>
          <c:val>
            <c:numRef>
              <c:f>Sheet1!$C$2:$C$5</c:f>
              <c:numCache>
                <c:formatCode>General</c:formatCode>
                <c:ptCount val="4"/>
                <c:pt idx="2">
                  <c:v>27073.34</c:v>
                </c:pt>
                <c:pt idx="3">
                  <c:v>24264.55</c:v>
                </c:pt>
              </c:numCache>
            </c:numRef>
          </c:val>
        </c:ser>
        <c:ser>
          <c:idx val="2"/>
          <c:order val="2"/>
          <c:tx>
            <c:strRef>
              <c:f>Sheet1!#REF!</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Sheet1!$A$2:$A$5</c:f>
              <c:strCache>
                <c:ptCount val="4"/>
                <c:pt idx="0">
                  <c:v>2018年收入</c:v>
                </c:pt>
                <c:pt idx="1">
                  <c:v>2019年收入</c:v>
                </c:pt>
                <c:pt idx="2">
                  <c:v>2018年支出</c:v>
                </c:pt>
                <c:pt idx="3">
                  <c:v>2019年支出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384566642"/>
        <c:axId val="588654095"/>
      </c:barChart>
      <c:catAx>
        <c:axId val="38456664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8654095"/>
        <c:crosses val="autoZero"/>
        <c:auto val="1"/>
        <c:lblAlgn val="ctr"/>
        <c:lblOffset val="100"/>
        <c:noMultiLvlLbl val="0"/>
      </c:catAx>
      <c:valAx>
        <c:axId val="5886540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456664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28686.34</c:v>
                </c:pt>
                <c:pt idx="1">
                  <c:v>21229.41</c:v>
                </c:pt>
              </c:numCache>
            </c:numRef>
          </c:val>
        </c:ser>
        <c:ser>
          <c:idx val="1"/>
          <c:order val="1"/>
          <c:tx>
            <c:strRef>
              <c:f>Sheet1!$C$1</c:f>
              <c:strCache>
                <c:ptCount val="1"/>
                <c:pt idx="0">
                  <c:v>系列 2</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收入预算数</c:v>
                </c:pt>
                <c:pt idx="1">
                  <c:v>收入决算数</c:v>
                </c:pt>
                <c:pt idx="2">
                  <c:v>支出预算数</c:v>
                </c:pt>
                <c:pt idx="3">
                  <c:v>支出决算数</c:v>
                </c:pt>
              </c:strCache>
            </c:strRef>
          </c:cat>
          <c:val>
            <c:numRef>
              <c:f>Sheet1!$C$2:$C$5</c:f>
              <c:numCache>
                <c:formatCode>General</c:formatCode>
                <c:ptCount val="4"/>
                <c:pt idx="2">
                  <c:v>28686.34</c:v>
                </c:pt>
                <c:pt idx="3">
                  <c:v>24264.55</c:v>
                </c:pt>
              </c:numCache>
            </c:numRef>
          </c:val>
        </c:ser>
        <c:dLbls>
          <c:showLegendKey val="0"/>
          <c:showVal val="1"/>
          <c:showCatName val="0"/>
          <c:showSerName val="0"/>
          <c:showPercent val="0"/>
          <c:showBubbleSize val="0"/>
        </c:dLbls>
        <c:gapWidth val="219"/>
        <c:overlap val="-27"/>
        <c:axId val="659996614"/>
        <c:axId val="660093589"/>
      </c:barChart>
      <c:catAx>
        <c:axId val="65999661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093589"/>
        <c:crosses val="autoZero"/>
        <c:auto val="1"/>
        <c:lblAlgn val="ctr"/>
        <c:lblOffset val="100"/>
        <c:noMultiLvlLbl val="0"/>
      </c:catAx>
      <c:valAx>
        <c:axId val="66009358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5999661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0381132075471698"/>
          <c:y val="0.162083333333333"/>
          <c:w val="0.944654088050314"/>
          <c:h val="0.701041666666667"/>
        </c:manualLayout>
      </c:layout>
      <c:pieChart>
        <c:varyColors val="1"/>
        <c:ser>
          <c:idx val="0"/>
          <c:order val="0"/>
          <c:tx>
            <c:strRef>
              <c:f>Sheet1!$B$1</c:f>
              <c:strCache>
                <c:ptCount val="1"/>
                <c:pt idx="0">
                  <c:v>财政拨款支出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Pt>
            <c:idx val="4"/>
            <c:bubble3D val="0"/>
            <c:spPr>
              <a:solidFill>
                <a:schemeClr val="accent5"/>
              </a:solidFill>
              <a:ln w="25400">
                <a:solidFill>
                  <a:schemeClr val="lt1"/>
                </a:solidFill>
              </a:ln>
              <a:effectLst/>
              <a:scene3d>
                <a:camera prst="orthographicFront"/>
                <a:lightRig rig="threePt" dir="t"/>
              </a:scene3d>
              <a:sp3d contourW="25400"/>
            </c:spPr>
          </c:dPt>
          <c:dLbls>
            <c:dLbl>
              <c:idx val="0"/>
              <c:delete val="1"/>
            </c:dLbl>
            <c:dLbl>
              <c:idx val="1"/>
              <c:delete val="1"/>
            </c:dLbl>
            <c:dLbl>
              <c:idx val="2"/>
              <c:delete val="1"/>
            </c:dLbl>
            <c:dLbl>
              <c:idx val="3"/>
              <c:layout/>
              <c:dLblPos val="bestFit"/>
              <c:showLegendKey val="0"/>
              <c:showVal val="1"/>
              <c:showCatName val="0"/>
              <c:showSerName val="0"/>
              <c:showPercent val="0"/>
              <c:showBubbleSize val="0"/>
              <c:extLst>
                <c:ext xmlns:c15="http://schemas.microsoft.com/office/drawing/2012/chart" uri="{CE6537A1-D6FC-4f65-9D91-7224C49458BB}"/>
              </c:extLst>
            </c:dLbl>
            <c:dLbl>
              <c:idx val="4"/>
              <c:delete val="1"/>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社会保障和就业类</c:v>
                </c:pt>
                <c:pt idx="1">
                  <c:v>卫生健康类</c:v>
                </c:pt>
                <c:pt idx="2">
                  <c:v>节能环保类</c:v>
                </c:pt>
                <c:pt idx="3">
                  <c:v>城乡社区类</c:v>
                </c:pt>
                <c:pt idx="4">
                  <c:v>住房保障类</c:v>
                </c:pt>
              </c:strCache>
            </c:strRef>
          </c:cat>
          <c:val>
            <c:numRef>
              <c:f>Sheet1!$B$2:$B$6</c:f>
              <c:numCache>
                <c:formatCode>0.00%</c:formatCode>
                <c:ptCount val="5"/>
                <c:pt idx="0">
                  <c:v>0.0018</c:v>
                </c:pt>
                <c:pt idx="1">
                  <c:v>0.0014</c:v>
                </c:pt>
                <c:pt idx="2">
                  <c:v>0.1745</c:v>
                </c:pt>
                <c:pt idx="3">
                  <c:v>0.8215</c:v>
                </c:pt>
                <c:pt idx="4">
                  <c:v>0.0007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TotalTime>
  <ScaleCrop>false</ScaleCrop>
  <LinksUpToDate>false</LinksUpToDate>
  <CharactersWithSpaces>11119</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2025-01-06T07:39:13Z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