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E5A3EE">
      <w:pPr>
        <w:pageBreakBefore w:val="0"/>
        <w:widowControl w:val="0"/>
        <w:kinsoku/>
        <w:wordWrap/>
        <w:overflowPunct/>
        <w:topLinePunct w:val="0"/>
        <w:autoSpaceDE/>
        <w:autoSpaceDN/>
        <w:bidi w:val="0"/>
        <w:spacing w:line="312" w:lineRule="auto"/>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石家庄市鹿泉区民政局</w:t>
      </w:r>
    </w:p>
    <w:p w14:paraId="0C564E11">
      <w:pPr>
        <w:pageBreakBefore w:val="0"/>
        <w:widowControl w:val="0"/>
        <w:kinsoku/>
        <w:wordWrap/>
        <w:overflowPunct/>
        <w:topLinePunct w:val="0"/>
        <w:autoSpaceDE/>
        <w:autoSpaceDN/>
        <w:bidi w:val="0"/>
        <w:spacing w:line="312" w:lineRule="auto"/>
        <w:ind w:left="0" w:leftChars="0" w:right="0"/>
        <w:jc w:val="center"/>
        <w:textAlignment w:val="auto"/>
        <w:outlineLvl w:val="9"/>
        <w:rPr>
          <w:rFonts w:ascii="华文楷体" w:eastAsia="华文楷体"/>
          <w:sz w:val="32"/>
          <w:szCs w:val="32"/>
        </w:rPr>
      </w:pPr>
      <w:r>
        <w:rPr>
          <w:rFonts w:hint="eastAsia" w:ascii="宋体" w:hAnsi="宋体" w:cs="宋体"/>
          <w:b/>
          <w:bCs/>
          <w:sz w:val="44"/>
          <w:szCs w:val="44"/>
          <w:lang w:val="en-US" w:eastAsia="zh-CN"/>
        </w:rPr>
        <w:t>2023年度整体支出绩效</w:t>
      </w:r>
      <w:r>
        <w:rPr>
          <w:rFonts w:hint="eastAsia" w:ascii="宋体" w:hAnsi="宋体" w:cs="宋体"/>
          <w:b/>
          <w:bCs/>
          <w:sz w:val="44"/>
          <w:szCs w:val="44"/>
        </w:rPr>
        <w:t>自评报告</w:t>
      </w:r>
    </w:p>
    <w:p w14:paraId="2478463C">
      <w:pPr>
        <w:pageBreakBefore w:val="0"/>
        <w:widowControl w:val="0"/>
        <w:kinsoku/>
        <w:wordWrap/>
        <w:overflowPunct/>
        <w:topLinePunct w:val="0"/>
        <w:autoSpaceDE/>
        <w:autoSpaceDN/>
        <w:bidi w:val="0"/>
        <w:adjustRightInd w:val="0"/>
        <w:snapToGrid w:val="0"/>
        <w:spacing w:line="312" w:lineRule="auto"/>
        <w:ind w:left="0" w:leftChars="0" w:right="0" w:firstLine="640" w:firstLineChars="200"/>
        <w:textAlignment w:val="auto"/>
        <w:outlineLvl w:val="9"/>
        <w:rPr>
          <w:rFonts w:hint="eastAsia" w:ascii="仿宋" w:hAnsi="仿宋" w:eastAsia="仿宋"/>
          <w:sz w:val="32"/>
          <w:szCs w:val="32"/>
        </w:rPr>
      </w:pPr>
    </w:p>
    <w:p w14:paraId="17C2701C">
      <w:pPr>
        <w:pageBreakBefore w:val="0"/>
        <w:widowControl w:val="0"/>
        <w:kinsoku/>
        <w:wordWrap/>
        <w:overflowPunct/>
        <w:topLinePunct w:val="0"/>
        <w:autoSpaceDE/>
        <w:autoSpaceDN/>
        <w:bidi w:val="0"/>
        <w:adjustRightInd w:val="0"/>
        <w:snapToGrid w:val="0"/>
        <w:spacing w:line="312" w:lineRule="auto"/>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val="en-US" w:eastAsia="zh-CN"/>
        </w:rPr>
        <w:t>石家庄市鹿泉区民政局</w:t>
      </w:r>
      <w:r>
        <w:rPr>
          <w:rFonts w:hint="eastAsia" w:ascii="仿宋" w:hAnsi="仿宋" w:eastAsia="仿宋"/>
          <w:sz w:val="32"/>
          <w:szCs w:val="32"/>
          <w:lang w:eastAsia="zh-CN"/>
        </w:rPr>
        <w:t>对</w:t>
      </w:r>
      <w:r>
        <w:rPr>
          <w:rFonts w:hint="eastAsia" w:ascii="仿宋" w:hAnsi="仿宋" w:eastAsia="仿宋"/>
          <w:sz w:val="32"/>
          <w:szCs w:val="32"/>
          <w:lang w:val="en-US" w:eastAsia="zh-CN"/>
        </w:rPr>
        <w:t>2023年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14:paraId="0EB23229">
      <w:pPr>
        <w:pageBreakBefore w:val="0"/>
        <w:widowControl w:val="0"/>
        <w:kinsoku/>
        <w:wordWrap/>
        <w:overflowPunct/>
        <w:topLinePunct w:val="0"/>
        <w:autoSpaceDE/>
        <w:autoSpaceDN/>
        <w:bidi w:val="0"/>
        <w:adjustRightInd w:val="0"/>
        <w:snapToGrid w:val="0"/>
        <w:spacing w:line="312" w:lineRule="auto"/>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14:paraId="163F942F">
      <w:pPr>
        <w:pageBreakBefore w:val="0"/>
        <w:widowControl w:val="0"/>
        <w:kinsoku/>
        <w:wordWrap/>
        <w:overflowPunct/>
        <w:topLinePunct w:val="0"/>
        <w:autoSpaceDE/>
        <w:autoSpaceDN/>
        <w:bidi w:val="0"/>
        <w:adjustRightInd w:val="0"/>
        <w:snapToGrid w:val="0"/>
        <w:spacing w:line="312" w:lineRule="auto"/>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14:paraId="4E2077B6">
      <w:pPr>
        <w:pStyle w:val="4"/>
        <w:pageBreakBefore w:val="0"/>
        <w:kinsoku/>
        <w:wordWrap/>
        <w:overflowPunct/>
        <w:topLinePunct w:val="0"/>
        <w:autoSpaceDE/>
        <w:autoSpaceDN/>
        <w:bidi w:val="0"/>
        <w:spacing w:before="0" w:after="0" w:line="312" w:lineRule="auto"/>
        <w:ind w:firstLine="640" w:firstLineChars="200"/>
        <w:jc w:val="left"/>
        <w:rPr>
          <w:rFonts w:ascii="黑体" w:eastAsia="黑体" w:cs="Times New Roman"/>
          <w:b w:val="0"/>
          <w:bCs w:val="0"/>
          <w:kern w:val="0"/>
          <w:sz w:val="32"/>
          <w:szCs w:val="32"/>
        </w:rPr>
      </w:pPr>
      <w:r>
        <w:rPr>
          <w:rFonts w:hint="eastAsia" w:ascii="黑体" w:eastAsia="黑体" w:cs="黑体"/>
          <w:b w:val="0"/>
          <w:bCs w:val="0"/>
          <w:kern w:val="0"/>
          <w:sz w:val="32"/>
          <w:szCs w:val="32"/>
        </w:rPr>
        <w:t>一、部门职责</w:t>
      </w:r>
    </w:p>
    <w:p w14:paraId="2823A77B">
      <w:pPr>
        <w:pageBreakBefore w:val="0"/>
        <w:widowControl/>
        <w:kinsoku/>
        <w:wordWrap/>
        <w:overflowPunct/>
        <w:topLinePunct w:val="0"/>
        <w:autoSpaceDE/>
        <w:autoSpaceDN/>
        <w:bidi w:val="0"/>
        <w:adjustRightInd/>
        <w:snapToGrid/>
        <w:spacing w:after="160"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（一）主要部门职能</w:t>
      </w:r>
    </w:p>
    <w:p w14:paraId="3F265842">
      <w:pPr>
        <w:pageBreakBefore w:val="0"/>
        <w:widowControl/>
        <w:kinsoku/>
        <w:wordWrap/>
        <w:overflowPunct/>
        <w:topLinePunct w:val="0"/>
        <w:autoSpaceDE/>
        <w:autoSpaceDN/>
        <w:bidi w:val="0"/>
        <w:adjustRightInd/>
        <w:snapToGrid/>
        <w:spacing w:after="160"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rPr>
        <w:t>1.贯彻执行民政工作的方针政策和法律法规；研究提出全区民政事业的发展规划和年度工作计划。负责全区民政信息宣传和政策理论研究工作，负责全区民政执法监督检查、行政复议工作。</w:t>
      </w:r>
    </w:p>
    <w:p w14:paraId="28C8A8FE">
      <w:pPr>
        <w:pageBreakBefore w:val="0"/>
        <w:widowControl/>
        <w:kinsoku/>
        <w:wordWrap/>
        <w:overflowPunct/>
        <w:topLinePunct w:val="0"/>
        <w:autoSpaceDE/>
        <w:autoSpaceDN/>
        <w:bidi w:val="0"/>
        <w:adjustRightInd/>
        <w:snapToGrid/>
        <w:spacing w:after="160"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rPr>
        <w:t>2.提出和改进加强全区城乡基层政权建设的意见和建议；推进全区村委会、居委会等群众自治组织的民主政治建设；指导村（居）民委员会开展民主选举、民主决策、民主管理和民主监督工作；推动村（居）民自治、村（居）务公开；拟订社区发展规划、社区服务管理办法和促进社区发展的政策措施；指导社区服务体系建设。</w:t>
      </w:r>
    </w:p>
    <w:p w14:paraId="65C4EAAE">
      <w:pPr>
        <w:pageBreakBefore w:val="0"/>
        <w:widowControl/>
        <w:kinsoku/>
        <w:wordWrap/>
        <w:overflowPunct/>
        <w:topLinePunct w:val="0"/>
        <w:autoSpaceDE/>
        <w:autoSpaceDN/>
        <w:bidi w:val="0"/>
        <w:adjustRightInd/>
        <w:snapToGrid/>
        <w:spacing w:after="160"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rPr>
        <w:t>3.承担城乡社会救助体系建设；负责城乡居民最低生活保障、五保供养、临时救助和生活无着人员救助工作，以及其它特殊救济对象的救济、60年代精减退职职工40%的救济；负责指导全区敬老院的建设和管理工作。</w:t>
      </w:r>
    </w:p>
    <w:p w14:paraId="486534E1">
      <w:pPr>
        <w:pageBreakBefore w:val="0"/>
        <w:widowControl/>
        <w:kinsoku/>
        <w:wordWrap/>
        <w:overflowPunct/>
        <w:topLinePunct w:val="0"/>
        <w:autoSpaceDE/>
        <w:autoSpaceDN/>
        <w:bidi w:val="0"/>
        <w:adjustRightInd/>
        <w:snapToGrid/>
        <w:spacing w:after="160"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rPr>
        <w:t>4.负责全区乡（镇）、村的区域划分，地名和行政区域界线管理工作；负责审核乡（镇）的设立、撤销、乡改镇、驻地迁移等工作的调查、论证、审核、报批；负责全区地名管理工作，组织实施地名公共服务工程，承办全区乡镇、村地名命名、更名的申报和审核工作，收集、整理、更新地名资料；协助有关部门做好全区边界线的勘察和边界纠纷的调查处理工作。</w:t>
      </w:r>
    </w:p>
    <w:p w14:paraId="02A1F31E">
      <w:pPr>
        <w:pageBreakBefore w:val="0"/>
        <w:widowControl/>
        <w:kinsoku/>
        <w:wordWrap/>
        <w:overflowPunct/>
        <w:topLinePunct w:val="0"/>
        <w:autoSpaceDE/>
        <w:autoSpaceDN/>
        <w:bidi w:val="0"/>
        <w:adjustRightInd/>
        <w:snapToGrid/>
        <w:spacing w:after="160"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rPr>
        <w:t>5.拟订社会福利事业发展规划，做好各类福利机构的管理和服务工作；拟订加快养老服务社会化政策和老年福利设施建设规划；负责全区福利彩票销售管理工作。</w:t>
      </w:r>
    </w:p>
    <w:p w14:paraId="282DA696">
      <w:pPr>
        <w:pageBreakBefore w:val="0"/>
        <w:widowControl/>
        <w:kinsoku/>
        <w:wordWrap/>
        <w:overflowPunct/>
        <w:topLinePunct w:val="0"/>
        <w:autoSpaceDE/>
        <w:autoSpaceDN/>
        <w:bidi w:val="0"/>
        <w:adjustRightInd/>
        <w:snapToGrid/>
        <w:spacing w:after="160"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.承担全区民办非企业及社团登记管理和监察责任；指导和监督全区社会团体和民办非企业单位的登记管理工作。</w:t>
      </w:r>
    </w:p>
    <w:p w14:paraId="3985D851">
      <w:pPr>
        <w:pageBreakBefore w:val="0"/>
        <w:widowControl/>
        <w:kinsoku/>
        <w:wordWrap/>
        <w:overflowPunct/>
        <w:topLinePunct w:val="0"/>
        <w:autoSpaceDE/>
        <w:autoSpaceDN/>
        <w:bidi w:val="0"/>
        <w:adjustRightInd/>
        <w:snapToGrid/>
        <w:spacing w:after="160"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.拟订全区慈善事业发展规划和政策，组织指导社会捐助工作；负责全区老年人、孤儿等特殊群体的权益保护行政管理工作。</w:t>
      </w:r>
    </w:p>
    <w:p w14:paraId="0457B38E">
      <w:pPr>
        <w:pageBreakBefore w:val="0"/>
        <w:widowControl/>
        <w:kinsoku/>
        <w:wordWrap/>
        <w:overflowPunct/>
        <w:topLinePunct w:val="0"/>
        <w:autoSpaceDE/>
        <w:autoSpaceDN/>
        <w:bidi w:val="0"/>
        <w:adjustRightInd/>
        <w:snapToGrid/>
        <w:spacing w:after="160"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.主管婚姻登记、殡葬管理和儿童收养工作；推行婚俗和殡葬改革工作，负责殡葬事业单位的管理建设工作。</w:t>
      </w:r>
    </w:p>
    <w:p w14:paraId="013B03C9">
      <w:pPr>
        <w:pageBreakBefore w:val="0"/>
        <w:widowControl/>
        <w:kinsoku/>
        <w:wordWrap/>
        <w:overflowPunct/>
        <w:topLinePunct w:val="0"/>
        <w:autoSpaceDE/>
        <w:autoSpaceDN/>
        <w:bidi w:val="0"/>
        <w:adjustRightInd/>
        <w:snapToGrid/>
        <w:spacing w:after="160"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rPr>
        <w:t>.拟订加快养服务社会化政策和老年福利设施建设规划；协调老人维权工作；组织敬老爱老活动。</w:t>
      </w:r>
    </w:p>
    <w:p w14:paraId="448E1F1F">
      <w:pPr>
        <w:pageBreakBefore w:val="0"/>
        <w:widowControl/>
        <w:kinsoku/>
        <w:wordWrap/>
        <w:overflowPunct/>
        <w:topLinePunct w:val="0"/>
        <w:autoSpaceDE/>
        <w:autoSpaceDN/>
        <w:bidi w:val="0"/>
        <w:adjustRightInd/>
        <w:snapToGrid/>
        <w:spacing w:after="160"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rPr>
        <w:t>.拟订全区民政事业发展规划和民政事业资金管理办法；负责民政专项资金的管理监督；负责直属单位的内部审计工作；负责民政统计工作。</w:t>
      </w:r>
    </w:p>
    <w:p w14:paraId="4106B38B">
      <w:pPr>
        <w:pageBreakBefore w:val="0"/>
        <w:widowControl/>
        <w:kinsoku/>
        <w:wordWrap/>
        <w:overflowPunct/>
        <w:topLinePunct w:val="0"/>
        <w:autoSpaceDE/>
        <w:autoSpaceDN/>
        <w:bidi w:val="0"/>
        <w:adjustRightInd/>
        <w:snapToGrid/>
        <w:spacing w:after="160"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11</w:t>
      </w:r>
      <w:r>
        <w:rPr>
          <w:rFonts w:hint="eastAsia" w:ascii="仿宋" w:hAnsi="仿宋" w:eastAsia="仿宋" w:cs="仿宋"/>
          <w:sz w:val="32"/>
          <w:szCs w:val="32"/>
        </w:rPr>
        <w:t>.研究制定社会工作人才队伍建设规划，会同有关部门推进社会工作人才队伍建设。</w:t>
      </w:r>
    </w:p>
    <w:p w14:paraId="1CF859A7">
      <w:pPr>
        <w:pageBreakBefore w:val="0"/>
        <w:widowControl/>
        <w:kinsoku/>
        <w:wordWrap/>
        <w:overflowPunct/>
        <w:topLinePunct w:val="0"/>
        <w:autoSpaceDE/>
        <w:autoSpaceDN/>
        <w:bidi w:val="0"/>
        <w:adjustRightInd/>
        <w:snapToGrid/>
        <w:spacing w:after="160" w:line="312" w:lineRule="auto"/>
        <w:ind w:firstLine="640" w:firstLineChars="200"/>
        <w:rPr>
          <w:rFonts w:ascii="黑体" w:hAnsi="黑体" w:eastAsia="黑体" w:cs="Times New Roman"/>
          <w:sz w:val="32"/>
          <w:szCs w:val="32"/>
        </w:rPr>
      </w:pPr>
      <w:r>
        <w:rPr>
          <w:rFonts w:hint="eastAsia" w:ascii="黑体" w:hAnsi="黑体" w:eastAsia="黑体" w:cs="Times New Roman"/>
          <w:sz w:val="32"/>
          <w:szCs w:val="32"/>
        </w:rPr>
        <w:t>(二)机构情况，包括当年变动情况及原因。</w:t>
      </w:r>
    </w:p>
    <w:p w14:paraId="4448F18E">
      <w:pPr>
        <w:pStyle w:val="4"/>
        <w:pageBreakBefore w:val="0"/>
        <w:kinsoku/>
        <w:wordWrap/>
        <w:overflowPunct/>
        <w:topLinePunct w:val="0"/>
        <w:autoSpaceDE/>
        <w:autoSpaceDN/>
        <w:bidi w:val="0"/>
        <w:adjustRightInd/>
        <w:snapToGrid/>
        <w:spacing w:line="312" w:lineRule="auto"/>
        <w:ind w:firstLine="640" w:firstLineChars="200"/>
        <w:jc w:val="left"/>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石家庄市鹿泉区民政局为财政全额拨款一级预算单位，下属</w:t>
      </w:r>
      <w:r>
        <w:rPr>
          <w:rFonts w:ascii="Calibri" w:hAnsi="Calibri" w:eastAsia="仿宋" w:cs="Calibri"/>
          <w:b w:val="0"/>
          <w:bCs w:val="0"/>
          <w:kern w:val="2"/>
          <w:sz w:val="32"/>
          <w:szCs w:val="32"/>
        </w:rPr>
        <w:t> </w:t>
      </w:r>
      <w:r>
        <w:rPr>
          <w:rFonts w:hint="eastAsia" w:ascii="仿宋" w:hAnsi="仿宋" w:eastAsia="仿宋" w:cs="Times New Roman"/>
          <w:b w:val="0"/>
          <w:bCs w:val="0"/>
          <w:kern w:val="2"/>
          <w:sz w:val="32"/>
          <w:szCs w:val="32"/>
          <w:lang w:val="en-US" w:eastAsia="zh-CN"/>
        </w:rPr>
        <w:t>5</w:t>
      </w:r>
      <w:r>
        <w:rPr>
          <w:rFonts w:hint="eastAsia" w:ascii="仿宋" w:hAnsi="仿宋" w:eastAsia="仿宋" w:cs="Times New Roman"/>
          <w:b w:val="0"/>
          <w:bCs w:val="0"/>
          <w:kern w:val="2"/>
          <w:sz w:val="32"/>
          <w:szCs w:val="32"/>
        </w:rPr>
        <w:t>个二级预算单位，分别为：</w:t>
      </w:r>
      <w:r>
        <w:rPr>
          <w:rFonts w:hint="eastAsia" w:ascii="仿宋" w:hAnsi="仿宋" w:eastAsia="仿宋" w:cs="Times New Roman"/>
          <w:b w:val="0"/>
          <w:bCs w:val="0"/>
          <w:kern w:val="2"/>
          <w:sz w:val="32"/>
          <w:szCs w:val="32"/>
          <w:lang w:val="en-US" w:eastAsia="zh-CN"/>
        </w:rPr>
        <w:t>鹿泉区</w:t>
      </w:r>
      <w:r>
        <w:rPr>
          <w:rFonts w:hint="eastAsia" w:ascii="仿宋" w:hAnsi="仿宋" w:eastAsia="仿宋" w:cs="Times New Roman"/>
          <w:b w:val="0"/>
          <w:bCs w:val="0"/>
          <w:kern w:val="2"/>
          <w:sz w:val="32"/>
          <w:szCs w:val="32"/>
        </w:rPr>
        <w:t>殡仪馆、</w:t>
      </w:r>
      <w:r>
        <w:rPr>
          <w:rFonts w:hint="eastAsia" w:ascii="仿宋" w:hAnsi="仿宋" w:eastAsia="仿宋" w:cs="Times New Roman"/>
          <w:b w:val="0"/>
          <w:bCs w:val="0"/>
          <w:kern w:val="2"/>
          <w:sz w:val="32"/>
          <w:szCs w:val="32"/>
          <w:lang w:val="en-US" w:eastAsia="zh-CN"/>
        </w:rPr>
        <w:t>鹿泉区</w:t>
      </w:r>
      <w:r>
        <w:rPr>
          <w:rFonts w:hint="eastAsia" w:ascii="仿宋" w:hAnsi="仿宋" w:eastAsia="仿宋" w:cs="Times New Roman"/>
          <w:b w:val="0"/>
          <w:bCs w:val="0"/>
          <w:kern w:val="2"/>
          <w:sz w:val="32"/>
          <w:szCs w:val="32"/>
        </w:rPr>
        <w:t>民政事业中心服务中心</w:t>
      </w:r>
      <w:r>
        <w:rPr>
          <w:rFonts w:hint="eastAsia" w:ascii="仿宋" w:hAnsi="仿宋" w:eastAsia="仿宋" w:cs="Times New Roman"/>
          <w:b w:val="0"/>
          <w:bCs w:val="0"/>
          <w:kern w:val="2"/>
          <w:sz w:val="32"/>
          <w:szCs w:val="32"/>
          <w:lang w:eastAsia="zh-CN"/>
        </w:rPr>
        <w:t>、鹿泉区儿童福利院、鹿泉区福利彩票销售管理中心、鹿泉区救助站</w:t>
      </w:r>
      <w:r>
        <w:rPr>
          <w:rFonts w:hint="eastAsia" w:ascii="仿宋" w:hAnsi="仿宋" w:eastAsia="仿宋" w:cs="Times New Roman"/>
          <w:sz w:val="32"/>
          <w:szCs w:val="32"/>
        </w:rPr>
        <w:t>。</w:t>
      </w:r>
    </w:p>
    <w:p w14:paraId="3D12CE4B">
      <w:pPr>
        <w:pageBreakBefore w:val="0"/>
        <w:widowControl/>
        <w:kinsoku/>
        <w:wordWrap/>
        <w:overflowPunct/>
        <w:topLinePunct w:val="0"/>
        <w:autoSpaceDE/>
        <w:autoSpaceDN/>
        <w:bidi w:val="0"/>
        <w:adjustRightInd/>
        <w:snapToGrid/>
        <w:spacing w:after="160" w:line="312" w:lineRule="auto"/>
        <w:ind w:firstLine="640" w:firstLineChars="200"/>
        <w:rPr>
          <w:rFonts w:ascii="黑体" w:hAnsi="黑体" w:eastAsia="黑体" w:cs="Times New Roman"/>
          <w:sz w:val="32"/>
          <w:szCs w:val="32"/>
        </w:rPr>
      </w:pPr>
      <w:r>
        <w:rPr>
          <w:rFonts w:hint="eastAsia" w:ascii="黑体" w:hAnsi="黑体" w:eastAsia="黑体" w:cs="Times New Roman"/>
          <w:sz w:val="32"/>
          <w:szCs w:val="32"/>
        </w:rPr>
        <w:t>（三）人员情况，包括当年变动情况及原因。</w:t>
      </w:r>
    </w:p>
    <w:p w14:paraId="77D74FC5">
      <w:pPr>
        <w:pageBreakBefore w:val="0"/>
        <w:widowControl/>
        <w:kinsoku/>
        <w:wordWrap/>
        <w:overflowPunct/>
        <w:topLinePunct w:val="0"/>
        <w:autoSpaceDE/>
        <w:autoSpaceDN/>
        <w:bidi w:val="0"/>
        <w:adjustRightInd/>
        <w:snapToGrid/>
        <w:spacing w:after="160" w:line="312" w:lineRule="auto"/>
        <w:ind w:firstLine="640" w:firstLineChars="200"/>
        <w:rPr>
          <w:rFonts w:hint="eastAsia" w:ascii="仿宋" w:hAnsi="仿宋" w:eastAsia="仿宋"/>
          <w:sz w:val="32"/>
          <w:szCs w:val="32"/>
          <w:lang w:eastAsia="zh-CN"/>
        </w:rPr>
      </w:pPr>
      <w:r>
        <w:rPr>
          <w:rFonts w:hint="eastAsia" w:ascii="仿宋" w:hAnsi="仿宋" w:eastAsia="仿宋" w:cs="Times New Roman"/>
          <w:sz w:val="32"/>
          <w:szCs w:val="32"/>
          <w:highlight w:val="none"/>
        </w:rPr>
        <w:t>行政编制</w:t>
      </w:r>
      <w:r>
        <w:rPr>
          <w:rFonts w:hint="eastAsia" w:ascii="仿宋" w:hAnsi="仿宋" w:eastAsia="仿宋" w:cs="Times New Roman"/>
          <w:sz w:val="32"/>
          <w:szCs w:val="32"/>
          <w:highlight w:val="none"/>
          <w:lang w:val="en-US" w:eastAsia="zh-CN"/>
        </w:rPr>
        <w:t>11</w:t>
      </w:r>
      <w:r>
        <w:rPr>
          <w:rFonts w:hint="eastAsia" w:ascii="仿宋" w:hAnsi="仿宋" w:eastAsia="仿宋" w:cs="Times New Roman"/>
          <w:sz w:val="32"/>
          <w:szCs w:val="32"/>
          <w:highlight w:val="none"/>
        </w:rPr>
        <w:t>人、行政在职</w:t>
      </w:r>
      <w:r>
        <w:rPr>
          <w:rFonts w:hint="eastAsia" w:ascii="仿宋" w:hAnsi="仿宋" w:eastAsia="仿宋" w:cs="Times New Roman"/>
          <w:sz w:val="32"/>
          <w:szCs w:val="32"/>
          <w:highlight w:val="none"/>
          <w:lang w:val="en-US" w:eastAsia="zh-CN"/>
        </w:rPr>
        <w:t>9</w:t>
      </w:r>
      <w:r>
        <w:rPr>
          <w:rFonts w:hint="eastAsia" w:ascii="仿宋" w:hAnsi="仿宋" w:eastAsia="仿宋" w:cs="Times New Roman"/>
          <w:sz w:val="32"/>
          <w:szCs w:val="32"/>
          <w:highlight w:val="none"/>
        </w:rPr>
        <w:t>人、事业编制</w:t>
      </w:r>
      <w:r>
        <w:rPr>
          <w:rFonts w:hint="eastAsia" w:ascii="仿宋" w:hAnsi="仿宋" w:eastAsia="仿宋" w:cs="Times New Roman"/>
          <w:sz w:val="32"/>
          <w:szCs w:val="32"/>
          <w:highlight w:val="none"/>
          <w:lang w:val="en-US" w:eastAsia="zh-CN"/>
        </w:rPr>
        <w:t>35</w:t>
      </w:r>
      <w:r>
        <w:rPr>
          <w:rFonts w:hint="eastAsia" w:ascii="仿宋" w:hAnsi="仿宋" w:eastAsia="仿宋" w:cs="Times New Roman"/>
          <w:sz w:val="32"/>
          <w:szCs w:val="32"/>
          <w:highlight w:val="none"/>
        </w:rPr>
        <w:t>人、事业在职</w:t>
      </w:r>
      <w:r>
        <w:rPr>
          <w:rFonts w:hint="eastAsia" w:ascii="仿宋" w:hAnsi="仿宋" w:eastAsia="仿宋" w:cs="Times New Roman"/>
          <w:sz w:val="32"/>
          <w:szCs w:val="32"/>
          <w:highlight w:val="none"/>
          <w:lang w:val="en-US" w:eastAsia="zh-CN"/>
        </w:rPr>
        <w:t>32</w:t>
      </w:r>
      <w:r>
        <w:rPr>
          <w:rFonts w:hint="eastAsia" w:ascii="仿宋" w:hAnsi="仿宋" w:eastAsia="仿宋" w:cs="Times New Roman"/>
          <w:sz w:val="32"/>
          <w:szCs w:val="32"/>
          <w:highlight w:val="none"/>
        </w:rPr>
        <w:t>人。</w:t>
      </w:r>
    </w:p>
    <w:p w14:paraId="3511B5A4">
      <w:pPr>
        <w:pageBreakBefore w:val="0"/>
        <w:widowControl w:val="0"/>
        <w:kinsoku/>
        <w:wordWrap/>
        <w:overflowPunct/>
        <w:topLinePunct w:val="0"/>
        <w:autoSpaceDE/>
        <w:autoSpaceDN/>
        <w:bidi w:val="0"/>
        <w:adjustRightInd w:val="0"/>
        <w:snapToGrid w:val="0"/>
        <w:spacing w:line="312" w:lineRule="auto"/>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rPr>
        <w:t>（二）</w:t>
      </w:r>
      <w:r>
        <w:rPr>
          <w:rFonts w:hint="eastAsia" w:ascii="仿宋" w:hAnsi="仿宋" w:eastAsia="仿宋" w:cs="楷体_GB2312"/>
          <w:b/>
          <w:bCs/>
          <w:sz w:val="32"/>
          <w:szCs w:val="32"/>
          <w:lang w:eastAsia="zh-CN"/>
        </w:rPr>
        <w:t>部门收支预决算情况</w:t>
      </w:r>
    </w:p>
    <w:p w14:paraId="2DE53670">
      <w:pPr>
        <w:pageBreakBefore w:val="0"/>
        <w:kinsoku/>
        <w:wordWrap/>
        <w:overflowPunct/>
        <w:topLinePunct w:val="0"/>
        <w:autoSpaceDE/>
        <w:autoSpaceDN/>
        <w:bidi w:val="0"/>
        <w:adjustRightInd w:val="0"/>
        <w:snapToGrid w:val="0"/>
        <w:spacing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rPr>
        <w:t>本部门202</w:t>
      </w:r>
      <w:r>
        <w:rPr>
          <w:rFonts w:hint="eastAsia" w:ascii="仿宋" w:hAnsi="仿宋" w:eastAsia="仿宋" w:cs="仿宋"/>
          <w:sz w:val="32"/>
          <w:szCs w:val="32"/>
          <w:lang w:val="en-US" w:eastAsia="zh-CN"/>
        </w:rPr>
        <w:t>3</w:t>
      </w:r>
      <w:r>
        <w:rPr>
          <w:rFonts w:hint="eastAsia" w:ascii="仿宋" w:hAnsi="仿宋" w:eastAsia="仿宋" w:cs="仿宋"/>
          <w:sz w:val="32"/>
          <w:szCs w:val="32"/>
        </w:rPr>
        <w:t>年度财政拨款本年收入</w:t>
      </w:r>
      <w:r>
        <w:rPr>
          <w:rFonts w:hint="eastAsia" w:ascii="仿宋" w:hAnsi="仿宋" w:eastAsia="仿宋" w:cs="仿宋"/>
          <w:color w:val="000000" w:themeColor="text1"/>
          <w:sz w:val="32"/>
          <w:szCs w:val="32"/>
          <w:lang w:val="en-US" w:eastAsia="zh-CN"/>
          <w14:textFill>
            <w14:solidFill>
              <w14:schemeClr w14:val="tx1"/>
            </w14:solidFill>
          </w14:textFill>
        </w:rPr>
        <w:t>6522.36</w:t>
      </w:r>
      <w:r>
        <w:rPr>
          <w:rFonts w:hint="eastAsia" w:ascii="仿宋" w:hAnsi="仿宋" w:eastAsia="仿宋" w:cs="仿宋"/>
          <w:sz w:val="32"/>
          <w:szCs w:val="32"/>
        </w:rPr>
        <w:t>万元，完成年初预算的</w:t>
      </w:r>
      <w:r>
        <w:rPr>
          <w:rFonts w:hint="eastAsia" w:ascii="仿宋" w:hAnsi="仿宋" w:eastAsia="仿宋" w:cs="仿宋"/>
          <w:color w:val="000000" w:themeColor="text1"/>
          <w:sz w:val="32"/>
          <w:szCs w:val="32"/>
          <w:lang w:val="en-US" w:eastAsia="zh-CN"/>
          <w14:textFill>
            <w14:solidFill>
              <w14:schemeClr w14:val="tx1"/>
            </w14:solidFill>
          </w14:textFill>
        </w:rPr>
        <w:t>109.73</w:t>
      </w: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sz w:val="32"/>
          <w:szCs w:val="32"/>
        </w:rPr>
        <w:t>,比年初预算增加</w:t>
      </w:r>
      <w:r>
        <w:rPr>
          <w:rFonts w:hint="eastAsia" w:ascii="仿宋" w:hAnsi="仿宋" w:eastAsia="仿宋" w:cs="仿宋"/>
          <w:color w:val="000000" w:themeColor="text1"/>
          <w:sz w:val="32"/>
          <w:szCs w:val="32"/>
          <w:lang w:val="en-US" w:eastAsia="zh-CN"/>
          <w14:textFill>
            <w14:solidFill>
              <w14:schemeClr w14:val="tx1"/>
            </w14:solidFill>
          </w14:textFill>
        </w:rPr>
        <w:t>578.38</w:t>
      </w:r>
      <w:r>
        <w:rPr>
          <w:rFonts w:hint="eastAsia" w:ascii="仿宋" w:hAnsi="仿宋" w:eastAsia="仿宋" w:cs="仿宋"/>
          <w:sz w:val="32"/>
          <w:szCs w:val="32"/>
        </w:rPr>
        <w:t>万元，决算数大于预算数主要原因是</w:t>
      </w:r>
      <w:r>
        <w:rPr>
          <w:rFonts w:hint="eastAsia" w:ascii="仿宋" w:hAnsi="仿宋" w:eastAsia="仿宋" w:cs="仿宋"/>
          <w:sz w:val="32"/>
          <w:szCs w:val="32"/>
          <w:lang w:val="en-US" w:eastAsia="zh-CN"/>
        </w:rPr>
        <w:t>上级拨付专项资金的增加</w:t>
      </w:r>
      <w:r>
        <w:rPr>
          <w:rFonts w:hint="eastAsia" w:ascii="仿宋" w:hAnsi="仿宋" w:eastAsia="仿宋" w:cs="仿宋"/>
          <w:sz w:val="32"/>
          <w:szCs w:val="32"/>
        </w:rPr>
        <w:t>；本年支出</w:t>
      </w:r>
      <w:r>
        <w:rPr>
          <w:rFonts w:hint="eastAsia" w:ascii="仿宋" w:hAnsi="仿宋" w:eastAsia="仿宋" w:cs="仿宋"/>
          <w:color w:val="000000" w:themeColor="text1"/>
          <w:sz w:val="32"/>
          <w:szCs w:val="32"/>
          <w:lang w:val="en-US" w:eastAsia="zh-CN"/>
          <w14:textFill>
            <w14:solidFill>
              <w14:schemeClr w14:val="tx1"/>
            </w14:solidFill>
          </w14:textFill>
        </w:rPr>
        <w:t>6522.36</w:t>
      </w:r>
      <w:r>
        <w:rPr>
          <w:rFonts w:hint="eastAsia" w:ascii="仿宋" w:hAnsi="仿宋" w:eastAsia="仿宋" w:cs="仿宋"/>
          <w:sz w:val="32"/>
          <w:szCs w:val="32"/>
        </w:rPr>
        <w:t>万元，完成年初预算的</w:t>
      </w:r>
      <w:r>
        <w:rPr>
          <w:rFonts w:hint="eastAsia" w:ascii="仿宋" w:hAnsi="仿宋" w:eastAsia="仿宋" w:cs="仿宋"/>
          <w:color w:val="000000" w:themeColor="text1"/>
          <w:sz w:val="32"/>
          <w:szCs w:val="32"/>
          <w:lang w:val="en-US" w:eastAsia="zh-CN"/>
          <w14:textFill>
            <w14:solidFill>
              <w14:schemeClr w14:val="tx1"/>
            </w14:solidFill>
          </w14:textFill>
        </w:rPr>
        <w:t>109.73</w:t>
      </w:r>
      <w:r>
        <w:rPr>
          <w:rFonts w:hint="eastAsia" w:ascii="仿宋" w:hAnsi="仿宋" w:eastAsia="仿宋" w:cs="仿宋"/>
          <w:sz w:val="32"/>
          <w:szCs w:val="32"/>
        </w:rPr>
        <w:t>%,比年初预算增加</w:t>
      </w:r>
      <w:r>
        <w:rPr>
          <w:rFonts w:hint="eastAsia" w:ascii="仿宋" w:hAnsi="仿宋" w:eastAsia="仿宋" w:cs="仿宋"/>
          <w:color w:val="000000" w:themeColor="text1"/>
          <w:sz w:val="32"/>
          <w:szCs w:val="32"/>
          <w:lang w:val="en-US" w:eastAsia="zh-CN"/>
          <w14:textFill>
            <w14:solidFill>
              <w14:schemeClr w14:val="tx1"/>
            </w14:solidFill>
          </w14:textFill>
        </w:rPr>
        <w:t>578.38</w:t>
      </w:r>
      <w:r>
        <w:rPr>
          <w:rFonts w:hint="eastAsia" w:ascii="仿宋" w:hAnsi="仿宋" w:eastAsia="仿宋" w:cs="仿宋"/>
          <w:sz w:val="32"/>
          <w:szCs w:val="32"/>
        </w:rPr>
        <w:t>万元，决算数大于预算数主要原因是</w:t>
      </w:r>
      <w:r>
        <w:rPr>
          <w:rFonts w:hint="eastAsia" w:ascii="仿宋" w:hAnsi="仿宋" w:eastAsia="仿宋" w:cs="仿宋"/>
          <w:sz w:val="32"/>
          <w:szCs w:val="32"/>
          <w:highlight w:val="none"/>
          <w:lang w:val="en-US" w:eastAsia="zh-CN"/>
        </w:rPr>
        <w:t>加大了对民生保障类项目的支出</w:t>
      </w:r>
      <w:r>
        <w:rPr>
          <w:rFonts w:hint="eastAsia" w:ascii="仿宋" w:hAnsi="仿宋" w:eastAsia="仿宋" w:cs="仿宋"/>
          <w:sz w:val="32"/>
          <w:szCs w:val="32"/>
        </w:rPr>
        <w:t>。具体情况如下：</w:t>
      </w:r>
    </w:p>
    <w:p w14:paraId="17FBF1D2">
      <w:pPr>
        <w:pageBreakBefore w:val="0"/>
        <w:kinsoku/>
        <w:wordWrap/>
        <w:overflowPunct/>
        <w:topLinePunct w:val="0"/>
        <w:autoSpaceDE/>
        <w:autoSpaceDN/>
        <w:bidi w:val="0"/>
        <w:adjustRightInd w:val="0"/>
        <w:snapToGrid w:val="0"/>
        <w:spacing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rPr>
        <w:t>1.一般公共预算财政拨款本年收入完成年初预算</w:t>
      </w:r>
      <w:r>
        <w:rPr>
          <w:rFonts w:hint="eastAsia" w:ascii="仿宋" w:hAnsi="仿宋" w:eastAsia="仿宋" w:cs="仿宋"/>
          <w:color w:val="000000" w:themeColor="text1"/>
          <w:sz w:val="32"/>
          <w:szCs w:val="32"/>
          <w:lang w:val="en-US" w:eastAsia="zh-CN"/>
          <w14:textFill>
            <w14:solidFill>
              <w14:schemeClr w14:val="tx1"/>
            </w14:solidFill>
          </w14:textFill>
        </w:rPr>
        <w:t>103.07</w:t>
      </w: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sz w:val="32"/>
          <w:szCs w:val="32"/>
        </w:rPr>
        <w:t>，比年初预算</w:t>
      </w:r>
      <w:r>
        <w:rPr>
          <w:rFonts w:hint="eastAsia" w:ascii="仿宋" w:hAnsi="仿宋" w:eastAsia="仿宋" w:cs="仿宋"/>
          <w:sz w:val="32"/>
          <w:szCs w:val="32"/>
          <w:lang w:val="en-US" w:eastAsia="zh-CN"/>
        </w:rPr>
        <w:t>增加</w:t>
      </w:r>
      <w:r>
        <w:rPr>
          <w:rFonts w:hint="eastAsia" w:ascii="仿宋" w:hAnsi="仿宋" w:eastAsia="仿宋" w:cs="仿宋"/>
          <w:color w:val="000000" w:themeColor="text1"/>
          <w:sz w:val="32"/>
          <w:szCs w:val="32"/>
          <w:lang w:val="en-US" w:eastAsia="zh-CN"/>
          <w14:textFill>
            <w14:solidFill>
              <w14:schemeClr w14:val="tx1"/>
            </w14:solidFill>
          </w14:textFill>
        </w:rPr>
        <w:t>162.04</w:t>
      </w:r>
      <w:r>
        <w:rPr>
          <w:rFonts w:hint="eastAsia" w:ascii="仿宋" w:hAnsi="仿宋" w:eastAsia="仿宋" w:cs="仿宋"/>
          <w:sz w:val="32"/>
          <w:szCs w:val="32"/>
        </w:rPr>
        <w:t>万元，主要是</w:t>
      </w:r>
      <w:r>
        <w:rPr>
          <w:rFonts w:hint="eastAsia" w:ascii="仿宋" w:hAnsi="仿宋" w:eastAsia="仿宋" w:cs="仿宋"/>
          <w:sz w:val="32"/>
          <w:szCs w:val="32"/>
          <w:lang w:eastAsia="zh-CN"/>
        </w:rPr>
        <w:t>项目投资资金</w:t>
      </w:r>
      <w:r>
        <w:rPr>
          <w:rFonts w:hint="eastAsia" w:ascii="仿宋" w:hAnsi="仿宋" w:eastAsia="仿宋" w:cs="仿宋"/>
          <w:sz w:val="32"/>
          <w:szCs w:val="32"/>
          <w:lang w:val="en-US" w:eastAsia="zh-CN"/>
        </w:rPr>
        <w:t>增加</w:t>
      </w:r>
      <w:r>
        <w:rPr>
          <w:rFonts w:hint="eastAsia" w:ascii="仿宋" w:hAnsi="仿宋" w:eastAsia="仿宋" w:cs="仿宋"/>
          <w:sz w:val="32"/>
          <w:szCs w:val="32"/>
        </w:rPr>
        <w:t>；支出完成年初预算</w:t>
      </w:r>
      <w:r>
        <w:rPr>
          <w:rFonts w:hint="eastAsia" w:ascii="仿宋" w:hAnsi="仿宋" w:eastAsia="仿宋" w:cs="仿宋"/>
          <w:color w:val="000000" w:themeColor="text1"/>
          <w:sz w:val="32"/>
          <w:szCs w:val="32"/>
          <w:lang w:val="en-US" w:eastAsia="zh-CN"/>
          <w14:textFill>
            <w14:solidFill>
              <w14:schemeClr w14:val="tx1"/>
            </w14:solidFill>
          </w14:textFill>
        </w:rPr>
        <w:t>103.07</w:t>
      </w: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sz w:val="32"/>
          <w:szCs w:val="32"/>
        </w:rPr>
        <w:t>，比年初预算</w:t>
      </w:r>
      <w:r>
        <w:rPr>
          <w:rFonts w:hint="eastAsia" w:ascii="仿宋" w:hAnsi="仿宋" w:eastAsia="仿宋" w:cs="仿宋"/>
          <w:sz w:val="32"/>
          <w:szCs w:val="32"/>
          <w:lang w:val="en-US" w:eastAsia="zh-CN"/>
        </w:rPr>
        <w:t>增加</w:t>
      </w:r>
      <w:r>
        <w:rPr>
          <w:rFonts w:hint="eastAsia" w:ascii="仿宋" w:hAnsi="仿宋" w:eastAsia="仿宋" w:cs="仿宋"/>
          <w:color w:val="000000" w:themeColor="text1"/>
          <w:sz w:val="32"/>
          <w:szCs w:val="32"/>
          <w:lang w:val="en-US" w:eastAsia="zh-CN"/>
          <w14:textFill>
            <w14:solidFill>
              <w14:schemeClr w14:val="tx1"/>
            </w14:solidFill>
          </w14:textFill>
        </w:rPr>
        <w:t>162.04</w:t>
      </w:r>
      <w:r>
        <w:rPr>
          <w:rFonts w:hint="eastAsia" w:ascii="仿宋" w:hAnsi="仿宋" w:eastAsia="仿宋" w:cs="仿宋"/>
          <w:sz w:val="32"/>
          <w:szCs w:val="32"/>
        </w:rPr>
        <w:t>万元，主要是</w:t>
      </w:r>
      <w:r>
        <w:rPr>
          <w:rFonts w:hint="eastAsia" w:ascii="仿宋" w:hAnsi="仿宋" w:eastAsia="仿宋" w:cs="仿宋"/>
          <w:sz w:val="32"/>
          <w:szCs w:val="32"/>
          <w:lang w:eastAsia="zh-CN"/>
        </w:rPr>
        <w:t>项目投资资金</w:t>
      </w:r>
      <w:r>
        <w:rPr>
          <w:rFonts w:hint="eastAsia" w:ascii="仿宋" w:hAnsi="仿宋" w:eastAsia="仿宋" w:cs="仿宋"/>
          <w:sz w:val="32"/>
          <w:szCs w:val="32"/>
          <w:lang w:val="en-US" w:eastAsia="zh-CN"/>
        </w:rPr>
        <w:t>增加</w:t>
      </w:r>
      <w:r>
        <w:rPr>
          <w:rFonts w:hint="eastAsia" w:ascii="仿宋" w:hAnsi="仿宋" w:eastAsia="仿宋" w:cs="仿宋"/>
          <w:sz w:val="32"/>
          <w:szCs w:val="32"/>
        </w:rPr>
        <w:t>。</w:t>
      </w:r>
    </w:p>
    <w:p w14:paraId="498FE245">
      <w:pPr>
        <w:pageBreakBefore w:val="0"/>
        <w:kinsoku/>
        <w:wordWrap/>
        <w:overflowPunct/>
        <w:topLinePunct w:val="0"/>
        <w:autoSpaceDE/>
        <w:autoSpaceDN/>
        <w:bidi w:val="0"/>
        <w:adjustRightInd w:val="0"/>
        <w:snapToGrid w:val="0"/>
        <w:spacing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rPr>
        <w:t>2.政府性基金预算财政拨款本年收入完成年初预算</w:t>
      </w:r>
      <w:r>
        <w:rPr>
          <w:rFonts w:hint="eastAsia" w:ascii="仿宋" w:hAnsi="仿宋" w:eastAsia="仿宋" w:cs="仿宋"/>
          <w:sz w:val="32"/>
          <w:szCs w:val="32"/>
          <w:lang w:val="en-US" w:eastAsia="zh-CN"/>
        </w:rPr>
        <w:t>162.16</w:t>
      </w:r>
      <w:r>
        <w:rPr>
          <w:rFonts w:hint="eastAsia" w:ascii="仿宋" w:hAnsi="仿宋" w:eastAsia="仿宋" w:cs="仿宋"/>
          <w:sz w:val="32"/>
          <w:szCs w:val="32"/>
        </w:rPr>
        <w:t>%，比年初预算增加</w:t>
      </w:r>
      <w:r>
        <w:rPr>
          <w:rFonts w:hint="eastAsia" w:ascii="仿宋" w:hAnsi="仿宋" w:eastAsia="仿宋" w:cs="仿宋"/>
          <w:sz w:val="32"/>
          <w:szCs w:val="32"/>
          <w:lang w:val="en-US" w:eastAsia="zh-CN"/>
        </w:rPr>
        <w:t>416.34</w:t>
      </w:r>
      <w:r>
        <w:rPr>
          <w:rFonts w:hint="eastAsia" w:ascii="仿宋" w:hAnsi="仿宋" w:eastAsia="仿宋" w:cs="仿宋"/>
          <w:sz w:val="32"/>
          <w:szCs w:val="32"/>
        </w:rPr>
        <w:t>万元，主要是</w:t>
      </w:r>
      <w:r>
        <w:rPr>
          <w:rFonts w:hint="eastAsia" w:ascii="仿宋" w:hAnsi="仿宋" w:eastAsia="仿宋" w:cs="仿宋"/>
          <w:sz w:val="32"/>
          <w:szCs w:val="32"/>
          <w:highlight w:val="none"/>
          <w:lang w:val="en-US" w:eastAsia="zh-CN"/>
        </w:rPr>
        <w:t>养老体系投入较上年增加</w:t>
      </w:r>
      <w:r>
        <w:rPr>
          <w:rFonts w:hint="eastAsia" w:ascii="仿宋" w:hAnsi="仿宋" w:eastAsia="仿宋" w:cs="仿宋"/>
          <w:sz w:val="32"/>
          <w:szCs w:val="32"/>
        </w:rPr>
        <w:t>；支出完成年初预算</w:t>
      </w:r>
      <w:r>
        <w:rPr>
          <w:rFonts w:hint="eastAsia" w:ascii="仿宋" w:hAnsi="仿宋" w:eastAsia="仿宋" w:cs="仿宋"/>
          <w:sz w:val="32"/>
          <w:szCs w:val="32"/>
          <w:lang w:val="en-US" w:eastAsia="zh-CN"/>
        </w:rPr>
        <w:t>162.16</w:t>
      </w:r>
      <w:r>
        <w:rPr>
          <w:rFonts w:hint="eastAsia" w:ascii="仿宋" w:hAnsi="仿宋" w:eastAsia="仿宋" w:cs="仿宋"/>
          <w:sz w:val="32"/>
          <w:szCs w:val="32"/>
        </w:rPr>
        <w:t>%，比年初预算增加</w:t>
      </w:r>
      <w:r>
        <w:rPr>
          <w:rFonts w:hint="eastAsia" w:ascii="仿宋" w:hAnsi="仿宋" w:eastAsia="仿宋" w:cs="仿宋"/>
          <w:sz w:val="32"/>
          <w:szCs w:val="32"/>
          <w:lang w:val="en-US" w:eastAsia="zh-CN"/>
        </w:rPr>
        <w:t>416.34</w:t>
      </w:r>
      <w:r>
        <w:rPr>
          <w:rFonts w:hint="eastAsia" w:ascii="仿宋" w:hAnsi="仿宋" w:eastAsia="仿宋" w:cs="仿宋"/>
          <w:sz w:val="32"/>
          <w:szCs w:val="32"/>
        </w:rPr>
        <w:t>万元，主要是</w:t>
      </w:r>
      <w:r>
        <w:rPr>
          <w:rFonts w:hint="eastAsia" w:ascii="仿宋" w:hAnsi="仿宋" w:eastAsia="仿宋" w:cs="仿宋"/>
          <w:sz w:val="32"/>
          <w:szCs w:val="32"/>
          <w:highlight w:val="none"/>
          <w:lang w:val="en-US" w:eastAsia="zh-CN"/>
        </w:rPr>
        <w:t>养老体系项目投入较上年增加</w:t>
      </w:r>
      <w:r>
        <w:rPr>
          <w:rFonts w:hint="eastAsia" w:ascii="仿宋" w:hAnsi="仿宋" w:eastAsia="仿宋" w:cs="仿宋"/>
          <w:sz w:val="32"/>
          <w:szCs w:val="32"/>
        </w:rPr>
        <w:t>。</w:t>
      </w:r>
    </w:p>
    <w:p w14:paraId="03354B19">
      <w:pPr>
        <w:pageBreakBefore w:val="0"/>
        <w:kinsoku/>
        <w:wordWrap/>
        <w:overflowPunct/>
        <w:topLinePunct w:val="0"/>
        <w:autoSpaceDE/>
        <w:autoSpaceDN/>
        <w:bidi w:val="0"/>
        <w:adjustRightInd w:val="0"/>
        <w:snapToGrid w:val="0"/>
        <w:spacing w:line="312" w:lineRule="auto"/>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3.</w:t>
      </w:r>
      <w:r>
        <w:rPr>
          <w:rFonts w:hint="eastAsia" w:ascii="仿宋" w:hAnsi="仿宋" w:eastAsia="仿宋" w:cs="仿宋"/>
          <w:sz w:val="32"/>
          <w:szCs w:val="32"/>
          <w:highlight w:val="none"/>
        </w:rPr>
        <w:t>国有资本经营预算财政拨款本年收入</w:t>
      </w:r>
      <w:r>
        <w:rPr>
          <w:rFonts w:hint="eastAsia" w:ascii="仿宋" w:hAnsi="仿宋" w:eastAsia="仿宋" w:cs="仿宋"/>
          <w:sz w:val="32"/>
          <w:szCs w:val="32"/>
          <w:highlight w:val="none"/>
          <w:lang w:val="en-US" w:eastAsia="zh-CN"/>
        </w:rPr>
        <w:t>0万元</w:t>
      </w:r>
      <w:r>
        <w:rPr>
          <w:rFonts w:hint="eastAsia" w:ascii="仿宋" w:hAnsi="仿宋" w:eastAsia="仿宋" w:cs="仿宋"/>
          <w:sz w:val="32"/>
          <w:szCs w:val="32"/>
          <w:highlight w:val="none"/>
        </w:rPr>
        <w:t>；支出</w:t>
      </w:r>
      <w:r>
        <w:rPr>
          <w:rFonts w:hint="eastAsia" w:ascii="仿宋" w:hAnsi="仿宋" w:eastAsia="仿宋" w:cs="仿宋"/>
          <w:sz w:val="32"/>
          <w:szCs w:val="32"/>
          <w:highlight w:val="none"/>
          <w:lang w:val="en-US" w:eastAsia="zh-CN"/>
        </w:rPr>
        <w:t>0</w:t>
      </w:r>
      <w:r>
        <w:rPr>
          <w:rFonts w:hint="eastAsia" w:ascii="仿宋" w:hAnsi="仿宋" w:eastAsia="仿宋" w:cs="仿宋"/>
          <w:sz w:val="32"/>
          <w:szCs w:val="32"/>
          <w:highlight w:val="none"/>
        </w:rPr>
        <w:t>万元，</w:t>
      </w:r>
      <w:r>
        <w:rPr>
          <w:rFonts w:hint="eastAsia" w:ascii="仿宋" w:hAnsi="仿宋" w:eastAsia="仿宋" w:cs="仿宋"/>
          <w:sz w:val="32"/>
          <w:szCs w:val="32"/>
          <w:highlight w:val="none"/>
          <w:lang w:val="en-US" w:eastAsia="zh-CN"/>
        </w:rPr>
        <w:t>未发生此项支出。</w:t>
      </w:r>
    </w:p>
    <w:p w14:paraId="69B4C85B">
      <w:pPr>
        <w:pageBreakBefore w:val="0"/>
        <w:widowControl w:val="0"/>
        <w:kinsoku/>
        <w:wordWrap/>
        <w:overflowPunct/>
        <w:topLinePunct w:val="0"/>
        <w:autoSpaceDE/>
        <w:autoSpaceDN/>
        <w:bidi w:val="0"/>
        <w:adjustRightInd w:val="0"/>
        <w:snapToGrid w:val="0"/>
        <w:spacing w:line="312" w:lineRule="auto"/>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14:paraId="47A28515">
      <w:pPr>
        <w:pageBreakBefore w:val="0"/>
        <w:widowControl w:val="0"/>
        <w:kinsoku/>
        <w:wordWrap/>
        <w:overflowPunct/>
        <w:topLinePunct w:val="0"/>
        <w:autoSpaceDE/>
        <w:autoSpaceDN/>
        <w:bidi w:val="0"/>
        <w:adjustRightInd w:val="0"/>
        <w:snapToGrid w:val="0"/>
        <w:spacing w:line="312"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部门</w:t>
      </w:r>
      <w:r>
        <w:rPr>
          <w:rFonts w:hint="eastAsia" w:ascii="仿宋" w:hAnsi="仿宋" w:eastAsia="仿宋" w:cs="仿宋"/>
          <w:sz w:val="32"/>
          <w:szCs w:val="32"/>
          <w:lang w:val="en-US" w:eastAsia="zh-CN"/>
        </w:rPr>
        <w:t>总目标：细化预算编制工作，认真做好预算编制；加强财务管理，严格财务审核；抓好“三公”经费控制管理，确保民政各项业务工作任务圆满完成。</w:t>
      </w:r>
    </w:p>
    <w:p w14:paraId="77C4FAC8">
      <w:pPr>
        <w:pageBreakBefore w:val="0"/>
        <w:widowControl w:val="0"/>
        <w:kinsoku/>
        <w:wordWrap/>
        <w:overflowPunct/>
        <w:topLinePunct w:val="0"/>
        <w:autoSpaceDE/>
        <w:autoSpaceDN/>
        <w:bidi w:val="0"/>
        <w:adjustRightInd w:val="0"/>
        <w:snapToGrid w:val="0"/>
        <w:spacing w:line="312"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预决算公开：2023年，按照上级要求，我局在政府网站进行了预决算公开。</w:t>
      </w:r>
    </w:p>
    <w:p w14:paraId="581F1ABE">
      <w:pPr>
        <w:pageBreakBefore w:val="0"/>
        <w:widowControl w:val="0"/>
        <w:kinsoku/>
        <w:wordWrap/>
        <w:overflowPunct/>
        <w:topLinePunct w:val="0"/>
        <w:autoSpaceDE/>
        <w:autoSpaceDN/>
        <w:bidi w:val="0"/>
        <w:adjustRightInd w:val="0"/>
        <w:snapToGrid w:val="0"/>
        <w:spacing w:line="312"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资产管理：我局进一步加强资产的管理，制定了《资产管理内控制度》等制度，明确了具体责任人，完善了固定资产档案，严格报批、销审等手续，做好资产登记工作，单位无任何资产流失现象。</w:t>
      </w:r>
    </w:p>
    <w:p w14:paraId="7572CF5A">
      <w:pPr>
        <w:pageBreakBefore w:val="0"/>
        <w:kinsoku/>
        <w:wordWrap/>
        <w:overflowPunct/>
        <w:topLinePunct w:val="0"/>
        <w:autoSpaceDE/>
        <w:autoSpaceDN/>
        <w:bidi w:val="0"/>
        <w:adjustRightInd w:val="0"/>
        <w:snapToGrid w:val="0"/>
        <w:spacing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三公经费控制情况：我局贯彻落实上级有关精神，严格控制“三公”经费支出，取得了良好的效果。具体情况如下：</w:t>
      </w:r>
      <w:r>
        <w:rPr>
          <w:rFonts w:hint="eastAsia" w:ascii="仿宋" w:hAnsi="仿宋" w:eastAsia="仿宋" w:cs="仿宋"/>
          <w:sz w:val="32"/>
          <w:szCs w:val="32"/>
        </w:rPr>
        <w:t>本部门202</w:t>
      </w:r>
      <w:r>
        <w:rPr>
          <w:rFonts w:hint="eastAsia" w:ascii="仿宋" w:hAnsi="仿宋" w:eastAsia="仿宋" w:cs="仿宋"/>
          <w:sz w:val="32"/>
          <w:szCs w:val="32"/>
          <w:lang w:val="en-US" w:eastAsia="zh-CN"/>
        </w:rPr>
        <w:t>3</w:t>
      </w:r>
      <w:r>
        <w:rPr>
          <w:rFonts w:hint="eastAsia" w:ascii="仿宋" w:hAnsi="仿宋" w:eastAsia="仿宋" w:cs="仿宋"/>
          <w:sz w:val="32"/>
          <w:szCs w:val="32"/>
        </w:rPr>
        <w:t>年度“</w:t>
      </w:r>
      <w:bookmarkStart w:id="0" w:name="_GoBack"/>
      <w:bookmarkEnd w:id="0"/>
      <w:r>
        <w:rPr>
          <w:rFonts w:hint="eastAsia" w:ascii="仿宋" w:hAnsi="仿宋" w:eastAsia="仿宋" w:cs="仿宋"/>
          <w:sz w:val="32"/>
          <w:szCs w:val="32"/>
        </w:rPr>
        <w:t>三公”经费财政拨款支出预算为</w:t>
      </w:r>
      <w:r>
        <w:rPr>
          <w:rFonts w:hint="eastAsia" w:ascii="仿宋" w:hAnsi="仿宋" w:eastAsia="仿宋" w:cs="仿宋"/>
          <w:color w:val="000000" w:themeColor="text1"/>
          <w:sz w:val="32"/>
          <w:szCs w:val="32"/>
          <w:lang w:val="en-US" w:eastAsia="zh-CN"/>
          <w14:textFill>
            <w14:solidFill>
              <w14:schemeClr w14:val="tx1"/>
            </w14:solidFill>
          </w14:textFill>
        </w:rPr>
        <w:t>5.4</w:t>
      </w:r>
      <w:r>
        <w:rPr>
          <w:rFonts w:hint="eastAsia" w:ascii="仿宋" w:hAnsi="仿宋" w:eastAsia="仿宋" w:cs="仿宋"/>
          <w:sz w:val="32"/>
          <w:szCs w:val="32"/>
        </w:rPr>
        <w:t>万元，支出决算为</w:t>
      </w:r>
      <w:r>
        <w:rPr>
          <w:rFonts w:hint="eastAsia" w:ascii="仿宋" w:hAnsi="仿宋" w:eastAsia="仿宋" w:cs="仿宋"/>
          <w:color w:val="000000" w:themeColor="text1"/>
          <w:sz w:val="32"/>
          <w:szCs w:val="32"/>
          <w:lang w:val="en-US" w:eastAsia="zh-CN"/>
          <w14:textFill>
            <w14:solidFill>
              <w14:schemeClr w14:val="tx1"/>
            </w14:solidFill>
          </w14:textFill>
        </w:rPr>
        <w:t>1.83</w:t>
      </w:r>
      <w:r>
        <w:rPr>
          <w:rFonts w:hint="eastAsia" w:ascii="仿宋" w:hAnsi="仿宋" w:eastAsia="仿宋" w:cs="仿宋"/>
          <w:sz w:val="32"/>
          <w:szCs w:val="32"/>
        </w:rPr>
        <w:t>万元，完成预算的</w:t>
      </w:r>
      <w:r>
        <w:rPr>
          <w:rFonts w:hint="eastAsia" w:ascii="仿宋" w:hAnsi="仿宋" w:eastAsia="仿宋" w:cs="仿宋"/>
          <w:color w:val="000000" w:themeColor="text1"/>
          <w:sz w:val="32"/>
          <w:szCs w:val="32"/>
          <w:lang w:val="en-US" w:eastAsia="zh-CN"/>
          <w14:textFill>
            <w14:solidFill>
              <w14:schemeClr w14:val="tx1"/>
            </w14:solidFill>
          </w14:textFill>
        </w:rPr>
        <w:t>33.89</w:t>
      </w: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sz w:val="32"/>
          <w:szCs w:val="32"/>
        </w:rPr>
        <w:t>,较预算减少</w:t>
      </w:r>
      <w:r>
        <w:rPr>
          <w:rFonts w:hint="eastAsia" w:ascii="仿宋" w:hAnsi="仿宋" w:eastAsia="仿宋" w:cs="仿宋"/>
          <w:color w:val="000000" w:themeColor="text1"/>
          <w:sz w:val="32"/>
          <w:szCs w:val="32"/>
          <w:lang w:val="en-US" w:eastAsia="zh-CN"/>
          <w14:textFill>
            <w14:solidFill>
              <w14:schemeClr w14:val="tx1"/>
            </w14:solidFill>
          </w14:textFill>
        </w:rPr>
        <w:t>3.57</w:t>
      </w:r>
      <w:r>
        <w:rPr>
          <w:rFonts w:hint="eastAsia" w:ascii="仿宋" w:hAnsi="仿宋" w:eastAsia="仿宋" w:cs="仿宋"/>
          <w:sz w:val="32"/>
          <w:szCs w:val="32"/>
        </w:rPr>
        <w:t>万元，降低</w:t>
      </w:r>
      <w:r>
        <w:rPr>
          <w:rFonts w:hint="eastAsia" w:ascii="仿宋" w:hAnsi="仿宋" w:eastAsia="仿宋" w:cs="仿宋"/>
          <w:color w:val="000000" w:themeColor="text1"/>
          <w:sz w:val="32"/>
          <w:szCs w:val="32"/>
          <w:lang w:val="en-US" w:eastAsia="zh-CN"/>
          <w14:textFill>
            <w14:solidFill>
              <w14:schemeClr w14:val="tx1"/>
            </w14:solidFill>
          </w14:textFill>
        </w:rPr>
        <w:t>66</w:t>
      </w: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sz w:val="32"/>
          <w:szCs w:val="32"/>
        </w:rPr>
        <w:t>，主要是</w:t>
      </w:r>
      <w:r>
        <w:rPr>
          <w:rFonts w:hint="eastAsia" w:ascii="仿宋" w:hAnsi="仿宋" w:eastAsia="仿宋" w:cs="仿宋"/>
          <w:sz w:val="32"/>
          <w:szCs w:val="32"/>
          <w:lang w:val="en-US" w:eastAsia="zh-CN"/>
        </w:rPr>
        <w:t>厉行节约从严控制公务用车</w:t>
      </w:r>
      <w:r>
        <w:rPr>
          <w:rFonts w:hint="eastAsia" w:ascii="仿宋" w:hAnsi="仿宋" w:eastAsia="仿宋" w:cs="仿宋"/>
          <w:sz w:val="32"/>
          <w:szCs w:val="32"/>
        </w:rPr>
        <w:t>。</w:t>
      </w:r>
    </w:p>
    <w:p w14:paraId="144E55D0">
      <w:pPr>
        <w:pStyle w:val="2"/>
        <w:pageBreakBefore w:val="0"/>
        <w:kinsoku/>
        <w:wordWrap/>
        <w:overflowPunct/>
        <w:topLinePunct w:val="0"/>
        <w:autoSpaceDE/>
        <w:autoSpaceDN/>
        <w:bidi w:val="0"/>
        <w:spacing w:line="312" w:lineRule="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内部管理制度建设：健全单位财务管理制度，制订内部控制管理制度，加强对资金、物资的合理使用和管理；制定内部监督检查制度，强化内部制度执行的监督管理。</w:t>
      </w:r>
    </w:p>
    <w:p w14:paraId="2B6DB917">
      <w:pPr>
        <w:pStyle w:val="2"/>
        <w:pageBreakBefore w:val="0"/>
        <w:kinsoku/>
        <w:wordWrap/>
        <w:overflowPunct/>
        <w:topLinePunct w:val="0"/>
        <w:autoSpaceDE/>
        <w:autoSpaceDN/>
        <w:bidi w:val="0"/>
        <w:spacing w:line="312" w:lineRule="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项目绩效总目标完成情况：2023年我局民政领域各项业务工作任务圆满完成。</w:t>
      </w:r>
    </w:p>
    <w:p w14:paraId="36B37D3C">
      <w:pPr>
        <w:pStyle w:val="2"/>
        <w:pageBreakBefore w:val="0"/>
        <w:kinsoku/>
        <w:wordWrap/>
        <w:overflowPunct/>
        <w:topLinePunct w:val="0"/>
        <w:autoSpaceDE/>
        <w:autoSpaceDN/>
        <w:bidi w:val="0"/>
        <w:spacing w:line="312" w:lineRule="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从整体情况来看，我局严格按照年初预算进行部门整体支出。在支出过程中，能严格遵守各项规章制度。</w:t>
      </w:r>
    </w:p>
    <w:p w14:paraId="48CBAD56">
      <w:pPr>
        <w:pageBreakBefore w:val="0"/>
        <w:widowControl w:val="0"/>
        <w:kinsoku/>
        <w:wordWrap/>
        <w:overflowPunct/>
        <w:topLinePunct w:val="0"/>
        <w:autoSpaceDE/>
        <w:autoSpaceDN/>
        <w:bidi w:val="0"/>
        <w:adjustRightInd w:val="0"/>
        <w:snapToGrid w:val="0"/>
        <w:spacing w:line="312" w:lineRule="auto"/>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14:paraId="1547B00C">
      <w:pPr>
        <w:pageBreakBefore w:val="0"/>
        <w:widowControl w:val="0"/>
        <w:kinsoku/>
        <w:wordWrap/>
        <w:overflowPunct/>
        <w:topLinePunct w:val="0"/>
        <w:autoSpaceDE/>
        <w:autoSpaceDN/>
        <w:bidi w:val="0"/>
        <w:spacing w:line="312" w:lineRule="auto"/>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14:paraId="243081AF">
      <w:pPr>
        <w:pageBreakBefore w:val="0"/>
        <w:widowControl w:val="0"/>
        <w:kinsoku/>
        <w:wordWrap/>
        <w:overflowPunct/>
        <w:topLinePunct w:val="0"/>
        <w:autoSpaceDE/>
        <w:autoSpaceDN/>
        <w:bidi w:val="0"/>
        <w:spacing w:line="312" w:lineRule="auto"/>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严格落实《预算法》及省、市、区绩效管理工作的有关规定，通过开展部门整体支出绩效评价，促进部门整体预算绩效管理工作水平的提升，强化部门支出责任，规范资金管理行为，提高财政资金使用效益，保障部门更好地履行职责，促进民政事业发展</w:t>
      </w:r>
      <w:r>
        <w:rPr>
          <w:rFonts w:hint="eastAsia" w:ascii="仿宋" w:hAnsi="仿宋" w:eastAsia="仿宋"/>
          <w:sz w:val="32"/>
          <w:szCs w:val="32"/>
        </w:rPr>
        <w:t>。</w:t>
      </w:r>
    </w:p>
    <w:p w14:paraId="54D029B0">
      <w:pPr>
        <w:pStyle w:val="2"/>
        <w:pageBreakBefore w:val="0"/>
        <w:kinsoku/>
        <w:wordWrap/>
        <w:overflowPunct/>
        <w:topLinePunct w:val="0"/>
        <w:autoSpaceDE/>
        <w:autoSpaceDN/>
        <w:bidi w:val="0"/>
        <w:spacing w:line="312" w:lineRule="auto"/>
        <w:rPr>
          <w:rFonts w:hint="default" w:eastAsia="仿宋"/>
          <w:lang w:val="en-US" w:eastAsia="zh-CN"/>
        </w:rPr>
      </w:pPr>
      <w:r>
        <w:rPr>
          <w:rFonts w:hint="eastAsia" w:ascii="仿宋" w:hAnsi="仿宋" w:eastAsia="仿宋"/>
          <w:sz w:val="32"/>
          <w:szCs w:val="32"/>
          <w:lang w:val="en-US" w:eastAsia="zh-CN"/>
        </w:rPr>
        <w:t>根据石家庄市鹿泉区财政局《关于开展2024年绩效自评工作的通知》相关要求，对2023年部门所有区级预算项目进行绩效自评，我局收到通知后高度重视，及时召开会议对此项工作进行了安排部署，成立了分管领导任组长，办公室主任、财务负责人、会计、出纳为成员的部门预算项目绩效评价领导小组，严格按照文件要求对标对表，通过查账目、检查系统运行情况等方式，认真对照绩效自评，对区民政局2023年区级预算项目进行全方位自查自评，形成绩效评价报告。</w:t>
      </w:r>
    </w:p>
    <w:p w14:paraId="69BEF0B4">
      <w:pPr>
        <w:pStyle w:val="2"/>
        <w:pageBreakBefore w:val="0"/>
        <w:kinsoku/>
        <w:wordWrap/>
        <w:overflowPunct/>
        <w:topLinePunct w:val="0"/>
        <w:autoSpaceDE/>
        <w:autoSpaceDN/>
        <w:bidi w:val="0"/>
        <w:spacing w:line="312" w:lineRule="auto"/>
        <w:ind w:left="0" w:leftChars="0" w:firstLine="0" w:firstLineChars="0"/>
        <w:rPr>
          <w:rFonts w:hint="eastAsia" w:eastAsia="宋体"/>
          <w:lang w:val="en-US" w:eastAsia="zh-CN"/>
        </w:rPr>
      </w:pPr>
    </w:p>
    <w:p w14:paraId="7F757C9A">
      <w:pPr>
        <w:pageBreakBefore w:val="0"/>
        <w:widowControl w:val="0"/>
        <w:numPr>
          <w:ilvl w:val="0"/>
          <w:numId w:val="1"/>
        </w:numPr>
        <w:kinsoku/>
        <w:wordWrap/>
        <w:overflowPunct/>
        <w:topLinePunct w:val="0"/>
        <w:autoSpaceDE/>
        <w:autoSpaceDN/>
        <w:bidi w:val="0"/>
        <w:spacing w:line="312" w:lineRule="auto"/>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14:paraId="3F7E6652">
      <w:pPr>
        <w:pStyle w:val="2"/>
        <w:keepNext w:val="0"/>
        <w:keepLines w:val="0"/>
        <w:pageBreakBefore w:val="0"/>
        <w:widowControl w:val="0"/>
        <w:kinsoku/>
        <w:wordWrap/>
        <w:overflowPunct/>
        <w:topLinePunct w:val="0"/>
        <w:autoSpaceDE/>
        <w:autoSpaceDN/>
        <w:bidi w:val="0"/>
        <w:adjustRightInd/>
        <w:snapToGrid/>
        <w:spacing w:line="312" w:lineRule="auto"/>
        <w:ind w:left="0" w:leftChars="0" w:firstLine="640" w:firstLineChars="2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绩效自评方法和过程主要如下：</w:t>
      </w:r>
    </w:p>
    <w:p w14:paraId="16351A50">
      <w:pPr>
        <w:pStyle w:val="2"/>
        <w:keepNext w:val="0"/>
        <w:keepLines w:val="0"/>
        <w:pageBreakBefore w:val="0"/>
        <w:widowControl w:val="0"/>
        <w:numPr>
          <w:ilvl w:val="0"/>
          <w:numId w:val="2"/>
        </w:numPr>
        <w:kinsoku/>
        <w:wordWrap/>
        <w:overflowPunct/>
        <w:topLinePunct w:val="0"/>
        <w:autoSpaceDE/>
        <w:autoSpaceDN/>
        <w:bidi w:val="0"/>
        <w:adjustRightInd/>
        <w:snapToGrid/>
        <w:spacing w:line="312" w:lineRule="auto"/>
        <w:ind w:left="0" w:leftChars="0" w:firstLine="640" w:firstLineChars="2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核实数据：对2023年度部门整体支出数据的准确性、真实性进行核实，将2022年度和2023年度部门整体支出情况进行分析比较；</w:t>
      </w:r>
    </w:p>
    <w:p w14:paraId="6D301F89">
      <w:pPr>
        <w:pStyle w:val="2"/>
        <w:keepNext w:val="0"/>
        <w:keepLines w:val="0"/>
        <w:pageBreakBefore w:val="0"/>
        <w:widowControl w:val="0"/>
        <w:numPr>
          <w:ilvl w:val="0"/>
          <w:numId w:val="2"/>
        </w:numPr>
        <w:kinsoku/>
        <w:wordWrap/>
        <w:overflowPunct/>
        <w:topLinePunct w:val="0"/>
        <w:autoSpaceDE/>
        <w:autoSpaceDN/>
        <w:bidi w:val="0"/>
        <w:adjustRightInd/>
        <w:snapToGrid/>
        <w:spacing w:line="312" w:lineRule="auto"/>
        <w:ind w:left="0" w:lef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查阅资料：查阅2023年度预算安排、预算追加、资金管理、经费支出、资产管理等相关文件资料和财务凭证；</w:t>
      </w:r>
    </w:p>
    <w:p w14:paraId="4E4C994E">
      <w:pPr>
        <w:pStyle w:val="2"/>
        <w:keepNext w:val="0"/>
        <w:keepLines w:val="0"/>
        <w:pageBreakBefore w:val="0"/>
        <w:widowControl w:val="0"/>
        <w:numPr>
          <w:ilvl w:val="0"/>
          <w:numId w:val="2"/>
        </w:numPr>
        <w:kinsoku/>
        <w:wordWrap/>
        <w:overflowPunct/>
        <w:topLinePunct w:val="0"/>
        <w:autoSpaceDE/>
        <w:autoSpaceDN/>
        <w:bidi w:val="0"/>
        <w:adjustRightInd/>
        <w:snapToGrid/>
        <w:spacing w:line="312" w:lineRule="auto"/>
        <w:ind w:left="0" w:lef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归纳汇总：对收集的评价材料结合本单位情况进行综合分析、归纳汇总；</w:t>
      </w:r>
    </w:p>
    <w:p w14:paraId="4B65247A">
      <w:pPr>
        <w:pStyle w:val="2"/>
        <w:keepNext w:val="0"/>
        <w:keepLines w:val="0"/>
        <w:pageBreakBefore w:val="0"/>
        <w:widowControl w:val="0"/>
        <w:numPr>
          <w:ilvl w:val="0"/>
          <w:numId w:val="2"/>
        </w:numPr>
        <w:kinsoku/>
        <w:wordWrap/>
        <w:overflowPunct/>
        <w:topLinePunct w:val="0"/>
        <w:autoSpaceDE/>
        <w:autoSpaceDN/>
        <w:bidi w:val="0"/>
        <w:adjustRightInd/>
        <w:snapToGrid/>
        <w:spacing w:line="312" w:lineRule="auto"/>
        <w:ind w:left="0" w:lef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根据评价材料结合各项评价指标进行分析评价；</w:t>
      </w:r>
    </w:p>
    <w:p w14:paraId="6CF8B64B">
      <w:pPr>
        <w:pStyle w:val="2"/>
        <w:keepNext w:val="0"/>
        <w:keepLines w:val="0"/>
        <w:pageBreakBefore w:val="0"/>
        <w:widowControl w:val="0"/>
        <w:numPr>
          <w:ilvl w:val="0"/>
          <w:numId w:val="2"/>
        </w:numPr>
        <w:kinsoku/>
        <w:wordWrap/>
        <w:overflowPunct/>
        <w:topLinePunct w:val="0"/>
        <w:autoSpaceDE/>
        <w:autoSpaceDN/>
        <w:bidi w:val="0"/>
        <w:adjustRightInd/>
        <w:snapToGrid/>
        <w:spacing w:line="312" w:lineRule="auto"/>
        <w:ind w:left="0" w:lef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形成部门整体支出绩效自评报告。</w:t>
      </w:r>
    </w:p>
    <w:p w14:paraId="71DAF071">
      <w:pPr>
        <w:pageBreakBefore w:val="0"/>
        <w:widowControl w:val="0"/>
        <w:kinsoku/>
        <w:wordWrap/>
        <w:overflowPunct/>
        <w:topLinePunct w:val="0"/>
        <w:autoSpaceDE/>
        <w:autoSpaceDN/>
        <w:bidi w:val="0"/>
        <w:spacing w:line="312" w:lineRule="auto"/>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14:paraId="1C7ACF24">
      <w:pPr>
        <w:pageBreakBefore w:val="0"/>
        <w:widowControl w:val="0"/>
        <w:numPr>
          <w:ilvl w:val="0"/>
          <w:numId w:val="3"/>
        </w:numPr>
        <w:kinsoku/>
        <w:wordWrap/>
        <w:overflowPunct/>
        <w:topLinePunct w:val="0"/>
        <w:autoSpaceDE/>
        <w:autoSpaceDN/>
        <w:bidi w:val="0"/>
        <w:spacing w:line="312" w:lineRule="auto"/>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14:paraId="76EA798C">
      <w:pPr>
        <w:pageBreakBefore w:val="0"/>
        <w:kinsoku/>
        <w:wordWrap/>
        <w:overflowPunct/>
        <w:topLinePunct w:val="0"/>
        <w:autoSpaceDE/>
        <w:autoSpaceDN/>
        <w:bidi w:val="0"/>
        <w:spacing w:before="0" w:after="0" w:line="312" w:lineRule="auto"/>
        <w:ind w:firstLine="560"/>
        <w:jc w:val="left"/>
        <w:outlineLvl w:val="9"/>
        <w:rPr>
          <w:rFonts w:hint="eastAsia" w:ascii="仿宋" w:hAnsi="仿宋" w:eastAsia="仿宋" w:cs="仿宋"/>
          <w:sz w:val="32"/>
          <w:szCs w:val="32"/>
        </w:rPr>
      </w:pPr>
      <w:r>
        <w:rPr>
          <w:rFonts w:hint="eastAsia" w:ascii="仿宋" w:hAnsi="仿宋" w:eastAsia="仿宋" w:cs="仿宋"/>
          <w:color w:val="000000"/>
          <w:sz w:val="32"/>
          <w:szCs w:val="32"/>
        </w:rPr>
        <w:t>（一）总体绩效目标</w:t>
      </w:r>
    </w:p>
    <w:p w14:paraId="7DF984EC">
      <w:pPr>
        <w:pStyle w:val="10"/>
        <w:pageBreakBefore w:val="0"/>
        <w:kinsoku/>
        <w:wordWrap/>
        <w:overflowPunct/>
        <w:topLinePunct w:val="0"/>
        <w:autoSpaceDE/>
        <w:autoSpaceDN/>
        <w:bidi w:val="0"/>
        <w:spacing w:line="312" w:lineRule="auto"/>
        <w:rPr>
          <w:rFonts w:hint="eastAsia" w:ascii="仿宋" w:hAnsi="仿宋" w:eastAsia="仿宋" w:cs="仿宋"/>
          <w:sz w:val="32"/>
          <w:szCs w:val="32"/>
        </w:rPr>
      </w:pPr>
      <w:r>
        <w:rPr>
          <w:rFonts w:hint="eastAsia" w:ascii="仿宋" w:hAnsi="仿宋" w:eastAsia="仿宋" w:cs="仿宋"/>
          <w:sz w:val="32"/>
          <w:szCs w:val="32"/>
        </w:rPr>
        <w:t>以做好基本民生保障、基层社会治理、基本社会服务等各项工作，增强基层民政服务能力为目标。聚焦特殊群体，强化基本民生保障，解决好困难群众基本生活问题, 到202</w:t>
      </w:r>
      <w:r>
        <w:rPr>
          <w:rFonts w:hint="eastAsia" w:ascii="仿宋" w:hAnsi="仿宋" w:eastAsia="仿宋" w:cs="仿宋"/>
          <w:sz w:val="32"/>
          <w:szCs w:val="32"/>
          <w:lang w:val="en-US" w:eastAsia="zh-CN"/>
        </w:rPr>
        <w:t>3</w:t>
      </w:r>
      <w:r>
        <w:rPr>
          <w:rFonts w:hint="eastAsia" w:ascii="仿宋" w:hAnsi="仿宋" w:eastAsia="仿宋" w:cs="仿宋"/>
          <w:sz w:val="32"/>
          <w:szCs w:val="32"/>
        </w:rPr>
        <w:t>年农村低保标准不低于扶贫标准,生活不能自理特困人员集中供养率达到11%。优化基本社会服务供给，202</w:t>
      </w:r>
      <w:r>
        <w:rPr>
          <w:rFonts w:hint="eastAsia" w:ascii="仿宋" w:hAnsi="仿宋" w:eastAsia="仿宋" w:cs="仿宋"/>
          <w:sz w:val="32"/>
          <w:szCs w:val="32"/>
          <w:lang w:val="en-US" w:eastAsia="zh-CN"/>
        </w:rPr>
        <w:t>3</w:t>
      </w:r>
      <w:r>
        <w:rPr>
          <w:rFonts w:hint="eastAsia" w:ascii="仿宋" w:hAnsi="仿宋" w:eastAsia="仿宋" w:cs="仿宋"/>
          <w:sz w:val="32"/>
          <w:szCs w:val="32"/>
        </w:rPr>
        <w:t>年全区新增养老床位</w:t>
      </w:r>
      <w:r>
        <w:rPr>
          <w:rFonts w:hint="eastAsia" w:ascii="仿宋" w:hAnsi="仿宋" w:eastAsia="仿宋" w:cs="仿宋"/>
          <w:sz w:val="32"/>
          <w:szCs w:val="32"/>
          <w:lang w:val="en-US" w:eastAsia="zh-CN"/>
        </w:rPr>
        <w:t>150</w:t>
      </w:r>
      <w:r>
        <w:rPr>
          <w:rFonts w:hint="eastAsia" w:ascii="仿宋" w:hAnsi="仿宋" w:eastAsia="仿宋" w:cs="仿宋"/>
          <w:sz w:val="32"/>
          <w:szCs w:val="32"/>
        </w:rPr>
        <w:t>张。创新基层社会治理水平，推进物委会建设。大力发展社会组织、社会工作和慈善事业，扩大政府购买社会工作服务的范围，引导和支持开展社会工作服务项目，困境留守儿童的学习成绩和社会支持情况得到改善。深化改革创新，防范化解重大风险，加强作风建设，积极进取、奋发有为，努力开创新时代民政工作新局面。</w:t>
      </w:r>
    </w:p>
    <w:p w14:paraId="57C3E0D8">
      <w:pPr>
        <w:pageBreakBefore w:val="0"/>
        <w:kinsoku/>
        <w:wordWrap/>
        <w:overflowPunct/>
        <w:topLinePunct w:val="0"/>
        <w:autoSpaceDE/>
        <w:autoSpaceDN/>
        <w:bidi w:val="0"/>
        <w:spacing w:before="0" w:after="0" w:line="312" w:lineRule="auto"/>
        <w:ind w:firstLine="560"/>
        <w:jc w:val="left"/>
        <w:outlineLvl w:val="9"/>
        <w:rPr>
          <w:rFonts w:hint="eastAsia" w:ascii="仿宋" w:hAnsi="仿宋" w:eastAsia="仿宋" w:cs="仿宋"/>
          <w:sz w:val="32"/>
          <w:szCs w:val="32"/>
        </w:rPr>
      </w:pPr>
      <w:r>
        <w:rPr>
          <w:rFonts w:hint="eastAsia" w:ascii="仿宋" w:hAnsi="仿宋" w:eastAsia="仿宋" w:cs="仿宋"/>
          <w:color w:val="000000"/>
          <w:sz w:val="32"/>
          <w:szCs w:val="32"/>
        </w:rPr>
        <w:t>（二）分项绩效目标</w:t>
      </w:r>
    </w:p>
    <w:p w14:paraId="57BF2A00">
      <w:pPr>
        <w:pStyle w:val="11"/>
        <w:pageBreakBefore w:val="0"/>
        <w:kinsoku/>
        <w:wordWrap/>
        <w:overflowPunct/>
        <w:topLinePunct w:val="0"/>
        <w:autoSpaceDE/>
        <w:autoSpaceDN/>
        <w:bidi w:val="0"/>
        <w:spacing w:line="312" w:lineRule="auto"/>
        <w:rPr>
          <w:rFonts w:hint="eastAsia" w:ascii="仿宋" w:hAnsi="仿宋" w:eastAsia="仿宋" w:cs="仿宋"/>
          <w:sz w:val="32"/>
          <w:szCs w:val="32"/>
        </w:rPr>
      </w:pPr>
      <w:r>
        <w:rPr>
          <w:rFonts w:hint="eastAsia" w:ascii="仿宋" w:hAnsi="仿宋" w:eastAsia="仿宋" w:cs="仿宋"/>
          <w:sz w:val="32"/>
          <w:szCs w:val="32"/>
        </w:rPr>
        <w:t>（一）推进养老服务体系建设攻坚行动，完善相关政策措施</w:t>
      </w:r>
    </w:p>
    <w:p w14:paraId="34A2E68C">
      <w:pPr>
        <w:pStyle w:val="11"/>
        <w:pageBreakBefore w:val="0"/>
        <w:kinsoku/>
        <w:wordWrap/>
        <w:overflowPunct/>
        <w:topLinePunct w:val="0"/>
        <w:autoSpaceDE/>
        <w:autoSpaceDN/>
        <w:bidi w:val="0"/>
        <w:spacing w:line="312" w:lineRule="auto"/>
        <w:rPr>
          <w:rFonts w:hint="eastAsia" w:ascii="仿宋" w:hAnsi="仿宋" w:eastAsia="仿宋" w:cs="仿宋"/>
          <w:sz w:val="32"/>
          <w:szCs w:val="32"/>
        </w:rPr>
      </w:pPr>
      <w:r>
        <w:rPr>
          <w:rFonts w:hint="eastAsia" w:ascii="仿宋" w:hAnsi="仿宋" w:eastAsia="仿宋" w:cs="仿宋"/>
          <w:sz w:val="32"/>
          <w:szCs w:val="32"/>
        </w:rPr>
        <w:t>绩效目标：开展养老院服务质量专项行动，着力防范养老服务领域重在风险；完善养老服务质量等级评定体系。</w:t>
      </w:r>
    </w:p>
    <w:p w14:paraId="0EE1C526">
      <w:pPr>
        <w:pStyle w:val="11"/>
        <w:pageBreakBefore w:val="0"/>
        <w:kinsoku/>
        <w:wordWrap/>
        <w:overflowPunct/>
        <w:topLinePunct w:val="0"/>
        <w:autoSpaceDE/>
        <w:autoSpaceDN/>
        <w:bidi w:val="0"/>
        <w:spacing w:line="312" w:lineRule="auto"/>
        <w:rPr>
          <w:rFonts w:hint="eastAsia" w:ascii="仿宋" w:hAnsi="仿宋" w:eastAsia="仿宋" w:cs="仿宋"/>
          <w:sz w:val="32"/>
          <w:szCs w:val="32"/>
        </w:rPr>
      </w:pPr>
      <w:r>
        <w:rPr>
          <w:rFonts w:hint="eastAsia" w:ascii="仿宋" w:hAnsi="仿宋" w:eastAsia="仿宋" w:cs="仿宋"/>
          <w:sz w:val="32"/>
          <w:szCs w:val="32"/>
        </w:rPr>
        <w:t>绩效指标：全区新增养老床位</w:t>
      </w:r>
      <w:r>
        <w:rPr>
          <w:rFonts w:hint="eastAsia" w:ascii="仿宋" w:hAnsi="仿宋" w:eastAsia="仿宋" w:cs="仿宋"/>
          <w:sz w:val="32"/>
          <w:szCs w:val="32"/>
          <w:lang w:val="en-US" w:eastAsia="zh-CN"/>
        </w:rPr>
        <w:t>150</w:t>
      </w:r>
      <w:r>
        <w:rPr>
          <w:rFonts w:hint="eastAsia" w:ascii="仿宋" w:hAnsi="仿宋" w:eastAsia="仿宋" w:cs="仿宋"/>
          <w:sz w:val="32"/>
          <w:szCs w:val="32"/>
        </w:rPr>
        <w:t>张。</w:t>
      </w:r>
    </w:p>
    <w:p w14:paraId="20152666">
      <w:pPr>
        <w:pStyle w:val="11"/>
        <w:pageBreakBefore w:val="0"/>
        <w:kinsoku/>
        <w:wordWrap/>
        <w:overflowPunct/>
        <w:topLinePunct w:val="0"/>
        <w:autoSpaceDE/>
        <w:autoSpaceDN/>
        <w:bidi w:val="0"/>
        <w:spacing w:line="312" w:lineRule="auto"/>
        <w:rPr>
          <w:rFonts w:hint="eastAsia" w:ascii="仿宋" w:hAnsi="仿宋" w:eastAsia="仿宋" w:cs="仿宋"/>
          <w:sz w:val="32"/>
          <w:szCs w:val="32"/>
        </w:rPr>
      </w:pPr>
      <w:r>
        <w:rPr>
          <w:rFonts w:hint="eastAsia" w:ascii="仿宋" w:hAnsi="仿宋" w:eastAsia="仿宋" w:cs="仿宋"/>
          <w:sz w:val="32"/>
          <w:szCs w:val="32"/>
        </w:rPr>
        <w:t>（二）筑牢困难群众基本生活保障安全网。</w:t>
      </w:r>
    </w:p>
    <w:p w14:paraId="5137194A">
      <w:pPr>
        <w:pStyle w:val="11"/>
        <w:pageBreakBefore w:val="0"/>
        <w:kinsoku/>
        <w:wordWrap/>
        <w:overflowPunct/>
        <w:topLinePunct w:val="0"/>
        <w:autoSpaceDE/>
        <w:autoSpaceDN/>
        <w:bidi w:val="0"/>
        <w:spacing w:line="312" w:lineRule="auto"/>
        <w:rPr>
          <w:rFonts w:hint="eastAsia" w:ascii="仿宋" w:hAnsi="仿宋" w:eastAsia="仿宋" w:cs="仿宋"/>
          <w:sz w:val="32"/>
          <w:szCs w:val="32"/>
        </w:rPr>
      </w:pPr>
      <w:r>
        <w:rPr>
          <w:rFonts w:hint="eastAsia" w:ascii="仿宋" w:hAnsi="仿宋" w:eastAsia="仿宋" w:cs="仿宋"/>
          <w:sz w:val="32"/>
          <w:szCs w:val="32"/>
        </w:rPr>
        <w:t>绩效目标：稳步推进城乡低保扩面提标，精准落实农村困难群体特惠政策；完善特困人员供养制度，按标准发放基本生活费和护理费。</w:t>
      </w:r>
    </w:p>
    <w:p w14:paraId="1160DCE6">
      <w:pPr>
        <w:pStyle w:val="11"/>
        <w:pageBreakBefore w:val="0"/>
        <w:kinsoku/>
        <w:wordWrap/>
        <w:overflowPunct/>
        <w:topLinePunct w:val="0"/>
        <w:autoSpaceDE/>
        <w:autoSpaceDN/>
        <w:bidi w:val="0"/>
        <w:spacing w:line="312" w:lineRule="auto"/>
        <w:rPr>
          <w:rFonts w:hint="eastAsia" w:ascii="仿宋" w:hAnsi="仿宋" w:eastAsia="仿宋" w:cs="仿宋"/>
          <w:sz w:val="32"/>
          <w:szCs w:val="32"/>
        </w:rPr>
      </w:pPr>
      <w:r>
        <w:rPr>
          <w:rFonts w:hint="eastAsia" w:ascii="仿宋" w:hAnsi="仿宋" w:eastAsia="仿宋" w:cs="仿宋"/>
          <w:sz w:val="32"/>
          <w:szCs w:val="32"/>
        </w:rPr>
        <w:t>绩效指标：202</w:t>
      </w:r>
      <w:r>
        <w:rPr>
          <w:rFonts w:hint="eastAsia" w:ascii="仿宋" w:hAnsi="仿宋" w:eastAsia="仿宋" w:cs="仿宋"/>
          <w:sz w:val="32"/>
          <w:szCs w:val="32"/>
          <w:lang w:val="en-US" w:eastAsia="zh-CN"/>
        </w:rPr>
        <w:t>3</w:t>
      </w:r>
      <w:r>
        <w:rPr>
          <w:rFonts w:hint="eastAsia" w:ascii="仿宋" w:hAnsi="仿宋" w:eastAsia="仿宋" w:cs="仿宋"/>
          <w:sz w:val="32"/>
          <w:szCs w:val="32"/>
        </w:rPr>
        <w:t>年全区城市低保、农村低保最低指导标准分别达到9192元/年和5760元/年左右，不低于全国平均水平；特困人员基本生活标准原则上不低于当地低保标准的1.3倍；部分或完全丧失生活自理能力的特困人员年照料护理标准，不低于所在区年最低工资标准的10%。</w:t>
      </w:r>
    </w:p>
    <w:p w14:paraId="79540F53">
      <w:pPr>
        <w:pStyle w:val="11"/>
        <w:pageBreakBefore w:val="0"/>
        <w:kinsoku/>
        <w:wordWrap/>
        <w:overflowPunct/>
        <w:topLinePunct w:val="0"/>
        <w:autoSpaceDE/>
        <w:autoSpaceDN/>
        <w:bidi w:val="0"/>
        <w:spacing w:line="312" w:lineRule="auto"/>
        <w:rPr>
          <w:rFonts w:hint="eastAsia" w:ascii="仿宋" w:hAnsi="仿宋" w:eastAsia="仿宋" w:cs="仿宋"/>
          <w:sz w:val="32"/>
          <w:szCs w:val="32"/>
        </w:rPr>
      </w:pPr>
      <w:r>
        <w:rPr>
          <w:rFonts w:hint="eastAsia" w:ascii="仿宋" w:hAnsi="仿宋" w:eastAsia="仿宋" w:cs="仿宋"/>
          <w:sz w:val="32"/>
          <w:szCs w:val="32"/>
        </w:rPr>
        <w:t>（三）聚焦特殊群体，筑牢生活救助管理安全线。</w:t>
      </w:r>
    </w:p>
    <w:p w14:paraId="30A8D036">
      <w:pPr>
        <w:pStyle w:val="11"/>
        <w:pageBreakBefore w:val="0"/>
        <w:kinsoku/>
        <w:wordWrap/>
        <w:overflowPunct/>
        <w:topLinePunct w:val="0"/>
        <w:autoSpaceDE/>
        <w:autoSpaceDN/>
        <w:bidi w:val="0"/>
        <w:spacing w:line="312" w:lineRule="auto"/>
        <w:rPr>
          <w:rFonts w:hint="eastAsia" w:ascii="仿宋" w:hAnsi="仿宋" w:eastAsia="仿宋" w:cs="仿宋"/>
          <w:sz w:val="32"/>
          <w:szCs w:val="32"/>
        </w:rPr>
      </w:pPr>
      <w:r>
        <w:rPr>
          <w:rFonts w:hint="eastAsia" w:ascii="仿宋" w:hAnsi="仿宋" w:eastAsia="仿宋" w:cs="仿宋"/>
          <w:sz w:val="32"/>
          <w:szCs w:val="32"/>
        </w:rPr>
        <w:t>绩效目标：提高孤儿养育水平，进一步加强事实无人抚养儿童保障工作；强化对生活无着流浪乞讨人员的救助管理，保障救助管理机构良好运转；落实残疾人两项补贴制度。</w:t>
      </w:r>
    </w:p>
    <w:p w14:paraId="5316823A">
      <w:pPr>
        <w:pStyle w:val="11"/>
        <w:pageBreakBefore w:val="0"/>
        <w:kinsoku/>
        <w:wordWrap/>
        <w:overflowPunct/>
        <w:topLinePunct w:val="0"/>
        <w:autoSpaceDE/>
        <w:autoSpaceDN/>
        <w:bidi w:val="0"/>
        <w:spacing w:line="312" w:lineRule="auto"/>
        <w:rPr>
          <w:rFonts w:hint="eastAsia" w:ascii="仿宋" w:hAnsi="仿宋" w:eastAsia="仿宋" w:cs="仿宋"/>
          <w:sz w:val="32"/>
          <w:szCs w:val="32"/>
        </w:rPr>
      </w:pPr>
      <w:r>
        <w:rPr>
          <w:rFonts w:hint="eastAsia" w:ascii="仿宋" w:hAnsi="仿宋" w:eastAsia="仿宋" w:cs="仿宋"/>
          <w:sz w:val="32"/>
          <w:szCs w:val="32"/>
        </w:rPr>
        <w:t>绩效指标：为事实无人抚养儿童发放基本生活补贴，并按照与孤儿保障标准相衔接；对申请救助且符合救助条件的人员100%实施救助，帮助查明身份的滞留流浪乞讨人员及时返乡，确保不发生非正常死亡事件；将符合条件的申请人100%纳入残疾人两项补贴制度保障范围，按标准及时、足额发放残疾人两项补贴资金。</w:t>
      </w:r>
    </w:p>
    <w:p w14:paraId="34B4B522">
      <w:pPr>
        <w:pStyle w:val="11"/>
        <w:pageBreakBefore w:val="0"/>
        <w:kinsoku/>
        <w:wordWrap/>
        <w:overflowPunct/>
        <w:topLinePunct w:val="0"/>
        <w:autoSpaceDE/>
        <w:autoSpaceDN/>
        <w:bidi w:val="0"/>
        <w:spacing w:line="312" w:lineRule="auto"/>
        <w:rPr>
          <w:rFonts w:hint="eastAsia" w:ascii="仿宋" w:hAnsi="仿宋" w:eastAsia="仿宋" w:cs="仿宋"/>
          <w:sz w:val="32"/>
          <w:szCs w:val="32"/>
          <w:lang w:eastAsia="zh-CN"/>
        </w:rPr>
      </w:pPr>
      <w:r>
        <w:rPr>
          <w:rFonts w:hint="eastAsia" w:ascii="仿宋" w:hAnsi="仿宋" w:eastAsia="仿宋" w:cs="仿宋"/>
          <w:sz w:val="32"/>
          <w:szCs w:val="32"/>
        </w:rPr>
        <w:t>（四）社会专项事务管理服务水平稳步提升</w:t>
      </w:r>
      <w:r>
        <w:rPr>
          <w:rFonts w:hint="eastAsia" w:ascii="仿宋" w:hAnsi="仿宋" w:eastAsia="仿宋" w:cs="仿宋"/>
          <w:sz w:val="32"/>
          <w:szCs w:val="32"/>
          <w:lang w:eastAsia="zh-CN"/>
        </w:rPr>
        <w:t>。</w:t>
      </w:r>
    </w:p>
    <w:p w14:paraId="3E05CCDE">
      <w:pPr>
        <w:pStyle w:val="11"/>
        <w:pageBreakBefore w:val="0"/>
        <w:kinsoku/>
        <w:wordWrap/>
        <w:overflowPunct/>
        <w:topLinePunct w:val="0"/>
        <w:autoSpaceDE/>
        <w:autoSpaceDN/>
        <w:bidi w:val="0"/>
        <w:spacing w:line="312" w:lineRule="auto"/>
        <w:rPr>
          <w:rFonts w:hint="eastAsia" w:ascii="仿宋" w:hAnsi="仿宋" w:eastAsia="仿宋" w:cs="仿宋"/>
          <w:sz w:val="32"/>
          <w:szCs w:val="32"/>
        </w:rPr>
      </w:pPr>
      <w:r>
        <w:rPr>
          <w:rFonts w:hint="eastAsia" w:ascii="仿宋" w:hAnsi="仿宋" w:eastAsia="仿宋" w:cs="仿宋"/>
          <w:sz w:val="32"/>
          <w:szCs w:val="32"/>
        </w:rPr>
        <w:t>绩效目标：深化殡葬管理制度改革，扩大政府购买社会工作服务的范围，开展社会工作服务项目；及时设置地名标志牌，充分发挥地名指位导向功能，</w:t>
      </w:r>
      <w:r>
        <w:rPr>
          <w:rFonts w:hint="eastAsia" w:ascii="仿宋" w:hAnsi="仿宋" w:eastAsia="仿宋" w:cs="仿宋"/>
          <w:sz w:val="32"/>
          <w:szCs w:val="32"/>
          <w:lang w:eastAsia="zh-CN"/>
        </w:rPr>
        <w:t>更好地为</w:t>
      </w:r>
      <w:r>
        <w:rPr>
          <w:rFonts w:hint="eastAsia" w:ascii="仿宋" w:hAnsi="仿宋" w:eastAsia="仿宋" w:cs="仿宋"/>
          <w:sz w:val="32"/>
          <w:szCs w:val="32"/>
        </w:rPr>
        <w:t>社会提供准确的地名导向服务。</w:t>
      </w:r>
    </w:p>
    <w:p w14:paraId="06569C3A">
      <w:pPr>
        <w:pStyle w:val="11"/>
        <w:pageBreakBefore w:val="0"/>
        <w:kinsoku/>
        <w:wordWrap/>
        <w:overflowPunct/>
        <w:topLinePunct w:val="0"/>
        <w:autoSpaceDE/>
        <w:autoSpaceDN/>
        <w:bidi w:val="0"/>
        <w:spacing w:line="312" w:lineRule="auto"/>
        <w:rPr>
          <w:rFonts w:hint="eastAsia" w:ascii="仿宋" w:hAnsi="仿宋" w:eastAsia="仿宋" w:cs="仿宋"/>
          <w:sz w:val="32"/>
          <w:szCs w:val="32"/>
        </w:rPr>
      </w:pPr>
      <w:r>
        <w:rPr>
          <w:rFonts w:hint="eastAsia" w:ascii="仿宋" w:hAnsi="仿宋" w:eastAsia="仿宋" w:cs="仿宋"/>
          <w:sz w:val="32"/>
          <w:szCs w:val="32"/>
        </w:rPr>
        <w:t>绩效指标：政府购买社工服务中各类服务指标完成率达到95%以上，其中政府购买困境、留守儿童社会工作服务项目中，困境留守儿童的学习成绩和社会支持情况得到改善；主城区完成57块街路地名标志设置；街路地名标志设置道路的覆盖率达到90%以上；每条街路应设位置的设置率达到90%以上。</w:t>
      </w:r>
    </w:p>
    <w:p w14:paraId="1AD4284E">
      <w:pPr>
        <w:pageBreakBefore w:val="0"/>
        <w:widowControl w:val="0"/>
        <w:kinsoku/>
        <w:wordWrap/>
        <w:overflowPunct/>
        <w:topLinePunct w:val="0"/>
        <w:autoSpaceDE/>
        <w:autoSpaceDN/>
        <w:bidi w:val="0"/>
        <w:spacing w:line="312" w:lineRule="auto"/>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14:paraId="7450C479">
      <w:pPr>
        <w:pageBreakBefore w:val="0"/>
        <w:widowControl w:val="0"/>
        <w:kinsoku/>
        <w:wordWrap/>
        <w:overflowPunct/>
        <w:topLinePunct w:val="0"/>
        <w:autoSpaceDE/>
        <w:autoSpaceDN/>
        <w:bidi w:val="0"/>
        <w:spacing w:line="312" w:lineRule="auto"/>
        <w:ind w:left="0" w:leftChars="0" w:right="0" w:firstLine="640" w:firstLineChars="200"/>
        <w:textAlignment w:val="auto"/>
        <w:outlineLvl w:val="9"/>
        <w:rPr>
          <w:rFonts w:hint="eastAsia" w:ascii="仿宋" w:hAnsi="仿宋" w:eastAsia="仿宋"/>
          <w:color w:val="000000" w:themeColor="text1"/>
          <w:sz w:val="32"/>
          <w:szCs w:val="32"/>
          <w:highlight w:val="none"/>
          <w:lang w:val="en-US" w:eastAsia="zh-CN"/>
          <w14:textFill>
            <w14:solidFill>
              <w14:schemeClr w14:val="tx1"/>
            </w14:solidFill>
          </w14:textFill>
        </w:rPr>
      </w:pPr>
      <w:r>
        <w:rPr>
          <w:rFonts w:hint="eastAsia" w:ascii="仿宋" w:hAnsi="仿宋" w:eastAsia="仿宋"/>
          <w:color w:val="000000" w:themeColor="text1"/>
          <w:sz w:val="32"/>
          <w:szCs w:val="32"/>
          <w:highlight w:val="none"/>
          <w:lang w:val="en-US" w:eastAsia="zh-CN"/>
          <w14:textFill>
            <w14:solidFill>
              <w14:schemeClr w14:val="tx1"/>
            </w14:solidFill>
          </w14:textFill>
        </w:rPr>
        <w:t>城乡低保：产出指标中预期指标值</w:t>
      </w:r>
      <w:r>
        <w:rPr>
          <w:rFonts w:hint="eastAsia" w:ascii="宋体" w:hAnsi="宋体" w:eastAsia="宋体" w:cs="宋体"/>
          <w:color w:val="000000" w:themeColor="text1"/>
          <w:sz w:val="32"/>
          <w:szCs w:val="32"/>
          <w:highlight w:val="none"/>
          <w:lang w:val="en-US" w:eastAsia="zh-CN"/>
          <w14:textFill>
            <w14:solidFill>
              <w14:schemeClr w14:val="tx1"/>
            </w14:solidFill>
          </w14:textFill>
        </w:rPr>
        <w:t>≧</w:t>
      </w:r>
      <w:r>
        <w:rPr>
          <w:rFonts w:hint="eastAsia" w:ascii="仿宋" w:hAnsi="仿宋" w:eastAsia="仿宋"/>
          <w:color w:val="000000" w:themeColor="text1"/>
          <w:sz w:val="32"/>
          <w:szCs w:val="32"/>
          <w:highlight w:val="none"/>
          <w:lang w:val="en-US" w:eastAsia="zh-CN"/>
          <w14:textFill>
            <w14:solidFill>
              <w14:schemeClr w14:val="tx1"/>
            </w14:solidFill>
          </w14:textFill>
        </w:rPr>
        <w:t>2538人，实际完成值2608人得分10分；低保资金到位率预期指标值100%，实际完成值100%得分10分；低保金发放时间预期指标值按时按月发放，实际完成值按时按月发放得分10分；农村低保资金发放标准预期指标值5760元，实际完成值5760元得分5分；城市低保资金发放标准预期指标值9192元，实际完成值9192元得分5分；效益指标中生活质量水平预期指标值显著提高，实际完成值显著提高得分20分；社会稳定水平预期指标值显著提高，实际完成值有显著提高得分10分，可持续影响时间预期指标值一年，实际完成值一年得分10分；服务对象满意度预期指标值</w:t>
      </w:r>
      <w:r>
        <w:rPr>
          <w:rFonts w:hint="eastAsia" w:ascii="宋体" w:hAnsi="宋体" w:eastAsia="宋体" w:cs="宋体"/>
          <w:color w:val="000000" w:themeColor="text1"/>
          <w:sz w:val="32"/>
          <w:szCs w:val="32"/>
          <w:highlight w:val="none"/>
          <w:lang w:val="en-US" w:eastAsia="zh-CN"/>
          <w14:textFill>
            <w14:solidFill>
              <w14:schemeClr w14:val="tx1"/>
            </w14:solidFill>
          </w14:textFill>
        </w:rPr>
        <w:t>≧</w:t>
      </w:r>
      <w:r>
        <w:rPr>
          <w:rFonts w:hint="eastAsia" w:ascii="仿宋" w:hAnsi="仿宋" w:eastAsia="仿宋"/>
          <w:color w:val="000000" w:themeColor="text1"/>
          <w:sz w:val="32"/>
          <w:szCs w:val="32"/>
          <w:highlight w:val="none"/>
          <w:lang w:val="en-US" w:eastAsia="zh-CN"/>
          <w14:textFill>
            <w14:solidFill>
              <w14:schemeClr w14:val="tx1"/>
            </w14:solidFill>
          </w14:textFill>
        </w:rPr>
        <w:t>95%，实际完成值95%得分10分；预算执行率98.69%得分9.8分，综合自评得分99.8分。</w:t>
      </w:r>
    </w:p>
    <w:p w14:paraId="543EC8F5">
      <w:pPr>
        <w:pStyle w:val="2"/>
        <w:pageBreakBefore w:val="0"/>
        <w:kinsoku/>
        <w:wordWrap/>
        <w:overflowPunct/>
        <w:topLinePunct w:val="0"/>
        <w:autoSpaceDE/>
        <w:autoSpaceDN/>
        <w:bidi w:val="0"/>
        <w:spacing w:line="312" w:lineRule="auto"/>
        <w:rPr>
          <w:rFonts w:hint="default"/>
          <w:color w:val="000000" w:themeColor="text1"/>
          <w:highlight w:val="none"/>
          <w:lang w:val="en-US" w:eastAsia="zh-CN"/>
          <w14:textFill>
            <w14:solidFill>
              <w14:schemeClr w14:val="tx1"/>
            </w14:solidFill>
          </w14:textFill>
        </w:rPr>
      </w:pPr>
      <w:r>
        <w:rPr>
          <w:rFonts w:hint="eastAsia" w:ascii="仿宋" w:hAnsi="仿宋" w:eastAsia="仿宋"/>
          <w:color w:val="000000" w:themeColor="text1"/>
          <w:sz w:val="32"/>
          <w:szCs w:val="32"/>
          <w:highlight w:val="none"/>
          <w:lang w:val="en-US" w:eastAsia="zh-CN"/>
          <w14:textFill>
            <w14:solidFill>
              <w14:schemeClr w14:val="tx1"/>
            </w14:solidFill>
          </w14:textFill>
        </w:rPr>
        <w:t>残疾人两项补贴：产出指标中发放一、二级残疾人人数预期指标值</w:t>
      </w:r>
      <w:r>
        <w:rPr>
          <w:rFonts w:hint="eastAsia" w:ascii="宋体" w:hAnsi="宋体" w:eastAsia="宋体" w:cs="宋体"/>
          <w:color w:val="000000" w:themeColor="text1"/>
          <w:sz w:val="32"/>
          <w:szCs w:val="32"/>
          <w:highlight w:val="none"/>
          <w:lang w:val="en-US" w:eastAsia="zh-CN"/>
          <w14:textFill>
            <w14:solidFill>
              <w14:schemeClr w14:val="tx1"/>
            </w14:solidFill>
          </w14:textFill>
        </w:rPr>
        <w:t>≧</w:t>
      </w:r>
      <w:r>
        <w:rPr>
          <w:rFonts w:hint="eastAsia" w:ascii="仿宋" w:hAnsi="仿宋" w:eastAsia="仿宋"/>
          <w:color w:val="000000" w:themeColor="text1"/>
          <w:sz w:val="32"/>
          <w:szCs w:val="32"/>
          <w:highlight w:val="none"/>
          <w:lang w:val="en-US" w:eastAsia="zh-CN"/>
          <w14:textFill>
            <w14:solidFill>
              <w14:schemeClr w14:val="tx1"/>
            </w14:solidFill>
          </w14:textFill>
        </w:rPr>
        <w:t>860人，实际完成值718人得分3分；发放三、四级残疾人人数预期指标值</w:t>
      </w:r>
      <w:r>
        <w:rPr>
          <w:rFonts w:hint="eastAsia" w:ascii="宋体" w:hAnsi="宋体" w:eastAsia="宋体" w:cs="宋体"/>
          <w:color w:val="000000" w:themeColor="text1"/>
          <w:sz w:val="32"/>
          <w:szCs w:val="32"/>
          <w:highlight w:val="none"/>
          <w:lang w:val="en-US" w:eastAsia="zh-CN"/>
          <w14:textFill>
            <w14:solidFill>
              <w14:schemeClr w14:val="tx1"/>
            </w14:solidFill>
          </w14:textFill>
        </w:rPr>
        <w:t>≧</w:t>
      </w:r>
      <w:r>
        <w:rPr>
          <w:rFonts w:hint="eastAsia" w:ascii="仿宋" w:hAnsi="仿宋" w:eastAsia="仿宋"/>
          <w:color w:val="000000" w:themeColor="text1"/>
          <w:sz w:val="32"/>
          <w:szCs w:val="32"/>
          <w:highlight w:val="none"/>
          <w:lang w:val="en-US" w:eastAsia="zh-CN"/>
          <w14:textFill>
            <w14:solidFill>
              <w14:schemeClr w14:val="tx1"/>
            </w14:solidFill>
          </w14:textFill>
        </w:rPr>
        <w:t>530人，实际完成值511人得分3分；发放一级困难重度残疾人护理补贴人数预期指标值</w:t>
      </w:r>
      <w:r>
        <w:rPr>
          <w:rFonts w:hint="eastAsia" w:ascii="宋体" w:hAnsi="宋体" w:eastAsia="宋体" w:cs="宋体"/>
          <w:color w:val="000000" w:themeColor="text1"/>
          <w:sz w:val="32"/>
          <w:szCs w:val="32"/>
          <w:highlight w:val="none"/>
          <w:lang w:val="en-US" w:eastAsia="zh-CN"/>
          <w14:textFill>
            <w14:solidFill>
              <w14:schemeClr w14:val="tx1"/>
            </w14:solidFill>
          </w14:textFill>
        </w:rPr>
        <w:t>≧</w:t>
      </w:r>
      <w:r>
        <w:rPr>
          <w:rFonts w:hint="eastAsia" w:ascii="仿宋" w:hAnsi="仿宋" w:eastAsia="仿宋"/>
          <w:color w:val="000000" w:themeColor="text1"/>
          <w:sz w:val="32"/>
          <w:szCs w:val="32"/>
          <w:highlight w:val="none"/>
          <w:lang w:val="en-US" w:eastAsia="zh-CN"/>
          <w14:textFill>
            <w14:solidFill>
              <w14:schemeClr w14:val="tx1"/>
            </w14:solidFill>
          </w14:textFill>
        </w:rPr>
        <w:t>230人，实际完成值261人得分3分；发放二级困难残疾人护理补贴人数预期指标值</w:t>
      </w:r>
      <w:r>
        <w:rPr>
          <w:rFonts w:hint="eastAsia" w:ascii="宋体" w:hAnsi="宋体" w:eastAsia="宋体" w:cs="宋体"/>
          <w:color w:val="000000" w:themeColor="text1"/>
          <w:sz w:val="32"/>
          <w:szCs w:val="32"/>
          <w:highlight w:val="none"/>
          <w:lang w:val="en-US" w:eastAsia="zh-CN"/>
          <w14:textFill>
            <w14:solidFill>
              <w14:schemeClr w14:val="tx1"/>
            </w14:solidFill>
          </w14:textFill>
        </w:rPr>
        <w:t>≧</w:t>
      </w:r>
      <w:r>
        <w:rPr>
          <w:rFonts w:hint="eastAsia" w:ascii="仿宋" w:hAnsi="仿宋" w:eastAsia="仿宋"/>
          <w:color w:val="000000" w:themeColor="text1"/>
          <w:sz w:val="32"/>
          <w:szCs w:val="32"/>
          <w:highlight w:val="none"/>
          <w:lang w:val="en-US" w:eastAsia="zh-CN"/>
          <w14:textFill>
            <w14:solidFill>
              <w14:schemeClr w14:val="tx1"/>
            </w14:solidFill>
          </w14:textFill>
        </w:rPr>
        <w:t>510人，实际完成值449人得分3分；发放其他一二级重度残疾人护理补贴人数预期指标值</w:t>
      </w:r>
      <w:r>
        <w:rPr>
          <w:rFonts w:hint="eastAsia" w:ascii="宋体" w:hAnsi="宋体" w:eastAsia="宋体" w:cs="宋体"/>
          <w:color w:val="000000" w:themeColor="text1"/>
          <w:sz w:val="32"/>
          <w:szCs w:val="32"/>
          <w:highlight w:val="none"/>
          <w:lang w:val="en-US" w:eastAsia="zh-CN"/>
          <w14:textFill>
            <w14:solidFill>
              <w14:schemeClr w14:val="tx1"/>
            </w14:solidFill>
          </w14:textFill>
        </w:rPr>
        <w:t>≧</w:t>
      </w:r>
      <w:r>
        <w:rPr>
          <w:rFonts w:hint="eastAsia" w:ascii="仿宋" w:hAnsi="仿宋" w:eastAsia="仿宋"/>
          <w:color w:val="000000" w:themeColor="text1"/>
          <w:sz w:val="32"/>
          <w:szCs w:val="32"/>
          <w:highlight w:val="none"/>
          <w:lang w:val="en-US" w:eastAsia="zh-CN"/>
          <w14:textFill>
            <w14:solidFill>
              <w14:schemeClr w14:val="tx1"/>
            </w14:solidFill>
          </w14:textFill>
        </w:rPr>
        <w:t>2060人，实际完成值1898人得分3分；残疾人护理补贴扶助政策覆盖率预期指标值100%，实际完成值100%得分3分；残疾人补贴按时发放率预期指标值100%，实际完成值100%得分3分；一二级残疾人生活补贴发放标准预期指标值95元/人/月，实际完成值95元/人/月得分3分；三四级残疾人生活补贴发放标准预期指标值86元/人/月，实际完成值86元/人/月得分3分；一级困难重度残疾人护理补贴发放标准预期指标值220元/人/月，实际完成值220元/人/月得分3分；二级困难重度残疾人护理补贴发放标准预期指标值120元/人/月，实际完成值120元/人/月得分3分；其他一二级困难残疾人护理补贴发放标准预期指标值80元/人/月，实际完成值80元/人/月得分3分；效益指标中享受残疾人数量预期指标值</w:t>
      </w:r>
      <w:r>
        <w:rPr>
          <w:rFonts w:hint="eastAsia" w:ascii="宋体" w:hAnsi="宋体" w:eastAsia="宋体" w:cs="宋体"/>
          <w:color w:val="000000" w:themeColor="text1"/>
          <w:sz w:val="32"/>
          <w:szCs w:val="32"/>
          <w:highlight w:val="none"/>
          <w:lang w:val="en-US" w:eastAsia="zh-CN"/>
          <w14:textFill>
            <w14:solidFill>
              <w14:schemeClr w14:val="tx1"/>
            </w14:solidFill>
          </w14:textFill>
        </w:rPr>
        <w:t>≧</w:t>
      </w:r>
      <w:r>
        <w:rPr>
          <w:rFonts w:hint="eastAsia" w:ascii="仿宋" w:hAnsi="仿宋" w:eastAsia="仿宋"/>
          <w:color w:val="000000" w:themeColor="text1"/>
          <w:sz w:val="32"/>
          <w:szCs w:val="32"/>
          <w:highlight w:val="none"/>
          <w:lang w:val="en-US" w:eastAsia="zh-CN"/>
          <w14:textFill>
            <w14:solidFill>
              <w14:schemeClr w14:val="tx1"/>
            </w14:solidFill>
          </w14:textFill>
        </w:rPr>
        <w:t>4190人，实际完成值3837人得分12分；社会稳定水平预期指标值有所提高，实际完成值显著提高得分13分；可持续影响时间预期指标值一年，实际完成值一年得分13分；接受补助的残疾人群体满意度预期指标值</w:t>
      </w:r>
      <w:r>
        <w:rPr>
          <w:rFonts w:hint="eastAsia" w:ascii="宋体" w:hAnsi="宋体" w:eastAsia="宋体" w:cs="宋体"/>
          <w:color w:val="000000" w:themeColor="text1"/>
          <w:sz w:val="32"/>
          <w:szCs w:val="32"/>
          <w:highlight w:val="none"/>
          <w:lang w:val="en-US" w:eastAsia="zh-CN"/>
          <w14:textFill>
            <w14:solidFill>
              <w14:schemeClr w14:val="tx1"/>
            </w14:solidFill>
          </w14:textFill>
        </w:rPr>
        <w:t>≧</w:t>
      </w:r>
      <w:r>
        <w:rPr>
          <w:rFonts w:hint="eastAsia" w:ascii="仿宋" w:hAnsi="仿宋" w:eastAsia="仿宋"/>
          <w:color w:val="000000" w:themeColor="text1"/>
          <w:sz w:val="32"/>
          <w:szCs w:val="32"/>
          <w:highlight w:val="none"/>
          <w:lang w:val="en-US" w:eastAsia="zh-CN"/>
          <w14:textFill>
            <w14:solidFill>
              <w14:schemeClr w14:val="tx1"/>
            </w14:solidFill>
          </w14:textFill>
        </w:rPr>
        <w:t>95%，实际完成值100%得分10分，预算执行率99.85%得分10分；综合自评得分94分。</w:t>
      </w:r>
    </w:p>
    <w:p w14:paraId="39988C6A">
      <w:pPr>
        <w:pageBreakBefore w:val="0"/>
        <w:widowControl w:val="0"/>
        <w:kinsoku/>
        <w:wordWrap/>
        <w:overflowPunct/>
        <w:topLinePunct w:val="0"/>
        <w:autoSpaceDE/>
        <w:autoSpaceDN/>
        <w:bidi w:val="0"/>
        <w:spacing w:line="312" w:lineRule="auto"/>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14:paraId="6DEBCD3E">
      <w:pPr>
        <w:pageBreakBefore w:val="0"/>
        <w:widowControl w:val="0"/>
        <w:kinsoku/>
        <w:wordWrap/>
        <w:overflowPunct/>
        <w:topLinePunct w:val="0"/>
        <w:autoSpaceDE/>
        <w:autoSpaceDN/>
        <w:bidi w:val="0"/>
        <w:spacing w:line="312" w:lineRule="auto"/>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结合部门职责定位和各项工作履职情况建立健全了财务管理制度和内控制度，依法、有效地利用财政资金，提高财政资金使用效率，合理分配人、财、物，完成了部门只能目标，实现了较高的工作效率和支出绩效。2023年鹿泉区民政局的部门预算编制规范、准确，各项经费足额纳入预算安排，确保了部门正常运转和专项工作的顺利开展，较好完成年初绩效目标任务。自我评价得分：部门预算管理49分，项目预算管理20分，绩效结果应用25分，部门综合得分94分，等级优秀。</w:t>
      </w:r>
    </w:p>
    <w:p w14:paraId="49223672">
      <w:pPr>
        <w:pageBreakBefore w:val="0"/>
        <w:widowControl w:val="0"/>
        <w:kinsoku/>
        <w:wordWrap/>
        <w:overflowPunct/>
        <w:topLinePunct w:val="0"/>
        <w:autoSpaceDE/>
        <w:autoSpaceDN/>
        <w:bidi w:val="0"/>
        <w:spacing w:line="312" w:lineRule="auto"/>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14:paraId="7DCB2B6A">
      <w:pPr>
        <w:pageBreakBefore w:val="0"/>
        <w:widowControl w:val="0"/>
        <w:kinsoku/>
        <w:wordWrap/>
        <w:overflowPunct/>
        <w:topLinePunct w:val="0"/>
        <w:autoSpaceDE/>
        <w:autoSpaceDN/>
        <w:bidi w:val="0"/>
        <w:spacing w:line="312" w:lineRule="auto"/>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14:paraId="1FB7A15F">
      <w:pPr>
        <w:pStyle w:val="2"/>
        <w:keepNext w:val="0"/>
        <w:keepLines w:val="0"/>
        <w:pageBreakBefore w:val="0"/>
        <w:widowControl w:val="0"/>
        <w:kinsoku/>
        <w:wordWrap/>
        <w:overflowPunct/>
        <w:topLinePunct w:val="0"/>
        <w:autoSpaceDE/>
        <w:autoSpaceDN/>
        <w:bidi w:val="0"/>
        <w:adjustRightInd/>
        <w:snapToGrid/>
        <w:spacing w:line="312" w:lineRule="auto"/>
        <w:ind w:left="0" w:leftChars="0" w:firstLine="640" w:firstLineChars="200"/>
        <w:textAlignment w:val="baseline"/>
        <w:rPr>
          <w:rFonts w:hint="default" w:eastAsia="仿宋"/>
          <w:b w:val="0"/>
          <w:bCs w:val="0"/>
          <w:sz w:val="32"/>
          <w:szCs w:val="32"/>
          <w:lang w:val="en-US" w:eastAsia="zh-CN"/>
        </w:rPr>
      </w:pPr>
      <w:r>
        <w:rPr>
          <w:rFonts w:hint="eastAsia" w:ascii="仿宋" w:hAnsi="仿宋" w:eastAsia="仿宋"/>
          <w:b w:val="0"/>
          <w:bCs w:val="0"/>
          <w:sz w:val="32"/>
          <w:szCs w:val="32"/>
          <w:lang w:val="en-US" w:eastAsia="zh-CN"/>
        </w:rPr>
        <w:t>预算过程绩效管理制度体系不健全，需进一步完善；全面推进预算绩效管理工作贯彻不到位，需进一步加强；对自身预算绩效管理不到位，需进一步落实；各业务股室填报预算数字存在不准确，需进一步细致。究其原因：一是经办人员业务能力有待提高；二是预算执行和绩效管理的监督管理不到位。</w:t>
      </w:r>
    </w:p>
    <w:p w14:paraId="6CE06835">
      <w:pPr>
        <w:pageBreakBefore w:val="0"/>
        <w:widowControl w:val="0"/>
        <w:numPr>
          <w:ilvl w:val="0"/>
          <w:numId w:val="3"/>
        </w:numPr>
        <w:kinsoku/>
        <w:wordWrap/>
        <w:overflowPunct/>
        <w:topLinePunct w:val="0"/>
        <w:autoSpaceDE/>
        <w:autoSpaceDN/>
        <w:bidi w:val="0"/>
        <w:spacing w:line="312" w:lineRule="auto"/>
        <w:ind w:left="0" w:leftChars="0" w:right="0" w:firstLine="643" w:firstLineChars="200"/>
        <w:textAlignment w:val="auto"/>
        <w:outlineLvl w:val="9"/>
        <w:rPr>
          <w:b/>
          <w:bCs/>
        </w:rPr>
      </w:pPr>
      <w:r>
        <w:rPr>
          <w:rFonts w:hint="eastAsia" w:ascii="仿宋" w:hAnsi="仿宋" w:eastAsia="仿宋"/>
          <w:b/>
          <w:bCs/>
          <w:sz w:val="32"/>
          <w:szCs w:val="32"/>
        </w:rPr>
        <w:t>针对问题提出具体的改进措施或建议</w:t>
      </w:r>
    </w:p>
    <w:p w14:paraId="0B45BB41">
      <w:pPr>
        <w:pStyle w:val="2"/>
        <w:pageBreakBefore w:val="0"/>
        <w:kinsoku/>
        <w:wordWrap/>
        <w:overflowPunct/>
        <w:topLinePunct w:val="0"/>
        <w:autoSpaceDE/>
        <w:autoSpaceDN/>
        <w:bidi w:val="0"/>
        <w:spacing w:line="312" w:lineRule="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一是加强领导，精心组织，逐步推开，实现编制预算绩效目标全覆盖。</w:t>
      </w:r>
    </w:p>
    <w:p w14:paraId="17ED37B9">
      <w:pPr>
        <w:pStyle w:val="2"/>
        <w:pageBreakBefore w:val="0"/>
        <w:kinsoku/>
        <w:wordWrap/>
        <w:overflowPunct/>
        <w:topLinePunct w:val="0"/>
        <w:autoSpaceDE/>
        <w:autoSpaceDN/>
        <w:bidi w:val="0"/>
        <w:spacing w:line="312" w:lineRule="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二是完善相关制度，推进制度落实。</w:t>
      </w:r>
    </w:p>
    <w:p w14:paraId="79CABD02">
      <w:pPr>
        <w:pStyle w:val="2"/>
        <w:pageBreakBefore w:val="0"/>
        <w:kinsoku/>
        <w:wordWrap/>
        <w:overflowPunct/>
        <w:topLinePunct w:val="0"/>
        <w:autoSpaceDE/>
        <w:autoSpaceDN/>
        <w:bidi w:val="0"/>
        <w:spacing w:line="312" w:lineRule="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三是细化预算编制工作，认真做好预算编制。</w:t>
      </w:r>
    </w:p>
    <w:p w14:paraId="53CA8CAD">
      <w:pPr>
        <w:pStyle w:val="2"/>
        <w:pageBreakBefore w:val="0"/>
        <w:kinsoku/>
        <w:wordWrap/>
        <w:overflowPunct/>
        <w:topLinePunct w:val="0"/>
        <w:autoSpaceDE/>
        <w:autoSpaceDN/>
        <w:bidi w:val="0"/>
        <w:spacing w:line="312" w:lineRule="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四是加强财务管理，严格财务审核。</w:t>
      </w:r>
    </w:p>
    <w:p w14:paraId="0B810DF5">
      <w:pPr>
        <w:pStyle w:val="2"/>
        <w:pageBreakBefore w:val="0"/>
        <w:kinsoku/>
        <w:wordWrap/>
        <w:overflowPunct/>
        <w:topLinePunct w:val="0"/>
        <w:autoSpaceDE/>
        <w:autoSpaceDN/>
        <w:bidi w:val="0"/>
        <w:spacing w:line="312" w:lineRule="auto"/>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五是加强项目开展进度的跟踪，开展项目事前、事中、事后绩效跟踪评价。</w:t>
      </w:r>
    </w:p>
    <w:p w14:paraId="22ED53F7">
      <w:pPr>
        <w:pageBreakBefore w:val="0"/>
        <w:widowControl w:val="0"/>
        <w:kinsoku/>
        <w:wordWrap/>
        <w:overflowPunct/>
        <w:topLinePunct w:val="0"/>
        <w:autoSpaceDE/>
        <w:autoSpaceDN/>
        <w:bidi w:val="0"/>
        <w:adjustRightInd w:val="0"/>
        <w:snapToGrid w:val="0"/>
        <w:spacing w:line="312"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14:paraId="529904B8">
      <w:pPr>
        <w:pageBreakBefore w:val="0"/>
        <w:widowControl w:val="0"/>
        <w:kinsoku/>
        <w:wordWrap/>
        <w:overflowPunct/>
        <w:topLinePunct w:val="0"/>
        <w:autoSpaceDE/>
        <w:autoSpaceDN/>
        <w:bidi w:val="0"/>
        <w:spacing w:line="312" w:lineRule="auto"/>
        <w:ind w:left="0" w:leftChars="0" w:right="0"/>
        <w:jc w:val="center"/>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评价工作组人员名单</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7"/>
        <w:gridCol w:w="2280"/>
        <w:gridCol w:w="2085"/>
        <w:gridCol w:w="1710"/>
        <w:gridCol w:w="1249"/>
      </w:tblGrid>
      <w:tr w14:paraId="12264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7" w:type="dxa"/>
            <w:vAlign w:val="center"/>
          </w:tcPr>
          <w:p w14:paraId="369967AA">
            <w:pPr>
              <w:pStyle w:val="2"/>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姓  名</w:t>
            </w:r>
          </w:p>
        </w:tc>
        <w:tc>
          <w:tcPr>
            <w:tcW w:w="2280" w:type="dxa"/>
            <w:vAlign w:val="center"/>
          </w:tcPr>
          <w:p w14:paraId="64DCD05A">
            <w:pPr>
              <w:pStyle w:val="2"/>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工作单位</w:t>
            </w:r>
          </w:p>
        </w:tc>
        <w:tc>
          <w:tcPr>
            <w:tcW w:w="2085" w:type="dxa"/>
            <w:vAlign w:val="center"/>
          </w:tcPr>
          <w:p w14:paraId="7694514B">
            <w:pPr>
              <w:pStyle w:val="2"/>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职    务</w:t>
            </w:r>
          </w:p>
        </w:tc>
        <w:tc>
          <w:tcPr>
            <w:tcW w:w="1710" w:type="dxa"/>
            <w:vAlign w:val="center"/>
          </w:tcPr>
          <w:p w14:paraId="5CD3E449">
            <w:pPr>
              <w:pStyle w:val="2"/>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签  字</w:t>
            </w:r>
          </w:p>
        </w:tc>
        <w:tc>
          <w:tcPr>
            <w:tcW w:w="1249" w:type="dxa"/>
            <w:vAlign w:val="center"/>
          </w:tcPr>
          <w:p w14:paraId="6EEF1F4A">
            <w:pPr>
              <w:pStyle w:val="2"/>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备 注</w:t>
            </w:r>
          </w:p>
        </w:tc>
      </w:tr>
      <w:tr w14:paraId="69F13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7" w:type="dxa"/>
            <w:vAlign w:val="center"/>
          </w:tcPr>
          <w:p w14:paraId="10490F31">
            <w:pPr>
              <w:pStyle w:val="2"/>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侯千千</w:t>
            </w:r>
          </w:p>
        </w:tc>
        <w:tc>
          <w:tcPr>
            <w:tcW w:w="2280" w:type="dxa"/>
            <w:vAlign w:val="center"/>
          </w:tcPr>
          <w:p w14:paraId="3DB4282E">
            <w:pPr>
              <w:pStyle w:val="2"/>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鹿泉区民政局</w:t>
            </w:r>
          </w:p>
        </w:tc>
        <w:tc>
          <w:tcPr>
            <w:tcW w:w="2085" w:type="dxa"/>
            <w:vAlign w:val="center"/>
          </w:tcPr>
          <w:p w14:paraId="2F0A4A7C">
            <w:pPr>
              <w:pStyle w:val="2"/>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18"/>
                <w:szCs w:val="18"/>
                <w:vertAlign w:val="baseline"/>
                <w:lang w:val="en-US" w:eastAsia="zh-CN"/>
              </w:rPr>
              <w:t>党组成员 副局长</w:t>
            </w:r>
          </w:p>
        </w:tc>
        <w:tc>
          <w:tcPr>
            <w:tcW w:w="1710" w:type="dxa"/>
            <w:vAlign w:val="center"/>
          </w:tcPr>
          <w:p w14:paraId="36EB2390">
            <w:pPr>
              <w:pStyle w:val="2"/>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侯千千</w:t>
            </w:r>
          </w:p>
        </w:tc>
        <w:tc>
          <w:tcPr>
            <w:tcW w:w="1249" w:type="dxa"/>
            <w:vAlign w:val="center"/>
          </w:tcPr>
          <w:p w14:paraId="17088B84">
            <w:pPr>
              <w:pStyle w:val="2"/>
              <w:pageBreakBefore w:val="0"/>
              <w:kinsoku/>
              <w:wordWrap/>
              <w:overflowPunct/>
              <w:topLinePunct w:val="0"/>
              <w:autoSpaceDE/>
              <w:autoSpaceDN/>
              <w:bidi w:val="0"/>
              <w:spacing w:line="312" w:lineRule="auto"/>
              <w:jc w:val="center"/>
              <w:rPr>
                <w:rFonts w:hint="default"/>
                <w:sz w:val="21"/>
                <w:szCs w:val="21"/>
                <w:vertAlign w:val="baseline"/>
                <w:lang w:val="en-US" w:eastAsia="zh-CN"/>
              </w:rPr>
            </w:pPr>
          </w:p>
        </w:tc>
      </w:tr>
      <w:tr w14:paraId="4DACA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7" w:type="dxa"/>
            <w:vAlign w:val="center"/>
          </w:tcPr>
          <w:p w14:paraId="1A71D543">
            <w:pPr>
              <w:pStyle w:val="2"/>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侯亚楠</w:t>
            </w:r>
          </w:p>
        </w:tc>
        <w:tc>
          <w:tcPr>
            <w:tcW w:w="2280" w:type="dxa"/>
            <w:vAlign w:val="center"/>
          </w:tcPr>
          <w:p w14:paraId="1B29773B">
            <w:pPr>
              <w:pStyle w:val="2"/>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鹿泉区民政局</w:t>
            </w:r>
          </w:p>
        </w:tc>
        <w:tc>
          <w:tcPr>
            <w:tcW w:w="2085" w:type="dxa"/>
            <w:vAlign w:val="center"/>
          </w:tcPr>
          <w:p w14:paraId="5812C869">
            <w:pPr>
              <w:pStyle w:val="2"/>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党组成员</w:t>
            </w:r>
          </w:p>
        </w:tc>
        <w:tc>
          <w:tcPr>
            <w:tcW w:w="1710" w:type="dxa"/>
            <w:vAlign w:val="center"/>
          </w:tcPr>
          <w:p w14:paraId="250B914A">
            <w:pPr>
              <w:pStyle w:val="2"/>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侯亚楠</w:t>
            </w:r>
          </w:p>
        </w:tc>
        <w:tc>
          <w:tcPr>
            <w:tcW w:w="1249" w:type="dxa"/>
            <w:vAlign w:val="center"/>
          </w:tcPr>
          <w:p w14:paraId="42A36CD3">
            <w:pPr>
              <w:pStyle w:val="2"/>
              <w:pageBreakBefore w:val="0"/>
              <w:kinsoku/>
              <w:wordWrap/>
              <w:overflowPunct/>
              <w:topLinePunct w:val="0"/>
              <w:autoSpaceDE/>
              <w:autoSpaceDN/>
              <w:bidi w:val="0"/>
              <w:spacing w:line="312" w:lineRule="auto"/>
              <w:jc w:val="center"/>
              <w:rPr>
                <w:rFonts w:hint="default"/>
                <w:sz w:val="21"/>
                <w:szCs w:val="21"/>
                <w:vertAlign w:val="baseline"/>
                <w:lang w:val="en-US" w:eastAsia="zh-CN"/>
              </w:rPr>
            </w:pPr>
          </w:p>
        </w:tc>
      </w:tr>
      <w:tr w14:paraId="6A4AC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7" w:type="dxa"/>
            <w:vAlign w:val="center"/>
          </w:tcPr>
          <w:p w14:paraId="731B864F">
            <w:pPr>
              <w:pStyle w:val="2"/>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付国强</w:t>
            </w:r>
          </w:p>
        </w:tc>
        <w:tc>
          <w:tcPr>
            <w:tcW w:w="2280" w:type="dxa"/>
            <w:vAlign w:val="center"/>
          </w:tcPr>
          <w:p w14:paraId="18D297EA">
            <w:pPr>
              <w:pStyle w:val="2"/>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鹿泉区民政局</w:t>
            </w:r>
          </w:p>
        </w:tc>
        <w:tc>
          <w:tcPr>
            <w:tcW w:w="2085" w:type="dxa"/>
            <w:vAlign w:val="center"/>
          </w:tcPr>
          <w:p w14:paraId="67A5D49C">
            <w:pPr>
              <w:pStyle w:val="2"/>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财务负责人</w:t>
            </w:r>
          </w:p>
        </w:tc>
        <w:tc>
          <w:tcPr>
            <w:tcW w:w="1710" w:type="dxa"/>
            <w:vAlign w:val="center"/>
          </w:tcPr>
          <w:p w14:paraId="6DD02D63">
            <w:pPr>
              <w:pStyle w:val="2"/>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付国强</w:t>
            </w:r>
          </w:p>
        </w:tc>
        <w:tc>
          <w:tcPr>
            <w:tcW w:w="1249" w:type="dxa"/>
            <w:vAlign w:val="center"/>
          </w:tcPr>
          <w:p w14:paraId="27F4046A">
            <w:pPr>
              <w:pStyle w:val="2"/>
              <w:pageBreakBefore w:val="0"/>
              <w:kinsoku/>
              <w:wordWrap/>
              <w:overflowPunct/>
              <w:topLinePunct w:val="0"/>
              <w:autoSpaceDE/>
              <w:autoSpaceDN/>
              <w:bidi w:val="0"/>
              <w:spacing w:line="312" w:lineRule="auto"/>
              <w:jc w:val="center"/>
              <w:rPr>
                <w:rFonts w:hint="default"/>
                <w:sz w:val="21"/>
                <w:szCs w:val="21"/>
                <w:vertAlign w:val="baseline"/>
                <w:lang w:val="en-US" w:eastAsia="zh-CN"/>
              </w:rPr>
            </w:pPr>
          </w:p>
        </w:tc>
      </w:tr>
    </w:tbl>
    <w:p w14:paraId="4275863B">
      <w:pPr>
        <w:pStyle w:val="2"/>
        <w:pageBreakBefore w:val="0"/>
        <w:kinsoku/>
        <w:wordWrap/>
        <w:overflowPunct/>
        <w:topLinePunct w:val="0"/>
        <w:autoSpaceDE/>
        <w:autoSpaceDN/>
        <w:bidi w:val="0"/>
        <w:spacing w:line="312" w:lineRule="auto"/>
        <w:rPr>
          <w:rFonts w:hint="default"/>
          <w:lang w:val="en-US" w:eastAsia="zh-CN"/>
        </w:rPr>
      </w:pPr>
    </w:p>
    <w:p w14:paraId="4712386F">
      <w:pPr>
        <w:pStyle w:val="2"/>
        <w:pageBreakBefore w:val="0"/>
        <w:kinsoku/>
        <w:wordWrap/>
        <w:overflowPunct/>
        <w:topLinePunct w:val="0"/>
        <w:autoSpaceDE/>
        <w:autoSpaceDN/>
        <w:bidi w:val="0"/>
        <w:spacing w:line="312" w:lineRule="auto"/>
        <w:rPr>
          <w:rFonts w:hint="default"/>
          <w:lang w:val="en-US" w:eastAsia="zh-CN"/>
        </w:rPr>
      </w:pPr>
    </w:p>
    <w:p w14:paraId="65F5DF14">
      <w:pPr>
        <w:pStyle w:val="2"/>
        <w:pageBreakBefore w:val="0"/>
        <w:kinsoku/>
        <w:wordWrap/>
        <w:overflowPunct/>
        <w:topLinePunct w:val="0"/>
        <w:autoSpaceDE/>
        <w:autoSpaceDN/>
        <w:bidi w:val="0"/>
        <w:spacing w:line="312" w:lineRule="auto"/>
        <w:rPr>
          <w:rFonts w:hint="default"/>
          <w:lang w:val="en-US" w:eastAsia="zh-CN"/>
        </w:rPr>
      </w:pPr>
    </w:p>
    <w:p w14:paraId="22D18A36">
      <w:pPr>
        <w:pStyle w:val="2"/>
        <w:pageBreakBefore w:val="0"/>
        <w:kinsoku/>
        <w:wordWrap/>
        <w:overflowPunct/>
        <w:topLinePunct w:val="0"/>
        <w:autoSpaceDE/>
        <w:autoSpaceDN/>
        <w:bidi w:val="0"/>
        <w:spacing w:line="312" w:lineRule="auto"/>
        <w:ind w:left="0" w:leftChars="0" w:firstLine="0" w:firstLineChars="0"/>
        <w:jc w:val="righ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石家庄市鹿泉区民政局</w:t>
      </w:r>
    </w:p>
    <w:p w14:paraId="4908A3D5">
      <w:pPr>
        <w:pStyle w:val="2"/>
        <w:pageBreakBefore w:val="0"/>
        <w:kinsoku/>
        <w:wordWrap/>
        <w:overflowPunct/>
        <w:topLinePunct w:val="0"/>
        <w:autoSpaceDE/>
        <w:autoSpaceDN/>
        <w:bidi w:val="0"/>
        <w:spacing w:line="312" w:lineRule="auto"/>
        <w:ind w:left="0" w:leftChars="0" w:firstLine="6080" w:firstLineChars="19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2024年4月18日</w:t>
      </w: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B0342D">
    <w:pPr>
      <w:pStyle w:val="5"/>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7FD5FD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27FD5FD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DC026D"/>
    <w:multiLevelType w:val="singleLevel"/>
    <w:tmpl w:val="99DC026D"/>
    <w:lvl w:ilvl="0" w:tentative="0">
      <w:start w:val="1"/>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hint="eastAsia"/>
        <w:sz w:val="32"/>
        <w:szCs w:val="32"/>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7E6C1F"/>
    <w:rsid w:val="00AF566A"/>
    <w:rsid w:val="00B6553A"/>
    <w:rsid w:val="01B104CA"/>
    <w:rsid w:val="02106AB0"/>
    <w:rsid w:val="02B43A28"/>
    <w:rsid w:val="03150A2A"/>
    <w:rsid w:val="041A3E77"/>
    <w:rsid w:val="046F331E"/>
    <w:rsid w:val="05412BED"/>
    <w:rsid w:val="062F2416"/>
    <w:rsid w:val="07956271"/>
    <w:rsid w:val="09721397"/>
    <w:rsid w:val="0BB63BED"/>
    <w:rsid w:val="0C4772A9"/>
    <w:rsid w:val="0D7D438F"/>
    <w:rsid w:val="0E550A2D"/>
    <w:rsid w:val="0EB97A43"/>
    <w:rsid w:val="0EBD2122"/>
    <w:rsid w:val="0EDF256F"/>
    <w:rsid w:val="0F214EAE"/>
    <w:rsid w:val="11B71E6A"/>
    <w:rsid w:val="1AAF0063"/>
    <w:rsid w:val="1AB627C7"/>
    <w:rsid w:val="1BE140DE"/>
    <w:rsid w:val="248C197D"/>
    <w:rsid w:val="252959AF"/>
    <w:rsid w:val="270C0581"/>
    <w:rsid w:val="277A6671"/>
    <w:rsid w:val="292D35B7"/>
    <w:rsid w:val="2A594280"/>
    <w:rsid w:val="2C977FAA"/>
    <w:rsid w:val="33EB6CFF"/>
    <w:rsid w:val="35A12947"/>
    <w:rsid w:val="37387040"/>
    <w:rsid w:val="37C5581D"/>
    <w:rsid w:val="3B625C0A"/>
    <w:rsid w:val="3B731131"/>
    <w:rsid w:val="3CCE61B9"/>
    <w:rsid w:val="3CEE1963"/>
    <w:rsid w:val="42066C74"/>
    <w:rsid w:val="4657658F"/>
    <w:rsid w:val="468B3693"/>
    <w:rsid w:val="4C9C27FE"/>
    <w:rsid w:val="4CDF1E0C"/>
    <w:rsid w:val="50F463B9"/>
    <w:rsid w:val="512260B4"/>
    <w:rsid w:val="514804BB"/>
    <w:rsid w:val="52BD6ACB"/>
    <w:rsid w:val="55537534"/>
    <w:rsid w:val="561A74F1"/>
    <w:rsid w:val="597244E8"/>
    <w:rsid w:val="5E0954B0"/>
    <w:rsid w:val="5EB71C30"/>
    <w:rsid w:val="610F18D2"/>
    <w:rsid w:val="654B7109"/>
    <w:rsid w:val="65C816D7"/>
    <w:rsid w:val="66AF0CE5"/>
    <w:rsid w:val="68CA0F81"/>
    <w:rsid w:val="6AC537CF"/>
    <w:rsid w:val="6B290105"/>
    <w:rsid w:val="6D5A4E92"/>
    <w:rsid w:val="6E5B14A6"/>
    <w:rsid w:val="711B255E"/>
    <w:rsid w:val="7317199D"/>
    <w:rsid w:val="7863469D"/>
    <w:rsid w:val="79DD190C"/>
    <w:rsid w:val="7BB51E06"/>
    <w:rsid w:val="7C387F7C"/>
    <w:rsid w:val="7D7C563F"/>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4">
    <w:name w:val="heading 1"/>
    <w:basedOn w:val="1"/>
    <w:next w:val="1"/>
    <w:qFormat/>
    <w:uiPriority w:val="99"/>
    <w:pPr>
      <w:keepNext/>
      <w:keepLines/>
      <w:spacing w:before="340" w:after="330" w:line="578" w:lineRule="auto"/>
      <w:outlineLvl w:val="0"/>
    </w:pPr>
    <w:rPr>
      <w:b/>
      <w:bCs/>
      <w:kern w:val="44"/>
      <w:sz w:val="44"/>
      <w:szCs w:val="44"/>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99"/>
    <w:pPr>
      <w:ind w:firstLine="420"/>
    </w:pPr>
    <w:rPr>
      <w:rFonts w:ascii="Times New Roman" w:hAnsi="Times New Roman" w:eastAsia="宋体" w:cs="Times New Roman"/>
    </w:rPr>
  </w:style>
  <w:style w:type="paragraph" w:styleId="3">
    <w:name w:val="Body Text Indent"/>
    <w:basedOn w:val="1"/>
    <w:unhideWhenUsed/>
    <w:qFormat/>
    <w:uiPriority w:val="99"/>
    <w:pPr>
      <w:spacing w:line="360" w:lineRule="auto"/>
      <w:ind w:firstLine="200" w:firstLineChars="200"/>
      <w:textAlignment w:val="baseline"/>
    </w:pPr>
    <w:rPr>
      <w:rFonts w:hint="eastAsia" w:ascii="Times New Roman" w:hAnsi="Times New Roman" w:eastAsia="宋体" w:cs="Times New Roman"/>
      <w:sz w:val="24"/>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5129</Words>
  <Characters>5453</Characters>
  <Lines>7</Lines>
  <Paragraphs>2</Paragraphs>
  <TotalTime>113</TotalTime>
  <ScaleCrop>false</ScaleCrop>
  <LinksUpToDate>false</LinksUpToDate>
  <CharactersWithSpaces>5482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周胖胖</cp:lastModifiedBy>
  <cp:lastPrinted>2022-01-19T07:24:00Z</cp:lastPrinted>
  <dcterms:modified xsi:type="dcterms:W3CDTF">2025-01-05T09:32:27Z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eyJoZGlkIjoiOTZkNGExZjU5NmE1ODZjZjRkZThhMDBlMjM5MjAwMGQiLCJ1c2VySWQiOiIxMDM4MjU3Nzc0In0=</vt:lpwstr>
  </property>
  <property fmtid="{D5CDD505-2E9C-101B-9397-08002B2CF9AE}" pid="4" name="ICV">
    <vt:lpwstr>BA8331FF7C594AB3B5F4510D55138E70_12</vt:lpwstr>
  </property>
</Properties>
</file>