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47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48</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315石家庄市鹿泉区司法局</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1625.59</w:t>
            </w:r>
          </w:p>
        </w:tc>
        <w:tc>
          <w:tcPr>
            <w:tcW w:w="4535" w:type="dxa"/>
            <w:vAlign w:val="center"/>
          </w:tcPr>
          <w:p>
            <w:pPr>
              <w:pStyle w:val="14"/>
            </w:pPr>
            <w:r>
              <w:t>一、一般公共服务支出</w:t>
            </w:r>
          </w:p>
        </w:tc>
        <w:tc>
          <w:tcPr>
            <w:tcW w:w="2126" w:type="dxa"/>
            <w:vAlign w:val="center"/>
          </w:tcPr>
          <w:p>
            <w:pPr>
              <w:pStyle w:val="13"/>
            </w:pPr>
            <w:r>
              <w:t>96.65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r>
              <w:t>1391.20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167.28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63.32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1625.59</w:t>
            </w:r>
          </w:p>
        </w:tc>
        <w:tc>
          <w:tcPr>
            <w:tcW w:w="4535" w:type="dxa"/>
            <w:vAlign w:val="center"/>
          </w:tcPr>
          <w:p>
            <w:pPr>
              <w:pStyle w:val="16"/>
            </w:pPr>
            <w:r>
              <w:t>本年支出合计</w:t>
            </w:r>
          </w:p>
        </w:tc>
        <w:tc>
          <w:tcPr>
            <w:tcW w:w="2126" w:type="dxa"/>
            <w:vAlign w:val="center"/>
          </w:tcPr>
          <w:p>
            <w:pPr>
              <w:pStyle w:val="17"/>
            </w:pPr>
            <w:r>
              <w:t>1761.77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r>
              <w:t>-136.18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1625.59</w:t>
            </w:r>
          </w:p>
        </w:tc>
        <w:tc>
          <w:tcPr>
            <w:tcW w:w="4535" w:type="dxa"/>
            <w:vAlign w:val="center"/>
          </w:tcPr>
          <w:p>
            <w:pPr>
              <w:pStyle w:val="16"/>
            </w:pPr>
            <w:r>
              <w:t>支出总计</w:t>
            </w:r>
          </w:p>
        </w:tc>
        <w:tc>
          <w:tcPr>
            <w:tcW w:w="2126" w:type="dxa"/>
            <w:vAlign w:val="center"/>
          </w:tcPr>
          <w:p>
            <w:pPr>
              <w:pStyle w:val="17"/>
            </w:pPr>
            <w:r>
              <w:t>1625.59</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315石家庄市鹿泉区司法局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1761.77</w:t>
            </w:r>
          </w:p>
        </w:tc>
        <w:tc>
          <w:tcPr>
            <w:tcW w:w="1134" w:type="dxa"/>
            <w:vAlign w:val="center"/>
          </w:tcPr>
          <w:p>
            <w:pPr>
              <w:pStyle w:val="17"/>
            </w:pPr>
            <w:r>
              <w:t>1625.59</w:t>
            </w:r>
          </w:p>
        </w:tc>
        <w:tc>
          <w:tcPr>
            <w:tcW w:w="1134" w:type="dxa"/>
            <w:vAlign w:val="center"/>
          </w:tcPr>
          <w:p>
            <w:pPr>
              <w:pStyle w:val="17"/>
            </w:pPr>
            <w:r>
              <w:t>1625.59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136.18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96.65</w:t>
            </w:r>
          </w:p>
        </w:tc>
        <w:tc>
          <w:tcPr>
            <w:tcW w:w="1134" w:type="dxa"/>
            <w:vAlign w:val="center"/>
          </w:tcPr>
          <w:p>
            <w:pPr>
              <w:pStyle w:val="13"/>
            </w:pPr>
            <w:r>
              <w:t>96.65</w:t>
            </w:r>
          </w:p>
        </w:tc>
        <w:tc>
          <w:tcPr>
            <w:tcW w:w="1134" w:type="dxa"/>
            <w:vAlign w:val="center"/>
          </w:tcPr>
          <w:p>
            <w:pPr>
              <w:pStyle w:val="13"/>
            </w:pPr>
            <w:r>
              <w:t>96.65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20101</w:t>
            </w:r>
          </w:p>
        </w:tc>
        <w:tc>
          <w:tcPr>
            <w:tcW w:w="1559" w:type="dxa"/>
            <w:vAlign w:val="center"/>
          </w:tcPr>
          <w:p>
            <w:pPr>
              <w:pStyle w:val="14"/>
            </w:pPr>
            <w:r>
              <w:t>人大事务</w:t>
            </w:r>
          </w:p>
        </w:tc>
        <w:tc>
          <w:tcPr>
            <w:tcW w:w="1134" w:type="dxa"/>
            <w:vAlign w:val="center"/>
          </w:tcPr>
          <w:p>
            <w:pPr>
              <w:pStyle w:val="13"/>
            </w:pPr>
            <w:r>
              <w:t>96.65</w:t>
            </w:r>
          </w:p>
        </w:tc>
        <w:tc>
          <w:tcPr>
            <w:tcW w:w="1134" w:type="dxa"/>
            <w:vAlign w:val="center"/>
          </w:tcPr>
          <w:p>
            <w:pPr>
              <w:pStyle w:val="13"/>
            </w:pPr>
            <w:r>
              <w:t>96.65</w:t>
            </w:r>
          </w:p>
        </w:tc>
        <w:tc>
          <w:tcPr>
            <w:tcW w:w="1134" w:type="dxa"/>
            <w:vAlign w:val="center"/>
          </w:tcPr>
          <w:p>
            <w:pPr>
              <w:pStyle w:val="13"/>
            </w:pPr>
            <w:r>
              <w:t>96.65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2010102</w:t>
            </w:r>
          </w:p>
        </w:tc>
        <w:tc>
          <w:tcPr>
            <w:tcW w:w="1559" w:type="dxa"/>
            <w:vAlign w:val="center"/>
          </w:tcPr>
          <w:p>
            <w:pPr>
              <w:pStyle w:val="14"/>
            </w:pPr>
            <w:r>
              <w:t>一般行政管理事务</w:t>
            </w:r>
          </w:p>
        </w:tc>
        <w:tc>
          <w:tcPr>
            <w:tcW w:w="1134" w:type="dxa"/>
            <w:vAlign w:val="center"/>
          </w:tcPr>
          <w:p>
            <w:pPr>
              <w:pStyle w:val="13"/>
            </w:pPr>
            <w:r>
              <w:t>96.65</w:t>
            </w:r>
          </w:p>
        </w:tc>
        <w:tc>
          <w:tcPr>
            <w:tcW w:w="1134" w:type="dxa"/>
            <w:vAlign w:val="center"/>
          </w:tcPr>
          <w:p>
            <w:pPr>
              <w:pStyle w:val="13"/>
            </w:pPr>
            <w:r>
              <w:t>96.65</w:t>
            </w:r>
          </w:p>
        </w:tc>
        <w:tc>
          <w:tcPr>
            <w:tcW w:w="1134" w:type="dxa"/>
            <w:vAlign w:val="center"/>
          </w:tcPr>
          <w:p>
            <w:pPr>
              <w:pStyle w:val="13"/>
            </w:pPr>
            <w:r>
              <w:t>96.65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204</w:t>
            </w:r>
          </w:p>
        </w:tc>
        <w:tc>
          <w:tcPr>
            <w:tcW w:w="1559" w:type="dxa"/>
            <w:vAlign w:val="center"/>
          </w:tcPr>
          <w:p>
            <w:pPr>
              <w:pStyle w:val="14"/>
            </w:pPr>
            <w:r>
              <w:t>公共安全支出</w:t>
            </w:r>
          </w:p>
        </w:tc>
        <w:tc>
          <w:tcPr>
            <w:tcW w:w="1134" w:type="dxa"/>
            <w:vAlign w:val="center"/>
          </w:tcPr>
          <w:p>
            <w:pPr>
              <w:pStyle w:val="13"/>
            </w:pPr>
            <w:r>
              <w:t>1391.20</w:t>
            </w:r>
          </w:p>
        </w:tc>
        <w:tc>
          <w:tcPr>
            <w:tcW w:w="1134" w:type="dxa"/>
            <w:vAlign w:val="center"/>
          </w:tcPr>
          <w:p>
            <w:pPr>
              <w:pStyle w:val="13"/>
            </w:pPr>
            <w:r>
              <w:t>1255.03</w:t>
            </w:r>
          </w:p>
        </w:tc>
        <w:tc>
          <w:tcPr>
            <w:tcW w:w="1134" w:type="dxa"/>
            <w:vAlign w:val="center"/>
          </w:tcPr>
          <w:p>
            <w:pPr>
              <w:pStyle w:val="13"/>
            </w:pPr>
            <w:r>
              <w:t>1255.03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20406</w:t>
            </w:r>
          </w:p>
        </w:tc>
        <w:tc>
          <w:tcPr>
            <w:tcW w:w="1559" w:type="dxa"/>
            <w:vAlign w:val="center"/>
          </w:tcPr>
          <w:p>
            <w:pPr>
              <w:pStyle w:val="14"/>
            </w:pPr>
            <w:r>
              <w:t>司法</w:t>
            </w:r>
          </w:p>
        </w:tc>
        <w:tc>
          <w:tcPr>
            <w:tcW w:w="1134" w:type="dxa"/>
            <w:vAlign w:val="center"/>
          </w:tcPr>
          <w:p>
            <w:pPr>
              <w:pStyle w:val="13"/>
            </w:pPr>
            <w:r>
              <w:t>1391.20</w:t>
            </w:r>
          </w:p>
        </w:tc>
        <w:tc>
          <w:tcPr>
            <w:tcW w:w="1134" w:type="dxa"/>
            <w:vAlign w:val="center"/>
          </w:tcPr>
          <w:p>
            <w:pPr>
              <w:pStyle w:val="13"/>
            </w:pPr>
            <w:r>
              <w:t>1255.03</w:t>
            </w:r>
          </w:p>
        </w:tc>
        <w:tc>
          <w:tcPr>
            <w:tcW w:w="1134" w:type="dxa"/>
            <w:vAlign w:val="center"/>
          </w:tcPr>
          <w:p>
            <w:pPr>
              <w:pStyle w:val="13"/>
            </w:pPr>
            <w:r>
              <w:t>1255.03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2040601</w:t>
            </w:r>
          </w:p>
        </w:tc>
        <w:tc>
          <w:tcPr>
            <w:tcW w:w="1559" w:type="dxa"/>
            <w:vAlign w:val="center"/>
          </w:tcPr>
          <w:p>
            <w:pPr>
              <w:pStyle w:val="14"/>
            </w:pPr>
            <w:r>
              <w:t>行政运行</w:t>
            </w:r>
          </w:p>
        </w:tc>
        <w:tc>
          <w:tcPr>
            <w:tcW w:w="1134" w:type="dxa"/>
            <w:vAlign w:val="center"/>
          </w:tcPr>
          <w:p>
            <w:pPr>
              <w:pStyle w:val="13"/>
            </w:pPr>
            <w:r>
              <w:t>813.88</w:t>
            </w:r>
          </w:p>
        </w:tc>
        <w:tc>
          <w:tcPr>
            <w:tcW w:w="1134" w:type="dxa"/>
            <w:vAlign w:val="center"/>
          </w:tcPr>
          <w:p>
            <w:pPr>
              <w:pStyle w:val="13"/>
            </w:pPr>
            <w:r>
              <w:t>813.88</w:t>
            </w:r>
          </w:p>
        </w:tc>
        <w:tc>
          <w:tcPr>
            <w:tcW w:w="1134" w:type="dxa"/>
            <w:vAlign w:val="center"/>
          </w:tcPr>
          <w:p>
            <w:pPr>
              <w:pStyle w:val="13"/>
            </w:pPr>
            <w:r>
              <w:t>813.88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2040602</w:t>
            </w:r>
          </w:p>
        </w:tc>
        <w:tc>
          <w:tcPr>
            <w:tcW w:w="1559" w:type="dxa"/>
            <w:vAlign w:val="center"/>
          </w:tcPr>
          <w:p>
            <w:pPr>
              <w:pStyle w:val="14"/>
            </w:pPr>
            <w:r>
              <w:t>一般行政管理事务</w:t>
            </w:r>
          </w:p>
        </w:tc>
        <w:tc>
          <w:tcPr>
            <w:tcW w:w="1134" w:type="dxa"/>
            <w:vAlign w:val="center"/>
          </w:tcPr>
          <w:p>
            <w:pPr>
              <w:pStyle w:val="13"/>
            </w:pPr>
            <w:r>
              <w:t>26.00</w:t>
            </w:r>
          </w:p>
        </w:tc>
        <w:tc>
          <w:tcPr>
            <w:tcW w:w="1134" w:type="dxa"/>
            <w:vAlign w:val="center"/>
          </w:tcPr>
          <w:p>
            <w:pPr>
              <w:pStyle w:val="13"/>
            </w:pPr>
            <w:r>
              <w:t>26.00</w:t>
            </w:r>
          </w:p>
        </w:tc>
        <w:tc>
          <w:tcPr>
            <w:tcW w:w="1134" w:type="dxa"/>
            <w:vAlign w:val="center"/>
          </w:tcPr>
          <w:p>
            <w:pPr>
              <w:pStyle w:val="13"/>
            </w:pPr>
            <w:r>
              <w:t>26.00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2040604</w:t>
            </w:r>
          </w:p>
        </w:tc>
        <w:tc>
          <w:tcPr>
            <w:tcW w:w="1559" w:type="dxa"/>
            <w:vAlign w:val="center"/>
          </w:tcPr>
          <w:p>
            <w:pPr>
              <w:pStyle w:val="14"/>
            </w:pPr>
            <w:r>
              <w:t>基层司法业务</w:t>
            </w:r>
          </w:p>
        </w:tc>
        <w:tc>
          <w:tcPr>
            <w:tcW w:w="1134" w:type="dxa"/>
            <w:vAlign w:val="center"/>
          </w:tcPr>
          <w:p>
            <w:pPr>
              <w:pStyle w:val="13"/>
            </w:pPr>
            <w:r>
              <w:t>322.26</w:t>
            </w:r>
          </w:p>
        </w:tc>
        <w:tc>
          <w:tcPr>
            <w:tcW w:w="1134" w:type="dxa"/>
            <w:vAlign w:val="center"/>
          </w:tcPr>
          <w:p>
            <w:pPr>
              <w:pStyle w:val="13"/>
            </w:pPr>
            <w:r>
              <w:t>200.00</w:t>
            </w:r>
          </w:p>
        </w:tc>
        <w:tc>
          <w:tcPr>
            <w:tcW w:w="1134" w:type="dxa"/>
            <w:vAlign w:val="center"/>
          </w:tcPr>
          <w:p>
            <w:pPr>
              <w:pStyle w:val="13"/>
            </w:pPr>
            <w:r>
              <w:t>200.00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122.26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2040605</w:t>
            </w:r>
          </w:p>
        </w:tc>
        <w:tc>
          <w:tcPr>
            <w:tcW w:w="1559" w:type="dxa"/>
            <w:vAlign w:val="center"/>
          </w:tcPr>
          <w:p>
            <w:pPr>
              <w:pStyle w:val="14"/>
            </w:pPr>
            <w:r>
              <w:t>普法宣传</w:t>
            </w:r>
          </w:p>
        </w:tc>
        <w:tc>
          <w:tcPr>
            <w:tcW w:w="1134" w:type="dxa"/>
            <w:vAlign w:val="center"/>
          </w:tcPr>
          <w:p>
            <w:pPr>
              <w:pStyle w:val="13"/>
            </w:pPr>
            <w:r>
              <w:t>38.52</w:t>
            </w:r>
          </w:p>
        </w:tc>
        <w:tc>
          <w:tcPr>
            <w:tcW w:w="1134" w:type="dxa"/>
            <w:vAlign w:val="center"/>
          </w:tcPr>
          <w:p>
            <w:pPr>
              <w:pStyle w:val="13"/>
            </w:pPr>
            <w:r>
              <w:t>38.52</w:t>
            </w:r>
          </w:p>
        </w:tc>
        <w:tc>
          <w:tcPr>
            <w:tcW w:w="1134" w:type="dxa"/>
            <w:vAlign w:val="center"/>
          </w:tcPr>
          <w:p>
            <w:pPr>
              <w:pStyle w:val="13"/>
            </w:pPr>
            <w:r>
              <w:t>38.52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2040606</w:t>
            </w:r>
          </w:p>
        </w:tc>
        <w:tc>
          <w:tcPr>
            <w:tcW w:w="1559" w:type="dxa"/>
            <w:vAlign w:val="center"/>
          </w:tcPr>
          <w:p>
            <w:pPr>
              <w:pStyle w:val="14"/>
            </w:pPr>
            <w:r>
              <w:t>律师管理</w:t>
            </w:r>
          </w:p>
        </w:tc>
        <w:tc>
          <w:tcPr>
            <w:tcW w:w="1134" w:type="dxa"/>
            <w:vAlign w:val="center"/>
          </w:tcPr>
          <w:p>
            <w:pPr>
              <w:pStyle w:val="13"/>
            </w:pPr>
            <w:r>
              <w:t>18.30</w:t>
            </w:r>
          </w:p>
        </w:tc>
        <w:tc>
          <w:tcPr>
            <w:tcW w:w="1134" w:type="dxa"/>
            <w:vAlign w:val="center"/>
          </w:tcPr>
          <w:p>
            <w:pPr>
              <w:pStyle w:val="13"/>
            </w:pPr>
            <w:r>
              <w:t>18.30</w:t>
            </w:r>
          </w:p>
        </w:tc>
        <w:tc>
          <w:tcPr>
            <w:tcW w:w="1134" w:type="dxa"/>
            <w:vAlign w:val="center"/>
          </w:tcPr>
          <w:p>
            <w:pPr>
              <w:pStyle w:val="13"/>
            </w:pPr>
            <w:r>
              <w:t>18.30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2040607</w:t>
            </w:r>
          </w:p>
        </w:tc>
        <w:tc>
          <w:tcPr>
            <w:tcW w:w="1559" w:type="dxa"/>
            <w:vAlign w:val="center"/>
          </w:tcPr>
          <w:p>
            <w:pPr>
              <w:pStyle w:val="14"/>
            </w:pPr>
            <w:r>
              <w:t>公共法律服务</w:t>
            </w:r>
          </w:p>
        </w:tc>
        <w:tc>
          <w:tcPr>
            <w:tcW w:w="1134" w:type="dxa"/>
            <w:vAlign w:val="center"/>
          </w:tcPr>
          <w:p>
            <w:pPr>
              <w:pStyle w:val="13"/>
            </w:pPr>
            <w:r>
              <w:t>85.00</w:t>
            </w:r>
          </w:p>
        </w:tc>
        <w:tc>
          <w:tcPr>
            <w:tcW w:w="1134" w:type="dxa"/>
            <w:vAlign w:val="center"/>
          </w:tcPr>
          <w:p>
            <w:pPr>
              <w:pStyle w:val="13"/>
            </w:pPr>
            <w:r>
              <w:t>85.00</w:t>
            </w:r>
          </w:p>
        </w:tc>
        <w:tc>
          <w:tcPr>
            <w:tcW w:w="1134" w:type="dxa"/>
            <w:vAlign w:val="center"/>
          </w:tcPr>
          <w:p>
            <w:pPr>
              <w:pStyle w:val="13"/>
            </w:pPr>
            <w:r>
              <w:t>85.00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2040610</w:t>
            </w:r>
          </w:p>
        </w:tc>
        <w:tc>
          <w:tcPr>
            <w:tcW w:w="1559" w:type="dxa"/>
            <w:vAlign w:val="center"/>
          </w:tcPr>
          <w:p>
            <w:pPr>
              <w:pStyle w:val="14"/>
            </w:pPr>
            <w:r>
              <w:t>社区矫正</w:t>
            </w:r>
          </w:p>
        </w:tc>
        <w:tc>
          <w:tcPr>
            <w:tcW w:w="1134" w:type="dxa"/>
            <w:vAlign w:val="center"/>
          </w:tcPr>
          <w:p>
            <w:pPr>
              <w:pStyle w:val="13"/>
            </w:pPr>
            <w:r>
              <w:t>67.25</w:t>
            </w:r>
          </w:p>
        </w:tc>
        <w:tc>
          <w:tcPr>
            <w:tcW w:w="1134" w:type="dxa"/>
            <w:vAlign w:val="center"/>
          </w:tcPr>
          <w:p>
            <w:pPr>
              <w:pStyle w:val="13"/>
            </w:pPr>
            <w:r>
              <w:t>53.33</w:t>
            </w:r>
          </w:p>
        </w:tc>
        <w:tc>
          <w:tcPr>
            <w:tcW w:w="1134" w:type="dxa"/>
            <w:vAlign w:val="center"/>
          </w:tcPr>
          <w:p>
            <w:pPr>
              <w:pStyle w:val="13"/>
            </w:pPr>
            <w:r>
              <w:t>53.33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2040612</w:t>
            </w:r>
          </w:p>
        </w:tc>
        <w:tc>
          <w:tcPr>
            <w:tcW w:w="1559" w:type="dxa"/>
            <w:vAlign w:val="center"/>
          </w:tcPr>
          <w:p>
            <w:pPr>
              <w:pStyle w:val="14"/>
            </w:pPr>
            <w:r>
              <w:t>法治建设</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167.28</w:t>
            </w:r>
          </w:p>
        </w:tc>
        <w:tc>
          <w:tcPr>
            <w:tcW w:w="1134" w:type="dxa"/>
            <w:vAlign w:val="center"/>
          </w:tcPr>
          <w:p>
            <w:pPr>
              <w:pStyle w:val="13"/>
            </w:pPr>
            <w:r>
              <w:t>167.28</w:t>
            </w:r>
          </w:p>
        </w:tc>
        <w:tc>
          <w:tcPr>
            <w:tcW w:w="1134" w:type="dxa"/>
            <w:vAlign w:val="center"/>
          </w:tcPr>
          <w:p>
            <w:pPr>
              <w:pStyle w:val="13"/>
            </w:pPr>
            <w:r>
              <w:t>167.28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167.28</w:t>
            </w:r>
          </w:p>
        </w:tc>
        <w:tc>
          <w:tcPr>
            <w:tcW w:w="1134" w:type="dxa"/>
            <w:vAlign w:val="center"/>
          </w:tcPr>
          <w:p>
            <w:pPr>
              <w:pStyle w:val="13"/>
            </w:pPr>
            <w:r>
              <w:t>167.28</w:t>
            </w:r>
          </w:p>
        </w:tc>
        <w:tc>
          <w:tcPr>
            <w:tcW w:w="1134" w:type="dxa"/>
            <w:vAlign w:val="center"/>
          </w:tcPr>
          <w:p>
            <w:pPr>
              <w:pStyle w:val="13"/>
            </w:pPr>
            <w:r>
              <w:t>167.28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122.21</w:t>
            </w:r>
          </w:p>
        </w:tc>
        <w:tc>
          <w:tcPr>
            <w:tcW w:w="1134" w:type="dxa"/>
            <w:vAlign w:val="center"/>
          </w:tcPr>
          <w:p>
            <w:pPr>
              <w:pStyle w:val="13"/>
            </w:pPr>
            <w:r>
              <w:t>122.21</w:t>
            </w:r>
          </w:p>
        </w:tc>
        <w:tc>
          <w:tcPr>
            <w:tcW w:w="1134" w:type="dxa"/>
            <w:vAlign w:val="center"/>
          </w:tcPr>
          <w:p>
            <w:pPr>
              <w:pStyle w:val="13"/>
            </w:pPr>
            <w:r>
              <w:t>122.21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45.08</w:t>
            </w:r>
          </w:p>
        </w:tc>
        <w:tc>
          <w:tcPr>
            <w:tcW w:w="1134" w:type="dxa"/>
            <w:vAlign w:val="center"/>
          </w:tcPr>
          <w:p>
            <w:pPr>
              <w:pStyle w:val="13"/>
            </w:pPr>
            <w:r>
              <w:t>45.08</w:t>
            </w:r>
          </w:p>
        </w:tc>
        <w:tc>
          <w:tcPr>
            <w:tcW w:w="1134" w:type="dxa"/>
            <w:vAlign w:val="center"/>
          </w:tcPr>
          <w:p>
            <w:pPr>
              <w:pStyle w:val="13"/>
            </w:pPr>
            <w:r>
              <w:t>45.08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43.31</w:t>
            </w:r>
          </w:p>
        </w:tc>
        <w:tc>
          <w:tcPr>
            <w:tcW w:w="1134" w:type="dxa"/>
            <w:vAlign w:val="center"/>
          </w:tcPr>
          <w:p>
            <w:pPr>
              <w:pStyle w:val="13"/>
            </w:pPr>
            <w:r>
              <w:t>43.31</w:t>
            </w:r>
          </w:p>
        </w:tc>
        <w:tc>
          <w:tcPr>
            <w:tcW w:w="1134" w:type="dxa"/>
            <w:vAlign w:val="center"/>
          </w:tcPr>
          <w:p>
            <w:pPr>
              <w:pStyle w:val="13"/>
            </w:pPr>
            <w:r>
              <w:t>43.31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43.31</w:t>
            </w:r>
          </w:p>
        </w:tc>
        <w:tc>
          <w:tcPr>
            <w:tcW w:w="1134" w:type="dxa"/>
            <w:vAlign w:val="center"/>
          </w:tcPr>
          <w:p>
            <w:pPr>
              <w:pStyle w:val="13"/>
            </w:pPr>
            <w:r>
              <w:t>43.31</w:t>
            </w:r>
          </w:p>
        </w:tc>
        <w:tc>
          <w:tcPr>
            <w:tcW w:w="1134" w:type="dxa"/>
            <w:vAlign w:val="center"/>
          </w:tcPr>
          <w:p>
            <w:pPr>
              <w:pStyle w:val="13"/>
            </w:pPr>
            <w:r>
              <w:t>43.31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43.31</w:t>
            </w:r>
          </w:p>
        </w:tc>
        <w:tc>
          <w:tcPr>
            <w:tcW w:w="1134" w:type="dxa"/>
            <w:vAlign w:val="center"/>
          </w:tcPr>
          <w:p>
            <w:pPr>
              <w:pStyle w:val="13"/>
            </w:pPr>
            <w:r>
              <w:t>43.31</w:t>
            </w:r>
          </w:p>
        </w:tc>
        <w:tc>
          <w:tcPr>
            <w:tcW w:w="1134" w:type="dxa"/>
            <w:vAlign w:val="center"/>
          </w:tcPr>
          <w:p>
            <w:pPr>
              <w:pStyle w:val="13"/>
            </w:pPr>
            <w:r>
              <w:t>43.31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63.32</w:t>
            </w:r>
          </w:p>
        </w:tc>
        <w:tc>
          <w:tcPr>
            <w:tcW w:w="1134" w:type="dxa"/>
            <w:vAlign w:val="center"/>
          </w:tcPr>
          <w:p>
            <w:pPr>
              <w:pStyle w:val="13"/>
            </w:pPr>
            <w:r>
              <w:t>63.32</w:t>
            </w:r>
          </w:p>
        </w:tc>
        <w:tc>
          <w:tcPr>
            <w:tcW w:w="1134" w:type="dxa"/>
            <w:vAlign w:val="center"/>
          </w:tcPr>
          <w:p>
            <w:pPr>
              <w:pStyle w:val="13"/>
            </w:pPr>
            <w:r>
              <w:t>63.32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63.32</w:t>
            </w:r>
          </w:p>
        </w:tc>
        <w:tc>
          <w:tcPr>
            <w:tcW w:w="1134" w:type="dxa"/>
            <w:vAlign w:val="center"/>
          </w:tcPr>
          <w:p>
            <w:pPr>
              <w:pStyle w:val="13"/>
            </w:pPr>
            <w:r>
              <w:t>63.32</w:t>
            </w:r>
          </w:p>
        </w:tc>
        <w:tc>
          <w:tcPr>
            <w:tcW w:w="1134" w:type="dxa"/>
            <w:vAlign w:val="center"/>
          </w:tcPr>
          <w:p>
            <w:pPr>
              <w:pStyle w:val="13"/>
            </w:pPr>
            <w:r>
              <w:t>63.32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63.32</w:t>
            </w:r>
          </w:p>
        </w:tc>
        <w:tc>
          <w:tcPr>
            <w:tcW w:w="1134" w:type="dxa"/>
            <w:vAlign w:val="center"/>
          </w:tcPr>
          <w:p>
            <w:pPr>
              <w:pStyle w:val="13"/>
            </w:pPr>
            <w:r>
              <w:t>63.32</w:t>
            </w:r>
          </w:p>
        </w:tc>
        <w:tc>
          <w:tcPr>
            <w:tcW w:w="1134" w:type="dxa"/>
            <w:vAlign w:val="center"/>
          </w:tcPr>
          <w:p>
            <w:pPr>
              <w:pStyle w:val="13"/>
            </w:pPr>
            <w:r>
              <w:t>63.32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315石家庄市鹿泉区司法局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1761.77</w:t>
            </w:r>
          </w:p>
        </w:tc>
        <w:tc>
          <w:tcPr>
            <w:tcW w:w="1361" w:type="dxa"/>
            <w:vAlign w:val="center"/>
          </w:tcPr>
          <w:p>
            <w:pPr>
              <w:pStyle w:val="17"/>
            </w:pPr>
            <w:r>
              <w:t>1087.79</w:t>
            </w:r>
          </w:p>
        </w:tc>
        <w:tc>
          <w:tcPr>
            <w:tcW w:w="1361" w:type="dxa"/>
            <w:vAlign w:val="center"/>
          </w:tcPr>
          <w:p>
            <w:pPr>
              <w:pStyle w:val="17"/>
            </w:pPr>
            <w:r>
              <w:t>673.98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96.65</w:t>
            </w:r>
          </w:p>
        </w:tc>
        <w:tc>
          <w:tcPr>
            <w:tcW w:w="1361" w:type="dxa"/>
            <w:vAlign w:val="center"/>
          </w:tcPr>
          <w:p>
            <w:pPr>
              <w:pStyle w:val="13"/>
            </w:pPr>
          </w:p>
        </w:tc>
        <w:tc>
          <w:tcPr>
            <w:tcW w:w="1361" w:type="dxa"/>
            <w:vAlign w:val="center"/>
          </w:tcPr>
          <w:p>
            <w:pPr>
              <w:pStyle w:val="13"/>
            </w:pPr>
            <w:r>
              <w:t>96.65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20101</w:t>
            </w:r>
          </w:p>
        </w:tc>
        <w:tc>
          <w:tcPr>
            <w:tcW w:w="4535" w:type="dxa"/>
            <w:vAlign w:val="center"/>
          </w:tcPr>
          <w:p>
            <w:pPr>
              <w:pStyle w:val="14"/>
            </w:pPr>
            <w:r>
              <w:t>人大事务</w:t>
            </w:r>
          </w:p>
        </w:tc>
        <w:tc>
          <w:tcPr>
            <w:tcW w:w="1361" w:type="dxa"/>
            <w:vAlign w:val="center"/>
          </w:tcPr>
          <w:p>
            <w:pPr>
              <w:pStyle w:val="13"/>
            </w:pPr>
            <w:r>
              <w:t>96.65</w:t>
            </w:r>
          </w:p>
        </w:tc>
        <w:tc>
          <w:tcPr>
            <w:tcW w:w="1361" w:type="dxa"/>
            <w:vAlign w:val="center"/>
          </w:tcPr>
          <w:p>
            <w:pPr>
              <w:pStyle w:val="13"/>
            </w:pPr>
          </w:p>
        </w:tc>
        <w:tc>
          <w:tcPr>
            <w:tcW w:w="1361" w:type="dxa"/>
            <w:vAlign w:val="center"/>
          </w:tcPr>
          <w:p>
            <w:pPr>
              <w:pStyle w:val="13"/>
            </w:pPr>
            <w:r>
              <w:t>96.65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2010102</w:t>
            </w:r>
          </w:p>
        </w:tc>
        <w:tc>
          <w:tcPr>
            <w:tcW w:w="4535" w:type="dxa"/>
            <w:vAlign w:val="center"/>
          </w:tcPr>
          <w:p>
            <w:pPr>
              <w:pStyle w:val="14"/>
            </w:pPr>
            <w:r>
              <w:t>一般行政管理事务</w:t>
            </w:r>
          </w:p>
        </w:tc>
        <w:tc>
          <w:tcPr>
            <w:tcW w:w="1361" w:type="dxa"/>
            <w:vAlign w:val="center"/>
          </w:tcPr>
          <w:p>
            <w:pPr>
              <w:pStyle w:val="13"/>
            </w:pPr>
            <w:r>
              <w:t>96.65</w:t>
            </w:r>
          </w:p>
        </w:tc>
        <w:tc>
          <w:tcPr>
            <w:tcW w:w="1361" w:type="dxa"/>
            <w:vAlign w:val="center"/>
          </w:tcPr>
          <w:p>
            <w:pPr>
              <w:pStyle w:val="13"/>
            </w:pPr>
          </w:p>
        </w:tc>
        <w:tc>
          <w:tcPr>
            <w:tcW w:w="1361" w:type="dxa"/>
            <w:vAlign w:val="center"/>
          </w:tcPr>
          <w:p>
            <w:pPr>
              <w:pStyle w:val="13"/>
            </w:pPr>
            <w:r>
              <w:t>96.65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204</w:t>
            </w:r>
          </w:p>
        </w:tc>
        <w:tc>
          <w:tcPr>
            <w:tcW w:w="4535" w:type="dxa"/>
            <w:vAlign w:val="center"/>
          </w:tcPr>
          <w:p>
            <w:pPr>
              <w:pStyle w:val="14"/>
            </w:pPr>
            <w:r>
              <w:t>公共安全支出</w:t>
            </w:r>
          </w:p>
        </w:tc>
        <w:tc>
          <w:tcPr>
            <w:tcW w:w="1361" w:type="dxa"/>
            <w:vAlign w:val="center"/>
          </w:tcPr>
          <w:p>
            <w:pPr>
              <w:pStyle w:val="13"/>
            </w:pPr>
            <w:r>
              <w:t>1391.20</w:t>
            </w:r>
          </w:p>
        </w:tc>
        <w:tc>
          <w:tcPr>
            <w:tcW w:w="1361" w:type="dxa"/>
            <w:vAlign w:val="center"/>
          </w:tcPr>
          <w:p>
            <w:pPr>
              <w:pStyle w:val="13"/>
            </w:pPr>
            <w:r>
              <w:t>813.88</w:t>
            </w:r>
          </w:p>
        </w:tc>
        <w:tc>
          <w:tcPr>
            <w:tcW w:w="1361" w:type="dxa"/>
            <w:vAlign w:val="center"/>
          </w:tcPr>
          <w:p>
            <w:pPr>
              <w:pStyle w:val="13"/>
            </w:pPr>
            <w:r>
              <w:t>577.33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20406</w:t>
            </w:r>
          </w:p>
        </w:tc>
        <w:tc>
          <w:tcPr>
            <w:tcW w:w="4535" w:type="dxa"/>
            <w:vAlign w:val="center"/>
          </w:tcPr>
          <w:p>
            <w:pPr>
              <w:pStyle w:val="14"/>
            </w:pPr>
            <w:r>
              <w:t>司法</w:t>
            </w:r>
          </w:p>
        </w:tc>
        <w:tc>
          <w:tcPr>
            <w:tcW w:w="1361" w:type="dxa"/>
            <w:vAlign w:val="center"/>
          </w:tcPr>
          <w:p>
            <w:pPr>
              <w:pStyle w:val="13"/>
            </w:pPr>
            <w:r>
              <w:t>1391.20</w:t>
            </w:r>
          </w:p>
        </w:tc>
        <w:tc>
          <w:tcPr>
            <w:tcW w:w="1361" w:type="dxa"/>
            <w:vAlign w:val="center"/>
          </w:tcPr>
          <w:p>
            <w:pPr>
              <w:pStyle w:val="13"/>
            </w:pPr>
            <w:r>
              <w:t>813.88</w:t>
            </w:r>
          </w:p>
        </w:tc>
        <w:tc>
          <w:tcPr>
            <w:tcW w:w="1361" w:type="dxa"/>
            <w:vAlign w:val="center"/>
          </w:tcPr>
          <w:p>
            <w:pPr>
              <w:pStyle w:val="13"/>
            </w:pPr>
            <w:r>
              <w:t>577.33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2040601</w:t>
            </w:r>
          </w:p>
        </w:tc>
        <w:tc>
          <w:tcPr>
            <w:tcW w:w="4535" w:type="dxa"/>
            <w:vAlign w:val="center"/>
          </w:tcPr>
          <w:p>
            <w:pPr>
              <w:pStyle w:val="14"/>
            </w:pPr>
            <w:r>
              <w:t>行政运行</w:t>
            </w:r>
          </w:p>
        </w:tc>
        <w:tc>
          <w:tcPr>
            <w:tcW w:w="1361" w:type="dxa"/>
            <w:vAlign w:val="center"/>
          </w:tcPr>
          <w:p>
            <w:pPr>
              <w:pStyle w:val="13"/>
            </w:pPr>
            <w:r>
              <w:t>813.88</w:t>
            </w:r>
          </w:p>
        </w:tc>
        <w:tc>
          <w:tcPr>
            <w:tcW w:w="1361" w:type="dxa"/>
            <w:vAlign w:val="center"/>
          </w:tcPr>
          <w:p>
            <w:pPr>
              <w:pStyle w:val="13"/>
            </w:pPr>
            <w:r>
              <w:t>813.88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2040602</w:t>
            </w:r>
          </w:p>
        </w:tc>
        <w:tc>
          <w:tcPr>
            <w:tcW w:w="4535" w:type="dxa"/>
            <w:vAlign w:val="center"/>
          </w:tcPr>
          <w:p>
            <w:pPr>
              <w:pStyle w:val="14"/>
            </w:pPr>
            <w:r>
              <w:t>一般行政管理事务</w:t>
            </w:r>
          </w:p>
        </w:tc>
        <w:tc>
          <w:tcPr>
            <w:tcW w:w="1361" w:type="dxa"/>
            <w:vAlign w:val="center"/>
          </w:tcPr>
          <w:p>
            <w:pPr>
              <w:pStyle w:val="13"/>
            </w:pPr>
            <w:r>
              <w:t>26.00</w:t>
            </w:r>
          </w:p>
        </w:tc>
        <w:tc>
          <w:tcPr>
            <w:tcW w:w="1361" w:type="dxa"/>
            <w:vAlign w:val="center"/>
          </w:tcPr>
          <w:p>
            <w:pPr>
              <w:pStyle w:val="13"/>
            </w:pPr>
          </w:p>
        </w:tc>
        <w:tc>
          <w:tcPr>
            <w:tcW w:w="1361" w:type="dxa"/>
            <w:vAlign w:val="center"/>
          </w:tcPr>
          <w:p>
            <w:pPr>
              <w:pStyle w:val="13"/>
            </w:pPr>
            <w:r>
              <w:t>26.00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2040604</w:t>
            </w:r>
          </w:p>
        </w:tc>
        <w:tc>
          <w:tcPr>
            <w:tcW w:w="4535" w:type="dxa"/>
            <w:vAlign w:val="center"/>
          </w:tcPr>
          <w:p>
            <w:pPr>
              <w:pStyle w:val="14"/>
            </w:pPr>
            <w:r>
              <w:t>基层司法业务</w:t>
            </w:r>
          </w:p>
        </w:tc>
        <w:tc>
          <w:tcPr>
            <w:tcW w:w="1361" w:type="dxa"/>
            <w:vAlign w:val="center"/>
          </w:tcPr>
          <w:p>
            <w:pPr>
              <w:pStyle w:val="13"/>
            </w:pPr>
            <w:r>
              <w:t>322.26</w:t>
            </w:r>
          </w:p>
        </w:tc>
        <w:tc>
          <w:tcPr>
            <w:tcW w:w="1361" w:type="dxa"/>
            <w:vAlign w:val="center"/>
          </w:tcPr>
          <w:p>
            <w:pPr>
              <w:pStyle w:val="13"/>
            </w:pPr>
          </w:p>
        </w:tc>
        <w:tc>
          <w:tcPr>
            <w:tcW w:w="1361" w:type="dxa"/>
            <w:vAlign w:val="center"/>
          </w:tcPr>
          <w:p>
            <w:pPr>
              <w:pStyle w:val="13"/>
            </w:pPr>
            <w:r>
              <w:t>322.26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2040605</w:t>
            </w:r>
          </w:p>
        </w:tc>
        <w:tc>
          <w:tcPr>
            <w:tcW w:w="4535" w:type="dxa"/>
            <w:vAlign w:val="center"/>
          </w:tcPr>
          <w:p>
            <w:pPr>
              <w:pStyle w:val="14"/>
            </w:pPr>
            <w:r>
              <w:t>普法宣传</w:t>
            </w:r>
          </w:p>
        </w:tc>
        <w:tc>
          <w:tcPr>
            <w:tcW w:w="1361" w:type="dxa"/>
            <w:vAlign w:val="center"/>
          </w:tcPr>
          <w:p>
            <w:pPr>
              <w:pStyle w:val="13"/>
            </w:pPr>
            <w:r>
              <w:t>38.52</w:t>
            </w:r>
          </w:p>
        </w:tc>
        <w:tc>
          <w:tcPr>
            <w:tcW w:w="1361" w:type="dxa"/>
            <w:vAlign w:val="center"/>
          </w:tcPr>
          <w:p>
            <w:pPr>
              <w:pStyle w:val="13"/>
            </w:pPr>
          </w:p>
        </w:tc>
        <w:tc>
          <w:tcPr>
            <w:tcW w:w="1361" w:type="dxa"/>
            <w:vAlign w:val="center"/>
          </w:tcPr>
          <w:p>
            <w:pPr>
              <w:pStyle w:val="13"/>
            </w:pPr>
            <w:r>
              <w:t>38.52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2040606</w:t>
            </w:r>
          </w:p>
        </w:tc>
        <w:tc>
          <w:tcPr>
            <w:tcW w:w="4535" w:type="dxa"/>
            <w:vAlign w:val="center"/>
          </w:tcPr>
          <w:p>
            <w:pPr>
              <w:pStyle w:val="14"/>
            </w:pPr>
            <w:r>
              <w:t>律师管理</w:t>
            </w:r>
          </w:p>
        </w:tc>
        <w:tc>
          <w:tcPr>
            <w:tcW w:w="1361" w:type="dxa"/>
            <w:vAlign w:val="center"/>
          </w:tcPr>
          <w:p>
            <w:pPr>
              <w:pStyle w:val="13"/>
            </w:pPr>
            <w:r>
              <w:t>18.30</w:t>
            </w:r>
          </w:p>
        </w:tc>
        <w:tc>
          <w:tcPr>
            <w:tcW w:w="1361" w:type="dxa"/>
            <w:vAlign w:val="center"/>
          </w:tcPr>
          <w:p>
            <w:pPr>
              <w:pStyle w:val="13"/>
            </w:pPr>
          </w:p>
        </w:tc>
        <w:tc>
          <w:tcPr>
            <w:tcW w:w="1361" w:type="dxa"/>
            <w:vAlign w:val="center"/>
          </w:tcPr>
          <w:p>
            <w:pPr>
              <w:pStyle w:val="13"/>
            </w:pPr>
            <w:r>
              <w:t>18.30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2040607</w:t>
            </w:r>
          </w:p>
        </w:tc>
        <w:tc>
          <w:tcPr>
            <w:tcW w:w="4535" w:type="dxa"/>
            <w:vAlign w:val="center"/>
          </w:tcPr>
          <w:p>
            <w:pPr>
              <w:pStyle w:val="14"/>
            </w:pPr>
            <w:r>
              <w:t>公共法律服务</w:t>
            </w:r>
          </w:p>
        </w:tc>
        <w:tc>
          <w:tcPr>
            <w:tcW w:w="1361" w:type="dxa"/>
            <w:vAlign w:val="center"/>
          </w:tcPr>
          <w:p>
            <w:pPr>
              <w:pStyle w:val="13"/>
            </w:pPr>
            <w:r>
              <w:t>85.00</w:t>
            </w:r>
          </w:p>
        </w:tc>
        <w:tc>
          <w:tcPr>
            <w:tcW w:w="1361" w:type="dxa"/>
            <w:vAlign w:val="center"/>
          </w:tcPr>
          <w:p>
            <w:pPr>
              <w:pStyle w:val="13"/>
            </w:pPr>
          </w:p>
        </w:tc>
        <w:tc>
          <w:tcPr>
            <w:tcW w:w="1361" w:type="dxa"/>
            <w:vAlign w:val="center"/>
          </w:tcPr>
          <w:p>
            <w:pPr>
              <w:pStyle w:val="13"/>
            </w:pPr>
            <w:r>
              <w:t>85.00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2040610</w:t>
            </w:r>
          </w:p>
        </w:tc>
        <w:tc>
          <w:tcPr>
            <w:tcW w:w="4535" w:type="dxa"/>
            <w:vAlign w:val="center"/>
          </w:tcPr>
          <w:p>
            <w:pPr>
              <w:pStyle w:val="14"/>
            </w:pPr>
            <w:r>
              <w:t>社区矫正</w:t>
            </w:r>
          </w:p>
        </w:tc>
        <w:tc>
          <w:tcPr>
            <w:tcW w:w="1361" w:type="dxa"/>
            <w:vAlign w:val="center"/>
          </w:tcPr>
          <w:p>
            <w:pPr>
              <w:pStyle w:val="13"/>
            </w:pPr>
            <w:r>
              <w:t>67.25</w:t>
            </w:r>
          </w:p>
        </w:tc>
        <w:tc>
          <w:tcPr>
            <w:tcW w:w="1361" w:type="dxa"/>
            <w:vAlign w:val="center"/>
          </w:tcPr>
          <w:p>
            <w:pPr>
              <w:pStyle w:val="13"/>
            </w:pPr>
          </w:p>
        </w:tc>
        <w:tc>
          <w:tcPr>
            <w:tcW w:w="1361" w:type="dxa"/>
            <w:vAlign w:val="center"/>
          </w:tcPr>
          <w:p>
            <w:pPr>
              <w:pStyle w:val="13"/>
            </w:pPr>
            <w:r>
              <w:t>67.25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2040612</w:t>
            </w:r>
          </w:p>
        </w:tc>
        <w:tc>
          <w:tcPr>
            <w:tcW w:w="4535" w:type="dxa"/>
            <w:vAlign w:val="center"/>
          </w:tcPr>
          <w:p>
            <w:pPr>
              <w:pStyle w:val="14"/>
            </w:pPr>
            <w:r>
              <w:t>法治建设</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167.28</w:t>
            </w:r>
          </w:p>
        </w:tc>
        <w:tc>
          <w:tcPr>
            <w:tcW w:w="1361" w:type="dxa"/>
            <w:vAlign w:val="center"/>
          </w:tcPr>
          <w:p>
            <w:pPr>
              <w:pStyle w:val="13"/>
            </w:pPr>
            <w:r>
              <w:t>167.28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167.28</w:t>
            </w:r>
          </w:p>
        </w:tc>
        <w:tc>
          <w:tcPr>
            <w:tcW w:w="1361" w:type="dxa"/>
            <w:vAlign w:val="center"/>
          </w:tcPr>
          <w:p>
            <w:pPr>
              <w:pStyle w:val="13"/>
            </w:pPr>
            <w:r>
              <w:t>167.28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122.21</w:t>
            </w:r>
          </w:p>
        </w:tc>
        <w:tc>
          <w:tcPr>
            <w:tcW w:w="1361" w:type="dxa"/>
            <w:vAlign w:val="center"/>
          </w:tcPr>
          <w:p>
            <w:pPr>
              <w:pStyle w:val="13"/>
            </w:pPr>
            <w:r>
              <w:t>122.21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45.08</w:t>
            </w:r>
          </w:p>
        </w:tc>
        <w:tc>
          <w:tcPr>
            <w:tcW w:w="1361" w:type="dxa"/>
            <w:vAlign w:val="center"/>
          </w:tcPr>
          <w:p>
            <w:pPr>
              <w:pStyle w:val="13"/>
            </w:pPr>
            <w:r>
              <w:t>45.08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43.31</w:t>
            </w:r>
          </w:p>
        </w:tc>
        <w:tc>
          <w:tcPr>
            <w:tcW w:w="1361" w:type="dxa"/>
            <w:vAlign w:val="center"/>
          </w:tcPr>
          <w:p>
            <w:pPr>
              <w:pStyle w:val="13"/>
            </w:pPr>
            <w:r>
              <w:t>43.31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43.31</w:t>
            </w:r>
          </w:p>
        </w:tc>
        <w:tc>
          <w:tcPr>
            <w:tcW w:w="1361" w:type="dxa"/>
            <w:vAlign w:val="center"/>
          </w:tcPr>
          <w:p>
            <w:pPr>
              <w:pStyle w:val="13"/>
            </w:pPr>
            <w:r>
              <w:t>43.31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43.31</w:t>
            </w:r>
          </w:p>
        </w:tc>
        <w:tc>
          <w:tcPr>
            <w:tcW w:w="1361" w:type="dxa"/>
            <w:vAlign w:val="center"/>
          </w:tcPr>
          <w:p>
            <w:pPr>
              <w:pStyle w:val="13"/>
            </w:pPr>
            <w:r>
              <w:t>43.31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63.32</w:t>
            </w:r>
          </w:p>
        </w:tc>
        <w:tc>
          <w:tcPr>
            <w:tcW w:w="1361" w:type="dxa"/>
            <w:vAlign w:val="center"/>
          </w:tcPr>
          <w:p>
            <w:pPr>
              <w:pStyle w:val="13"/>
            </w:pPr>
            <w:r>
              <w:t>63.32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63.32</w:t>
            </w:r>
          </w:p>
        </w:tc>
        <w:tc>
          <w:tcPr>
            <w:tcW w:w="1361" w:type="dxa"/>
            <w:vAlign w:val="center"/>
          </w:tcPr>
          <w:p>
            <w:pPr>
              <w:pStyle w:val="13"/>
            </w:pPr>
            <w:r>
              <w:t>63.32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63.32</w:t>
            </w:r>
          </w:p>
        </w:tc>
        <w:tc>
          <w:tcPr>
            <w:tcW w:w="1361" w:type="dxa"/>
            <w:vAlign w:val="center"/>
          </w:tcPr>
          <w:p>
            <w:pPr>
              <w:pStyle w:val="13"/>
            </w:pPr>
            <w:r>
              <w:t>63.32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315石家庄市鹿泉区司法局</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1625.59</w:t>
            </w:r>
          </w:p>
        </w:tc>
        <w:tc>
          <w:tcPr>
            <w:tcW w:w="3402" w:type="dxa"/>
            <w:vAlign w:val="center"/>
          </w:tcPr>
          <w:p>
            <w:pPr>
              <w:pStyle w:val="14"/>
            </w:pPr>
            <w:r>
              <w:t>一、一般公共服务支出</w:t>
            </w:r>
          </w:p>
        </w:tc>
        <w:tc>
          <w:tcPr>
            <w:tcW w:w="1474" w:type="dxa"/>
            <w:vAlign w:val="center"/>
          </w:tcPr>
          <w:p>
            <w:pPr>
              <w:pStyle w:val="13"/>
            </w:pPr>
            <w:r>
              <w:t>96.65</w:t>
            </w:r>
          </w:p>
        </w:tc>
        <w:tc>
          <w:tcPr>
            <w:tcW w:w="1474" w:type="dxa"/>
            <w:vAlign w:val="center"/>
          </w:tcPr>
          <w:p>
            <w:pPr>
              <w:pStyle w:val="13"/>
            </w:pPr>
            <w:r>
              <w:t>96.65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r>
              <w:t>1391.20</w:t>
            </w:r>
          </w:p>
        </w:tc>
        <w:tc>
          <w:tcPr>
            <w:tcW w:w="1474" w:type="dxa"/>
            <w:vAlign w:val="center"/>
          </w:tcPr>
          <w:p>
            <w:pPr>
              <w:pStyle w:val="13"/>
            </w:pPr>
            <w:r>
              <w:t>1391.20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167.28</w:t>
            </w:r>
          </w:p>
        </w:tc>
        <w:tc>
          <w:tcPr>
            <w:tcW w:w="1474" w:type="dxa"/>
            <w:vAlign w:val="center"/>
          </w:tcPr>
          <w:p>
            <w:pPr>
              <w:pStyle w:val="13"/>
            </w:pPr>
            <w:r>
              <w:t>167.28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43.31</w:t>
            </w:r>
          </w:p>
        </w:tc>
        <w:tc>
          <w:tcPr>
            <w:tcW w:w="1474" w:type="dxa"/>
            <w:vAlign w:val="center"/>
          </w:tcPr>
          <w:p>
            <w:pPr>
              <w:pStyle w:val="13"/>
            </w:pPr>
            <w:r>
              <w:t>43.31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63.32</w:t>
            </w:r>
          </w:p>
        </w:tc>
        <w:tc>
          <w:tcPr>
            <w:tcW w:w="1474" w:type="dxa"/>
            <w:vAlign w:val="center"/>
          </w:tcPr>
          <w:p>
            <w:pPr>
              <w:pStyle w:val="13"/>
            </w:pPr>
            <w:r>
              <w:t>63.32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1625.59</w:t>
            </w:r>
          </w:p>
        </w:tc>
        <w:tc>
          <w:tcPr>
            <w:tcW w:w="3402" w:type="dxa"/>
            <w:vAlign w:val="center"/>
          </w:tcPr>
          <w:p>
            <w:pPr>
              <w:pStyle w:val="16"/>
            </w:pPr>
            <w:r>
              <w:t>本年支出合计</w:t>
            </w:r>
          </w:p>
        </w:tc>
        <w:tc>
          <w:tcPr>
            <w:tcW w:w="1474" w:type="dxa"/>
            <w:vAlign w:val="center"/>
          </w:tcPr>
          <w:p>
            <w:pPr>
              <w:pStyle w:val="17"/>
            </w:pPr>
            <w:r>
              <w:t>1761.77</w:t>
            </w:r>
          </w:p>
        </w:tc>
        <w:tc>
          <w:tcPr>
            <w:tcW w:w="1474" w:type="dxa"/>
            <w:vAlign w:val="center"/>
          </w:tcPr>
          <w:p>
            <w:pPr>
              <w:pStyle w:val="17"/>
            </w:pPr>
            <w:r>
              <w:t>1761.77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r>
              <w:t>136.18</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r>
              <w:t>136.18</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1761.77</w:t>
            </w:r>
          </w:p>
        </w:tc>
        <w:tc>
          <w:tcPr>
            <w:tcW w:w="3402" w:type="dxa"/>
            <w:vAlign w:val="center"/>
          </w:tcPr>
          <w:p>
            <w:pPr>
              <w:pStyle w:val="16"/>
            </w:pPr>
            <w:r>
              <w:t>支出总计</w:t>
            </w:r>
          </w:p>
        </w:tc>
        <w:tc>
          <w:tcPr>
            <w:tcW w:w="1474" w:type="dxa"/>
            <w:vAlign w:val="center"/>
          </w:tcPr>
          <w:p>
            <w:pPr>
              <w:pStyle w:val="17"/>
            </w:pPr>
            <w:r>
              <w:t>1761.77</w:t>
            </w:r>
          </w:p>
        </w:tc>
        <w:tc>
          <w:tcPr>
            <w:tcW w:w="1474" w:type="dxa"/>
            <w:vAlign w:val="center"/>
          </w:tcPr>
          <w:p>
            <w:pPr>
              <w:pStyle w:val="17"/>
            </w:pPr>
            <w:r>
              <w:t>1761.77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315石家庄市鹿泉区司法局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1761.77</w:t>
            </w:r>
          </w:p>
        </w:tc>
        <w:tc>
          <w:tcPr>
            <w:tcW w:w="2551" w:type="dxa"/>
            <w:vAlign w:val="center"/>
          </w:tcPr>
          <w:p>
            <w:pPr>
              <w:pStyle w:val="17"/>
            </w:pPr>
            <w:r>
              <w:t>1087.79</w:t>
            </w:r>
          </w:p>
        </w:tc>
        <w:tc>
          <w:tcPr>
            <w:tcW w:w="2551" w:type="dxa"/>
            <w:vAlign w:val="center"/>
          </w:tcPr>
          <w:p>
            <w:pPr>
              <w:pStyle w:val="17"/>
            </w:pPr>
            <w:r>
              <w:t>673.98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96.65</w:t>
            </w:r>
          </w:p>
        </w:tc>
        <w:tc>
          <w:tcPr>
            <w:tcW w:w="2551" w:type="dxa"/>
            <w:vAlign w:val="center"/>
          </w:tcPr>
          <w:p>
            <w:pPr>
              <w:pStyle w:val="13"/>
            </w:pPr>
          </w:p>
        </w:tc>
        <w:tc>
          <w:tcPr>
            <w:tcW w:w="2551" w:type="dxa"/>
            <w:vAlign w:val="center"/>
          </w:tcPr>
          <w:p>
            <w:pPr>
              <w:pStyle w:val="13"/>
            </w:pPr>
            <w:r>
              <w:t>96.65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20101</w:t>
            </w:r>
          </w:p>
        </w:tc>
        <w:tc>
          <w:tcPr>
            <w:tcW w:w="4535" w:type="dxa"/>
            <w:vAlign w:val="center"/>
          </w:tcPr>
          <w:p>
            <w:pPr>
              <w:pStyle w:val="14"/>
            </w:pPr>
            <w:r>
              <w:t>人大事务</w:t>
            </w:r>
          </w:p>
        </w:tc>
        <w:tc>
          <w:tcPr>
            <w:tcW w:w="2551" w:type="dxa"/>
            <w:vAlign w:val="center"/>
          </w:tcPr>
          <w:p>
            <w:pPr>
              <w:pStyle w:val="13"/>
            </w:pPr>
            <w:r>
              <w:t>96.65</w:t>
            </w:r>
          </w:p>
        </w:tc>
        <w:tc>
          <w:tcPr>
            <w:tcW w:w="2551" w:type="dxa"/>
            <w:vAlign w:val="center"/>
          </w:tcPr>
          <w:p>
            <w:pPr>
              <w:pStyle w:val="13"/>
            </w:pPr>
          </w:p>
        </w:tc>
        <w:tc>
          <w:tcPr>
            <w:tcW w:w="2551" w:type="dxa"/>
            <w:vAlign w:val="center"/>
          </w:tcPr>
          <w:p>
            <w:pPr>
              <w:pStyle w:val="13"/>
            </w:pPr>
            <w:r>
              <w:t>96.65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2010102</w:t>
            </w:r>
          </w:p>
        </w:tc>
        <w:tc>
          <w:tcPr>
            <w:tcW w:w="4535" w:type="dxa"/>
            <w:vAlign w:val="center"/>
          </w:tcPr>
          <w:p>
            <w:pPr>
              <w:pStyle w:val="14"/>
            </w:pPr>
            <w:r>
              <w:t>一般行政管理事务</w:t>
            </w:r>
          </w:p>
        </w:tc>
        <w:tc>
          <w:tcPr>
            <w:tcW w:w="2551" w:type="dxa"/>
            <w:vAlign w:val="center"/>
          </w:tcPr>
          <w:p>
            <w:pPr>
              <w:pStyle w:val="13"/>
            </w:pPr>
            <w:r>
              <w:t>96.65</w:t>
            </w:r>
          </w:p>
        </w:tc>
        <w:tc>
          <w:tcPr>
            <w:tcW w:w="2551" w:type="dxa"/>
            <w:vAlign w:val="center"/>
          </w:tcPr>
          <w:p>
            <w:pPr>
              <w:pStyle w:val="13"/>
            </w:pPr>
          </w:p>
        </w:tc>
        <w:tc>
          <w:tcPr>
            <w:tcW w:w="2551" w:type="dxa"/>
            <w:vAlign w:val="center"/>
          </w:tcPr>
          <w:p>
            <w:pPr>
              <w:pStyle w:val="13"/>
            </w:pPr>
            <w:r>
              <w:t>96.65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204</w:t>
            </w:r>
          </w:p>
        </w:tc>
        <w:tc>
          <w:tcPr>
            <w:tcW w:w="4535" w:type="dxa"/>
            <w:vAlign w:val="center"/>
          </w:tcPr>
          <w:p>
            <w:pPr>
              <w:pStyle w:val="14"/>
            </w:pPr>
            <w:r>
              <w:t>公共安全支出</w:t>
            </w:r>
          </w:p>
        </w:tc>
        <w:tc>
          <w:tcPr>
            <w:tcW w:w="2551" w:type="dxa"/>
            <w:vAlign w:val="center"/>
          </w:tcPr>
          <w:p>
            <w:pPr>
              <w:pStyle w:val="13"/>
            </w:pPr>
            <w:r>
              <w:t>1391.20</w:t>
            </w:r>
          </w:p>
        </w:tc>
        <w:tc>
          <w:tcPr>
            <w:tcW w:w="2551" w:type="dxa"/>
            <w:vAlign w:val="center"/>
          </w:tcPr>
          <w:p>
            <w:pPr>
              <w:pStyle w:val="13"/>
            </w:pPr>
            <w:r>
              <w:t>813.88</w:t>
            </w:r>
          </w:p>
        </w:tc>
        <w:tc>
          <w:tcPr>
            <w:tcW w:w="2551" w:type="dxa"/>
            <w:vAlign w:val="center"/>
          </w:tcPr>
          <w:p>
            <w:pPr>
              <w:pStyle w:val="13"/>
            </w:pPr>
            <w:r>
              <w:t>577.33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20406</w:t>
            </w:r>
          </w:p>
        </w:tc>
        <w:tc>
          <w:tcPr>
            <w:tcW w:w="4535" w:type="dxa"/>
            <w:vAlign w:val="center"/>
          </w:tcPr>
          <w:p>
            <w:pPr>
              <w:pStyle w:val="14"/>
            </w:pPr>
            <w:r>
              <w:t>司法</w:t>
            </w:r>
          </w:p>
        </w:tc>
        <w:tc>
          <w:tcPr>
            <w:tcW w:w="2551" w:type="dxa"/>
            <w:vAlign w:val="center"/>
          </w:tcPr>
          <w:p>
            <w:pPr>
              <w:pStyle w:val="13"/>
            </w:pPr>
            <w:r>
              <w:t>1391.20</w:t>
            </w:r>
          </w:p>
        </w:tc>
        <w:tc>
          <w:tcPr>
            <w:tcW w:w="2551" w:type="dxa"/>
            <w:vAlign w:val="center"/>
          </w:tcPr>
          <w:p>
            <w:pPr>
              <w:pStyle w:val="13"/>
            </w:pPr>
            <w:r>
              <w:t>813.88</w:t>
            </w:r>
          </w:p>
        </w:tc>
        <w:tc>
          <w:tcPr>
            <w:tcW w:w="2551" w:type="dxa"/>
            <w:vAlign w:val="center"/>
          </w:tcPr>
          <w:p>
            <w:pPr>
              <w:pStyle w:val="13"/>
            </w:pPr>
            <w:r>
              <w:t>577.33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2040601</w:t>
            </w:r>
          </w:p>
        </w:tc>
        <w:tc>
          <w:tcPr>
            <w:tcW w:w="4535" w:type="dxa"/>
            <w:vAlign w:val="center"/>
          </w:tcPr>
          <w:p>
            <w:pPr>
              <w:pStyle w:val="14"/>
            </w:pPr>
            <w:r>
              <w:t>行政运行</w:t>
            </w:r>
          </w:p>
        </w:tc>
        <w:tc>
          <w:tcPr>
            <w:tcW w:w="2551" w:type="dxa"/>
            <w:vAlign w:val="center"/>
          </w:tcPr>
          <w:p>
            <w:pPr>
              <w:pStyle w:val="13"/>
            </w:pPr>
            <w:r>
              <w:t>813.88</w:t>
            </w:r>
          </w:p>
        </w:tc>
        <w:tc>
          <w:tcPr>
            <w:tcW w:w="2551" w:type="dxa"/>
            <w:vAlign w:val="center"/>
          </w:tcPr>
          <w:p>
            <w:pPr>
              <w:pStyle w:val="13"/>
            </w:pPr>
            <w:r>
              <w:t>813.88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2040602</w:t>
            </w:r>
          </w:p>
        </w:tc>
        <w:tc>
          <w:tcPr>
            <w:tcW w:w="4535" w:type="dxa"/>
            <w:vAlign w:val="center"/>
          </w:tcPr>
          <w:p>
            <w:pPr>
              <w:pStyle w:val="14"/>
            </w:pPr>
            <w:r>
              <w:t>一般行政管理事务</w:t>
            </w:r>
          </w:p>
        </w:tc>
        <w:tc>
          <w:tcPr>
            <w:tcW w:w="2551" w:type="dxa"/>
            <w:vAlign w:val="center"/>
          </w:tcPr>
          <w:p>
            <w:pPr>
              <w:pStyle w:val="13"/>
            </w:pPr>
            <w:r>
              <w:t>26.00</w:t>
            </w:r>
          </w:p>
        </w:tc>
        <w:tc>
          <w:tcPr>
            <w:tcW w:w="2551" w:type="dxa"/>
            <w:vAlign w:val="center"/>
          </w:tcPr>
          <w:p>
            <w:pPr>
              <w:pStyle w:val="13"/>
            </w:pPr>
          </w:p>
        </w:tc>
        <w:tc>
          <w:tcPr>
            <w:tcW w:w="2551" w:type="dxa"/>
            <w:vAlign w:val="center"/>
          </w:tcPr>
          <w:p>
            <w:pPr>
              <w:pStyle w:val="13"/>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2040604</w:t>
            </w:r>
          </w:p>
        </w:tc>
        <w:tc>
          <w:tcPr>
            <w:tcW w:w="4535" w:type="dxa"/>
            <w:vAlign w:val="center"/>
          </w:tcPr>
          <w:p>
            <w:pPr>
              <w:pStyle w:val="14"/>
            </w:pPr>
            <w:r>
              <w:t>基层司法业务</w:t>
            </w:r>
          </w:p>
        </w:tc>
        <w:tc>
          <w:tcPr>
            <w:tcW w:w="2551" w:type="dxa"/>
            <w:vAlign w:val="center"/>
          </w:tcPr>
          <w:p>
            <w:pPr>
              <w:pStyle w:val="13"/>
            </w:pPr>
            <w:r>
              <w:t>322.26</w:t>
            </w:r>
          </w:p>
        </w:tc>
        <w:tc>
          <w:tcPr>
            <w:tcW w:w="2551" w:type="dxa"/>
            <w:vAlign w:val="center"/>
          </w:tcPr>
          <w:p>
            <w:pPr>
              <w:pStyle w:val="13"/>
            </w:pPr>
          </w:p>
        </w:tc>
        <w:tc>
          <w:tcPr>
            <w:tcW w:w="2551" w:type="dxa"/>
            <w:vAlign w:val="center"/>
          </w:tcPr>
          <w:p>
            <w:pPr>
              <w:pStyle w:val="13"/>
            </w:pPr>
            <w:r>
              <w:t>322.26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2040605</w:t>
            </w:r>
          </w:p>
        </w:tc>
        <w:tc>
          <w:tcPr>
            <w:tcW w:w="4535" w:type="dxa"/>
            <w:vAlign w:val="center"/>
          </w:tcPr>
          <w:p>
            <w:pPr>
              <w:pStyle w:val="14"/>
            </w:pPr>
            <w:r>
              <w:t>普法宣传</w:t>
            </w:r>
          </w:p>
        </w:tc>
        <w:tc>
          <w:tcPr>
            <w:tcW w:w="2551" w:type="dxa"/>
            <w:vAlign w:val="center"/>
          </w:tcPr>
          <w:p>
            <w:pPr>
              <w:pStyle w:val="13"/>
            </w:pPr>
            <w:r>
              <w:t>38.52</w:t>
            </w:r>
          </w:p>
        </w:tc>
        <w:tc>
          <w:tcPr>
            <w:tcW w:w="2551" w:type="dxa"/>
            <w:vAlign w:val="center"/>
          </w:tcPr>
          <w:p>
            <w:pPr>
              <w:pStyle w:val="13"/>
            </w:pPr>
          </w:p>
        </w:tc>
        <w:tc>
          <w:tcPr>
            <w:tcW w:w="2551" w:type="dxa"/>
            <w:vAlign w:val="center"/>
          </w:tcPr>
          <w:p>
            <w:pPr>
              <w:pStyle w:val="13"/>
            </w:pPr>
            <w:r>
              <w:t>38.52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2040606</w:t>
            </w:r>
          </w:p>
        </w:tc>
        <w:tc>
          <w:tcPr>
            <w:tcW w:w="4535" w:type="dxa"/>
            <w:vAlign w:val="center"/>
          </w:tcPr>
          <w:p>
            <w:pPr>
              <w:pStyle w:val="14"/>
            </w:pPr>
            <w:r>
              <w:t>律师管理</w:t>
            </w:r>
          </w:p>
        </w:tc>
        <w:tc>
          <w:tcPr>
            <w:tcW w:w="2551" w:type="dxa"/>
            <w:vAlign w:val="center"/>
          </w:tcPr>
          <w:p>
            <w:pPr>
              <w:pStyle w:val="13"/>
            </w:pPr>
            <w:r>
              <w:t>18.30</w:t>
            </w:r>
          </w:p>
        </w:tc>
        <w:tc>
          <w:tcPr>
            <w:tcW w:w="2551" w:type="dxa"/>
            <w:vAlign w:val="center"/>
          </w:tcPr>
          <w:p>
            <w:pPr>
              <w:pStyle w:val="13"/>
            </w:pPr>
          </w:p>
        </w:tc>
        <w:tc>
          <w:tcPr>
            <w:tcW w:w="2551" w:type="dxa"/>
            <w:vAlign w:val="center"/>
          </w:tcPr>
          <w:p>
            <w:pPr>
              <w:pStyle w:val="13"/>
            </w:pPr>
            <w:r>
              <w:t>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2040607</w:t>
            </w:r>
          </w:p>
        </w:tc>
        <w:tc>
          <w:tcPr>
            <w:tcW w:w="4535" w:type="dxa"/>
            <w:vAlign w:val="center"/>
          </w:tcPr>
          <w:p>
            <w:pPr>
              <w:pStyle w:val="14"/>
            </w:pPr>
            <w:r>
              <w:t>公共法律服务</w:t>
            </w:r>
          </w:p>
        </w:tc>
        <w:tc>
          <w:tcPr>
            <w:tcW w:w="2551" w:type="dxa"/>
            <w:vAlign w:val="center"/>
          </w:tcPr>
          <w:p>
            <w:pPr>
              <w:pStyle w:val="13"/>
            </w:pPr>
            <w:r>
              <w:t>85.00</w:t>
            </w:r>
          </w:p>
        </w:tc>
        <w:tc>
          <w:tcPr>
            <w:tcW w:w="2551" w:type="dxa"/>
            <w:vAlign w:val="center"/>
          </w:tcPr>
          <w:p>
            <w:pPr>
              <w:pStyle w:val="13"/>
            </w:pPr>
          </w:p>
        </w:tc>
        <w:tc>
          <w:tcPr>
            <w:tcW w:w="2551" w:type="dxa"/>
            <w:vAlign w:val="center"/>
          </w:tcPr>
          <w:p>
            <w:pPr>
              <w:pStyle w:val="13"/>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2040610</w:t>
            </w:r>
          </w:p>
        </w:tc>
        <w:tc>
          <w:tcPr>
            <w:tcW w:w="4535" w:type="dxa"/>
            <w:vAlign w:val="center"/>
          </w:tcPr>
          <w:p>
            <w:pPr>
              <w:pStyle w:val="14"/>
            </w:pPr>
            <w:r>
              <w:t>社区矫正</w:t>
            </w:r>
          </w:p>
        </w:tc>
        <w:tc>
          <w:tcPr>
            <w:tcW w:w="2551" w:type="dxa"/>
            <w:vAlign w:val="center"/>
          </w:tcPr>
          <w:p>
            <w:pPr>
              <w:pStyle w:val="13"/>
            </w:pPr>
            <w:r>
              <w:t>67.25</w:t>
            </w:r>
          </w:p>
        </w:tc>
        <w:tc>
          <w:tcPr>
            <w:tcW w:w="2551" w:type="dxa"/>
            <w:vAlign w:val="center"/>
          </w:tcPr>
          <w:p>
            <w:pPr>
              <w:pStyle w:val="13"/>
            </w:pPr>
          </w:p>
        </w:tc>
        <w:tc>
          <w:tcPr>
            <w:tcW w:w="2551" w:type="dxa"/>
            <w:vAlign w:val="center"/>
          </w:tcPr>
          <w:p>
            <w:pPr>
              <w:pStyle w:val="13"/>
            </w:pPr>
            <w:r>
              <w:t>67.25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2040612</w:t>
            </w:r>
          </w:p>
        </w:tc>
        <w:tc>
          <w:tcPr>
            <w:tcW w:w="4535" w:type="dxa"/>
            <w:vAlign w:val="center"/>
          </w:tcPr>
          <w:p>
            <w:pPr>
              <w:pStyle w:val="14"/>
            </w:pPr>
            <w:r>
              <w:t>法治建设</w:t>
            </w:r>
          </w:p>
        </w:tc>
        <w:tc>
          <w:tcPr>
            <w:tcW w:w="2551" w:type="dxa"/>
            <w:vAlign w:val="center"/>
          </w:tcPr>
          <w:p>
            <w:pPr>
              <w:pStyle w:val="13"/>
            </w:pPr>
            <w:r>
              <w:t>20.00</w:t>
            </w:r>
          </w:p>
        </w:tc>
        <w:tc>
          <w:tcPr>
            <w:tcW w:w="2551" w:type="dxa"/>
            <w:vAlign w:val="center"/>
          </w:tcPr>
          <w:p>
            <w:pPr>
              <w:pStyle w:val="13"/>
            </w:pPr>
          </w:p>
        </w:tc>
        <w:tc>
          <w:tcPr>
            <w:tcW w:w="2551"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167.28</w:t>
            </w:r>
          </w:p>
        </w:tc>
        <w:tc>
          <w:tcPr>
            <w:tcW w:w="2551" w:type="dxa"/>
            <w:vAlign w:val="center"/>
          </w:tcPr>
          <w:p>
            <w:pPr>
              <w:pStyle w:val="13"/>
            </w:pPr>
            <w:r>
              <w:t>167.28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167.28</w:t>
            </w:r>
          </w:p>
        </w:tc>
        <w:tc>
          <w:tcPr>
            <w:tcW w:w="2551" w:type="dxa"/>
            <w:vAlign w:val="center"/>
          </w:tcPr>
          <w:p>
            <w:pPr>
              <w:pStyle w:val="13"/>
            </w:pPr>
            <w:r>
              <w:t>167.28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122.21</w:t>
            </w:r>
          </w:p>
        </w:tc>
        <w:tc>
          <w:tcPr>
            <w:tcW w:w="2551" w:type="dxa"/>
            <w:vAlign w:val="center"/>
          </w:tcPr>
          <w:p>
            <w:pPr>
              <w:pStyle w:val="13"/>
            </w:pPr>
            <w:r>
              <w:t>122.21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45.08</w:t>
            </w:r>
          </w:p>
        </w:tc>
        <w:tc>
          <w:tcPr>
            <w:tcW w:w="2551" w:type="dxa"/>
            <w:vAlign w:val="center"/>
          </w:tcPr>
          <w:p>
            <w:pPr>
              <w:pStyle w:val="13"/>
            </w:pPr>
            <w:r>
              <w:t>45.08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43.31</w:t>
            </w:r>
          </w:p>
        </w:tc>
        <w:tc>
          <w:tcPr>
            <w:tcW w:w="2551" w:type="dxa"/>
            <w:vAlign w:val="center"/>
          </w:tcPr>
          <w:p>
            <w:pPr>
              <w:pStyle w:val="13"/>
            </w:pPr>
            <w:r>
              <w:t>43.31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43.31</w:t>
            </w:r>
          </w:p>
        </w:tc>
        <w:tc>
          <w:tcPr>
            <w:tcW w:w="2551" w:type="dxa"/>
            <w:vAlign w:val="center"/>
          </w:tcPr>
          <w:p>
            <w:pPr>
              <w:pStyle w:val="13"/>
            </w:pPr>
            <w:r>
              <w:t>43.31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43.31</w:t>
            </w:r>
          </w:p>
        </w:tc>
        <w:tc>
          <w:tcPr>
            <w:tcW w:w="2551" w:type="dxa"/>
            <w:vAlign w:val="center"/>
          </w:tcPr>
          <w:p>
            <w:pPr>
              <w:pStyle w:val="13"/>
            </w:pPr>
            <w:r>
              <w:t>43.31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63.32</w:t>
            </w:r>
          </w:p>
        </w:tc>
        <w:tc>
          <w:tcPr>
            <w:tcW w:w="2551" w:type="dxa"/>
            <w:vAlign w:val="center"/>
          </w:tcPr>
          <w:p>
            <w:pPr>
              <w:pStyle w:val="13"/>
            </w:pPr>
            <w:r>
              <w:t>63.32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63.32</w:t>
            </w:r>
          </w:p>
        </w:tc>
        <w:tc>
          <w:tcPr>
            <w:tcW w:w="2551" w:type="dxa"/>
            <w:vAlign w:val="center"/>
          </w:tcPr>
          <w:p>
            <w:pPr>
              <w:pStyle w:val="13"/>
            </w:pPr>
            <w:r>
              <w:t>63.32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63.32</w:t>
            </w:r>
          </w:p>
        </w:tc>
        <w:tc>
          <w:tcPr>
            <w:tcW w:w="2551" w:type="dxa"/>
            <w:vAlign w:val="center"/>
          </w:tcPr>
          <w:p>
            <w:pPr>
              <w:pStyle w:val="13"/>
            </w:pPr>
            <w:r>
              <w:t>63.32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315石家庄市鹿泉区司法局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1087.79</w:t>
            </w:r>
          </w:p>
        </w:tc>
        <w:tc>
          <w:tcPr>
            <w:tcW w:w="2551" w:type="dxa"/>
            <w:vAlign w:val="center"/>
          </w:tcPr>
          <w:p>
            <w:pPr>
              <w:pStyle w:val="17"/>
            </w:pPr>
            <w:r>
              <w:t>770.93</w:t>
            </w:r>
          </w:p>
        </w:tc>
        <w:tc>
          <w:tcPr>
            <w:tcW w:w="2551" w:type="dxa"/>
            <w:vAlign w:val="center"/>
          </w:tcPr>
          <w:p>
            <w:pPr>
              <w:pStyle w:val="17"/>
            </w:pPr>
            <w:r>
              <w:t>316.86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649.87</w:t>
            </w:r>
          </w:p>
        </w:tc>
        <w:tc>
          <w:tcPr>
            <w:tcW w:w="2551" w:type="dxa"/>
            <w:vAlign w:val="center"/>
          </w:tcPr>
          <w:p>
            <w:pPr>
              <w:pStyle w:val="13"/>
            </w:pPr>
            <w:r>
              <w:t>649.87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155.05</w:t>
            </w:r>
          </w:p>
        </w:tc>
        <w:tc>
          <w:tcPr>
            <w:tcW w:w="2551" w:type="dxa"/>
            <w:vAlign w:val="center"/>
          </w:tcPr>
          <w:p>
            <w:pPr>
              <w:pStyle w:val="13"/>
            </w:pPr>
            <w:r>
              <w:t>155.05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168.88</w:t>
            </w:r>
          </w:p>
        </w:tc>
        <w:tc>
          <w:tcPr>
            <w:tcW w:w="2551" w:type="dxa"/>
            <w:vAlign w:val="center"/>
          </w:tcPr>
          <w:p>
            <w:pPr>
              <w:pStyle w:val="13"/>
            </w:pPr>
            <w:r>
              <w:t>168.88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10.50</w:t>
            </w:r>
          </w:p>
        </w:tc>
        <w:tc>
          <w:tcPr>
            <w:tcW w:w="2551" w:type="dxa"/>
            <w:vAlign w:val="center"/>
          </w:tcPr>
          <w:p>
            <w:pPr>
              <w:pStyle w:val="13"/>
            </w:pPr>
            <w:r>
              <w:t>10.50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24.35</w:t>
            </w:r>
          </w:p>
        </w:tc>
        <w:tc>
          <w:tcPr>
            <w:tcW w:w="2551" w:type="dxa"/>
            <w:vAlign w:val="center"/>
          </w:tcPr>
          <w:p>
            <w:pPr>
              <w:pStyle w:val="13"/>
            </w:pPr>
            <w:r>
              <w:t>24.35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45.08</w:t>
            </w:r>
          </w:p>
        </w:tc>
        <w:tc>
          <w:tcPr>
            <w:tcW w:w="2551" w:type="dxa"/>
            <w:vAlign w:val="center"/>
          </w:tcPr>
          <w:p>
            <w:pPr>
              <w:pStyle w:val="13"/>
            </w:pPr>
            <w:r>
              <w:t>45.08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24.41</w:t>
            </w:r>
          </w:p>
        </w:tc>
        <w:tc>
          <w:tcPr>
            <w:tcW w:w="2551" w:type="dxa"/>
            <w:vAlign w:val="center"/>
          </w:tcPr>
          <w:p>
            <w:pPr>
              <w:pStyle w:val="13"/>
            </w:pPr>
            <w:r>
              <w:t>24.41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18.89</w:t>
            </w:r>
          </w:p>
        </w:tc>
        <w:tc>
          <w:tcPr>
            <w:tcW w:w="2551" w:type="dxa"/>
            <w:vAlign w:val="center"/>
          </w:tcPr>
          <w:p>
            <w:pPr>
              <w:pStyle w:val="13"/>
            </w:pPr>
            <w:r>
              <w:t>18.89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1.78</w:t>
            </w:r>
          </w:p>
        </w:tc>
        <w:tc>
          <w:tcPr>
            <w:tcW w:w="2551" w:type="dxa"/>
            <w:vAlign w:val="center"/>
          </w:tcPr>
          <w:p>
            <w:pPr>
              <w:pStyle w:val="13"/>
            </w:pPr>
            <w:r>
              <w:t>1.78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63.32</w:t>
            </w:r>
          </w:p>
        </w:tc>
        <w:tc>
          <w:tcPr>
            <w:tcW w:w="2551" w:type="dxa"/>
            <w:vAlign w:val="center"/>
          </w:tcPr>
          <w:p>
            <w:pPr>
              <w:pStyle w:val="13"/>
            </w:pPr>
            <w:r>
              <w:t>63.32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137.60</w:t>
            </w:r>
          </w:p>
        </w:tc>
        <w:tc>
          <w:tcPr>
            <w:tcW w:w="2551" w:type="dxa"/>
            <w:vAlign w:val="center"/>
          </w:tcPr>
          <w:p>
            <w:pPr>
              <w:pStyle w:val="13"/>
            </w:pPr>
            <w:r>
              <w:t>137.60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315.86</w:t>
            </w:r>
          </w:p>
        </w:tc>
        <w:tc>
          <w:tcPr>
            <w:tcW w:w="2551" w:type="dxa"/>
            <w:vAlign w:val="center"/>
          </w:tcPr>
          <w:p>
            <w:pPr>
              <w:pStyle w:val="13"/>
            </w:pPr>
          </w:p>
        </w:tc>
        <w:tc>
          <w:tcPr>
            <w:tcW w:w="2551" w:type="dxa"/>
            <w:vAlign w:val="center"/>
          </w:tcPr>
          <w:p>
            <w:pPr>
              <w:pStyle w:val="13"/>
            </w:pPr>
            <w:r>
              <w:t>315.86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27.94</w:t>
            </w:r>
          </w:p>
        </w:tc>
        <w:tc>
          <w:tcPr>
            <w:tcW w:w="2551" w:type="dxa"/>
            <w:vAlign w:val="center"/>
          </w:tcPr>
          <w:p>
            <w:pPr>
              <w:pStyle w:val="13"/>
            </w:pPr>
          </w:p>
        </w:tc>
        <w:tc>
          <w:tcPr>
            <w:tcW w:w="2551" w:type="dxa"/>
            <w:vAlign w:val="center"/>
          </w:tcPr>
          <w:p>
            <w:pPr>
              <w:pStyle w:val="13"/>
            </w:pPr>
            <w:r>
              <w:t>27.94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30203</w:t>
            </w:r>
          </w:p>
        </w:tc>
        <w:tc>
          <w:tcPr>
            <w:tcW w:w="4535" w:type="dxa"/>
            <w:vAlign w:val="center"/>
          </w:tcPr>
          <w:p>
            <w:pPr>
              <w:pStyle w:val="14"/>
            </w:pPr>
            <w:r>
              <w:t>咨询费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0.60</w:t>
            </w:r>
          </w:p>
        </w:tc>
        <w:tc>
          <w:tcPr>
            <w:tcW w:w="2551" w:type="dxa"/>
            <w:vAlign w:val="center"/>
          </w:tcPr>
          <w:p>
            <w:pPr>
              <w:pStyle w:val="13"/>
            </w:pPr>
          </w:p>
        </w:tc>
        <w:tc>
          <w:tcPr>
            <w:tcW w:w="2551"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4.00</w:t>
            </w:r>
          </w:p>
        </w:tc>
        <w:tc>
          <w:tcPr>
            <w:tcW w:w="2551" w:type="dxa"/>
            <w:vAlign w:val="center"/>
          </w:tcPr>
          <w:p>
            <w:pPr>
              <w:pStyle w:val="13"/>
            </w:pPr>
          </w:p>
        </w:tc>
        <w:tc>
          <w:tcPr>
            <w:tcW w:w="2551"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17.86</w:t>
            </w:r>
          </w:p>
        </w:tc>
        <w:tc>
          <w:tcPr>
            <w:tcW w:w="2551" w:type="dxa"/>
            <w:vAlign w:val="center"/>
          </w:tcPr>
          <w:p>
            <w:pPr>
              <w:pStyle w:val="13"/>
            </w:pPr>
          </w:p>
        </w:tc>
        <w:tc>
          <w:tcPr>
            <w:tcW w:w="2551" w:type="dxa"/>
            <w:vAlign w:val="center"/>
          </w:tcPr>
          <w:p>
            <w:pPr>
              <w:pStyle w:val="13"/>
            </w:pPr>
            <w:r>
              <w:t>17.86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10.07</w:t>
            </w:r>
          </w:p>
        </w:tc>
        <w:tc>
          <w:tcPr>
            <w:tcW w:w="2551" w:type="dxa"/>
            <w:vAlign w:val="center"/>
          </w:tcPr>
          <w:p>
            <w:pPr>
              <w:pStyle w:val="13"/>
            </w:pPr>
          </w:p>
        </w:tc>
        <w:tc>
          <w:tcPr>
            <w:tcW w:w="2551" w:type="dxa"/>
            <w:vAlign w:val="center"/>
          </w:tcPr>
          <w:p>
            <w:pPr>
              <w:pStyle w:val="13"/>
            </w:pPr>
            <w:r>
              <w:t>10.07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0.60</w:t>
            </w:r>
          </w:p>
        </w:tc>
        <w:tc>
          <w:tcPr>
            <w:tcW w:w="2551" w:type="dxa"/>
            <w:vAlign w:val="center"/>
          </w:tcPr>
          <w:p>
            <w:pPr>
              <w:pStyle w:val="13"/>
            </w:pPr>
          </w:p>
        </w:tc>
        <w:tc>
          <w:tcPr>
            <w:tcW w:w="2551"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30224</w:t>
            </w:r>
          </w:p>
        </w:tc>
        <w:tc>
          <w:tcPr>
            <w:tcW w:w="4535" w:type="dxa"/>
            <w:vAlign w:val="center"/>
          </w:tcPr>
          <w:p>
            <w:pPr>
              <w:pStyle w:val="14"/>
            </w:pPr>
            <w:r>
              <w:t>被装购置费</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30226</w:t>
            </w:r>
          </w:p>
        </w:tc>
        <w:tc>
          <w:tcPr>
            <w:tcW w:w="4535" w:type="dxa"/>
            <w:vAlign w:val="center"/>
          </w:tcPr>
          <w:p>
            <w:pPr>
              <w:pStyle w:val="14"/>
            </w:pPr>
            <w:r>
              <w:t>劳务费</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217.75</w:t>
            </w:r>
          </w:p>
        </w:tc>
        <w:tc>
          <w:tcPr>
            <w:tcW w:w="2551" w:type="dxa"/>
            <w:vAlign w:val="center"/>
          </w:tcPr>
          <w:p>
            <w:pPr>
              <w:pStyle w:val="13"/>
            </w:pPr>
          </w:p>
        </w:tc>
        <w:tc>
          <w:tcPr>
            <w:tcW w:w="2551" w:type="dxa"/>
            <w:vAlign w:val="center"/>
          </w:tcPr>
          <w:p>
            <w:pPr>
              <w:pStyle w:val="13"/>
            </w:pPr>
            <w:r>
              <w:t>217.75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3.38</w:t>
            </w:r>
          </w:p>
        </w:tc>
        <w:tc>
          <w:tcPr>
            <w:tcW w:w="2551" w:type="dxa"/>
            <w:vAlign w:val="center"/>
          </w:tcPr>
          <w:p>
            <w:pPr>
              <w:pStyle w:val="13"/>
            </w:pPr>
          </w:p>
        </w:tc>
        <w:tc>
          <w:tcPr>
            <w:tcW w:w="2551" w:type="dxa"/>
            <w:vAlign w:val="center"/>
          </w:tcPr>
          <w:p>
            <w:pPr>
              <w:pStyle w:val="13"/>
            </w:pPr>
            <w:r>
              <w:t>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3.88</w:t>
            </w:r>
          </w:p>
        </w:tc>
        <w:tc>
          <w:tcPr>
            <w:tcW w:w="2551" w:type="dxa"/>
            <w:vAlign w:val="center"/>
          </w:tcPr>
          <w:p>
            <w:pPr>
              <w:pStyle w:val="13"/>
            </w:pPr>
          </w:p>
        </w:tc>
        <w:tc>
          <w:tcPr>
            <w:tcW w:w="2551" w:type="dxa"/>
            <w:vAlign w:val="center"/>
          </w:tcPr>
          <w:p>
            <w:pPr>
              <w:pStyle w:val="13"/>
            </w:pPr>
            <w:r>
              <w:t>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21.23</w:t>
            </w:r>
          </w:p>
        </w:tc>
        <w:tc>
          <w:tcPr>
            <w:tcW w:w="2551" w:type="dxa"/>
            <w:vAlign w:val="center"/>
          </w:tcPr>
          <w:p>
            <w:pPr>
              <w:pStyle w:val="13"/>
            </w:pPr>
          </w:p>
        </w:tc>
        <w:tc>
          <w:tcPr>
            <w:tcW w:w="2551" w:type="dxa"/>
            <w:vAlign w:val="center"/>
          </w:tcPr>
          <w:p>
            <w:pPr>
              <w:pStyle w:val="13"/>
            </w:pPr>
            <w:r>
              <w:t>21.23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3.86</w:t>
            </w:r>
          </w:p>
        </w:tc>
        <w:tc>
          <w:tcPr>
            <w:tcW w:w="2551" w:type="dxa"/>
            <w:vAlign w:val="center"/>
          </w:tcPr>
          <w:p>
            <w:pPr>
              <w:pStyle w:val="13"/>
            </w:pPr>
          </w:p>
        </w:tc>
        <w:tc>
          <w:tcPr>
            <w:tcW w:w="2551" w:type="dxa"/>
            <w:vAlign w:val="center"/>
          </w:tcPr>
          <w:p>
            <w:pPr>
              <w:pStyle w:val="13"/>
            </w:pPr>
            <w:r>
              <w:t>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121.06</w:t>
            </w:r>
          </w:p>
        </w:tc>
        <w:tc>
          <w:tcPr>
            <w:tcW w:w="2551" w:type="dxa"/>
            <w:vAlign w:val="center"/>
          </w:tcPr>
          <w:p>
            <w:pPr>
              <w:pStyle w:val="13"/>
            </w:pPr>
            <w:r>
              <w:t>121.06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11.95</w:t>
            </w:r>
          </w:p>
        </w:tc>
        <w:tc>
          <w:tcPr>
            <w:tcW w:w="2551" w:type="dxa"/>
            <w:vAlign w:val="center"/>
          </w:tcPr>
          <w:p>
            <w:pPr>
              <w:pStyle w:val="13"/>
            </w:pPr>
            <w:r>
              <w:t>11.95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31.47</w:t>
            </w:r>
          </w:p>
        </w:tc>
        <w:tc>
          <w:tcPr>
            <w:tcW w:w="2551" w:type="dxa"/>
            <w:vAlign w:val="center"/>
          </w:tcPr>
          <w:p>
            <w:pPr>
              <w:pStyle w:val="13"/>
            </w:pPr>
            <w:r>
              <w:t>31.47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1.84</w:t>
            </w:r>
          </w:p>
        </w:tc>
        <w:tc>
          <w:tcPr>
            <w:tcW w:w="2551" w:type="dxa"/>
            <w:vAlign w:val="center"/>
          </w:tcPr>
          <w:p>
            <w:pPr>
              <w:pStyle w:val="13"/>
            </w:pPr>
            <w:r>
              <w:t>1.84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0.12</w:t>
            </w:r>
          </w:p>
        </w:tc>
        <w:tc>
          <w:tcPr>
            <w:tcW w:w="2551" w:type="dxa"/>
            <w:vAlign w:val="center"/>
          </w:tcPr>
          <w:p>
            <w:pPr>
              <w:pStyle w:val="13"/>
            </w:pPr>
            <w:r>
              <w:t>0.12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30399</w:t>
            </w:r>
          </w:p>
        </w:tc>
        <w:tc>
          <w:tcPr>
            <w:tcW w:w="4535" w:type="dxa"/>
            <w:vAlign w:val="center"/>
          </w:tcPr>
          <w:p>
            <w:pPr>
              <w:pStyle w:val="14"/>
            </w:pPr>
            <w:r>
              <w:t>其他对个人和家庭的补助</w:t>
            </w:r>
          </w:p>
        </w:tc>
        <w:tc>
          <w:tcPr>
            <w:tcW w:w="2551" w:type="dxa"/>
            <w:vAlign w:val="center"/>
          </w:tcPr>
          <w:p>
            <w:pPr>
              <w:pStyle w:val="13"/>
            </w:pPr>
            <w:r>
              <w:t>75.68</w:t>
            </w:r>
          </w:p>
        </w:tc>
        <w:tc>
          <w:tcPr>
            <w:tcW w:w="2551" w:type="dxa"/>
            <w:vAlign w:val="center"/>
          </w:tcPr>
          <w:p>
            <w:pPr>
              <w:pStyle w:val="13"/>
            </w:pPr>
            <w:r>
              <w:t>75.68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315石家庄市鹿泉区司法局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315石家庄市鹿泉区司法局</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315石家庄市鹿泉区司法局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r>
              <w:t>0.60</w:t>
            </w:r>
          </w:p>
        </w:tc>
        <w:tc>
          <w:tcPr>
            <w:tcW w:w="1643" w:type="dxa"/>
            <w:vAlign w:val="center"/>
          </w:tcPr>
          <w:p>
            <w:pPr>
              <w:pStyle w:val="17"/>
            </w:pPr>
            <w:r>
              <w:t>0.60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r>
              <w:t>0.60</w:t>
            </w:r>
          </w:p>
        </w:tc>
        <w:tc>
          <w:tcPr>
            <w:tcW w:w="1643" w:type="dxa"/>
            <w:vAlign w:val="center"/>
          </w:tcPr>
          <w:p>
            <w:pPr>
              <w:pStyle w:val="13"/>
            </w:pPr>
            <w:r>
              <w:t>0.60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tabs>
                <w:tab w:val="left" w:pos="486"/>
              </w:tabs>
              <w:jc w:val="left"/>
              <w:rPr>
                <w:rFonts w:hint="default" w:eastAsia="方正书宋_GBK"/>
                <w:lang w:val="en-US" w:eastAsia="zh-CN"/>
              </w:rPr>
            </w:pPr>
            <w:r>
              <w:rPr>
                <w:rFonts w:hint="eastAsia"/>
                <w:lang w:eastAsia="zh-CN"/>
              </w:rPr>
              <w:tab/>
            </w:r>
            <w:r>
              <w:rPr>
                <w:rFonts w:hint="eastAsia"/>
                <w:lang w:val="en-US" w:eastAsia="zh-CN"/>
              </w:rPr>
              <w:t>13.5</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r>
              <w:t>0.60</w:t>
            </w:r>
          </w:p>
        </w:tc>
        <w:tc>
          <w:tcPr>
            <w:tcW w:w="1643" w:type="dxa"/>
            <w:vAlign w:val="center"/>
          </w:tcPr>
          <w:p>
            <w:pPr>
              <w:pStyle w:val="13"/>
            </w:pPr>
            <w:r>
              <w:t>0.60</w:t>
            </w: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石家庄市鹿泉区司法局2022年部门预算信息公开情况说明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石家庄市鹿泉区司法局2022年部门预算信息公开情况说明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、《地方预决算公开操作规程》和《关于进一步推进预算公开工作的实施意见》规定，现将石家庄市鹿泉区司法局2022年部门预算公开如下：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石家庄市鹿泉区司法局属于石家庄市鹿泉区人民政府职能部门，主要职能：</w:t>
      </w:r>
    </w:p>
    <w:p>
      <w:pPr>
        <w:pStyle w:val="19"/>
      </w:pPr>
      <w:r>
        <w:t>（一）承担全面依法治区重大问题的政策研究。组织协调有关方面提出全面依法治区中长期规划建议，负责有关重大决策部署督查工作。</w:t>
      </w:r>
    </w:p>
    <w:p>
      <w:pPr>
        <w:pStyle w:val="19"/>
      </w:pPr>
      <w:r>
        <w:t>（二）负责区政府各部门、各乡（镇、区）政府规范性文件的备案审查工作。负责对区政府政策措施、规范性文件和合同协议的合法性审核工作；承办区政府交办的涉法事务；承办区政府规范性文件上报市政府和区人大常委会备案工作。</w:t>
      </w:r>
    </w:p>
    <w:p>
      <w:pPr>
        <w:pStyle w:val="19"/>
      </w:pPr>
      <w:r>
        <w:t>（三）承担统筹推进鹿泉法治政府建设的责任。指导、监督区政府各部门、各乡（镇、区）政府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pPr>
        <w:pStyle w:val="19"/>
      </w:pPr>
      <w:r>
        <w:t>（四）承担统筹规划全区法治社会建设的责任。负责拟订全区法治宣传教育规划，组织实施普法宣传工作；负责全区依法治理和法治创建工作，推动全区人民参与和促进法治建设，指导全区人民调解、行政调解工作，负责全区人民陪审员、人民监督员选任管理工作；负责全区司法所建设。</w:t>
      </w:r>
    </w:p>
    <w:p>
      <w:pPr>
        <w:pStyle w:val="19"/>
      </w:pPr>
      <w:r>
        <w:t>（五）负责全区社区矫正工作，负责刑满释放人员帮教安置工作。</w:t>
      </w:r>
    </w:p>
    <w:p>
      <w:pPr>
        <w:pStyle w:val="19"/>
      </w:pPr>
      <w:r>
        <w:t>（六）负责拟订公共法律服务体系建设规划并组织实施，统筹和布局全区法律服务资源；负责全区律师、公证、法律援助、司法鉴定和基层法律服务管理工作。</w:t>
      </w:r>
    </w:p>
    <w:p>
      <w:pPr>
        <w:pStyle w:val="19"/>
      </w:pPr>
      <w:r>
        <w:t>（七）规划、协调、指导全区法治人才队伍建设相关工作；负责本系统队伍建设。</w:t>
      </w:r>
    </w:p>
    <w:p>
      <w:pPr>
        <w:pStyle w:val="19"/>
      </w:pPr>
      <w:r>
        <w:t>（八）完成区委、区政府交办的其他任务。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石家庄市鹿泉区司法局本级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rPr>
                <w:rFonts w:hint="eastAsia" w:eastAsia="方正书宋_GBK"/>
                <w:lang w:eastAsia="zh-CN"/>
              </w:rPr>
            </w:pPr>
            <w:r>
              <w:rPr>
                <w:rFonts w:hint="eastAsia"/>
                <w:lang w:eastAsia="zh-CN"/>
              </w:rPr>
              <w:t>石家庄市鹿泉区法律援助中心</w:t>
            </w:r>
          </w:p>
        </w:tc>
        <w:tc>
          <w:tcPr>
            <w:tcW w:w="1843" w:type="dxa"/>
            <w:vAlign w:val="center"/>
          </w:tcPr>
          <w:p>
            <w:pPr>
              <w:pStyle w:val="15"/>
              <w:rPr>
                <w:rFonts w:hint="eastAsia" w:eastAsia="方正书宋_GBK"/>
                <w:lang w:eastAsia="zh-CN"/>
              </w:rPr>
            </w:pPr>
            <w:r>
              <w:rPr>
                <w:rFonts w:hint="eastAsia"/>
                <w:lang w:eastAsia="zh-CN"/>
              </w:rPr>
              <w:t>事业</w:t>
            </w:r>
          </w:p>
        </w:tc>
        <w:tc>
          <w:tcPr>
            <w:tcW w:w="2126" w:type="dxa"/>
            <w:vAlign w:val="center"/>
          </w:tcPr>
          <w:p>
            <w:pPr>
              <w:pStyle w:val="15"/>
              <w:rPr>
                <w:rFonts w:hint="eastAsia" w:eastAsia="方正书宋_GBK"/>
                <w:lang w:eastAsia="zh-CN"/>
              </w:rPr>
            </w:pPr>
            <w:r>
              <w:rPr>
                <w:rFonts w:hint="eastAsia"/>
                <w:lang w:eastAsia="zh-CN"/>
              </w:rPr>
              <w:t>正股级</w:t>
            </w:r>
          </w:p>
        </w:tc>
        <w:tc>
          <w:tcPr>
            <w:tcW w:w="3827" w:type="dxa"/>
            <w:vAlign w:val="center"/>
          </w:tcPr>
          <w:p>
            <w:pPr>
              <w:pStyle w:val="15"/>
              <w:rPr>
                <w:rFonts w:hint="default" w:eastAsia="方正书宋_GBK"/>
                <w:lang w:val="en-US" w:eastAsia="zh-CN"/>
              </w:rPr>
            </w:pPr>
            <w:r>
              <w:rPr>
                <w:rFonts w:hint="eastAsia"/>
                <w:lang w:eastAsia="zh-CN"/>
              </w:rPr>
              <w:t>财政</w:t>
            </w:r>
            <w:r>
              <w:rPr>
                <w:rFonts w:hint="eastAsia"/>
                <w:lang w:val="en-US" w:eastAsia="zh-CN"/>
              </w:rPr>
              <w:t>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按照预算管理有关规定，目前我省部门预算的编制实行综合预算管理，即全部收入和支出都反映在预算中。石家庄市鹿泉区司法局机关及所属事业单位的收支包含在部门预算中。</w:t>
      </w:r>
    </w:p>
    <w:p>
      <w:pPr>
        <w:pStyle w:val="20"/>
      </w:pPr>
      <w:r>
        <w:t>1、收入说明</w:t>
      </w:r>
    </w:p>
    <w:p>
      <w:pPr>
        <w:pStyle w:val="20"/>
        <w:rPr>
          <w:rFonts w:hint="default" w:eastAsia="方正仿宋_GBK"/>
          <w:lang w:val="en-US" w:eastAsia="zh-CN"/>
        </w:rPr>
      </w:pPr>
      <w:r>
        <w:t>反映本部门当年全部收入。2022年预算收入</w:t>
      </w:r>
      <w:r>
        <w:rPr>
          <w:rFonts w:hint="eastAsia"/>
          <w:lang w:val="en-US" w:eastAsia="zh-CN"/>
        </w:rPr>
        <w:t>1761.77</w:t>
      </w:r>
      <w:r>
        <w:t>万元，其中：一般公共预算收</w:t>
      </w:r>
      <w:r>
        <w:rPr>
          <w:rFonts w:hint="eastAsia"/>
          <w:lang w:val="en-US" w:eastAsia="zh-CN"/>
        </w:rPr>
        <w:t>入1625.59</w:t>
      </w:r>
      <w:r>
        <w:t>万元，基金预算收入0万元，财政专户核拨收入0万元，其他来源收入0万元。</w:t>
      </w:r>
      <w:r>
        <w:rPr>
          <w:rFonts w:hint="eastAsia"/>
          <w:lang w:val="en-US" w:eastAsia="zh-CN"/>
        </w:rPr>
        <w:t>上年结转结余136.18万元。</w:t>
      </w:r>
    </w:p>
    <w:p>
      <w:pPr>
        <w:pStyle w:val="20"/>
      </w:pPr>
      <w:r>
        <w:t>2、支出说明</w:t>
      </w:r>
    </w:p>
    <w:p>
      <w:pPr>
        <w:pStyle w:val="20"/>
      </w:pPr>
      <w:r>
        <w:t>收支预算总表支出栏、基本支出表、项目支出表按经济分类和支出功能分类科目编制，反映年度部门预算中支出预算的总体情况。2022年支出预算1761.77万元，其中基本支出1087.79万元，包括人员经费770.93万元和日常公用经费316.86万元；项目支出537.8万元。</w:t>
      </w:r>
    </w:p>
    <w:p>
      <w:pPr>
        <w:pStyle w:val="20"/>
      </w:pPr>
      <w:r>
        <w:t>3、比上年增减情况</w:t>
      </w:r>
    </w:p>
    <w:p>
      <w:pPr>
        <w:pStyle w:val="20"/>
      </w:pPr>
      <w:r>
        <w:t>2022年预算收支安排</w:t>
      </w:r>
      <w:r>
        <w:rPr>
          <w:rFonts w:hint="eastAsia"/>
          <w:lang w:val="en-US" w:eastAsia="zh-CN"/>
        </w:rPr>
        <w:t>1625.59</w:t>
      </w:r>
      <w:r>
        <w:t>万元，较2021年预算增加</w:t>
      </w:r>
      <w:r>
        <w:rPr>
          <w:rFonts w:hint="eastAsia"/>
          <w:lang w:val="en-US" w:eastAsia="zh-CN"/>
        </w:rPr>
        <w:t>257.02</w:t>
      </w:r>
      <w:r>
        <w:t>万元，其中：基本支出减少13.27万元，主要相应减少了人员经费与日常公用经费支出；项目支出增加</w:t>
      </w:r>
      <w:r>
        <w:rPr>
          <w:rFonts w:hint="eastAsia"/>
          <w:lang w:val="en-US" w:eastAsia="zh-CN"/>
        </w:rPr>
        <w:t>270.29</w:t>
      </w:r>
      <w:r>
        <w:t>万元，主要是由于退役人员工资和司法所工作经费列入预算。</w:t>
      </w:r>
    </w:p>
    <w:p>
      <w:pPr>
        <w:pStyle w:val="20"/>
        <w:ind w:left="0" w:leftChars="0" w:firstLine="0" w:firstLineChars="0"/>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rPr>
          <w:rFonts w:hint="eastAsia" w:ascii="黑体" w:hAnsi="黑体" w:eastAsia="黑体" w:cs="黑体"/>
          <w:sz w:val="30"/>
          <w:szCs w:val="30"/>
        </w:rPr>
      </w:pPr>
      <w:bookmarkStart w:id="12" w:name="_Toc_3_3_0000000013"/>
      <w:r>
        <w:rPr>
          <w:rFonts w:hint="eastAsia" w:ascii="黑体" w:hAnsi="黑体" w:eastAsia="黑体" w:cs="黑体"/>
          <w:sz w:val="30"/>
          <w:szCs w:val="30"/>
        </w:rPr>
        <w:t>石家庄市鹿泉区</w:t>
      </w:r>
      <w:r>
        <w:rPr>
          <w:rFonts w:hint="eastAsia" w:ascii="黑体" w:hAnsi="黑体" w:eastAsia="黑体" w:cs="黑体"/>
          <w:sz w:val="30"/>
          <w:szCs w:val="30"/>
          <w:lang w:val="en-US" w:eastAsia="zh-CN"/>
        </w:rPr>
        <w:t>司法局</w:t>
      </w:r>
      <w:r>
        <w:rPr>
          <w:rFonts w:hint="eastAsia" w:ascii="黑体" w:hAnsi="黑体" w:eastAsia="黑体" w:cs="黑体"/>
          <w:sz w:val="30"/>
          <w:szCs w:val="30"/>
        </w:rPr>
        <w:t>202</w:t>
      </w:r>
      <w:r>
        <w:rPr>
          <w:rFonts w:hint="eastAsia" w:ascii="黑体" w:hAnsi="黑体" w:eastAsia="黑体" w:cs="黑体"/>
          <w:sz w:val="30"/>
          <w:szCs w:val="30"/>
          <w:lang w:val="en-US" w:eastAsia="zh-CN"/>
        </w:rPr>
        <w:t>2</w:t>
      </w:r>
      <w:r>
        <w:rPr>
          <w:rFonts w:hint="eastAsia" w:ascii="黑体" w:hAnsi="黑体" w:eastAsia="黑体" w:cs="黑体"/>
          <w:sz w:val="30"/>
          <w:szCs w:val="30"/>
        </w:rPr>
        <w:t>年机关运行经费</w:t>
      </w:r>
      <w:r>
        <w:rPr>
          <w:rFonts w:hint="eastAsia" w:ascii="黑体" w:hAnsi="黑体" w:eastAsia="黑体" w:cs="黑体"/>
          <w:sz w:val="30"/>
          <w:szCs w:val="30"/>
          <w:lang w:eastAsia="zh-CN"/>
        </w:rPr>
        <w:t>共计安排</w:t>
      </w:r>
      <w:r>
        <w:rPr>
          <w:rFonts w:hint="eastAsia" w:ascii="黑体" w:hAnsi="黑体" w:eastAsia="黑体" w:cs="黑体"/>
          <w:sz w:val="30"/>
          <w:szCs w:val="30"/>
          <w:lang w:val="en-US" w:eastAsia="zh-CN"/>
        </w:rPr>
        <w:t>316.86</w:t>
      </w:r>
      <w:r>
        <w:rPr>
          <w:rFonts w:hint="eastAsia" w:ascii="黑体" w:hAnsi="黑体" w:eastAsia="黑体" w:cs="黑体"/>
          <w:sz w:val="30"/>
          <w:szCs w:val="30"/>
        </w:rP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0"/>
        <w:rPr>
          <w:rFonts w:hint="default" w:eastAsia="方正仿宋_GBK"/>
          <w:lang w:val="en-US" w:eastAsia="zh-CN"/>
        </w:rPr>
      </w:pPr>
      <w:r>
        <w:t>2022年，</w:t>
      </w:r>
      <w:r>
        <w:rPr>
          <w:rFonts w:hint="eastAsia"/>
          <w:lang w:val="en-US" w:eastAsia="zh-CN"/>
        </w:rPr>
        <w:t>鹿泉</w:t>
      </w:r>
      <w:r>
        <w:rPr>
          <w:rFonts w:hint="eastAsia"/>
          <w:lang w:eastAsia="zh-CN"/>
        </w:rPr>
        <w:t>区</w:t>
      </w:r>
      <w:r>
        <w:t>财政</w:t>
      </w:r>
      <w:r>
        <w:rPr>
          <w:rFonts w:hint="eastAsia"/>
          <w:lang w:val="en-US" w:eastAsia="zh-CN"/>
        </w:rPr>
        <w:t>局财政</w:t>
      </w:r>
      <w:r>
        <w:t>拨款</w:t>
      </w:r>
      <w:r>
        <w:rPr>
          <w:rFonts w:hint="eastAsia"/>
          <w:lang w:val="en-US" w:eastAsia="zh-CN"/>
        </w:rPr>
        <w:t>安排</w:t>
      </w:r>
      <w:r>
        <w:t>“三公”经费预算安排14.1万元，其中</w:t>
      </w:r>
      <w:r>
        <w:rPr>
          <w:rFonts w:hint="eastAsia"/>
          <w:lang w:eastAsia="zh-CN"/>
        </w:rPr>
        <w:t>：</w:t>
      </w:r>
      <w:r>
        <w:t>因公出国（境）费0万元；公务用车购置及运维费13.5万元（其中</w:t>
      </w:r>
      <w:r>
        <w:rPr>
          <w:rFonts w:hint="eastAsia"/>
          <w:lang w:eastAsia="zh-CN"/>
        </w:rPr>
        <w:t>：</w:t>
      </w:r>
      <w:r>
        <w:t>公务用车</w:t>
      </w:r>
      <w:r>
        <w:rPr>
          <w:rFonts w:hint="eastAsia"/>
          <w:lang w:val="en-US" w:eastAsia="zh-CN"/>
        </w:rPr>
        <w:t>购置0万元，</w:t>
      </w:r>
      <w:r>
        <w:t>公务用车运维费13.5万元)；公务接待费0.6万元。“三公”经费</w:t>
      </w:r>
      <w:r>
        <w:rPr>
          <w:rFonts w:hint="eastAsia"/>
          <w:lang w:val="en-US" w:eastAsia="zh-CN"/>
        </w:rPr>
        <w:t>与上年持平，无增减变化。</w:t>
      </w:r>
    </w:p>
    <w:p>
      <w:pPr>
        <w:spacing w:before="10" w:after="10" w:line="360" w:lineRule="auto"/>
        <w:ind w:firstLine="640"/>
        <w:jc w:val="left"/>
        <w:outlineLvl w:val="2"/>
        <w:rPr>
          <w:rFonts w:ascii="黑体" w:hAnsi="黑体" w:eastAsia="黑体" w:cs="黑体"/>
          <w:color w:val="000000"/>
          <w:sz w:val="32"/>
        </w:rPr>
      </w:pPr>
      <w:bookmarkStart w:id="13" w:name="_Toc_3_3_0000000014"/>
    </w:p>
    <w:p>
      <w:pPr>
        <w:spacing w:before="10" w:after="10" w:line="360" w:lineRule="auto"/>
        <w:ind w:firstLine="640"/>
        <w:jc w:val="left"/>
        <w:outlineLvl w:val="2"/>
      </w:pPr>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承担全面依法治区重大问题的政策研究。组织协调有关方面提出全面依法治区中长期规划建议，负责有关重大决策部署督查工作。负责区政府各部门、各乡（镇、区）政府规范性文件的备案审查工作。负责对区政府政策措施、规范性文件和合同协议的合法性审核工作；承办区政府交办的涉法事务；承办区政府规范性文件上报市政府和区人大常委会备案工作。承担统筹推进鹿泉法治政府建设的责任。指导、监督区政府各部门、各乡（镇、区）政府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承担统筹规划全区法治社会建设的责任。负责拟订全区法治宣传教育规划，组织实施普法宣传工作；负责全区依法治理和法治创建工作，推动全区人民参与和促进法治建设，指导全区人民调解、行政调解工作，负责全区人民陪审员、人民监督员选任管理工作；负责全区司法所建设。负责全区社区矫正工作，负责刑满释放人员帮教安置工作。负责拟订公共法律服务体系建设规划并组织实施，统筹和布局全区法律服务资源；负责全区律师、公证、法律援助、司法鉴定和基层法律服务管理工作。规划、协调、指导全区法治人才队伍建设相关工作；负责本系统队伍建设。</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w:t>
      </w:r>
      <w:r>
        <w:rPr>
          <w:rFonts w:hint="eastAsia"/>
          <w:lang w:val="en-US" w:eastAsia="zh-CN"/>
        </w:rPr>
        <w:t>1</w:t>
      </w:r>
      <w:r>
        <w:t>）重点推进社区矫正机构和建设工作场所，刑满释放人员安置帮教工作。</w:t>
      </w:r>
    </w:p>
    <w:p>
      <w:pPr>
        <w:pStyle w:val="23"/>
      </w:pPr>
      <w:r>
        <w:t>绩效目标：依据法律、法规做好社区矫正对象、刑满释放人员的管理、教育、帮扶工作，最大限度降低重新违法犯罪和社会不稳定因素发生。</w:t>
      </w:r>
    </w:p>
    <w:p>
      <w:pPr>
        <w:pStyle w:val="23"/>
      </w:pPr>
      <w:r>
        <w:t>绩效指标：社区矫正对象的核查率达到百分之百，矫正对象对帮扶工作满意度，降低矫正人员的重新犯罪率。</w:t>
      </w:r>
    </w:p>
    <w:p>
      <w:pPr>
        <w:pStyle w:val="23"/>
      </w:pPr>
      <w:r>
        <w:t>（</w:t>
      </w:r>
      <w:r>
        <w:rPr>
          <w:rFonts w:hint="eastAsia"/>
          <w:lang w:val="en-US" w:eastAsia="zh-CN"/>
        </w:rPr>
        <w:t>2</w:t>
      </w:r>
      <w:r>
        <w:t>）运用法治思维和法治方法化解社会矛盾纠纷。</w:t>
      </w:r>
    </w:p>
    <w:p>
      <w:pPr>
        <w:pStyle w:val="23"/>
      </w:pPr>
      <w:r>
        <w:t>绩效目标：组建专业调解团队，实行跨区域调解，将矛盾化解在基层社会秩序平安稳定。</w:t>
      </w:r>
    </w:p>
    <w:p>
      <w:pPr>
        <w:pStyle w:val="23"/>
      </w:pPr>
      <w:r>
        <w:t>绩效指标：聘请39名专职调解员，按最低工资1900元，“以案定补”财政补贴，每个案件补贴300-500元，促进人民调解工作质量和人民调解协议规范化水平。</w:t>
      </w:r>
    </w:p>
    <w:p>
      <w:pPr>
        <w:pStyle w:val="23"/>
      </w:pPr>
      <w:r>
        <w:t>（</w:t>
      </w:r>
      <w:r>
        <w:rPr>
          <w:rFonts w:hint="eastAsia"/>
          <w:lang w:val="en-US" w:eastAsia="zh-CN"/>
        </w:rPr>
        <w:t>3</w:t>
      </w:r>
      <w:r>
        <w:t>）依法受理行政复议申请，履行《中华人民共和国行政复议法》规定的各项职责，行政执法协调监督科负责全区行政执法综合协调工作，指导监督各部门严格规范公正文明执法。</w:t>
      </w:r>
    </w:p>
    <w:p>
      <w:pPr>
        <w:pStyle w:val="23"/>
      </w:pPr>
      <w:r>
        <w:t>绩效目标：依法受理符合法律规定的行政复议申请，处理案件率达到100%，提升政府在群众中的公信力，对我区行政执法单位执法人员学习培训，使执法人员的业务水平得到进一步提高。</w:t>
      </w:r>
    </w:p>
    <w:p>
      <w:pPr>
        <w:pStyle w:val="23"/>
      </w:pPr>
      <w:r>
        <w:t>绩效指标：对我区行政执法单位1200名执法人员培训20个课时以上并参加考试，行政复议案件的应诉率达到100%，执法案件中投诉的案件占总案件的比率不高于15%。</w:t>
      </w:r>
    </w:p>
    <w:p>
      <w:pPr>
        <w:pStyle w:val="23"/>
      </w:pPr>
      <w:r>
        <w:rPr>
          <w:rFonts w:hint="eastAsia"/>
          <w:lang w:val="en-US" w:eastAsia="zh-CN"/>
        </w:rPr>
        <w:t>（4</w:t>
      </w:r>
      <w:r>
        <w:t>）组织开展“八五”普法规划，落实“谁执法谁普法”责任制，提高全区公民法律意识和法律素质。</w:t>
      </w:r>
    </w:p>
    <w:p>
      <w:pPr>
        <w:pStyle w:val="23"/>
      </w:pPr>
      <w:r>
        <w:t>绩效目标：增强法治化管理水平，促进全区民主与法治建设，更好地服务保障“法制鹿泉、平安鹿泉”建设。</w:t>
      </w:r>
    </w:p>
    <w:p>
      <w:pPr>
        <w:pStyle w:val="23"/>
      </w:pPr>
      <w:r>
        <w:t>绩效指标：每月开展一次专项主题宣传活动；组织全区干部法律知识培训工作；编印普法教材、展牌等宣传资料；打造法制示范点，提高全区公民法律知晓率。</w:t>
      </w:r>
    </w:p>
    <w:p>
      <w:pPr>
        <w:pStyle w:val="23"/>
      </w:pPr>
      <w:r>
        <w:t>（</w:t>
      </w:r>
      <w:r>
        <w:rPr>
          <w:rFonts w:hint="eastAsia"/>
          <w:lang w:val="en-US" w:eastAsia="zh-CN"/>
        </w:rPr>
        <w:t>5</w:t>
      </w:r>
      <w:r>
        <w:t>）办理法律援助案件，落实法律援助的法律法规和政策的执行。</w:t>
      </w:r>
    </w:p>
    <w:p>
      <w:pPr>
        <w:pStyle w:val="23"/>
      </w:pPr>
      <w:r>
        <w:t>绩效目标：管理“12348”法律援助热线，开展法律援助理论研究。扩大法律援助覆盖面，重点组织好法律援助咨询补贴、代书补贴、办案补贴直接用于法律援助案件，推动全区法律援助长足发展。</w:t>
      </w:r>
    </w:p>
    <w:p>
      <w:pPr>
        <w:pStyle w:val="23"/>
      </w:pPr>
      <w:r>
        <w:t>绩效指标：组织全区律师、法律工作者为全区困难公民和特殊案件当事人提供法律咨询，全年无偿代理民事法律援助案件620件，刑事辩护法律案件44件，法律咨询4700人次。</w:t>
      </w:r>
    </w:p>
    <w:p>
      <w:pPr>
        <w:pStyle w:val="24"/>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3"/>
      </w:pPr>
      <w:r>
        <w:t>1、加强制度建设。建立健全机关预算绩效管理制度，为全年预算绩效目标的实现奠定制度基础。</w:t>
      </w:r>
    </w:p>
    <w:p>
      <w:pPr>
        <w:pStyle w:val="23"/>
      </w:pPr>
      <w:r>
        <w:t>2、规范财务管理。进一步完善财务管理制度，通过科学编制预算、优化支出结构、加快政府采购、加快项目建设、及时拨付资金，确保经费支出进度达到规定标准。</w:t>
      </w:r>
    </w:p>
    <w:p>
      <w:pPr>
        <w:pStyle w:val="23"/>
      </w:pPr>
      <w:r>
        <w:t>3、加强内部监督。加强内部监督制度建设，对绩效运行、重大支出事项、资产处置及其他重要经济业务事项决策和执行进行监督，定期开展财务内部审计，确保财政资金使用安全合规。</w:t>
      </w:r>
    </w:p>
    <w:p>
      <w:pPr>
        <w:pStyle w:val="23"/>
      </w:pPr>
      <w:r>
        <w:t>4、加强绩效监控。积极开展绩效运行监控，发现问题及时采取措施，确保绩效目标如期保质实现。</w:t>
      </w:r>
    </w:p>
    <w:p>
      <w:pPr>
        <w:pStyle w:val="23"/>
      </w:pPr>
      <w:r>
        <w:t>5、做好绩效自评。按要求开展部门预算绩效自评和重点项目评价工作，对评价中发现的问题及时整改。</w:t>
      </w:r>
    </w:p>
    <w:p>
      <w:pPr>
        <w:pStyle w:val="23"/>
      </w:pPr>
      <w:r>
        <w:t>6、加强宣传培训。加强人员培训，加大宣传力度，强化预算绩效管理意识，促进预算绩效管理水平提升。</w:t>
      </w:r>
    </w:p>
    <w:p>
      <w:pPr>
        <w:pStyle w:val="25"/>
        <w:ind w:left="0" w:leftChars="0" w:firstLine="0" w:firstLineChars="0"/>
      </w:pP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bidi w:val="0"/>
        <w:rPr>
          <w:rFonts w:ascii="Times New Roman" w:hAnsi="Times New Roman" w:eastAsia="Times New Roman"/>
          <w:sz w:val="24"/>
          <w:szCs w:val="24"/>
          <w:lang w:val="en-US" w:eastAsia="uk-UA" w:bidi="ar-SA"/>
        </w:rPr>
      </w:pPr>
    </w:p>
    <w:p>
      <w:pPr>
        <w:tabs>
          <w:tab w:val="left" w:pos="3740"/>
        </w:tabs>
        <w:bidi w:val="0"/>
        <w:ind w:firstLine="960" w:firstLineChars="300"/>
        <w:jc w:val="left"/>
        <w:rPr>
          <w:rFonts w:hint="eastAsia" w:eastAsia="宋体"/>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sz w:val="32"/>
          <w:szCs w:val="32"/>
          <w:lang w:val="en-US" w:eastAsia="zh-CN"/>
        </w:rPr>
        <w:t>我部门无专项资金</w:t>
      </w:r>
      <w:r>
        <w:rPr>
          <w:rFonts w:hint="eastAsia" w:eastAsia="宋体"/>
          <w:lang w:val="en-US" w:eastAsia="zh-CN"/>
        </w:rPr>
        <w:t>。</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1、2022《法治时间》专题栏目绩效目标表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1.以案说法，传播法律知识，满足人民法律需求，推进全面依法治区工作深入开展</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录播《法治时间》栏目的时间</w:t>
            </w:r>
          </w:p>
          <w:p>
            <w:pPr>
              <w:pStyle w:val="14"/>
            </w:pPr>
          </w:p>
        </w:tc>
        <w:tc>
          <w:tcPr>
            <w:tcW w:w="2835" w:type="dxa"/>
            <w:vAlign w:val="center"/>
          </w:tcPr>
          <w:p>
            <w:pPr>
              <w:pStyle w:val="14"/>
            </w:pPr>
            <w:r>
              <w:t>《法治时间》栏目每月一期</w:t>
            </w:r>
          </w:p>
          <w:p>
            <w:pPr>
              <w:pStyle w:val="14"/>
            </w:pPr>
          </w:p>
        </w:tc>
        <w:tc>
          <w:tcPr>
            <w:tcW w:w="2551" w:type="dxa"/>
            <w:vAlign w:val="center"/>
          </w:tcPr>
          <w:p>
            <w:pPr>
              <w:pStyle w:val="14"/>
            </w:pPr>
            <w:r>
              <w:t>≥1月/期</w:t>
            </w:r>
          </w:p>
          <w:p>
            <w:pPr>
              <w:pStyle w:val="14"/>
            </w:pP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《法治时间》栏目的质量</w:t>
            </w:r>
          </w:p>
        </w:tc>
        <w:tc>
          <w:tcPr>
            <w:tcW w:w="2835" w:type="dxa"/>
            <w:vAlign w:val="center"/>
          </w:tcPr>
          <w:p>
            <w:pPr>
              <w:pStyle w:val="14"/>
            </w:pPr>
            <w:r>
              <w:t>《法治时间》栏目收视覆盖率</w:t>
            </w:r>
          </w:p>
        </w:tc>
        <w:tc>
          <w:tcPr>
            <w:tcW w:w="2551" w:type="dxa"/>
            <w:vAlign w:val="center"/>
          </w:tcPr>
          <w:p>
            <w:pPr>
              <w:pStyle w:val="14"/>
            </w:pPr>
            <w:r>
              <w:t>≥1每月/期</w:t>
            </w:r>
          </w:p>
          <w:p>
            <w:pPr>
              <w:pStyle w:val="14"/>
            </w:pP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《法治时间》拍摄时长</w:t>
            </w:r>
          </w:p>
        </w:tc>
        <w:tc>
          <w:tcPr>
            <w:tcW w:w="2835" w:type="dxa"/>
            <w:vAlign w:val="center"/>
          </w:tcPr>
          <w:p>
            <w:pPr>
              <w:pStyle w:val="14"/>
            </w:pPr>
            <w:r>
              <w:t>《法治时间》拍摄时效</w:t>
            </w:r>
          </w:p>
        </w:tc>
        <w:tc>
          <w:tcPr>
            <w:tcW w:w="2551" w:type="dxa"/>
            <w:vAlign w:val="center"/>
          </w:tcPr>
          <w:p>
            <w:pPr>
              <w:pStyle w:val="14"/>
            </w:pPr>
            <w:r>
              <w:t>15分钟/期</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《法治时间》拍摄成本</w:t>
            </w:r>
          </w:p>
        </w:tc>
        <w:tc>
          <w:tcPr>
            <w:tcW w:w="2835" w:type="dxa"/>
            <w:vAlign w:val="center"/>
          </w:tcPr>
          <w:p>
            <w:pPr>
              <w:pStyle w:val="14"/>
            </w:pPr>
            <w:r>
              <w:t>《法治时间》每期成本</w:t>
            </w:r>
          </w:p>
        </w:tc>
        <w:tc>
          <w:tcPr>
            <w:tcW w:w="2551" w:type="dxa"/>
            <w:vAlign w:val="center"/>
          </w:tcPr>
          <w:p>
            <w:pPr>
              <w:pStyle w:val="14"/>
            </w:pPr>
            <w:r>
              <w:t>≥1万元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法律知晓率</w:t>
            </w:r>
          </w:p>
        </w:tc>
        <w:tc>
          <w:tcPr>
            <w:tcW w:w="2835" w:type="dxa"/>
            <w:vAlign w:val="center"/>
          </w:tcPr>
          <w:p>
            <w:pPr>
              <w:pStyle w:val="14"/>
            </w:pPr>
            <w:r>
              <w:t>全区公民接受法律知识的比例</w:t>
            </w:r>
          </w:p>
          <w:p>
            <w:pPr>
              <w:pStyle w:val="14"/>
            </w:pPr>
          </w:p>
        </w:tc>
        <w:tc>
          <w:tcPr>
            <w:tcW w:w="2551" w:type="dxa"/>
            <w:vAlign w:val="center"/>
          </w:tcPr>
          <w:p>
            <w:pPr>
              <w:pStyle w:val="14"/>
            </w:pPr>
            <w:r>
              <w:t>≥95%</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公众接受法制栏目的满意程度</w:t>
            </w:r>
          </w:p>
          <w:p>
            <w:pPr>
              <w:pStyle w:val="14"/>
            </w:pPr>
          </w:p>
        </w:tc>
        <w:tc>
          <w:tcPr>
            <w:tcW w:w="2551" w:type="dxa"/>
            <w:vAlign w:val="center"/>
          </w:tcPr>
          <w:p>
            <w:pPr>
              <w:pStyle w:val="14"/>
            </w:pPr>
            <w:r>
              <w:t>≥95%</w:t>
            </w:r>
          </w:p>
        </w:tc>
        <w:tc>
          <w:tcPr>
            <w:tcW w:w="2268" w:type="dxa"/>
            <w:vAlign w:val="center"/>
          </w:tcPr>
          <w:p>
            <w:pPr>
              <w:pStyle w:val="14"/>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2、2022关于申请宜安镇、李村镇、黄壁庄镇和上寨乡61个村法律顾问费用的请示绩效目标表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1.2021年李村镇23个村、宜安镇23个村、黄壁庄镇10个村、上寨乡5个村共61个村法律顾问费用</w:t>
            </w:r>
          </w:p>
          <w:p>
            <w:pPr>
              <w:pStyle w:val="14"/>
            </w:pPr>
          </w:p>
          <w:p>
            <w:pPr>
              <w:pStyle w:val="14"/>
            </w:pPr>
            <w:r>
              <w:t>2.反映各村法律顾问提前介入矛盾纠纷案件，有效降低村民矛盾纠纷激化案件.调解案件120件，调解成功率达到95%</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法律援助乡村数量</w:t>
            </w:r>
          </w:p>
        </w:tc>
        <w:tc>
          <w:tcPr>
            <w:tcW w:w="2835" w:type="dxa"/>
            <w:vAlign w:val="center"/>
          </w:tcPr>
          <w:p>
            <w:pPr>
              <w:pStyle w:val="14"/>
            </w:pPr>
            <w:r>
              <w:t>法律援助乡村数量</w:t>
            </w:r>
          </w:p>
        </w:tc>
        <w:tc>
          <w:tcPr>
            <w:tcW w:w="2551" w:type="dxa"/>
            <w:vAlign w:val="center"/>
          </w:tcPr>
          <w:p>
            <w:pPr>
              <w:pStyle w:val="14"/>
            </w:pPr>
            <w:r>
              <w:t>61个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调解案件数</w:t>
            </w:r>
          </w:p>
        </w:tc>
        <w:tc>
          <w:tcPr>
            <w:tcW w:w="2835" w:type="dxa"/>
            <w:vAlign w:val="center"/>
          </w:tcPr>
          <w:p>
            <w:pPr>
              <w:pStyle w:val="14"/>
            </w:pPr>
            <w:r>
              <w:t>调解案件数</w:t>
            </w:r>
          </w:p>
        </w:tc>
        <w:tc>
          <w:tcPr>
            <w:tcW w:w="2551" w:type="dxa"/>
            <w:vAlign w:val="center"/>
          </w:tcPr>
          <w:p>
            <w:pPr>
              <w:pStyle w:val="14"/>
            </w:pPr>
            <w:r>
              <w:t>≥120件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律师到岗率</w:t>
            </w:r>
          </w:p>
        </w:tc>
        <w:tc>
          <w:tcPr>
            <w:tcW w:w="2835" w:type="dxa"/>
            <w:vAlign w:val="center"/>
          </w:tcPr>
          <w:p>
            <w:pPr>
              <w:pStyle w:val="14"/>
            </w:pPr>
            <w:r>
              <w:t>律师到岗率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资金拨付时间</w:t>
            </w:r>
          </w:p>
        </w:tc>
        <w:tc>
          <w:tcPr>
            <w:tcW w:w="2835" w:type="dxa"/>
            <w:vAlign w:val="center"/>
          </w:tcPr>
          <w:p>
            <w:pPr>
              <w:pStyle w:val="14"/>
            </w:pPr>
            <w:r>
              <w:t>拨付资金到位时间</w:t>
            </w:r>
          </w:p>
          <w:p>
            <w:pPr>
              <w:pStyle w:val="14"/>
            </w:pPr>
          </w:p>
        </w:tc>
        <w:tc>
          <w:tcPr>
            <w:tcW w:w="2551" w:type="dxa"/>
            <w:vAlign w:val="center"/>
          </w:tcPr>
          <w:p>
            <w:pPr>
              <w:pStyle w:val="14"/>
            </w:pPr>
            <w:r>
              <w:t>每季度拨付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律师费用标准</w:t>
            </w:r>
          </w:p>
        </w:tc>
        <w:tc>
          <w:tcPr>
            <w:tcW w:w="2835" w:type="dxa"/>
            <w:vAlign w:val="center"/>
          </w:tcPr>
          <w:p>
            <w:pPr>
              <w:pStyle w:val="14"/>
            </w:pPr>
            <w:r>
              <w:t>法律顾问费用单个标准</w:t>
            </w:r>
          </w:p>
          <w:p>
            <w:pPr>
              <w:pStyle w:val="14"/>
            </w:pPr>
          </w:p>
        </w:tc>
        <w:tc>
          <w:tcPr>
            <w:tcW w:w="2551" w:type="dxa"/>
            <w:vAlign w:val="center"/>
          </w:tcPr>
          <w:p>
            <w:pPr>
              <w:pStyle w:val="14"/>
            </w:pPr>
            <w:r>
              <w:t>≥3000元/年/村</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纠纷调解成功率</w:t>
            </w:r>
          </w:p>
        </w:tc>
        <w:tc>
          <w:tcPr>
            <w:tcW w:w="2835" w:type="dxa"/>
            <w:vAlign w:val="center"/>
          </w:tcPr>
          <w:p>
            <w:pPr>
              <w:pStyle w:val="14"/>
            </w:pPr>
            <w:r>
              <w:t>经律师调解矛盾纠纷成功率占矛盾纠纷案件数</w:t>
            </w:r>
          </w:p>
          <w:p>
            <w:pPr>
              <w:pStyle w:val="14"/>
            </w:pP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经律师调解满意度</w:t>
            </w:r>
          </w:p>
        </w:tc>
        <w:tc>
          <w:tcPr>
            <w:tcW w:w="2835" w:type="dxa"/>
            <w:vAlign w:val="center"/>
          </w:tcPr>
          <w:p>
            <w:pPr>
              <w:pStyle w:val="14"/>
            </w:pPr>
            <w:r>
              <w:t>接受调解的纠纷满意的占所有调解案件的比例</w:t>
            </w:r>
          </w:p>
          <w:p>
            <w:pPr>
              <w:pStyle w:val="14"/>
            </w:pP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3、2022关于司法所工作经费列入财政预算的请示绩效目标表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1.13个司法所工作经费，每个司法所每年5万元，用于司法所日常运行、司法所普法宣传费、司法所业务经费，对司法所工作人员的培训费，推进司法所</w:t>
            </w:r>
            <w:r>
              <w:rPr>
                <w:rFonts w:hint="eastAsia"/>
                <w:lang w:val="en-US" w:eastAsia="zh-CN"/>
              </w:rPr>
              <w:t>规范化</w:t>
            </w:r>
            <w:r>
              <w:t>建设，组织机构正规化。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司法所数量</w:t>
            </w:r>
          </w:p>
        </w:tc>
        <w:tc>
          <w:tcPr>
            <w:tcW w:w="2835" w:type="dxa"/>
            <w:vAlign w:val="center"/>
          </w:tcPr>
          <w:p>
            <w:pPr>
              <w:pStyle w:val="14"/>
            </w:pPr>
            <w:r>
              <w:t>司法所数量</w:t>
            </w:r>
          </w:p>
        </w:tc>
        <w:tc>
          <w:tcPr>
            <w:tcW w:w="2551" w:type="dxa"/>
            <w:vAlign w:val="center"/>
          </w:tcPr>
          <w:p>
            <w:pPr>
              <w:pStyle w:val="14"/>
            </w:pPr>
            <w:r>
              <w:t>13个</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司法所每年工作经费成本</w:t>
            </w:r>
          </w:p>
        </w:tc>
        <w:tc>
          <w:tcPr>
            <w:tcW w:w="2835" w:type="dxa"/>
            <w:vAlign w:val="center"/>
          </w:tcPr>
          <w:p>
            <w:pPr>
              <w:pStyle w:val="14"/>
            </w:pPr>
            <w:r>
              <w:t>司法所每年工作经费成本</w:t>
            </w:r>
          </w:p>
        </w:tc>
        <w:tc>
          <w:tcPr>
            <w:tcW w:w="2551" w:type="dxa"/>
            <w:vAlign w:val="center"/>
          </w:tcPr>
          <w:p>
            <w:pPr>
              <w:pStyle w:val="14"/>
            </w:pPr>
            <w:r>
              <w:t>5万元/年</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普法宣传品种类</w:t>
            </w:r>
          </w:p>
        </w:tc>
        <w:tc>
          <w:tcPr>
            <w:tcW w:w="2835" w:type="dxa"/>
            <w:vAlign w:val="center"/>
          </w:tcPr>
          <w:p>
            <w:pPr>
              <w:pStyle w:val="14"/>
            </w:pPr>
            <w:r>
              <w:t>普法宣传品种类</w:t>
            </w:r>
          </w:p>
        </w:tc>
        <w:tc>
          <w:tcPr>
            <w:tcW w:w="2551" w:type="dxa"/>
            <w:vAlign w:val="center"/>
          </w:tcPr>
          <w:p>
            <w:pPr>
              <w:pStyle w:val="14"/>
            </w:pPr>
            <w:r>
              <w:t>≥6类</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工作人员培训费</w:t>
            </w:r>
          </w:p>
        </w:tc>
        <w:tc>
          <w:tcPr>
            <w:tcW w:w="2835" w:type="dxa"/>
            <w:vAlign w:val="center"/>
          </w:tcPr>
          <w:p>
            <w:pPr>
              <w:pStyle w:val="14"/>
            </w:pPr>
            <w:r>
              <w:t>工作人员人均培训费</w:t>
            </w:r>
          </w:p>
        </w:tc>
        <w:tc>
          <w:tcPr>
            <w:tcW w:w="2551" w:type="dxa"/>
            <w:vAlign w:val="center"/>
          </w:tcPr>
          <w:p>
            <w:pPr>
              <w:pStyle w:val="14"/>
            </w:pPr>
            <w:r>
              <w:t>≥1000元/人</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乡村普法达标率</w:t>
            </w:r>
          </w:p>
        </w:tc>
        <w:tc>
          <w:tcPr>
            <w:tcW w:w="2835" w:type="dxa"/>
            <w:vAlign w:val="center"/>
          </w:tcPr>
          <w:p>
            <w:pPr>
              <w:pStyle w:val="14"/>
            </w:pPr>
            <w:r>
              <w:t>乡村普法达标率</w:t>
            </w:r>
          </w:p>
        </w:tc>
        <w:tc>
          <w:tcPr>
            <w:tcW w:w="2551" w:type="dxa"/>
            <w:vAlign w:val="center"/>
          </w:tcPr>
          <w:p>
            <w:pPr>
              <w:pStyle w:val="14"/>
            </w:pPr>
            <w:r>
              <w:t>≥90%</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司法所工作人员学习时间达标率</w:t>
            </w:r>
          </w:p>
          <w:p>
            <w:pPr>
              <w:pStyle w:val="14"/>
            </w:pPr>
          </w:p>
        </w:tc>
        <w:tc>
          <w:tcPr>
            <w:tcW w:w="2835" w:type="dxa"/>
            <w:vAlign w:val="center"/>
          </w:tcPr>
          <w:p>
            <w:pPr>
              <w:pStyle w:val="14"/>
            </w:pPr>
            <w:r>
              <w:t>司法所工作人员学习时间达标率</w:t>
            </w:r>
          </w:p>
        </w:tc>
        <w:tc>
          <w:tcPr>
            <w:tcW w:w="2551" w:type="dxa"/>
            <w:vAlign w:val="center"/>
          </w:tcPr>
          <w:p>
            <w:pPr>
              <w:pStyle w:val="14"/>
            </w:pPr>
            <w:r>
              <w:t>≥90%</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乡村普法知晓率</w:t>
            </w:r>
          </w:p>
        </w:tc>
        <w:tc>
          <w:tcPr>
            <w:tcW w:w="2835" w:type="dxa"/>
            <w:vAlign w:val="center"/>
          </w:tcPr>
          <w:p>
            <w:pPr>
              <w:pStyle w:val="14"/>
            </w:pPr>
            <w:r>
              <w:t>乡村普法村民知晓率</w:t>
            </w:r>
          </w:p>
        </w:tc>
        <w:tc>
          <w:tcPr>
            <w:tcW w:w="2551" w:type="dxa"/>
            <w:vAlign w:val="center"/>
          </w:tcPr>
          <w:p>
            <w:pPr>
              <w:pStyle w:val="14"/>
            </w:pPr>
            <w:r>
              <w:t>≥90%</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普法宣传对象满意度</w:t>
            </w:r>
          </w:p>
        </w:tc>
        <w:tc>
          <w:tcPr>
            <w:tcW w:w="2835" w:type="dxa"/>
            <w:vAlign w:val="center"/>
          </w:tcPr>
          <w:p>
            <w:pPr>
              <w:pStyle w:val="14"/>
            </w:pPr>
            <w:r>
              <w:t>普法宣传对象满意度</w:t>
            </w:r>
          </w:p>
        </w:tc>
        <w:tc>
          <w:tcPr>
            <w:tcW w:w="2551" w:type="dxa"/>
            <w:vAlign w:val="center"/>
          </w:tcPr>
          <w:p>
            <w:pPr>
              <w:pStyle w:val="14"/>
            </w:pPr>
            <w:r>
              <w:t>≥90%</w:t>
            </w:r>
          </w:p>
        </w:tc>
        <w:tc>
          <w:tcPr>
            <w:tcW w:w="2268" w:type="dxa"/>
            <w:vAlign w:val="center"/>
          </w:tcPr>
          <w:p>
            <w:pPr>
              <w:pStyle w:val="14"/>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4、2022年退役人员工资绩效目标表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1.对符合政府安排工作条件的17名复转军人帮扶救助，加大就业援助。</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准时足额发放退役军人工资</w:t>
            </w:r>
          </w:p>
        </w:tc>
        <w:tc>
          <w:tcPr>
            <w:tcW w:w="2835" w:type="dxa"/>
            <w:vAlign w:val="center"/>
          </w:tcPr>
          <w:p>
            <w:pPr>
              <w:pStyle w:val="14"/>
            </w:pPr>
            <w:r>
              <w:t>准时足额发放退役军人工资</w:t>
            </w:r>
          </w:p>
        </w:tc>
        <w:tc>
          <w:tcPr>
            <w:tcW w:w="2551" w:type="dxa"/>
            <w:vAlign w:val="center"/>
          </w:tcPr>
          <w:p>
            <w:pPr>
              <w:pStyle w:val="14"/>
            </w:pPr>
            <w:r>
              <w:t>100%</w:t>
            </w:r>
          </w:p>
        </w:tc>
        <w:tc>
          <w:tcPr>
            <w:tcW w:w="2268" w:type="dxa"/>
            <w:vAlign w:val="center"/>
          </w:tcPr>
          <w:p>
            <w:pPr>
              <w:pStyle w:val="14"/>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退役军人工资按时发放率</w:t>
            </w:r>
          </w:p>
        </w:tc>
        <w:tc>
          <w:tcPr>
            <w:tcW w:w="2835" w:type="dxa"/>
            <w:vAlign w:val="center"/>
          </w:tcPr>
          <w:p>
            <w:pPr>
              <w:pStyle w:val="14"/>
            </w:pPr>
            <w:r>
              <w:t>按时发放工资</w:t>
            </w:r>
          </w:p>
          <w:p>
            <w:pPr>
              <w:pStyle w:val="14"/>
            </w:pPr>
          </w:p>
        </w:tc>
        <w:tc>
          <w:tcPr>
            <w:tcW w:w="2551" w:type="dxa"/>
            <w:vAlign w:val="center"/>
          </w:tcPr>
          <w:p>
            <w:pPr>
              <w:pStyle w:val="14"/>
            </w:pPr>
            <w:r>
              <w:t>100%</w:t>
            </w:r>
          </w:p>
        </w:tc>
        <w:tc>
          <w:tcPr>
            <w:tcW w:w="2268" w:type="dxa"/>
            <w:vAlign w:val="center"/>
          </w:tcPr>
          <w:p>
            <w:pPr>
              <w:pStyle w:val="14"/>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发放退役军人工资的人数</w:t>
            </w:r>
          </w:p>
        </w:tc>
        <w:tc>
          <w:tcPr>
            <w:tcW w:w="2835" w:type="dxa"/>
            <w:vAlign w:val="center"/>
          </w:tcPr>
          <w:p>
            <w:pPr>
              <w:pStyle w:val="14"/>
            </w:pPr>
            <w:r>
              <w:t>实际退役军人人数</w:t>
            </w:r>
          </w:p>
          <w:p>
            <w:pPr>
              <w:pStyle w:val="14"/>
            </w:pPr>
          </w:p>
        </w:tc>
        <w:tc>
          <w:tcPr>
            <w:tcW w:w="2551" w:type="dxa"/>
            <w:vAlign w:val="center"/>
          </w:tcPr>
          <w:p>
            <w:pPr>
              <w:pStyle w:val="14"/>
            </w:pPr>
            <w:r>
              <w:t>16人</w:t>
            </w:r>
          </w:p>
        </w:tc>
        <w:tc>
          <w:tcPr>
            <w:tcW w:w="2268" w:type="dxa"/>
            <w:vAlign w:val="center"/>
          </w:tcPr>
          <w:p>
            <w:pPr>
              <w:pStyle w:val="14"/>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退役军人月工资</w:t>
            </w:r>
          </w:p>
        </w:tc>
        <w:tc>
          <w:tcPr>
            <w:tcW w:w="2835" w:type="dxa"/>
            <w:vAlign w:val="center"/>
          </w:tcPr>
          <w:p>
            <w:pPr>
              <w:pStyle w:val="14"/>
            </w:pPr>
            <w:r>
              <w:t>发放退役月工资数额</w:t>
            </w:r>
          </w:p>
          <w:p>
            <w:pPr>
              <w:pStyle w:val="14"/>
            </w:pPr>
          </w:p>
        </w:tc>
        <w:tc>
          <w:tcPr>
            <w:tcW w:w="2551" w:type="dxa"/>
            <w:vAlign w:val="center"/>
          </w:tcPr>
          <w:p>
            <w:pPr>
              <w:pStyle w:val="14"/>
            </w:pPr>
            <w:r>
              <w:t>≥3200元/人·月</w:t>
            </w:r>
          </w:p>
          <w:p>
            <w:pPr>
              <w:pStyle w:val="14"/>
            </w:pPr>
          </w:p>
        </w:tc>
        <w:tc>
          <w:tcPr>
            <w:tcW w:w="2268" w:type="dxa"/>
            <w:vAlign w:val="center"/>
          </w:tcPr>
          <w:p>
            <w:pPr>
              <w:pStyle w:val="14"/>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退役军人取暖费</w:t>
            </w:r>
          </w:p>
        </w:tc>
        <w:tc>
          <w:tcPr>
            <w:tcW w:w="2835" w:type="dxa"/>
            <w:vAlign w:val="center"/>
          </w:tcPr>
          <w:p>
            <w:pPr>
              <w:pStyle w:val="14"/>
            </w:pPr>
            <w:r>
              <w:t>退役军人取暖费</w:t>
            </w:r>
          </w:p>
        </w:tc>
        <w:tc>
          <w:tcPr>
            <w:tcW w:w="2551" w:type="dxa"/>
            <w:vAlign w:val="center"/>
          </w:tcPr>
          <w:p>
            <w:pPr>
              <w:pStyle w:val="14"/>
            </w:pPr>
            <w:r>
              <w:t>1900元/人·月</w:t>
            </w:r>
          </w:p>
          <w:p>
            <w:pPr>
              <w:pStyle w:val="14"/>
            </w:pPr>
          </w:p>
        </w:tc>
        <w:tc>
          <w:tcPr>
            <w:tcW w:w="2268" w:type="dxa"/>
            <w:vAlign w:val="center"/>
          </w:tcPr>
          <w:p>
            <w:pPr>
              <w:pStyle w:val="14"/>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退役军人社会保险费</w:t>
            </w:r>
          </w:p>
        </w:tc>
        <w:tc>
          <w:tcPr>
            <w:tcW w:w="2835" w:type="dxa"/>
            <w:vAlign w:val="center"/>
          </w:tcPr>
          <w:p>
            <w:pPr>
              <w:pStyle w:val="14"/>
            </w:pPr>
            <w:r>
              <w:t>退役军人社会保险费</w:t>
            </w:r>
          </w:p>
        </w:tc>
        <w:tc>
          <w:tcPr>
            <w:tcW w:w="2551" w:type="dxa"/>
            <w:vAlign w:val="center"/>
          </w:tcPr>
          <w:p>
            <w:pPr>
              <w:pStyle w:val="14"/>
            </w:pPr>
            <w:r>
              <w:t>1090.46元/人·月</w:t>
            </w:r>
          </w:p>
          <w:p>
            <w:pPr>
              <w:pStyle w:val="14"/>
            </w:pPr>
          </w:p>
        </w:tc>
        <w:tc>
          <w:tcPr>
            <w:tcW w:w="2268" w:type="dxa"/>
            <w:vAlign w:val="center"/>
          </w:tcPr>
          <w:p>
            <w:pPr>
              <w:pStyle w:val="14"/>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退役军人生活水平提升情况</w:t>
            </w:r>
          </w:p>
        </w:tc>
        <w:tc>
          <w:tcPr>
            <w:tcW w:w="2835" w:type="dxa"/>
            <w:vAlign w:val="center"/>
          </w:tcPr>
          <w:p>
            <w:pPr>
              <w:pStyle w:val="14"/>
            </w:pPr>
            <w:r>
              <w:t>满足日常生活需要</w:t>
            </w:r>
          </w:p>
          <w:p>
            <w:pPr>
              <w:pStyle w:val="14"/>
            </w:pPr>
          </w:p>
        </w:tc>
        <w:tc>
          <w:tcPr>
            <w:tcW w:w="2551" w:type="dxa"/>
            <w:vAlign w:val="center"/>
          </w:tcPr>
          <w:p>
            <w:pPr>
              <w:pStyle w:val="14"/>
            </w:pPr>
            <w:r>
              <w:t>稳步提高</w:t>
            </w:r>
          </w:p>
        </w:tc>
        <w:tc>
          <w:tcPr>
            <w:tcW w:w="2268" w:type="dxa"/>
            <w:vAlign w:val="center"/>
          </w:tcPr>
          <w:p>
            <w:pPr>
              <w:pStyle w:val="14"/>
            </w:pPr>
            <w:r>
              <w:t>（鹿办文【2017】31号文）精神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受助对象满意度</w:t>
            </w:r>
          </w:p>
        </w:tc>
        <w:tc>
          <w:tcPr>
            <w:tcW w:w="2835" w:type="dxa"/>
            <w:vAlign w:val="center"/>
          </w:tcPr>
          <w:p>
            <w:pPr>
              <w:pStyle w:val="14"/>
            </w:pPr>
            <w:r>
              <w:t>退役军人满意度</w:t>
            </w:r>
          </w:p>
          <w:p>
            <w:pPr>
              <w:pStyle w:val="14"/>
            </w:pPr>
          </w:p>
        </w:tc>
        <w:tc>
          <w:tcPr>
            <w:tcW w:w="2551" w:type="dxa"/>
            <w:vAlign w:val="center"/>
          </w:tcPr>
          <w:p>
            <w:pPr>
              <w:pStyle w:val="14"/>
            </w:pPr>
            <w:r>
              <w:t>≥95%</w:t>
            </w:r>
          </w:p>
        </w:tc>
        <w:tc>
          <w:tcPr>
            <w:tcW w:w="2268" w:type="dxa"/>
            <w:vAlign w:val="center"/>
          </w:tcPr>
          <w:p>
            <w:pPr>
              <w:pStyle w:val="14"/>
            </w:pPr>
            <w:r>
              <w:t>（鹿办文【2017】31号文）精神</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5、2022年专项工作经费绩效目标表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提供法律咨询、代书、办理民事、刑事等法律援助案件以及提供涉法涉诉信访事项服务等，为全区经济困难公民和特殊案件当事人降低门槛、扩大法律援助覆盖面，提供无偿法律援助服务，确保法律援助案件质量提升</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法律援助人均成本</w:t>
            </w:r>
          </w:p>
          <w:p>
            <w:pPr>
              <w:pStyle w:val="14"/>
            </w:pPr>
          </w:p>
        </w:tc>
        <w:tc>
          <w:tcPr>
            <w:tcW w:w="2835" w:type="dxa"/>
            <w:vAlign w:val="center"/>
          </w:tcPr>
          <w:p>
            <w:pPr>
              <w:pStyle w:val="14"/>
            </w:pPr>
            <w:r>
              <w:t>法律援助人均成本</w:t>
            </w:r>
          </w:p>
        </w:tc>
        <w:tc>
          <w:tcPr>
            <w:tcW w:w="2551" w:type="dxa"/>
            <w:vAlign w:val="center"/>
          </w:tcPr>
          <w:p>
            <w:pPr>
              <w:pStyle w:val="14"/>
            </w:pPr>
            <w:r>
              <w:t>≥850元/人</w:t>
            </w:r>
          </w:p>
          <w:p>
            <w:pPr>
              <w:pStyle w:val="14"/>
            </w:pP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办理委托公证事项的数量</w:t>
            </w:r>
          </w:p>
        </w:tc>
        <w:tc>
          <w:tcPr>
            <w:tcW w:w="2835" w:type="dxa"/>
            <w:vAlign w:val="center"/>
          </w:tcPr>
          <w:p>
            <w:pPr>
              <w:pStyle w:val="14"/>
            </w:pPr>
            <w:r>
              <w:t>办理委托公证事项的数量</w:t>
            </w:r>
          </w:p>
        </w:tc>
        <w:tc>
          <w:tcPr>
            <w:tcW w:w="2551" w:type="dxa"/>
            <w:vAlign w:val="center"/>
          </w:tcPr>
          <w:p>
            <w:pPr>
              <w:pStyle w:val="14"/>
            </w:pPr>
            <w:r>
              <w:t>≥200件</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案件办理率</w:t>
            </w:r>
          </w:p>
        </w:tc>
        <w:tc>
          <w:tcPr>
            <w:tcW w:w="2835" w:type="dxa"/>
            <w:vAlign w:val="center"/>
          </w:tcPr>
          <w:p>
            <w:pPr>
              <w:pStyle w:val="14"/>
            </w:pPr>
            <w:r>
              <w:t>案件办理率</w:t>
            </w:r>
          </w:p>
        </w:tc>
        <w:tc>
          <w:tcPr>
            <w:tcW w:w="2551" w:type="dxa"/>
            <w:vAlign w:val="center"/>
          </w:tcPr>
          <w:p>
            <w:pPr>
              <w:pStyle w:val="14"/>
            </w:pPr>
            <w:r>
              <w:t>≥2天</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办理委托公证书的时间</w:t>
            </w:r>
          </w:p>
        </w:tc>
        <w:tc>
          <w:tcPr>
            <w:tcW w:w="2835" w:type="dxa"/>
            <w:vAlign w:val="center"/>
          </w:tcPr>
          <w:p>
            <w:pPr>
              <w:pStyle w:val="14"/>
            </w:pPr>
            <w:r>
              <w:t>平均每个小时能办理一件委托书公证</w:t>
            </w:r>
          </w:p>
        </w:tc>
        <w:tc>
          <w:tcPr>
            <w:tcW w:w="2551" w:type="dxa"/>
            <w:vAlign w:val="center"/>
          </w:tcPr>
          <w:p>
            <w:pPr>
              <w:pStyle w:val="14"/>
            </w:pPr>
            <w:r>
              <w:t>≥1小时</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委托公证事项的成本</w:t>
            </w:r>
          </w:p>
        </w:tc>
        <w:tc>
          <w:tcPr>
            <w:tcW w:w="2835" w:type="dxa"/>
            <w:vAlign w:val="center"/>
          </w:tcPr>
          <w:p>
            <w:pPr>
              <w:pStyle w:val="14"/>
            </w:pPr>
            <w:r>
              <w:t>委托公证事项的成本</w:t>
            </w:r>
          </w:p>
        </w:tc>
        <w:tc>
          <w:tcPr>
            <w:tcW w:w="2551" w:type="dxa"/>
            <w:vAlign w:val="center"/>
          </w:tcPr>
          <w:p>
            <w:pPr>
              <w:pStyle w:val="14"/>
            </w:pPr>
            <w:r>
              <w:t>≥150元/件</w:t>
            </w:r>
          </w:p>
          <w:p>
            <w:pPr>
              <w:pStyle w:val="14"/>
            </w:pP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援助律师工作覆盖率</w:t>
            </w:r>
          </w:p>
        </w:tc>
        <w:tc>
          <w:tcPr>
            <w:tcW w:w="2835" w:type="dxa"/>
            <w:vAlign w:val="center"/>
          </w:tcPr>
          <w:p>
            <w:pPr>
              <w:pStyle w:val="14"/>
            </w:pPr>
            <w:r>
              <w:t>援助律师工作覆盖率</w:t>
            </w:r>
          </w:p>
        </w:tc>
        <w:tc>
          <w:tcPr>
            <w:tcW w:w="2551" w:type="dxa"/>
            <w:vAlign w:val="center"/>
          </w:tcPr>
          <w:p>
            <w:pPr>
              <w:pStyle w:val="14"/>
            </w:pPr>
            <w:r>
              <w:t>≥100%</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法律援助刑事案件数量</w:t>
            </w:r>
          </w:p>
        </w:tc>
        <w:tc>
          <w:tcPr>
            <w:tcW w:w="2835" w:type="dxa"/>
            <w:vAlign w:val="center"/>
          </w:tcPr>
          <w:p>
            <w:pPr>
              <w:pStyle w:val="14"/>
            </w:pPr>
            <w:r>
              <w:t>法律援助刑事案件数量</w:t>
            </w:r>
          </w:p>
        </w:tc>
        <w:tc>
          <w:tcPr>
            <w:tcW w:w="2551" w:type="dxa"/>
            <w:vAlign w:val="center"/>
          </w:tcPr>
          <w:p>
            <w:pPr>
              <w:pStyle w:val="14"/>
            </w:pPr>
            <w:r>
              <w:t>≥50件</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法律援助民事案件数量</w:t>
            </w:r>
          </w:p>
        </w:tc>
        <w:tc>
          <w:tcPr>
            <w:tcW w:w="2835" w:type="dxa"/>
            <w:vAlign w:val="center"/>
          </w:tcPr>
          <w:p>
            <w:pPr>
              <w:pStyle w:val="14"/>
            </w:pPr>
            <w:r>
              <w:t>法律援助民事案件数量</w:t>
            </w:r>
          </w:p>
        </w:tc>
        <w:tc>
          <w:tcPr>
            <w:tcW w:w="2551" w:type="dxa"/>
            <w:vAlign w:val="center"/>
          </w:tcPr>
          <w:p>
            <w:pPr>
              <w:pStyle w:val="14"/>
            </w:pPr>
            <w:r>
              <w:t>≥59件</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援助刑事案件成本</w:t>
            </w:r>
          </w:p>
        </w:tc>
        <w:tc>
          <w:tcPr>
            <w:tcW w:w="2835" w:type="dxa"/>
            <w:vAlign w:val="center"/>
          </w:tcPr>
          <w:p>
            <w:pPr>
              <w:pStyle w:val="14"/>
            </w:pPr>
            <w:r>
              <w:t>援助刑事案件成本</w:t>
            </w:r>
          </w:p>
        </w:tc>
        <w:tc>
          <w:tcPr>
            <w:tcW w:w="2551" w:type="dxa"/>
            <w:vAlign w:val="center"/>
          </w:tcPr>
          <w:p>
            <w:pPr>
              <w:pStyle w:val="14"/>
            </w:pPr>
            <w:r>
              <w:t>≥400元/件</w:t>
            </w:r>
          </w:p>
          <w:p>
            <w:pPr>
              <w:pStyle w:val="14"/>
            </w:pP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援助民事案件成本</w:t>
            </w:r>
          </w:p>
        </w:tc>
        <w:tc>
          <w:tcPr>
            <w:tcW w:w="2835" w:type="dxa"/>
            <w:vAlign w:val="center"/>
          </w:tcPr>
          <w:p>
            <w:pPr>
              <w:pStyle w:val="14"/>
            </w:pPr>
            <w:r>
              <w:t>援助民事案件成本</w:t>
            </w:r>
          </w:p>
        </w:tc>
        <w:tc>
          <w:tcPr>
            <w:tcW w:w="2551" w:type="dxa"/>
            <w:vAlign w:val="center"/>
          </w:tcPr>
          <w:p>
            <w:pPr>
              <w:pStyle w:val="14"/>
            </w:pPr>
            <w:r>
              <w:t>≥500元/件</w:t>
            </w:r>
          </w:p>
          <w:p>
            <w:pPr>
              <w:pStyle w:val="14"/>
            </w:pP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法律援助案件数</w:t>
            </w:r>
          </w:p>
        </w:tc>
        <w:tc>
          <w:tcPr>
            <w:tcW w:w="2835" w:type="dxa"/>
            <w:vAlign w:val="center"/>
          </w:tcPr>
          <w:p>
            <w:pPr>
              <w:pStyle w:val="14"/>
            </w:pPr>
            <w:r>
              <w:t>法律援助案件数</w:t>
            </w:r>
          </w:p>
        </w:tc>
        <w:tc>
          <w:tcPr>
            <w:tcW w:w="2551" w:type="dxa"/>
            <w:vAlign w:val="center"/>
          </w:tcPr>
          <w:p>
            <w:pPr>
              <w:pStyle w:val="14"/>
            </w:pPr>
            <w:r>
              <w:t>≥600元/件</w:t>
            </w:r>
          </w:p>
          <w:p>
            <w:pPr>
              <w:pStyle w:val="14"/>
            </w:pP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法律援助机构指派律师数</w:t>
            </w:r>
          </w:p>
        </w:tc>
        <w:tc>
          <w:tcPr>
            <w:tcW w:w="2835" w:type="dxa"/>
            <w:vAlign w:val="center"/>
          </w:tcPr>
          <w:p>
            <w:pPr>
              <w:pStyle w:val="14"/>
            </w:pPr>
            <w:r>
              <w:t>法律援助机构指派律师数</w:t>
            </w:r>
          </w:p>
        </w:tc>
        <w:tc>
          <w:tcPr>
            <w:tcW w:w="2551" w:type="dxa"/>
            <w:vAlign w:val="center"/>
          </w:tcPr>
          <w:p>
            <w:pPr>
              <w:pStyle w:val="14"/>
            </w:pPr>
            <w:r>
              <w:t>50人</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法律援助完成及时率</w:t>
            </w:r>
          </w:p>
        </w:tc>
        <w:tc>
          <w:tcPr>
            <w:tcW w:w="2835" w:type="dxa"/>
            <w:vAlign w:val="center"/>
          </w:tcPr>
          <w:p>
            <w:pPr>
              <w:pStyle w:val="14"/>
            </w:pPr>
            <w:r>
              <w:t>法律援助完成及时率</w:t>
            </w:r>
          </w:p>
        </w:tc>
        <w:tc>
          <w:tcPr>
            <w:tcW w:w="2551" w:type="dxa"/>
            <w:vAlign w:val="center"/>
          </w:tcPr>
          <w:p>
            <w:pPr>
              <w:pStyle w:val="14"/>
            </w:pPr>
            <w:r>
              <w:t>≥95%</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疑难纠纷调解率</w:t>
            </w:r>
          </w:p>
        </w:tc>
        <w:tc>
          <w:tcPr>
            <w:tcW w:w="2835" w:type="dxa"/>
            <w:vAlign w:val="center"/>
          </w:tcPr>
          <w:p>
            <w:pPr>
              <w:pStyle w:val="14"/>
            </w:pPr>
            <w:r>
              <w:t>疑难纠纷案件占受理法律援助案件的比例</w:t>
            </w:r>
          </w:p>
          <w:p>
            <w:pPr>
              <w:pStyle w:val="14"/>
            </w:pPr>
          </w:p>
        </w:tc>
        <w:tc>
          <w:tcPr>
            <w:tcW w:w="2551" w:type="dxa"/>
            <w:vAlign w:val="center"/>
          </w:tcPr>
          <w:p>
            <w:pPr>
              <w:pStyle w:val="14"/>
            </w:pPr>
            <w:r>
              <w:t>≥95%</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受助对象满意度</w:t>
            </w:r>
          </w:p>
        </w:tc>
        <w:tc>
          <w:tcPr>
            <w:tcW w:w="2835" w:type="dxa"/>
            <w:vAlign w:val="center"/>
          </w:tcPr>
          <w:p>
            <w:pPr>
              <w:pStyle w:val="14"/>
            </w:pPr>
            <w:r>
              <w:t>法律调解满意数量占法律援助的比例</w:t>
            </w:r>
          </w:p>
        </w:tc>
        <w:tc>
          <w:tcPr>
            <w:tcW w:w="2551" w:type="dxa"/>
            <w:vAlign w:val="center"/>
          </w:tcPr>
          <w:p>
            <w:pPr>
              <w:pStyle w:val="14"/>
            </w:pPr>
            <w:r>
              <w:t>≥95%</w:t>
            </w:r>
          </w:p>
        </w:tc>
        <w:tc>
          <w:tcPr>
            <w:tcW w:w="2268" w:type="dxa"/>
            <w:vAlign w:val="center"/>
          </w:tcPr>
          <w:p>
            <w:pPr>
              <w:pStyle w:val="14"/>
            </w:pPr>
            <w:r>
              <w:t>工作规范要求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6、2022普法经费绩效目标表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1.财政补贴经费23.52万元。用于：落实“谁执法谁普法”责任制；开展</w:t>
            </w:r>
            <w:r>
              <w:rPr>
                <w:rFonts w:hint="eastAsia"/>
                <w:lang w:eastAsia="zh-CN"/>
              </w:rPr>
              <w:t>“12·4”国家宪法日</w:t>
            </w:r>
            <w:r>
              <w:t>宣传活动以及各专项主题宣传活动；每月组织全区干部进行法律知识培训工作，累计培训人员3000余人；编印普法教材六种1000册左右</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普法培训人员的人次</w:t>
            </w:r>
          </w:p>
        </w:tc>
        <w:tc>
          <w:tcPr>
            <w:tcW w:w="2835" w:type="dxa"/>
            <w:vAlign w:val="center"/>
          </w:tcPr>
          <w:p>
            <w:pPr>
              <w:pStyle w:val="14"/>
            </w:pPr>
            <w:r>
              <w:t>普法培训人次</w:t>
            </w:r>
          </w:p>
        </w:tc>
        <w:tc>
          <w:tcPr>
            <w:tcW w:w="2551" w:type="dxa"/>
            <w:vAlign w:val="center"/>
          </w:tcPr>
          <w:p>
            <w:pPr>
              <w:pStyle w:val="14"/>
            </w:pPr>
            <w:r>
              <w:t>≥50002次/人</w:t>
            </w:r>
          </w:p>
        </w:tc>
        <w:tc>
          <w:tcPr>
            <w:tcW w:w="2268" w:type="dxa"/>
            <w:vAlign w:val="center"/>
          </w:tcPr>
          <w:p>
            <w:pPr>
              <w:pStyle w:val="14"/>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编印普法宣传资料数量</w:t>
            </w:r>
          </w:p>
        </w:tc>
        <w:tc>
          <w:tcPr>
            <w:tcW w:w="2835" w:type="dxa"/>
            <w:vAlign w:val="center"/>
          </w:tcPr>
          <w:p>
            <w:pPr>
              <w:pStyle w:val="14"/>
            </w:pPr>
            <w:r>
              <w:t>编印普法教材册数</w:t>
            </w:r>
          </w:p>
          <w:p>
            <w:pPr>
              <w:pStyle w:val="14"/>
            </w:pPr>
          </w:p>
        </w:tc>
        <w:tc>
          <w:tcPr>
            <w:tcW w:w="2551" w:type="dxa"/>
            <w:vAlign w:val="center"/>
          </w:tcPr>
          <w:p>
            <w:pPr>
              <w:pStyle w:val="14"/>
            </w:pPr>
            <w:r>
              <w:t>≥10000册</w:t>
            </w:r>
          </w:p>
          <w:p>
            <w:pPr>
              <w:pStyle w:val="14"/>
            </w:pPr>
          </w:p>
        </w:tc>
        <w:tc>
          <w:tcPr>
            <w:tcW w:w="2268" w:type="dxa"/>
            <w:vAlign w:val="center"/>
          </w:tcPr>
          <w:p>
            <w:pPr>
              <w:pStyle w:val="14"/>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普法宣传资料成本</w:t>
            </w:r>
          </w:p>
        </w:tc>
        <w:tc>
          <w:tcPr>
            <w:tcW w:w="2835" w:type="dxa"/>
            <w:vAlign w:val="center"/>
          </w:tcPr>
          <w:p>
            <w:pPr>
              <w:pStyle w:val="14"/>
            </w:pPr>
            <w:r>
              <w:t>普法宣传资料成本</w:t>
            </w:r>
          </w:p>
        </w:tc>
        <w:tc>
          <w:tcPr>
            <w:tcW w:w="2551" w:type="dxa"/>
            <w:vAlign w:val="center"/>
          </w:tcPr>
          <w:p>
            <w:pPr>
              <w:pStyle w:val="14"/>
            </w:pPr>
            <w:r>
              <w:t>≥60元/册</w:t>
            </w:r>
          </w:p>
        </w:tc>
        <w:tc>
          <w:tcPr>
            <w:tcW w:w="2268" w:type="dxa"/>
            <w:vAlign w:val="center"/>
          </w:tcPr>
          <w:p>
            <w:pPr>
              <w:pStyle w:val="14"/>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普法培训人均成本</w:t>
            </w:r>
          </w:p>
        </w:tc>
        <w:tc>
          <w:tcPr>
            <w:tcW w:w="2835" w:type="dxa"/>
            <w:vAlign w:val="center"/>
          </w:tcPr>
          <w:p>
            <w:pPr>
              <w:pStyle w:val="14"/>
            </w:pPr>
            <w:r>
              <w:t>干部法律知识培训人均成本</w:t>
            </w:r>
          </w:p>
          <w:p>
            <w:pPr>
              <w:pStyle w:val="14"/>
            </w:pPr>
          </w:p>
        </w:tc>
        <w:tc>
          <w:tcPr>
            <w:tcW w:w="2551" w:type="dxa"/>
            <w:vAlign w:val="center"/>
          </w:tcPr>
          <w:p>
            <w:pPr>
              <w:pStyle w:val="14"/>
            </w:pPr>
            <w:r>
              <w:t>≥30元/人</w:t>
            </w:r>
          </w:p>
          <w:p>
            <w:pPr>
              <w:pStyle w:val="14"/>
            </w:pPr>
          </w:p>
        </w:tc>
        <w:tc>
          <w:tcPr>
            <w:tcW w:w="2268" w:type="dxa"/>
            <w:vAlign w:val="center"/>
          </w:tcPr>
          <w:p>
            <w:pPr>
              <w:pStyle w:val="14"/>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普法工作按时完成率</w:t>
            </w:r>
          </w:p>
        </w:tc>
        <w:tc>
          <w:tcPr>
            <w:tcW w:w="2835" w:type="dxa"/>
            <w:vAlign w:val="center"/>
          </w:tcPr>
          <w:p>
            <w:pPr>
              <w:pStyle w:val="14"/>
            </w:pPr>
            <w:r>
              <w:t>各项工作完成及时率</w:t>
            </w:r>
          </w:p>
        </w:tc>
        <w:tc>
          <w:tcPr>
            <w:tcW w:w="2551" w:type="dxa"/>
            <w:vAlign w:val="center"/>
          </w:tcPr>
          <w:p>
            <w:pPr>
              <w:pStyle w:val="14"/>
            </w:pPr>
            <w:r>
              <w:t>≥90%</w:t>
            </w:r>
          </w:p>
        </w:tc>
        <w:tc>
          <w:tcPr>
            <w:tcW w:w="2268" w:type="dxa"/>
            <w:vAlign w:val="center"/>
          </w:tcPr>
          <w:p>
            <w:pPr>
              <w:pStyle w:val="14"/>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全民普法达标率</w:t>
            </w:r>
          </w:p>
        </w:tc>
        <w:tc>
          <w:tcPr>
            <w:tcW w:w="2835" w:type="dxa"/>
            <w:vAlign w:val="center"/>
          </w:tcPr>
          <w:p>
            <w:pPr>
              <w:pStyle w:val="14"/>
            </w:pPr>
            <w:r>
              <w:t>全民普法达标率</w:t>
            </w:r>
          </w:p>
        </w:tc>
        <w:tc>
          <w:tcPr>
            <w:tcW w:w="2551" w:type="dxa"/>
            <w:vAlign w:val="center"/>
          </w:tcPr>
          <w:p>
            <w:pPr>
              <w:pStyle w:val="14"/>
            </w:pPr>
            <w:r>
              <w:t>≥90%</w:t>
            </w:r>
          </w:p>
        </w:tc>
        <w:tc>
          <w:tcPr>
            <w:tcW w:w="2268" w:type="dxa"/>
            <w:vAlign w:val="center"/>
          </w:tcPr>
          <w:p>
            <w:pPr>
              <w:pStyle w:val="14"/>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全区公民宪法法律知晓率</w:t>
            </w:r>
          </w:p>
        </w:tc>
        <w:tc>
          <w:tcPr>
            <w:tcW w:w="2835" w:type="dxa"/>
            <w:vAlign w:val="center"/>
          </w:tcPr>
          <w:p>
            <w:pPr>
              <w:pStyle w:val="14"/>
            </w:pPr>
            <w:r>
              <w:t>知晓法律人数占普法宣传公民的比率</w:t>
            </w:r>
          </w:p>
          <w:p>
            <w:pPr>
              <w:pStyle w:val="14"/>
            </w:pPr>
          </w:p>
        </w:tc>
        <w:tc>
          <w:tcPr>
            <w:tcW w:w="2551" w:type="dxa"/>
            <w:vAlign w:val="center"/>
          </w:tcPr>
          <w:p>
            <w:pPr>
              <w:pStyle w:val="14"/>
            </w:pPr>
            <w:r>
              <w:t>≥85%</w:t>
            </w:r>
          </w:p>
        </w:tc>
        <w:tc>
          <w:tcPr>
            <w:tcW w:w="2268" w:type="dxa"/>
            <w:vAlign w:val="center"/>
          </w:tcPr>
          <w:p>
            <w:pPr>
              <w:pStyle w:val="14"/>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当事人满意度</w:t>
            </w:r>
          </w:p>
        </w:tc>
        <w:tc>
          <w:tcPr>
            <w:tcW w:w="2835" w:type="dxa"/>
            <w:vAlign w:val="center"/>
          </w:tcPr>
          <w:p>
            <w:pPr>
              <w:pStyle w:val="14"/>
            </w:pPr>
            <w:r>
              <w:t>"法律服务人员通过民事、行政代理，刑事辩护，无偿为当事人提供法律帮助，满意和较满意当事人占被调查当事人的比例</w:t>
            </w:r>
          </w:p>
          <w:p>
            <w:pPr>
              <w:pStyle w:val="14"/>
            </w:pPr>
            <w:r>
              <w:t>"</w:t>
            </w:r>
          </w:p>
          <w:p>
            <w:pPr>
              <w:pStyle w:val="14"/>
            </w:pPr>
          </w:p>
        </w:tc>
        <w:tc>
          <w:tcPr>
            <w:tcW w:w="2551" w:type="dxa"/>
            <w:vAlign w:val="center"/>
          </w:tcPr>
          <w:p>
            <w:pPr>
              <w:pStyle w:val="14"/>
            </w:pPr>
            <w:r>
              <w:t>≥95%</w:t>
            </w:r>
          </w:p>
        </w:tc>
        <w:tc>
          <w:tcPr>
            <w:tcW w:w="2268" w:type="dxa"/>
            <w:vAlign w:val="center"/>
          </w:tcPr>
          <w:p>
            <w:pPr>
              <w:pStyle w:val="14"/>
            </w:pPr>
            <w:r>
              <w:t>历年工作经验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7、2022人民调解专项经费绩效目标表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1."""已经履行的协议数占达成调解协议总数的比率，反映人民调解协议履行情况，设定该指标目的是提高人民调解工作质量和调解协议规范化水平。</w:t>
            </w:r>
          </w:p>
          <w:p>
            <w:pPr>
              <w:pStyle w:val="14"/>
            </w:pPr>
            <w:r>
              <w:t>122"""</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人民调解案件数</w:t>
            </w:r>
          </w:p>
        </w:tc>
        <w:tc>
          <w:tcPr>
            <w:tcW w:w="2835" w:type="dxa"/>
            <w:vAlign w:val="center"/>
          </w:tcPr>
          <w:p>
            <w:pPr>
              <w:pStyle w:val="14"/>
            </w:pPr>
            <w:r>
              <w:t>人民调解纠纷案件数量</w:t>
            </w:r>
          </w:p>
          <w:p>
            <w:pPr>
              <w:pStyle w:val="14"/>
            </w:pPr>
          </w:p>
        </w:tc>
        <w:tc>
          <w:tcPr>
            <w:tcW w:w="2551" w:type="dxa"/>
            <w:vAlign w:val="center"/>
          </w:tcPr>
          <w:p>
            <w:pPr>
              <w:pStyle w:val="14"/>
            </w:pPr>
            <w:r>
              <w:t>≥1000件</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人民调解案件时长</w:t>
            </w:r>
          </w:p>
        </w:tc>
        <w:tc>
          <w:tcPr>
            <w:tcW w:w="2835" w:type="dxa"/>
            <w:vAlign w:val="center"/>
          </w:tcPr>
          <w:p>
            <w:pPr>
              <w:pStyle w:val="14"/>
            </w:pPr>
            <w:r>
              <w:t>人民调解案件时长</w:t>
            </w:r>
          </w:p>
        </w:tc>
        <w:tc>
          <w:tcPr>
            <w:tcW w:w="2551" w:type="dxa"/>
            <w:vAlign w:val="center"/>
          </w:tcPr>
          <w:p>
            <w:pPr>
              <w:pStyle w:val="14"/>
            </w:pPr>
            <w:r>
              <w:t>≤2小时/次</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调解多样化</w:t>
            </w:r>
          </w:p>
        </w:tc>
        <w:tc>
          <w:tcPr>
            <w:tcW w:w="2835" w:type="dxa"/>
            <w:vAlign w:val="center"/>
          </w:tcPr>
          <w:p>
            <w:pPr>
              <w:pStyle w:val="14"/>
            </w:pPr>
            <w:r>
              <w:t>创新调解方式</w:t>
            </w:r>
          </w:p>
        </w:tc>
        <w:tc>
          <w:tcPr>
            <w:tcW w:w="2551" w:type="dxa"/>
            <w:vAlign w:val="center"/>
          </w:tcPr>
          <w:p>
            <w:pPr>
              <w:pStyle w:val="14"/>
            </w:pPr>
            <w:r>
              <w:t>视频、语音等媒体调解</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聘用民调员数量</w:t>
            </w:r>
          </w:p>
        </w:tc>
        <w:tc>
          <w:tcPr>
            <w:tcW w:w="2835" w:type="dxa"/>
            <w:vAlign w:val="center"/>
          </w:tcPr>
          <w:p>
            <w:pPr>
              <w:pStyle w:val="14"/>
            </w:pPr>
            <w:r>
              <w:t>全区聘用民调员数量</w:t>
            </w:r>
          </w:p>
          <w:p>
            <w:pPr>
              <w:pStyle w:val="14"/>
            </w:pPr>
          </w:p>
        </w:tc>
        <w:tc>
          <w:tcPr>
            <w:tcW w:w="2551" w:type="dxa"/>
            <w:vAlign w:val="center"/>
          </w:tcPr>
          <w:p>
            <w:pPr>
              <w:pStyle w:val="14"/>
            </w:pPr>
            <w:r>
              <w:t>≥207人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民调员人均成本</w:t>
            </w:r>
          </w:p>
        </w:tc>
        <w:tc>
          <w:tcPr>
            <w:tcW w:w="2835" w:type="dxa"/>
            <w:vAlign w:val="center"/>
          </w:tcPr>
          <w:p>
            <w:pPr>
              <w:pStyle w:val="14"/>
            </w:pPr>
          </w:p>
          <w:p>
            <w:pPr>
              <w:pStyle w:val="14"/>
            </w:pPr>
            <w:r>
              <w:t>民调员月人均成本</w:t>
            </w:r>
          </w:p>
        </w:tc>
        <w:tc>
          <w:tcPr>
            <w:tcW w:w="2551" w:type="dxa"/>
            <w:vAlign w:val="center"/>
          </w:tcPr>
          <w:p>
            <w:pPr>
              <w:pStyle w:val="14"/>
            </w:pPr>
            <w:r>
              <w:t>≥2310元/月</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民调员调解成功率</w:t>
            </w:r>
          </w:p>
        </w:tc>
        <w:tc>
          <w:tcPr>
            <w:tcW w:w="2835" w:type="dxa"/>
            <w:vAlign w:val="center"/>
          </w:tcPr>
          <w:p>
            <w:pPr>
              <w:pStyle w:val="14"/>
            </w:pPr>
            <w:r>
              <w:t>经人民调解组织调解成功的案件数占人民调解案件总数的比例</w:t>
            </w:r>
          </w:p>
          <w:p>
            <w:pPr>
              <w:pStyle w:val="14"/>
            </w:pPr>
          </w:p>
        </w:tc>
        <w:tc>
          <w:tcPr>
            <w:tcW w:w="2551" w:type="dxa"/>
            <w:vAlign w:val="center"/>
          </w:tcPr>
          <w:p>
            <w:pPr>
              <w:pStyle w:val="14"/>
            </w:pPr>
            <w:r>
              <w:t>≥95%</w:t>
            </w:r>
          </w:p>
        </w:tc>
        <w:tc>
          <w:tcPr>
            <w:tcW w:w="2268" w:type="dxa"/>
            <w:vAlign w:val="center"/>
          </w:tcPr>
          <w:p>
            <w:pPr>
              <w:pStyle w:val="14"/>
            </w:pPr>
            <w:r>
              <w:t>《人民调解员“以案定补”办法》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民调员调解满意度</w:t>
            </w:r>
          </w:p>
        </w:tc>
        <w:tc>
          <w:tcPr>
            <w:tcW w:w="2835" w:type="dxa"/>
            <w:vAlign w:val="center"/>
          </w:tcPr>
          <w:p>
            <w:pPr>
              <w:pStyle w:val="14"/>
            </w:pPr>
            <w:r>
              <w:t>接受调解纠纷满意的占所有纠纷案件的比例</w:t>
            </w:r>
          </w:p>
          <w:p>
            <w:pPr>
              <w:pStyle w:val="14"/>
            </w:pPr>
          </w:p>
        </w:tc>
        <w:tc>
          <w:tcPr>
            <w:tcW w:w="2551" w:type="dxa"/>
            <w:vAlign w:val="center"/>
          </w:tcPr>
          <w:p>
            <w:pPr>
              <w:pStyle w:val="14"/>
            </w:pPr>
            <w:r>
              <w:t>≥95%</w:t>
            </w:r>
          </w:p>
        </w:tc>
        <w:tc>
          <w:tcPr>
            <w:tcW w:w="2268" w:type="dxa"/>
            <w:vAlign w:val="center"/>
          </w:tcPr>
          <w:p>
            <w:pPr>
              <w:pStyle w:val="14"/>
            </w:pPr>
            <w:r>
              <w:t>《人民调解员“以案定补”办法》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8、2022认罪认罚从宽制度专项工作经费绩效目标表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司法行政机关应当根据公安机关、人民检察院和人民法院的要求，至迟在五日内出具犯罪嫌疑人社会调查评估材料。在对犯罪案件的审讯过程中至迟在三日内安排值班律师出庭见证，防止因犯罪嫌疑人、被告人认罪而降低证据要</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律师出庭见证的时限</w:t>
            </w:r>
          </w:p>
        </w:tc>
        <w:tc>
          <w:tcPr>
            <w:tcW w:w="2835" w:type="dxa"/>
            <w:vAlign w:val="center"/>
          </w:tcPr>
          <w:p>
            <w:pPr>
              <w:pStyle w:val="14"/>
            </w:pPr>
            <w:r>
              <w:t>三日内安排值班律师见证</w:t>
            </w:r>
          </w:p>
          <w:p>
            <w:pPr>
              <w:pStyle w:val="14"/>
            </w:pPr>
          </w:p>
        </w:tc>
        <w:tc>
          <w:tcPr>
            <w:tcW w:w="2551" w:type="dxa"/>
            <w:vAlign w:val="center"/>
          </w:tcPr>
          <w:p>
            <w:pPr>
              <w:pStyle w:val="14"/>
            </w:pPr>
            <w:r>
              <w:t>≥3日</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见证律师数量</w:t>
            </w:r>
          </w:p>
        </w:tc>
        <w:tc>
          <w:tcPr>
            <w:tcW w:w="2835" w:type="dxa"/>
            <w:vAlign w:val="center"/>
          </w:tcPr>
          <w:p>
            <w:pPr>
              <w:pStyle w:val="14"/>
            </w:pPr>
            <w:r>
              <w:t>见证律师数量</w:t>
            </w:r>
          </w:p>
        </w:tc>
        <w:tc>
          <w:tcPr>
            <w:tcW w:w="2551" w:type="dxa"/>
            <w:vAlign w:val="center"/>
          </w:tcPr>
          <w:p>
            <w:pPr>
              <w:pStyle w:val="14"/>
            </w:pPr>
            <w:r>
              <w:t>≥7人</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见证案件数量</w:t>
            </w:r>
          </w:p>
        </w:tc>
        <w:tc>
          <w:tcPr>
            <w:tcW w:w="2835" w:type="dxa"/>
            <w:vAlign w:val="center"/>
          </w:tcPr>
          <w:p>
            <w:pPr>
              <w:pStyle w:val="14"/>
            </w:pPr>
            <w:r>
              <w:t>见证的案件数量</w:t>
            </w:r>
          </w:p>
          <w:p>
            <w:pPr>
              <w:pStyle w:val="14"/>
            </w:pPr>
          </w:p>
        </w:tc>
        <w:tc>
          <w:tcPr>
            <w:tcW w:w="2551" w:type="dxa"/>
            <w:vAlign w:val="center"/>
          </w:tcPr>
          <w:p>
            <w:pPr>
              <w:pStyle w:val="14"/>
            </w:pPr>
            <w:r>
              <w:t>≥300件</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已见证的案件占应见证案件的比例</w:t>
            </w:r>
          </w:p>
          <w:p>
            <w:pPr>
              <w:pStyle w:val="14"/>
            </w:pPr>
          </w:p>
        </w:tc>
        <w:tc>
          <w:tcPr>
            <w:tcW w:w="2835" w:type="dxa"/>
            <w:vAlign w:val="center"/>
          </w:tcPr>
          <w:p>
            <w:pPr>
              <w:pStyle w:val="14"/>
            </w:pPr>
            <w:r>
              <w:t>已见证的案件占应见证案件的比例</w:t>
            </w:r>
          </w:p>
          <w:p>
            <w:pPr>
              <w:pStyle w:val="14"/>
            </w:pPr>
          </w:p>
        </w:tc>
        <w:tc>
          <w:tcPr>
            <w:tcW w:w="2551" w:type="dxa"/>
            <w:vAlign w:val="center"/>
          </w:tcPr>
          <w:p>
            <w:pPr>
              <w:pStyle w:val="14"/>
            </w:pPr>
            <w:r>
              <w:t>≥90%</w:t>
            </w:r>
          </w:p>
          <w:p>
            <w:pPr>
              <w:pStyle w:val="14"/>
            </w:pP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律师按件收费和标的额收费标准</w:t>
            </w:r>
          </w:p>
        </w:tc>
        <w:tc>
          <w:tcPr>
            <w:tcW w:w="2835" w:type="dxa"/>
            <w:vAlign w:val="center"/>
          </w:tcPr>
          <w:p>
            <w:pPr>
              <w:pStyle w:val="14"/>
            </w:pPr>
            <w:r>
              <w:t>律师按件收费和标的额收费标准</w:t>
            </w:r>
          </w:p>
        </w:tc>
        <w:tc>
          <w:tcPr>
            <w:tcW w:w="2551" w:type="dxa"/>
            <w:vAlign w:val="center"/>
          </w:tcPr>
          <w:p>
            <w:pPr>
              <w:pStyle w:val="14"/>
            </w:pPr>
            <w:r>
              <w:t>最低500元</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案件和解率</w:t>
            </w:r>
          </w:p>
        </w:tc>
        <w:tc>
          <w:tcPr>
            <w:tcW w:w="2835" w:type="dxa"/>
            <w:vAlign w:val="center"/>
          </w:tcPr>
          <w:p>
            <w:pPr>
              <w:pStyle w:val="14"/>
            </w:pPr>
            <w:r>
              <w:t>律师见证和解案件占案件总数的比率</w:t>
            </w:r>
          </w:p>
          <w:p>
            <w:pPr>
              <w:pStyle w:val="14"/>
            </w:pPr>
          </w:p>
        </w:tc>
        <w:tc>
          <w:tcPr>
            <w:tcW w:w="2551" w:type="dxa"/>
            <w:vAlign w:val="center"/>
          </w:tcPr>
          <w:p>
            <w:pPr>
              <w:pStyle w:val="14"/>
            </w:pPr>
            <w:r>
              <w:t>≥90%</w:t>
            </w:r>
          </w:p>
          <w:p>
            <w:pPr>
              <w:pStyle w:val="14"/>
            </w:pP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被告人满意度</w:t>
            </w:r>
          </w:p>
        </w:tc>
        <w:tc>
          <w:tcPr>
            <w:tcW w:w="2835" w:type="dxa"/>
            <w:vAlign w:val="center"/>
          </w:tcPr>
          <w:p>
            <w:pPr>
              <w:pStyle w:val="14"/>
            </w:pPr>
            <w:r>
              <w:t>通过抽样调查的方式，对认罪认罚从宽的对象进行调查，达到满意程度的比率</w:t>
            </w:r>
          </w:p>
          <w:p>
            <w:pPr>
              <w:pStyle w:val="14"/>
            </w:pPr>
          </w:p>
        </w:tc>
        <w:tc>
          <w:tcPr>
            <w:tcW w:w="2551" w:type="dxa"/>
            <w:vAlign w:val="center"/>
          </w:tcPr>
          <w:p>
            <w:pPr>
              <w:pStyle w:val="14"/>
            </w:pPr>
            <w:r>
              <w:t>≥90%</w:t>
            </w:r>
          </w:p>
          <w:p>
            <w:pPr>
              <w:pStyle w:val="14"/>
            </w:pPr>
          </w:p>
        </w:tc>
        <w:tc>
          <w:tcPr>
            <w:tcW w:w="2268" w:type="dxa"/>
            <w:vAlign w:val="center"/>
          </w:tcPr>
          <w:p>
            <w:pPr>
              <w:pStyle w:val="14"/>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9、2022社区矫正及安置帮教经费绩效目标表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1.依据法律、法规做好社区矫正对象、刑满释放人员的管理、教育、帮扶工作，最大限度降低重新违法犯罪和社会不稳定因素发生率。</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社区矫正对象人数</w:t>
            </w:r>
          </w:p>
          <w:p>
            <w:pPr>
              <w:pStyle w:val="14"/>
            </w:pPr>
          </w:p>
        </w:tc>
        <w:tc>
          <w:tcPr>
            <w:tcW w:w="2835" w:type="dxa"/>
            <w:vAlign w:val="center"/>
          </w:tcPr>
          <w:p>
            <w:pPr>
              <w:pStyle w:val="14"/>
            </w:pPr>
            <w:r>
              <w:t>"社区矫正对象人员数量</w:t>
            </w:r>
          </w:p>
          <w:p>
            <w:pPr>
              <w:pStyle w:val="14"/>
            </w:pPr>
            <w:r>
              <w:t>"</w:t>
            </w:r>
          </w:p>
          <w:p>
            <w:pPr>
              <w:pStyle w:val="14"/>
            </w:pPr>
          </w:p>
        </w:tc>
        <w:tc>
          <w:tcPr>
            <w:tcW w:w="2551" w:type="dxa"/>
            <w:vAlign w:val="center"/>
          </w:tcPr>
          <w:p>
            <w:pPr>
              <w:pStyle w:val="14"/>
            </w:pPr>
            <w:r>
              <w:t>≥378人</w:t>
            </w:r>
          </w:p>
        </w:tc>
        <w:tc>
          <w:tcPr>
            <w:tcW w:w="2268" w:type="dxa"/>
            <w:vAlign w:val="center"/>
          </w:tcPr>
          <w:p>
            <w:pPr>
              <w:pStyle w:val="14"/>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社区矫正执法人员学习时间达标率</w:t>
            </w:r>
          </w:p>
          <w:p>
            <w:pPr>
              <w:pStyle w:val="14"/>
            </w:pPr>
          </w:p>
        </w:tc>
        <w:tc>
          <w:tcPr>
            <w:tcW w:w="2835" w:type="dxa"/>
            <w:vAlign w:val="center"/>
          </w:tcPr>
          <w:p>
            <w:pPr>
              <w:pStyle w:val="14"/>
            </w:pPr>
            <w:r>
              <w:t>社区矫正执法人员学习时间达标率</w:t>
            </w:r>
          </w:p>
          <w:p>
            <w:pPr>
              <w:pStyle w:val="14"/>
            </w:pPr>
          </w:p>
        </w:tc>
        <w:tc>
          <w:tcPr>
            <w:tcW w:w="2551" w:type="dxa"/>
            <w:vAlign w:val="center"/>
          </w:tcPr>
          <w:p>
            <w:pPr>
              <w:pStyle w:val="14"/>
            </w:pPr>
            <w:r>
              <w:t>≥90%</w:t>
            </w:r>
          </w:p>
        </w:tc>
        <w:tc>
          <w:tcPr>
            <w:tcW w:w="2268" w:type="dxa"/>
            <w:vAlign w:val="center"/>
          </w:tcPr>
          <w:p>
            <w:pPr>
              <w:pStyle w:val="14"/>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社区矫正对象通过率</w:t>
            </w:r>
          </w:p>
          <w:p>
            <w:pPr>
              <w:pStyle w:val="14"/>
            </w:pPr>
          </w:p>
        </w:tc>
        <w:tc>
          <w:tcPr>
            <w:tcW w:w="2835" w:type="dxa"/>
            <w:vAlign w:val="center"/>
          </w:tcPr>
          <w:p>
            <w:pPr>
              <w:pStyle w:val="14"/>
            </w:pPr>
            <w:r>
              <w:t>社区矫正对象通过率</w:t>
            </w:r>
          </w:p>
          <w:p>
            <w:pPr>
              <w:pStyle w:val="14"/>
            </w:pPr>
          </w:p>
        </w:tc>
        <w:tc>
          <w:tcPr>
            <w:tcW w:w="2551" w:type="dxa"/>
            <w:vAlign w:val="center"/>
          </w:tcPr>
          <w:p>
            <w:pPr>
              <w:pStyle w:val="14"/>
            </w:pPr>
            <w:r>
              <w:t>≥100%</w:t>
            </w:r>
          </w:p>
        </w:tc>
        <w:tc>
          <w:tcPr>
            <w:tcW w:w="2268" w:type="dxa"/>
            <w:vAlign w:val="center"/>
          </w:tcPr>
          <w:p>
            <w:pPr>
              <w:pStyle w:val="14"/>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社区矫正对象帮扶成本</w:t>
            </w:r>
          </w:p>
          <w:p>
            <w:pPr>
              <w:pStyle w:val="14"/>
            </w:pPr>
          </w:p>
        </w:tc>
        <w:tc>
          <w:tcPr>
            <w:tcW w:w="2835" w:type="dxa"/>
            <w:vAlign w:val="center"/>
          </w:tcPr>
          <w:p>
            <w:pPr>
              <w:pStyle w:val="14"/>
            </w:pPr>
            <w:r>
              <w:t>人均帮扶成本</w:t>
            </w:r>
          </w:p>
          <w:p>
            <w:pPr>
              <w:pStyle w:val="14"/>
            </w:pPr>
          </w:p>
        </w:tc>
        <w:tc>
          <w:tcPr>
            <w:tcW w:w="2551" w:type="dxa"/>
            <w:vAlign w:val="center"/>
          </w:tcPr>
          <w:p>
            <w:pPr>
              <w:pStyle w:val="14"/>
            </w:pPr>
            <w:r>
              <w:t>≥500元/人</w:t>
            </w:r>
          </w:p>
        </w:tc>
        <w:tc>
          <w:tcPr>
            <w:tcW w:w="2268" w:type="dxa"/>
            <w:vAlign w:val="center"/>
          </w:tcPr>
          <w:p>
            <w:pPr>
              <w:pStyle w:val="14"/>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整理档案数量</w:t>
            </w:r>
          </w:p>
        </w:tc>
        <w:tc>
          <w:tcPr>
            <w:tcW w:w="2835" w:type="dxa"/>
            <w:vAlign w:val="center"/>
          </w:tcPr>
          <w:p>
            <w:pPr>
              <w:pStyle w:val="14"/>
            </w:pPr>
            <w:r>
              <w:t>整理档案数量</w:t>
            </w:r>
          </w:p>
        </w:tc>
        <w:tc>
          <w:tcPr>
            <w:tcW w:w="2551" w:type="dxa"/>
            <w:vAlign w:val="center"/>
          </w:tcPr>
          <w:p>
            <w:pPr>
              <w:pStyle w:val="14"/>
            </w:pPr>
            <w:r>
              <w:t>≥230件</w:t>
            </w:r>
          </w:p>
        </w:tc>
        <w:tc>
          <w:tcPr>
            <w:tcW w:w="2268" w:type="dxa"/>
            <w:vAlign w:val="center"/>
          </w:tcPr>
          <w:p>
            <w:pPr>
              <w:pStyle w:val="14"/>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降低社区矫正对象犯罪率</w:t>
            </w:r>
          </w:p>
        </w:tc>
        <w:tc>
          <w:tcPr>
            <w:tcW w:w="2835" w:type="dxa"/>
            <w:vAlign w:val="center"/>
          </w:tcPr>
          <w:p>
            <w:pPr>
              <w:pStyle w:val="14"/>
            </w:pPr>
            <w:r>
              <w:t>矫治对象犯罪的占所有矫治对象的比例</w:t>
            </w:r>
          </w:p>
          <w:p>
            <w:pPr>
              <w:pStyle w:val="14"/>
            </w:pPr>
          </w:p>
        </w:tc>
        <w:tc>
          <w:tcPr>
            <w:tcW w:w="2551" w:type="dxa"/>
            <w:vAlign w:val="center"/>
          </w:tcPr>
          <w:p>
            <w:pPr>
              <w:pStyle w:val="14"/>
            </w:pPr>
            <w:r>
              <w:t>&lt;15%</w:t>
            </w:r>
          </w:p>
        </w:tc>
        <w:tc>
          <w:tcPr>
            <w:tcW w:w="2268" w:type="dxa"/>
            <w:vAlign w:val="center"/>
          </w:tcPr>
          <w:p>
            <w:pPr>
              <w:pStyle w:val="14"/>
            </w:pPr>
            <w:r>
              <w:rPr>
                <w:rFonts w:hint="eastAsia"/>
                <w:lang w:eastAsia="zh-CN"/>
              </w:rPr>
              <w:t>工作台账</w:t>
            </w:r>
            <w: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档案合格率</w:t>
            </w:r>
          </w:p>
        </w:tc>
        <w:tc>
          <w:tcPr>
            <w:tcW w:w="2835" w:type="dxa"/>
            <w:vAlign w:val="center"/>
          </w:tcPr>
          <w:p>
            <w:pPr>
              <w:pStyle w:val="14"/>
            </w:pPr>
            <w:r>
              <w:t>工作档案整理合格数占总档案的比率</w:t>
            </w:r>
          </w:p>
          <w:p>
            <w:pPr>
              <w:pStyle w:val="14"/>
            </w:pPr>
          </w:p>
        </w:tc>
        <w:tc>
          <w:tcPr>
            <w:tcW w:w="2551" w:type="dxa"/>
            <w:vAlign w:val="center"/>
          </w:tcPr>
          <w:p>
            <w:pPr>
              <w:pStyle w:val="14"/>
            </w:pPr>
            <w:r>
              <w:t>≥95%</w:t>
            </w:r>
          </w:p>
        </w:tc>
        <w:tc>
          <w:tcPr>
            <w:tcW w:w="2268" w:type="dxa"/>
            <w:vAlign w:val="center"/>
          </w:tcPr>
          <w:p>
            <w:pPr>
              <w:pStyle w:val="14"/>
            </w:pPr>
            <w:r>
              <w:rPr>
                <w:rFonts w:hint="eastAsia"/>
                <w:lang w:eastAsia="zh-CN"/>
              </w:rPr>
              <w:t>工作台账</w:t>
            </w:r>
            <w:r>
              <w:t>和考勤记录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社区矫正对象满意度</w:t>
            </w:r>
          </w:p>
        </w:tc>
        <w:tc>
          <w:tcPr>
            <w:tcW w:w="2835" w:type="dxa"/>
            <w:vAlign w:val="center"/>
          </w:tcPr>
          <w:p>
            <w:pPr>
              <w:pStyle w:val="14"/>
            </w:pPr>
            <w:r>
              <w:t>社区矫正对象对帮扶工作的满意度</w:t>
            </w:r>
          </w:p>
          <w:p>
            <w:pPr>
              <w:pStyle w:val="14"/>
            </w:pPr>
          </w:p>
        </w:tc>
        <w:tc>
          <w:tcPr>
            <w:tcW w:w="2551" w:type="dxa"/>
            <w:vAlign w:val="center"/>
          </w:tcPr>
          <w:p>
            <w:pPr>
              <w:pStyle w:val="14"/>
            </w:pPr>
            <w:r>
              <w:t>≥95%</w:t>
            </w:r>
          </w:p>
        </w:tc>
        <w:tc>
          <w:tcPr>
            <w:tcW w:w="2268" w:type="dxa"/>
            <w:vAlign w:val="center"/>
          </w:tcPr>
          <w:p>
            <w:pPr>
              <w:pStyle w:val="14"/>
            </w:pPr>
            <w:r>
              <w:rPr>
                <w:rFonts w:hint="eastAsia"/>
                <w:lang w:eastAsia="zh-CN"/>
              </w:rPr>
              <w:t>工作台账</w:t>
            </w:r>
            <w:r>
              <w:t>和考勤记录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10、2022诉调对接中心经费绩效目标表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诉调对接中心聘请专职人民调解员6名,资金用于办理调解案件“以案定补”支出，诉调对接中心建立在线调解、视频调解、在线司法确认等信息平台和办公设备用品消耗一等般性经费支出。预计办理法院交付诉调案件600余件。</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专职调解员数量</w:t>
            </w:r>
          </w:p>
        </w:tc>
        <w:tc>
          <w:tcPr>
            <w:tcW w:w="2835" w:type="dxa"/>
            <w:vAlign w:val="center"/>
          </w:tcPr>
          <w:p>
            <w:pPr>
              <w:pStyle w:val="14"/>
            </w:pPr>
            <w:r>
              <w:t>专职调解员数量</w:t>
            </w:r>
          </w:p>
        </w:tc>
        <w:tc>
          <w:tcPr>
            <w:tcW w:w="2551" w:type="dxa"/>
            <w:vAlign w:val="center"/>
          </w:tcPr>
          <w:p>
            <w:pPr>
              <w:pStyle w:val="14"/>
            </w:pPr>
            <w:r>
              <w:t>≥8人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硬软件采购数量</w:t>
            </w:r>
          </w:p>
        </w:tc>
        <w:tc>
          <w:tcPr>
            <w:tcW w:w="2835" w:type="dxa"/>
            <w:vAlign w:val="center"/>
          </w:tcPr>
          <w:p>
            <w:pPr>
              <w:pStyle w:val="14"/>
            </w:pPr>
            <w:r>
              <w:t>硬软件采购数量</w:t>
            </w:r>
          </w:p>
        </w:tc>
        <w:tc>
          <w:tcPr>
            <w:tcW w:w="2551" w:type="dxa"/>
            <w:vAlign w:val="center"/>
          </w:tcPr>
          <w:p>
            <w:pPr>
              <w:pStyle w:val="14"/>
            </w:pPr>
            <w:r>
              <w:t>2套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诉讼案件数量</w:t>
            </w:r>
          </w:p>
        </w:tc>
        <w:tc>
          <w:tcPr>
            <w:tcW w:w="2835" w:type="dxa"/>
            <w:vAlign w:val="center"/>
          </w:tcPr>
          <w:p>
            <w:pPr>
              <w:pStyle w:val="14"/>
            </w:pPr>
            <w:r>
              <w:t>每年接收的诉讼调解案件的数量</w:t>
            </w:r>
          </w:p>
          <w:p>
            <w:pPr>
              <w:pStyle w:val="14"/>
            </w:pPr>
          </w:p>
        </w:tc>
        <w:tc>
          <w:tcPr>
            <w:tcW w:w="2551" w:type="dxa"/>
            <w:vAlign w:val="center"/>
          </w:tcPr>
          <w:p>
            <w:pPr>
              <w:pStyle w:val="14"/>
            </w:pPr>
            <w:r>
              <w:t>≥600件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诉前调解案件分流率</w:t>
            </w:r>
          </w:p>
        </w:tc>
        <w:tc>
          <w:tcPr>
            <w:tcW w:w="2835" w:type="dxa"/>
            <w:vAlign w:val="center"/>
          </w:tcPr>
          <w:p>
            <w:pPr>
              <w:pStyle w:val="14"/>
            </w:pPr>
            <w:r>
              <w:t>"诉前调解案件分流至诉调中心的占诉讼案件的比例</w:t>
            </w:r>
          </w:p>
          <w:p>
            <w:pPr>
              <w:pStyle w:val="14"/>
            </w:pPr>
            <w:r>
              <w:t>"</w:t>
            </w:r>
          </w:p>
          <w:p>
            <w:pPr>
              <w:pStyle w:val="14"/>
            </w:pPr>
          </w:p>
        </w:tc>
        <w:tc>
          <w:tcPr>
            <w:tcW w:w="2551" w:type="dxa"/>
            <w:vAlign w:val="center"/>
          </w:tcPr>
          <w:p>
            <w:pPr>
              <w:pStyle w:val="14"/>
            </w:pPr>
            <w:r>
              <w:t>≥80%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软硬件系统成本</w:t>
            </w:r>
          </w:p>
        </w:tc>
        <w:tc>
          <w:tcPr>
            <w:tcW w:w="2835" w:type="dxa"/>
            <w:vAlign w:val="center"/>
          </w:tcPr>
          <w:p>
            <w:pPr>
              <w:pStyle w:val="14"/>
            </w:pPr>
            <w:r>
              <w:t>软硬件系统单价</w:t>
            </w:r>
          </w:p>
        </w:tc>
        <w:tc>
          <w:tcPr>
            <w:tcW w:w="2551" w:type="dxa"/>
            <w:vAlign w:val="center"/>
          </w:tcPr>
          <w:p>
            <w:pPr>
              <w:pStyle w:val="14"/>
            </w:pPr>
            <w:r>
              <w:t>≥12万元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诉讼调解案件成本</w:t>
            </w:r>
          </w:p>
        </w:tc>
        <w:tc>
          <w:tcPr>
            <w:tcW w:w="2835" w:type="dxa"/>
            <w:vAlign w:val="center"/>
          </w:tcPr>
          <w:p>
            <w:pPr>
              <w:pStyle w:val="14"/>
            </w:pPr>
            <w:r>
              <w:t>以案定补</w:t>
            </w:r>
          </w:p>
        </w:tc>
        <w:tc>
          <w:tcPr>
            <w:tcW w:w="2551" w:type="dxa"/>
            <w:vAlign w:val="center"/>
          </w:tcPr>
          <w:p>
            <w:pPr>
              <w:pStyle w:val="14"/>
            </w:pPr>
            <w:r>
              <w:t>≥800元/件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诉讼调解案件及时率</w:t>
            </w:r>
          </w:p>
        </w:tc>
        <w:tc>
          <w:tcPr>
            <w:tcW w:w="2835" w:type="dxa"/>
            <w:vAlign w:val="center"/>
          </w:tcPr>
          <w:p>
            <w:pPr>
              <w:pStyle w:val="14"/>
            </w:pPr>
            <w:r>
              <w:t>诉讼调解案件完成及时率</w:t>
            </w:r>
          </w:p>
        </w:tc>
        <w:tc>
          <w:tcPr>
            <w:tcW w:w="2551" w:type="dxa"/>
            <w:vAlign w:val="center"/>
          </w:tcPr>
          <w:p>
            <w:pPr>
              <w:pStyle w:val="14"/>
            </w:pPr>
            <w:r>
              <w:t>≥85%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诉讼案件调解撤诉率</w:t>
            </w:r>
          </w:p>
        </w:tc>
        <w:tc>
          <w:tcPr>
            <w:tcW w:w="2835" w:type="dxa"/>
            <w:vAlign w:val="center"/>
          </w:tcPr>
          <w:p>
            <w:pPr>
              <w:pStyle w:val="14"/>
            </w:pPr>
            <w:r>
              <w:t>诉讼案件调解撤诉率</w:t>
            </w:r>
          </w:p>
        </w:tc>
        <w:tc>
          <w:tcPr>
            <w:tcW w:w="2551" w:type="dxa"/>
            <w:vAlign w:val="center"/>
          </w:tcPr>
          <w:p>
            <w:pPr>
              <w:pStyle w:val="14"/>
            </w:pPr>
            <w:r>
              <w:t>≥85%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调解对象满意度</w:t>
            </w:r>
          </w:p>
        </w:tc>
        <w:tc>
          <w:tcPr>
            <w:tcW w:w="2835" w:type="dxa"/>
            <w:vAlign w:val="center"/>
          </w:tcPr>
          <w:p>
            <w:pPr>
              <w:pStyle w:val="14"/>
            </w:pPr>
            <w:r>
              <w:t>调解解决纠纷，调解后撤诉的比率</w:t>
            </w:r>
          </w:p>
          <w:p>
            <w:pPr>
              <w:pStyle w:val="14"/>
            </w:pPr>
          </w:p>
        </w:tc>
        <w:tc>
          <w:tcPr>
            <w:tcW w:w="2551" w:type="dxa"/>
            <w:vAlign w:val="center"/>
          </w:tcPr>
          <w:p>
            <w:pPr>
              <w:pStyle w:val="14"/>
            </w:pPr>
            <w:r>
              <w:t>≥85%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11、2022行政执法经费、行政复议行政应诉经费、政府法律顾问经费绩效目标表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1.对我区行政执法单位1200余名执法人员执法学习培训20个课时并参加考试；依法受理符合法律规定的行政应诉复议申请，处理率达到100%。案件使执法人员的业务水平得到进一步提高，提升政府在群众中的公信力。</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聘请律师数量</w:t>
            </w:r>
          </w:p>
        </w:tc>
        <w:tc>
          <w:tcPr>
            <w:tcW w:w="2835" w:type="dxa"/>
            <w:vAlign w:val="center"/>
          </w:tcPr>
          <w:p>
            <w:pPr>
              <w:pStyle w:val="14"/>
            </w:pPr>
            <w:r>
              <w:t>聘请律师数量</w:t>
            </w:r>
          </w:p>
          <w:p>
            <w:pPr>
              <w:pStyle w:val="14"/>
            </w:pPr>
          </w:p>
        </w:tc>
        <w:tc>
          <w:tcPr>
            <w:tcW w:w="2551" w:type="dxa"/>
            <w:vAlign w:val="center"/>
          </w:tcPr>
          <w:p>
            <w:pPr>
              <w:pStyle w:val="14"/>
            </w:pPr>
            <w:r>
              <w:t>≥10人</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培训课时数</w:t>
            </w:r>
          </w:p>
        </w:tc>
        <w:tc>
          <w:tcPr>
            <w:tcW w:w="2835" w:type="dxa"/>
            <w:vAlign w:val="center"/>
          </w:tcPr>
          <w:p>
            <w:pPr>
              <w:pStyle w:val="14"/>
            </w:pPr>
            <w:r>
              <w:t>培训课时数</w:t>
            </w:r>
          </w:p>
        </w:tc>
        <w:tc>
          <w:tcPr>
            <w:tcW w:w="2551" w:type="dxa"/>
            <w:vAlign w:val="center"/>
          </w:tcPr>
          <w:p>
            <w:pPr>
              <w:pStyle w:val="14"/>
            </w:pPr>
            <w:r>
              <w:t>≥30课时</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参加培训人均成本</w:t>
            </w:r>
          </w:p>
        </w:tc>
        <w:tc>
          <w:tcPr>
            <w:tcW w:w="2835" w:type="dxa"/>
            <w:vAlign w:val="center"/>
          </w:tcPr>
          <w:p>
            <w:pPr>
              <w:pStyle w:val="14"/>
            </w:pPr>
            <w:r>
              <w:t>参加培训人均成本</w:t>
            </w:r>
          </w:p>
        </w:tc>
        <w:tc>
          <w:tcPr>
            <w:tcW w:w="2551" w:type="dxa"/>
            <w:vAlign w:val="center"/>
          </w:tcPr>
          <w:p>
            <w:pPr>
              <w:pStyle w:val="14"/>
            </w:pPr>
            <w:r>
              <w:t>≥100元/人</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案件处理率</w:t>
            </w:r>
          </w:p>
        </w:tc>
        <w:tc>
          <w:tcPr>
            <w:tcW w:w="2835" w:type="dxa"/>
            <w:vAlign w:val="center"/>
          </w:tcPr>
          <w:p>
            <w:pPr>
              <w:pStyle w:val="14"/>
            </w:pPr>
            <w:r>
              <w:t>"当事人提请法院的处理行政案件占总案件的比率</w:t>
            </w:r>
          </w:p>
          <w:p>
            <w:pPr>
              <w:pStyle w:val="14"/>
            </w:pPr>
            <w:r>
              <w:t>"</w:t>
            </w:r>
          </w:p>
          <w:p>
            <w:pPr>
              <w:pStyle w:val="14"/>
            </w:pPr>
          </w:p>
        </w:tc>
        <w:tc>
          <w:tcPr>
            <w:tcW w:w="2551" w:type="dxa"/>
            <w:vAlign w:val="center"/>
          </w:tcPr>
          <w:p>
            <w:pPr>
              <w:pStyle w:val="14"/>
            </w:pPr>
            <w:r>
              <w:t>≥85%</w:t>
            </w:r>
          </w:p>
          <w:p>
            <w:pPr>
              <w:pStyle w:val="14"/>
            </w:pP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行政应诉复议案件成本</w:t>
            </w:r>
          </w:p>
        </w:tc>
        <w:tc>
          <w:tcPr>
            <w:tcW w:w="2835" w:type="dxa"/>
            <w:vAlign w:val="center"/>
          </w:tcPr>
          <w:p>
            <w:pPr>
              <w:pStyle w:val="14"/>
            </w:pPr>
            <w:r>
              <w:t>行政复议案件成本</w:t>
            </w:r>
          </w:p>
        </w:tc>
        <w:tc>
          <w:tcPr>
            <w:tcW w:w="2551" w:type="dxa"/>
            <w:vAlign w:val="center"/>
          </w:tcPr>
          <w:p>
            <w:pPr>
              <w:pStyle w:val="14"/>
            </w:pPr>
            <w:r>
              <w:t>≥1250元/件</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行政应诉复议案件数量</w:t>
            </w:r>
          </w:p>
        </w:tc>
        <w:tc>
          <w:tcPr>
            <w:tcW w:w="2835" w:type="dxa"/>
            <w:vAlign w:val="center"/>
          </w:tcPr>
          <w:p>
            <w:pPr>
              <w:pStyle w:val="14"/>
            </w:pPr>
            <w:r>
              <w:t>行政复议案件数量</w:t>
            </w:r>
          </w:p>
        </w:tc>
        <w:tc>
          <w:tcPr>
            <w:tcW w:w="2551" w:type="dxa"/>
            <w:vAlign w:val="center"/>
          </w:tcPr>
          <w:p>
            <w:pPr>
              <w:pStyle w:val="14"/>
            </w:pPr>
            <w:r>
              <w:t>≥80件</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培训执法人员数量</w:t>
            </w:r>
          </w:p>
        </w:tc>
        <w:tc>
          <w:tcPr>
            <w:tcW w:w="2835" w:type="dxa"/>
            <w:vAlign w:val="center"/>
          </w:tcPr>
          <w:p>
            <w:pPr>
              <w:pStyle w:val="14"/>
            </w:pPr>
            <w:r>
              <w:t>"参加执法证考试培训人员的数量</w:t>
            </w:r>
          </w:p>
          <w:p>
            <w:pPr>
              <w:pStyle w:val="14"/>
            </w:pPr>
            <w:r>
              <w:t>"</w:t>
            </w:r>
          </w:p>
          <w:p>
            <w:pPr>
              <w:pStyle w:val="14"/>
            </w:pPr>
          </w:p>
        </w:tc>
        <w:tc>
          <w:tcPr>
            <w:tcW w:w="2551" w:type="dxa"/>
            <w:vAlign w:val="center"/>
          </w:tcPr>
          <w:p>
            <w:pPr>
              <w:pStyle w:val="14"/>
            </w:pPr>
            <w:r>
              <w:t>≥1200人</w:t>
            </w:r>
          </w:p>
          <w:p>
            <w:pPr>
              <w:pStyle w:val="14"/>
            </w:pP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律师人均成本</w:t>
            </w:r>
          </w:p>
        </w:tc>
        <w:tc>
          <w:tcPr>
            <w:tcW w:w="2835" w:type="dxa"/>
            <w:vAlign w:val="center"/>
          </w:tcPr>
          <w:p>
            <w:pPr>
              <w:pStyle w:val="14"/>
            </w:pPr>
            <w:r>
              <w:t>律师人均成本</w:t>
            </w:r>
          </w:p>
        </w:tc>
        <w:tc>
          <w:tcPr>
            <w:tcW w:w="2551" w:type="dxa"/>
            <w:vAlign w:val="center"/>
          </w:tcPr>
          <w:p>
            <w:pPr>
              <w:pStyle w:val="14"/>
            </w:pPr>
            <w:r>
              <w:t>≥10000元/人</w:t>
            </w: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行政应诉复议处理率</w:t>
            </w:r>
          </w:p>
        </w:tc>
        <w:tc>
          <w:tcPr>
            <w:tcW w:w="2835" w:type="dxa"/>
            <w:vAlign w:val="center"/>
          </w:tcPr>
          <w:p>
            <w:pPr>
              <w:pStyle w:val="14"/>
            </w:pPr>
            <w:r>
              <w:t>已处理的行政复议案件站行政复议案件的比例</w:t>
            </w:r>
          </w:p>
          <w:p>
            <w:pPr>
              <w:pStyle w:val="14"/>
            </w:pPr>
          </w:p>
        </w:tc>
        <w:tc>
          <w:tcPr>
            <w:tcW w:w="2551" w:type="dxa"/>
            <w:vAlign w:val="center"/>
          </w:tcPr>
          <w:p>
            <w:pPr>
              <w:pStyle w:val="14"/>
            </w:pPr>
            <w:r>
              <w:t>≥95%</w:t>
            </w:r>
          </w:p>
          <w:p>
            <w:pPr>
              <w:pStyle w:val="14"/>
            </w:pP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案件完成率</w:t>
            </w:r>
          </w:p>
        </w:tc>
        <w:tc>
          <w:tcPr>
            <w:tcW w:w="2835" w:type="dxa"/>
            <w:vAlign w:val="center"/>
          </w:tcPr>
          <w:p>
            <w:pPr>
              <w:pStyle w:val="14"/>
            </w:pPr>
            <w:r>
              <w:t>办结政府交给的案件的比率</w:t>
            </w:r>
          </w:p>
          <w:p>
            <w:pPr>
              <w:pStyle w:val="14"/>
            </w:pPr>
          </w:p>
        </w:tc>
        <w:tc>
          <w:tcPr>
            <w:tcW w:w="2551" w:type="dxa"/>
            <w:vAlign w:val="center"/>
          </w:tcPr>
          <w:p>
            <w:pPr>
              <w:pStyle w:val="14"/>
            </w:pPr>
            <w:r>
              <w:t>≥95%</w:t>
            </w:r>
          </w:p>
          <w:p>
            <w:pPr>
              <w:pStyle w:val="14"/>
            </w:pPr>
          </w:p>
        </w:tc>
        <w:tc>
          <w:tcPr>
            <w:tcW w:w="2268" w:type="dxa"/>
            <w:vAlign w:val="center"/>
          </w:tcPr>
          <w:p>
            <w:pPr>
              <w:pStyle w:val="14"/>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执法</w:t>
            </w:r>
            <w:r>
              <w:rPr>
                <w:rFonts w:hint="eastAsia"/>
                <w:lang w:eastAsia="zh-CN"/>
              </w:rPr>
              <w:t>水平高</w:t>
            </w:r>
            <w:r>
              <w:t>评率</w:t>
            </w:r>
          </w:p>
          <w:p>
            <w:pPr>
              <w:pStyle w:val="14"/>
            </w:pPr>
          </w:p>
        </w:tc>
        <w:tc>
          <w:tcPr>
            <w:tcW w:w="2835" w:type="dxa"/>
            <w:vAlign w:val="center"/>
          </w:tcPr>
          <w:p>
            <w:pPr>
              <w:pStyle w:val="14"/>
            </w:pPr>
            <w:r>
              <w:t>执法案件中好评的案件占执法案件的比率</w:t>
            </w:r>
          </w:p>
          <w:p>
            <w:pPr>
              <w:pStyle w:val="14"/>
            </w:pPr>
          </w:p>
        </w:tc>
        <w:tc>
          <w:tcPr>
            <w:tcW w:w="2551" w:type="dxa"/>
            <w:vAlign w:val="center"/>
          </w:tcPr>
          <w:p>
            <w:pPr>
              <w:pStyle w:val="14"/>
            </w:pPr>
            <w:r>
              <w:t>≥95%</w:t>
            </w:r>
          </w:p>
          <w:p>
            <w:pPr>
              <w:pStyle w:val="14"/>
            </w:pP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12、2022依法治区工作经费绩效目标表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研究提出建设法治政府、推进依法行政的意见和措施，负责全区依法治理和法治创建工作；负责拟定全区法制宣传教育规划，组织实施普法宣传工作，宣传资料1000份，调研培训100人，提高普法水平，增大法制宣传覆盖率。</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调研检查培训成本</w:t>
            </w:r>
          </w:p>
        </w:tc>
        <w:tc>
          <w:tcPr>
            <w:tcW w:w="2835" w:type="dxa"/>
            <w:vAlign w:val="center"/>
          </w:tcPr>
          <w:p>
            <w:pPr>
              <w:pStyle w:val="14"/>
            </w:pPr>
            <w:r>
              <w:t>调研检查培训成本</w:t>
            </w:r>
          </w:p>
        </w:tc>
        <w:tc>
          <w:tcPr>
            <w:tcW w:w="2551" w:type="dxa"/>
            <w:vAlign w:val="center"/>
          </w:tcPr>
          <w:p>
            <w:pPr>
              <w:pStyle w:val="14"/>
            </w:pPr>
            <w:r>
              <w:t>≥250元/人</w:t>
            </w:r>
          </w:p>
        </w:tc>
        <w:tc>
          <w:tcPr>
            <w:tcW w:w="2268" w:type="dxa"/>
            <w:vAlign w:val="center"/>
          </w:tcPr>
          <w:p>
            <w:pPr>
              <w:pStyle w:val="14"/>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建设法治文化阵地</w:t>
            </w:r>
          </w:p>
        </w:tc>
        <w:tc>
          <w:tcPr>
            <w:tcW w:w="2835" w:type="dxa"/>
            <w:vAlign w:val="center"/>
          </w:tcPr>
          <w:p>
            <w:pPr>
              <w:pStyle w:val="14"/>
            </w:pPr>
            <w:r>
              <w:t>建设法治文化阵地</w:t>
            </w:r>
          </w:p>
        </w:tc>
        <w:tc>
          <w:tcPr>
            <w:tcW w:w="2551" w:type="dxa"/>
            <w:vAlign w:val="center"/>
          </w:tcPr>
          <w:p>
            <w:pPr>
              <w:pStyle w:val="14"/>
            </w:pPr>
            <w:r>
              <w:t>创新普法宣传教育</w:t>
            </w:r>
          </w:p>
          <w:p>
            <w:pPr>
              <w:pStyle w:val="14"/>
            </w:pPr>
          </w:p>
        </w:tc>
        <w:tc>
          <w:tcPr>
            <w:tcW w:w="2268" w:type="dxa"/>
            <w:vAlign w:val="center"/>
          </w:tcPr>
          <w:p>
            <w:pPr>
              <w:pStyle w:val="14"/>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普法宣传率</w:t>
            </w:r>
          </w:p>
        </w:tc>
        <w:tc>
          <w:tcPr>
            <w:tcW w:w="2835" w:type="dxa"/>
            <w:vAlign w:val="center"/>
          </w:tcPr>
          <w:p>
            <w:pPr>
              <w:pStyle w:val="14"/>
            </w:pPr>
            <w:r>
              <w:t>普法宣传率</w:t>
            </w:r>
          </w:p>
        </w:tc>
        <w:tc>
          <w:tcPr>
            <w:tcW w:w="2551" w:type="dxa"/>
            <w:vAlign w:val="center"/>
          </w:tcPr>
          <w:p>
            <w:pPr>
              <w:pStyle w:val="14"/>
            </w:pPr>
            <w:r>
              <w:t>≥95%</w:t>
            </w:r>
          </w:p>
        </w:tc>
        <w:tc>
          <w:tcPr>
            <w:tcW w:w="2268" w:type="dxa"/>
            <w:vAlign w:val="center"/>
          </w:tcPr>
          <w:p>
            <w:pPr>
              <w:pStyle w:val="14"/>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法制宣传资料成本</w:t>
            </w:r>
          </w:p>
        </w:tc>
        <w:tc>
          <w:tcPr>
            <w:tcW w:w="2835" w:type="dxa"/>
            <w:vAlign w:val="center"/>
          </w:tcPr>
          <w:p>
            <w:pPr>
              <w:pStyle w:val="14"/>
            </w:pPr>
            <w:r>
              <w:t>法制宣传资料成本</w:t>
            </w:r>
          </w:p>
        </w:tc>
        <w:tc>
          <w:tcPr>
            <w:tcW w:w="2551" w:type="dxa"/>
            <w:vAlign w:val="center"/>
          </w:tcPr>
          <w:p>
            <w:pPr>
              <w:pStyle w:val="14"/>
            </w:pPr>
            <w:r>
              <w:t>≥25元/份</w:t>
            </w:r>
          </w:p>
        </w:tc>
        <w:tc>
          <w:tcPr>
            <w:tcW w:w="2268" w:type="dxa"/>
            <w:vAlign w:val="center"/>
          </w:tcPr>
          <w:p>
            <w:pPr>
              <w:pStyle w:val="14"/>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法制宣传资料数量</w:t>
            </w:r>
          </w:p>
        </w:tc>
        <w:tc>
          <w:tcPr>
            <w:tcW w:w="2835" w:type="dxa"/>
            <w:vAlign w:val="center"/>
          </w:tcPr>
          <w:p>
            <w:pPr>
              <w:pStyle w:val="14"/>
            </w:pPr>
            <w:r>
              <w:t>法制宣传资料数量</w:t>
            </w:r>
          </w:p>
        </w:tc>
        <w:tc>
          <w:tcPr>
            <w:tcW w:w="2551" w:type="dxa"/>
            <w:vAlign w:val="center"/>
          </w:tcPr>
          <w:p>
            <w:pPr>
              <w:pStyle w:val="14"/>
            </w:pPr>
            <w:r>
              <w:t>≥1000份</w:t>
            </w:r>
          </w:p>
        </w:tc>
        <w:tc>
          <w:tcPr>
            <w:tcW w:w="2268" w:type="dxa"/>
            <w:vAlign w:val="center"/>
          </w:tcPr>
          <w:p>
            <w:pPr>
              <w:pStyle w:val="14"/>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调研检查培训人数</w:t>
            </w:r>
          </w:p>
        </w:tc>
        <w:tc>
          <w:tcPr>
            <w:tcW w:w="2835" w:type="dxa"/>
            <w:vAlign w:val="center"/>
          </w:tcPr>
          <w:p>
            <w:pPr>
              <w:pStyle w:val="14"/>
            </w:pPr>
            <w:r>
              <w:t>调研检查培训人数</w:t>
            </w:r>
          </w:p>
        </w:tc>
        <w:tc>
          <w:tcPr>
            <w:tcW w:w="2551" w:type="dxa"/>
            <w:vAlign w:val="center"/>
          </w:tcPr>
          <w:p>
            <w:pPr>
              <w:pStyle w:val="14"/>
            </w:pPr>
            <w:r>
              <w:t>≥100人</w:t>
            </w:r>
          </w:p>
        </w:tc>
        <w:tc>
          <w:tcPr>
            <w:tcW w:w="2268" w:type="dxa"/>
            <w:vAlign w:val="center"/>
          </w:tcPr>
          <w:p>
            <w:pPr>
              <w:pStyle w:val="14"/>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调研检查培训成本</w:t>
            </w:r>
          </w:p>
        </w:tc>
        <w:tc>
          <w:tcPr>
            <w:tcW w:w="2835" w:type="dxa"/>
            <w:vAlign w:val="center"/>
          </w:tcPr>
          <w:p>
            <w:pPr>
              <w:pStyle w:val="14"/>
            </w:pPr>
            <w:r>
              <w:t>调研检查培训成本</w:t>
            </w:r>
          </w:p>
        </w:tc>
        <w:tc>
          <w:tcPr>
            <w:tcW w:w="2551" w:type="dxa"/>
            <w:vAlign w:val="center"/>
          </w:tcPr>
          <w:p>
            <w:pPr>
              <w:pStyle w:val="14"/>
            </w:pPr>
            <w:r>
              <w:t>≥1000元/人</w:t>
            </w:r>
          </w:p>
        </w:tc>
        <w:tc>
          <w:tcPr>
            <w:tcW w:w="2268" w:type="dxa"/>
            <w:vAlign w:val="center"/>
          </w:tcPr>
          <w:p>
            <w:pPr>
              <w:pStyle w:val="14"/>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法制工作完成率</w:t>
            </w:r>
          </w:p>
        </w:tc>
        <w:tc>
          <w:tcPr>
            <w:tcW w:w="2835" w:type="dxa"/>
            <w:vAlign w:val="center"/>
          </w:tcPr>
          <w:p>
            <w:pPr>
              <w:pStyle w:val="14"/>
            </w:pPr>
            <w:r>
              <w:t>法制工作完成率</w:t>
            </w:r>
          </w:p>
        </w:tc>
        <w:tc>
          <w:tcPr>
            <w:tcW w:w="2551" w:type="dxa"/>
            <w:vAlign w:val="center"/>
          </w:tcPr>
          <w:p>
            <w:pPr>
              <w:pStyle w:val="14"/>
            </w:pPr>
            <w:r>
              <w:t>≥90%</w:t>
            </w:r>
          </w:p>
        </w:tc>
        <w:tc>
          <w:tcPr>
            <w:tcW w:w="2268" w:type="dxa"/>
            <w:vAlign w:val="center"/>
          </w:tcPr>
          <w:p>
            <w:pPr>
              <w:pStyle w:val="14"/>
            </w:pPr>
            <w:r>
              <w:t>鹿依法治区委字（2019）2号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普法宣传对象满意度</w:t>
            </w:r>
          </w:p>
        </w:tc>
        <w:tc>
          <w:tcPr>
            <w:tcW w:w="2835" w:type="dxa"/>
            <w:vAlign w:val="center"/>
          </w:tcPr>
          <w:p>
            <w:pPr>
              <w:pStyle w:val="14"/>
            </w:pPr>
            <w:r>
              <w:t>普法宣传对象满意度</w:t>
            </w:r>
          </w:p>
        </w:tc>
        <w:tc>
          <w:tcPr>
            <w:tcW w:w="2551" w:type="dxa"/>
            <w:vAlign w:val="center"/>
          </w:tcPr>
          <w:p>
            <w:pPr>
              <w:pStyle w:val="14"/>
            </w:pPr>
            <w:r>
              <w:t>≥90%</w:t>
            </w:r>
          </w:p>
        </w:tc>
        <w:tc>
          <w:tcPr>
            <w:tcW w:w="2268" w:type="dxa"/>
            <w:vAlign w:val="center"/>
          </w:tcPr>
          <w:p>
            <w:pPr>
              <w:pStyle w:val="14"/>
            </w:pPr>
            <w:r>
              <w:t>鹿依法治区委字（2019）2号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13、2022专职人民调解员工作经费绩效目标表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1.组建专业调解团队，实行跨区调解，将矛盾化解在基层保障社会秩序平安稳定</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专职民调员调解民间纠纷案件</w:t>
            </w:r>
          </w:p>
        </w:tc>
        <w:tc>
          <w:tcPr>
            <w:tcW w:w="2835" w:type="dxa"/>
            <w:vAlign w:val="center"/>
          </w:tcPr>
          <w:p>
            <w:pPr>
              <w:pStyle w:val="14"/>
            </w:pPr>
            <w:r>
              <w:t>专职民调员调解民间纠纷案件</w:t>
            </w:r>
          </w:p>
        </w:tc>
        <w:tc>
          <w:tcPr>
            <w:tcW w:w="2551" w:type="dxa"/>
            <w:vAlign w:val="center"/>
          </w:tcPr>
          <w:p>
            <w:pPr>
              <w:pStyle w:val="14"/>
            </w:pPr>
            <w:r>
              <w:t>≥4000件</w:t>
            </w:r>
          </w:p>
        </w:tc>
        <w:tc>
          <w:tcPr>
            <w:tcW w:w="2268" w:type="dxa"/>
            <w:vAlign w:val="center"/>
          </w:tcPr>
          <w:p>
            <w:pPr>
              <w:pStyle w:val="14"/>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专职民调员数量</w:t>
            </w:r>
          </w:p>
        </w:tc>
        <w:tc>
          <w:tcPr>
            <w:tcW w:w="2835" w:type="dxa"/>
            <w:vAlign w:val="center"/>
          </w:tcPr>
          <w:p>
            <w:pPr>
              <w:pStyle w:val="14"/>
            </w:pPr>
            <w:r>
              <w:t>专职民调员数量</w:t>
            </w:r>
          </w:p>
        </w:tc>
        <w:tc>
          <w:tcPr>
            <w:tcW w:w="2551" w:type="dxa"/>
            <w:vAlign w:val="center"/>
          </w:tcPr>
          <w:p>
            <w:pPr>
              <w:pStyle w:val="14"/>
            </w:pPr>
            <w:r>
              <w:t>59人</w:t>
            </w:r>
          </w:p>
        </w:tc>
        <w:tc>
          <w:tcPr>
            <w:tcW w:w="2268" w:type="dxa"/>
            <w:vAlign w:val="center"/>
          </w:tcPr>
          <w:p>
            <w:pPr>
              <w:pStyle w:val="14"/>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专职调解员补贴标准</w:t>
            </w:r>
          </w:p>
        </w:tc>
        <w:tc>
          <w:tcPr>
            <w:tcW w:w="2835" w:type="dxa"/>
            <w:vAlign w:val="center"/>
          </w:tcPr>
          <w:p>
            <w:pPr>
              <w:pStyle w:val="14"/>
            </w:pPr>
            <w:r>
              <w:t>安标的额的比例</w:t>
            </w:r>
          </w:p>
          <w:p>
            <w:pPr>
              <w:pStyle w:val="14"/>
            </w:pPr>
          </w:p>
        </w:tc>
        <w:tc>
          <w:tcPr>
            <w:tcW w:w="2551" w:type="dxa"/>
            <w:vAlign w:val="center"/>
          </w:tcPr>
          <w:p>
            <w:pPr>
              <w:pStyle w:val="14"/>
            </w:pPr>
            <w:r>
              <w:t>≥80%</w:t>
            </w:r>
          </w:p>
          <w:p>
            <w:pPr>
              <w:pStyle w:val="14"/>
            </w:pPr>
          </w:p>
        </w:tc>
        <w:tc>
          <w:tcPr>
            <w:tcW w:w="2268" w:type="dxa"/>
            <w:vAlign w:val="center"/>
          </w:tcPr>
          <w:p>
            <w:pPr>
              <w:pStyle w:val="14"/>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专职民调员工资标准</w:t>
            </w:r>
          </w:p>
        </w:tc>
        <w:tc>
          <w:tcPr>
            <w:tcW w:w="2835" w:type="dxa"/>
            <w:vAlign w:val="center"/>
          </w:tcPr>
          <w:p>
            <w:pPr>
              <w:pStyle w:val="14"/>
            </w:pPr>
            <w:r>
              <w:t>专职民调员最低工资标准</w:t>
            </w:r>
          </w:p>
          <w:p>
            <w:pPr>
              <w:pStyle w:val="14"/>
            </w:pPr>
          </w:p>
        </w:tc>
        <w:tc>
          <w:tcPr>
            <w:tcW w:w="2551" w:type="dxa"/>
            <w:vAlign w:val="center"/>
          </w:tcPr>
          <w:p>
            <w:pPr>
              <w:pStyle w:val="14"/>
            </w:pPr>
            <w:r>
              <w:t>22800元/人.年</w:t>
            </w:r>
          </w:p>
        </w:tc>
        <w:tc>
          <w:tcPr>
            <w:tcW w:w="2268" w:type="dxa"/>
            <w:vAlign w:val="center"/>
          </w:tcPr>
          <w:p>
            <w:pPr>
              <w:pStyle w:val="14"/>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专职民调员月调解案件及时率</w:t>
            </w:r>
          </w:p>
        </w:tc>
        <w:tc>
          <w:tcPr>
            <w:tcW w:w="2835" w:type="dxa"/>
            <w:vAlign w:val="center"/>
          </w:tcPr>
          <w:p>
            <w:pPr>
              <w:pStyle w:val="14"/>
            </w:pPr>
            <w:r>
              <w:t>专职民调员月调解案件及时率</w:t>
            </w:r>
          </w:p>
        </w:tc>
        <w:tc>
          <w:tcPr>
            <w:tcW w:w="2551" w:type="dxa"/>
            <w:vAlign w:val="center"/>
          </w:tcPr>
          <w:p>
            <w:pPr>
              <w:pStyle w:val="14"/>
            </w:pPr>
            <w:r>
              <w:t>≥90%</w:t>
            </w:r>
          </w:p>
          <w:p>
            <w:pPr>
              <w:pStyle w:val="14"/>
            </w:pPr>
          </w:p>
        </w:tc>
        <w:tc>
          <w:tcPr>
            <w:tcW w:w="2268" w:type="dxa"/>
            <w:vAlign w:val="center"/>
          </w:tcPr>
          <w:p>
            <w:pPr>
              <w:pStyle w:val="14"/>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专职民调员案件处理率</w:t>
            </w:r>
          </w:p>
        </w:tc>
        <w:tc>
          <w:tcPr>
            <w:tcW w:w="2835" w:type="dxa"/>
            <w:vAlign w:val="center"/>
          </w:tcPr>
          <w:p>
            <w:pPr>
              <w:pStyle w:val="14"/>
            </w:pPr>
            <w:r>
              <w:t>人民调解案件数量占总案件的比率</w:t>
            </w:r>
          </w:p>
          <w:p>
            <w:pPr>
              <w:pStyle w:val="14"/>
            </w:pPr>
            <w:r>
              <w:t>"</w:t>
            </w:r>
          </w:p>
          <w:p>
            <w:pPr>
              <w:pStyle w:val="14"/>
            </w:pPr>
          </w:p>
        </w:tc>
        <w:tc>
          <w:tcPr>
            <w:tcW w:w="2551" w:type="dxa"/>
            <w:vAlign w:val="center"/>
          </w:tcPr>
          <w:p>
            <w:pPr>
              <w:pStyle w:val="14"/>
            </w:pPr>
            <w:r>
              <w:t>≥90%</w:t>
            </w:r>
          </w:p>
          <w:p>
            <w:pPr>
              <w:pStyle w:val="14"/>
            </w:pPr>
          </w:p>
        </w:tc>
        <w:tc>
          <w:tcPr>
            <w:tcW w:w="2268" w:type="dxa"/>
            <w:vAlign w:val="center"/>
          </w:tcPr>
          <w:p>
            <w:pPr>
              <w:pStyle w:val="14"/>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专职民调员调解成功率</w:t>
            </w:r>
          </w:p>
        </w:tc>
        <w:tc>
          <w:tcPr>
            <w:tcW w:w="2835" w:type="dxa"/>
            <w:vAlign w:val="center"/>
          </w:tcPr>
          <w:p>
            <w:pPr>
              <w:pStyle w:val="14"/>
            </w:pPr>
            <w:r>
              <w:t>经人民调解组织调解成功的案件数占人民调解案件总数的比例</w:t>
            </w:r>
          </w:p>
          <w:p>
            <w:pPr>
              <w:pStyle w:val="14"/>
            </w:pPr>
          </w:p>
        </w:tc>
        <w:tc>
          <w:tcPr>
            <w:tcW w:w="2551" w:type="dxa"/>
            <w:vAlign w:val="center"/>
          </w:tcPr>
          <w:p>
            <w:pPr>
              <w:pStyle w:val="14"/>
            </w:pPr>
            <w:r>
              <w:t>≥90%</w:t>
            </w:r>
          </w:p>
          <w:p>
            <w:pPr>
              <w:pStyle w:val="14"/>
            </w:pPr>
          </w:p>
        </w:tc>
        <w:tc>
          <w:tcPr>
            <w:tcW w:w="2268" w:type="dxa"/>
            <w:vAlign w:val="center"/>
          </w:tcPr>
          <w:p>
            <w:pPr>
              <w:pStyle w:val="14"/>
            </w:pPr>
            <w:r>
              <w:t>转发司法厅（关于加强人民调解员队伍建设的实施意见）的通知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群众对民调员调解案件的满意度</w:t>
            </w:r>
          </w:p>
          <w:p>
            <w:pPr>
              <w:pStyle w:val="14"/>
            </w:pPr>
          </w:p>
        </w:tc>
        <w:tc>
          <w:tcPr>
            <w:tcW w:w="2551" w:type="dxa"/>
            <w:vAlign w:val="center"/>
          </w:tcPr>
          <w:p>
            <w:pPr>
              <w:pStyle w:val="14"/>
            </w:pPr>
            <w:r>
              <w:t>≥95%</w:t>
            </w:r>
          </w:p>
          <w:p>
            <w:pPr>
              <w:pStyle w:val="14"/>
            </w:pPr>
          </w:p>
        </w:tc>
        <w:tc>
          <w:tcPr>
            <w:tcW w:w="2268" w:type="dxa"/>
            <w:vAlign w:val="center"/>
          </w:tcPr>
          <w:p>
            <w:pPr>
              <w:pStyle w:val="14"/>
            </w:pPr>
            <w:r>
              <w:t>转发司法厅（关于加强人民调解员队伍建设的实施意见）的通知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14、关于提前下达2021年省级基层公检法司转移支付资金的通知绩效目标表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1.法律服务人员通过民事、行政代理、刑事辩护无偿为当事人提供法律帮助，维护方当事人合法权益。</w:t>
            </w:r>
          </w:p>
          <w:p>
            <w:pPr>
              <w:pStyle w:val="14"/>
            </w:pPr>
            <w:r>
              <w:t>2.司法行政机关为履行特定职责，办理案件和开展业务工作。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代书法律文书</w:t>
            </w:r>
          </w:p>
        </w:tc>
        <w:tc>
          <w:tcPr>
            <w:tcW w:w="2835" w:type="dxa"/>
            <w:vAlign w:val="center"/>
          </w:tcPr>
          <w:p>
            <w:pPr>
              <w:pStyle w:val="14"/>
            </w:pPr>
            <w:r>
              <w:t>代书各类法律文书数量</w:t>
            </w:r>
          </w:p>
          <w:p>
            <w:pPr>
              <w:pStyle w:val="14"/>
            </w:pPr>
          </w:p>
        </w:tc>
        <w:tc>
          <w:tcPr>
            <w:tcW w:w="2551" w:type="dxa"/>
            <w:vAlign w:val="center"/>
          </w:tcPr>
          <w:p>
            <w:pPr>
              <w:pStyle w:val="14"/>
            </w:pPr>
            <w:r>
              <w:t>≥400份</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结案审核通过率</w:t>
            </w:r>
          </w:p>
        </w:tc>
        <w:tc>
          <w:tcPr>
            <w:tcW w:w="2835" w:type="dxa"/>
            <w:vAlign w:val="center"/>
          </w:tcPr>
          <w:p>
            <w:pPr>
              <w:pStyle w:val="14"/>
            </w:pPr>
            <w:r>
              <w:t>结案审核通过率</w:t>
            </w:r>
          </w:p>
        </w:tc>
        <w:tc>
          <w:tcPr>
            <w:tcW w:w="2551" w:type="dxa"/>
            <w:vAlign w:val="center"/>
          </w:tcPr>
          <w:p>
            <w:pPr>
              <w:pStyle w:val="14"/>
            </w:pPr>
            <w:r>
              <w:t>≥90%</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2835" w:type="dxa"/>
            <w:vAlign w:val="center"/>
          </w:tcPr>
          <w:p>
            <w:pPr>
              <w:pStyle w:val="14"/>
            </w:pPr>
            <w:r>
              <w:t>案件、资料上报及时率</w:t>
            </w:r>
          </w:p>
        </w:tc>
        <w:tc>
          <w:tcPr>
            <w:tcW w:w="2551" w:type="dxa"/>
            <w:vAlign w:val="center"/>
          </w:tcPr>
          <w:p>
            <w:pPr>
              <w:pStyle w:val="14"/>
            </w:pPr>
            <w:r>
              <w:t>≥85%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案件和解率</w:t>
            </w:r>
          </w:p>
        </w:tc>
        <w:tc>
          <w:tcPr>
            <w:tcW w:w="2835" w:type="dxa"/>
            <w:vAlign w:val="center"/>
          </w:tcPr>
          <w:p>
            <w:pPr>
              <w:pStyle w:val="14"/>
            </w:pPr>
            <w:r>
              <w:t>律师见证和解案件占案件总数的比率</w:t>
            </w:r>
          </w:p>
          <w:p>
            <w:pPr>
              <w:pStyle w:val="14"/>
            </w:pPr>
          </w:p>
          <w:p>
            <w:pPr>
              <w:pStyle w:val="14"/>
            </w:pPr>
          </w:p>
        </w:tc>
        <w:tc>
          <w:tcPr>
            <w:tcW w:w="2551" w:type="dxa"/>
            <w:vAlign w:val="center"/>
          </w:tcPr>
          <w:p>
            <w:pPr>
              <w:pStyle w:val="14"/>
            </w:pPr>
            <w:r>
              <w:t>≥85%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当事人满意度</w:t>
            </w:r>
          </w:p>
        </w:tc>
        <w:tc>
          <w:tcPr>
            <w:tcW w:w="2835" w:type="dxa"/>
            <w:vAlign w:val="center"/>
          </w:tcPr>
          <w:p>
            <w:pPr>
              <w:pStyle w:val="14"/>
            </w:pPr>
            <w:r>
              <w:t>法律服务人员通过民事、行政代理，刑事辩护，无偿为当事人提供法律帮助，满意和较满意当事人占被调查当事人的比例</w:t>
            </w:r>
          </w:p>
          <w:p>
            <w:pPr>
              <w:pStyle w:val="14"/>
            </w:pP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15、关于提前下达2021年市级社区矫正专项经费预算指标的通知绩效目标表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1.完成审前社会调查400余件，现在册社区服刑人员390余人，手机保证全部开机，掌握每名服刑人员的活动范围，每月不少于8小时的教育和社区服务。预防和减少社区服刑人员重新违法犯罪。</w:t>
            </w:r>
          </w:p>
          <w:p>
            <w:pPr>
              <w:pStyle w:val="14"/>
            </w:pPr>
            <w:r>
              <w:t>2.依据法律、法规做好社区矫正对象、刑满释放人员的管理、教育、帮扶工作，最大限度降低重新违法犯罪和社会不稳定因素发生率。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矫正对象数量</w:t>
            </w:r>
          </w:p>
          <w:p>
            <w:pPr>
              <w:pStyle w:val="14"/>
            </w:pPr>
          </w:p>
        </w:tc>
        <w:tc>
          <w:tcPr>
            <w:tcW w:w="2835" w:type="dxa"/>
            <w:vAlign w:val="center"/>
          </w:tcPr>
          <w:p>
            <w:pPr>
              <w:pStyle w:val="14"/>
            </w:pPr>
            <w:r>
              <w:t>矫正对象数量</w:t>
            </w:r>
          </w:p>
          <w:p>
            <w:pPr>
              <w:pStyle w:val="14"/>
            </w:pPr>
          </w:p>
        </w:tc>
        <w:tc>
          <w:tcPr>
            <w:tcW w:w="2551" w:type="dxa"/>
            <w:vAlign w:val="center"/>
          </w:tcPr>
          <w:p>
            <w:pPr>
              <w:pStyle w:val="14"/>
            </w:pPr>
            <w:r>
              <w:t>≥398人</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上站率</w:t>
            </w:r>
          </w:p>
        </w:tc>
        <w:tc>
          <w:tcPr>
            <w:tcW w:w="2835" w:type="dxa"/>
            <w:vAlign w:val="center"/>
          </w:tcPr>
          <w:p>
            <w:pPr>
              <w:pStyle w:val="14"/>
            </w:pPr>
            <w:r>
              <w:t>教育和社区服务实际到位人数占应到位人数的比例</w:t>
            </w:r>
          </w:p>
          <w:p>
            <w:pPr>
              <w:pStyle w:val="14"/>
            </w:pPr>
          </w:p>
          <w:p>
            <w:pPr>
              <w:pStyle w:val="14"/>
            </w:pPr>
          </w:p>
        </w:tc>
        <w:tc>
          <w:tcPr>
            <w:tcW w:w="2551" w:type="dxa"/>
            <w:vAlign w:val="center"/>
          </w:tcPr>
          <w:p>
            <w:pPr>
              <w:pStyle w:val="14"/>
            </w:pPr>
            <w:r>
              <w:t>≥95%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手机加手环定位成本</w:t>
            </w:r>
          </w:p>
        </w:tc>
        <w:tc>
          <w:tcPr>
            <w:tcW w:w="2835" w:type="dxa"/>
            <w:vAlign w:val="center"/>
          </w:tcPr>
          <w:p>
            <w:pPr>
              <w:pStyle w:val="14"/>
            </w:pPr>
            <w:r>
              <w:t>手机加手环定位标准</w:t>
            </w:r>
          </w:p>
        </w:tc>
        <w:tc>
          <w:tcPr>
            <w:tcW w:w="2551" w:type="dxa"/>
            <w:vAlign w:val="center"/>
          </w:tcPr>
          <w:p>
            <w:pPr>
              <w:pStyle w:val="14"/>
            </w:pPr>
            <w:r>
              <w:t>≥1500元</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社区矫正服刑人员信息核查率</w:t>
            </w:r>
          </w:p>
        </w:tc>
        <w:tc>
          <w:tcPr>
            <w:tcW w:w="2835" w:type="dxa"/>
            <w:vAlign w:val="center"/>
          </w:tcPr>
          <w:p>
            <w:pPr>
              <w:pStyle w:val="14"/>
            </w:pPr>
            <w:r>
              <w:t>已经核查完毕矫正人员占全部矫正人员的比例</w:t>
            </w:r>
          </w:p>
          <w:p>
            <w:pPr>
              <w:pStyle w:val="14"/>
            </w:pPr>
          </w:p>
          <w:p>
            <w:pPr>
              <w:pStyle w:val="14"/>
            </w:pPr>
          </w:p>
        </w:tc>
        <w:tc>
          <w:tcPr>
            <w:tcW w:w="2551" w:type="dxa"/>
            <w:vAlign w:val="center"/>
          </w:tcPr>
          <w:p>
            <w:pPr>
              <w:pStyle w:val="14"/>
            </w:pPr>
            <w:r>
              <w:t>≥85%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降低矫正对象犯罪率</w:t>
            </w:r>
          </w:p>
        </w:tc>
        <w:tc>
          <w:tcPr>
            <w:tcW w:w="2835" w:type="dxa"/>
            <w:vAlign w:val="center"/>
          </w:tcPr>
          <w:p>
            <w:pPr>
              <w:pStyle w:val="14"/>
            </w:pPr>
            <w:r>
              <w:t>矫治对象犯罪的占所有矫治对象的比例</w:t>
            </w:r>
          </w:p>
          <w:p>
            <w:pPr>
              <w:pStyle w:val="14"/>
            </w:pPr>
          </w:p>
          <w:p>
            <w:pPr>
              <w:pStyle w:val="14"/>
            </w:pPr>
          </w:p>
          <w:p>
            <w:pPr>
              <w:pStyle w:val="14"/>
            </w:pPr>
          </w:p>
        </w:tc>
        <w:tc>
          <w:tcPr>
            <w:tcW w:w="2551" w:type="dxa"/>
            <w:vAlign w:val="center"/>
          </w:tcPr>
          <w:p>
            <w:pPr>
              <w:pStyle w:val="14"/>
            </w:pPr>
            <w:r>
              <w:t>&lt;15%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矫正对象满意度</w:t>
            </w:r>
          </w:p>
        </w:tc>
        <w:tc>
          <w:tcPr>
            <w:tcW w:w="2835" w:type="dxa"/>
            <w:vAlign w:val="center"/>
          </w:tcPr>
          <w:p>
            <w:pPr>
              <w:pStyle w:val="14"/>
            </w:pPr>
            <w:r>
              <w:t>矫正对象对帮扶工作的满意度</w:t>
            </w:r>
          </w:p>
          <w:p>
            <w:pPr>
              <w:pStyle w:val="14"/>
            </w:pPr>
          </w:p>
          <w:p>
            <w:pPr>
              <w:pStyle w:val="14"/>
            </w:pP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16、关于提前下达2021年中央政法纪检监察转移支付资金的通知绩效目标表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1.法律服务人员通过民事、行政代理、刑事辩护无偿为当事人提供法律帮助，维护方当事人合法权益。</w:t>
            </w:r>
          </w:p>
          <w:p>
            <w:pPr>
              <w:pStyle w:val="14"/>
            </w:pPr>
            <w:r>
              <w:t>2.司法行政机关为履行特定职责，办理案件和开展业务工作。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代书法律文书</w:t>
            </w:r>
          </w:p>
        </w:tc>
        <w:tc>
          <w:tcPr>
            <w:tcW w:w="2835" w:type="dxa"/>
            <w:vAlign w:val="center"/>
          </w:tcPr>
          <w:p>
            <w:pPr>
              <w:pStyle w:val="14"/>
            </w:pPr>
            <w:r>
              <w:t>代书各类法律文书数量</w:t>
            </w:r>
          </w:p>
          <w:p>
            <w:pPr>
              <w:pStyle w:val="14"/>
            </w:pPr>
          </w:p>
        </w:tc>
        <w:tc>
          <w:tcPr>
            <w:tcW w:w="2551" w:type="dxa"/>
            <w:vAlign w:val="center"/>
          </w:tcPr>
          <w:p>
            <w:pPr>
              <w:pStyle w:val="14"/>
            </w:pPr>
            <w:r>
              <w:t>≥400份</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结案审核通过率</w:t>
            </w:r>
          </w:p>
        </w:tc>
        <w:tc>
          <w:tcPr>
            <w:tcW w:w="2835" w:type="dxa"/>
            <w:vAlign w:val="center"/>
          </w:tcPr>
          <w:p>
            <w:pPr>
              <w:pStyle w:val="14"/>
            </w:pPr>
            <w:r>
              <w:t>结案审核通过率</w:t>
            </w:r>
          </w:p>
        </w:tc>
        <w:tc>
          <w:tcPr>
            <w:tcW w:w="2551" w:type="dxa"/>
            <w:vAlign w:val="center"/>
          </w:tcPr>
          <w:p>
            <w:pPr>
              <w:pStyle w:val="14"/>
            </w:pPr>
            <w:r>
              <w:t>≥90%</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2835" w:type="dxa"/>
            <w:vAlign w:val="center"/>
          </w:tcPr>
          <w:p>
            <w:pPr>
              <w:pStyle w:val="14"/>
            </w:pPr>
            <w:r>
              <w:t>案件、资料上报及时率</w:t>
            </w:r>
          </w:p>
        </w:tc>
        <w:tc>
          <w:tcPr>
            <w:tcW w:w="2551" w:type="dxa"/>
            <w:vAlign w:val="center"/>
          </w:tcPr>
          <w:p>
            <w:pPr>
              <w:pStyle w:val="14"/>
            </w:pPr>
            <w:r>
              <w:t>≥85%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案件和解率</w:t>
            </w:r>
          </w:p>
        </w:tc>
        <w:tc>
          <w:tcPr>
            <w:tcW w:w="2835" w:type="dxa"/>
            <w:vAlign w:val="center"/>
          </w:tcPr>
          <w:p>
            <w:pPr>
              <w:pStyle w:val="14"/>
            </w:pPr>
            <w:r>
              <w:t>律师见证和解案件占案件总数的比率</w:t>
            </w:r>
          </w:p>
          <w:p>
            <w:pPr>
              <w:pStyle w:val="14"/>
            </w:pPr>
          </w:p>
          <w:p>
            <w:pPr>
              <w:pStyle w:val="14"/>
            </w:pPr>
          </w:p>
        </w:tc>
        <w:tc>
          <w:tcPr>
            <w:tcW w:w="2551" w:type="dxa"/>
            <w:vAlign w:val="center"/>
          </w:tcPr>
          <w:p>
            <w:pPr>
              <w:pStyle w:val="14"/>
            </w:pPr>
            <w:r>
              <w:t>≥85%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当事人满意度</w:t>
            </w:r>
          </w:p>
        </w:tc>
        <w:tc>
          <w:tcPr>
            <w:tcW w:w="2835" w:type="dxa"/>
            <w:vAlign w:val="center"/>
          </w:tcPr>
          <w:p>
            <w:pPr>
              <w:pStyle w:val="14"/>
            </w:pPr>
            <w:r>
              <w:t>法律服务人员通过民事、行政代理，刑事辩护，无偿为当事人提供法律帮助，满意和较满意当事人占被调查当事人的比例</w:t>
            </w:r>
          </w:p>
          <w:p>
            <w:pPr>
              <w:pStyle w:val="14"/>
            </w:pP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17、关于提前下达2022年省级社区矫正补助资金的通知绩效目标表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按照司法部关于“数字法治智慧司法”信息化体系建设的部署要求，将互联网、云计算、物联网、大数据、人工智能、区块链等现代信息技术与社区矫正工作深度融合，以社区矫正工作数字化、网络化、智能化发展为主线，以构建数据一体化、管理智能化、移动互联化、指挥可视化的工作模式为目标，对社区矫正中心进行升级改造，深化智慧应用，提升管理教育效能，完善设施设备，推动社区矫正工作的规范化、精细化、智能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矫正对象数量</w:t>
            </w:r>
          </w:p>
          <w:p>
            <w:pPr>
              <w:pStyle w:val="14"/>
            </w:pPr>
          </w:p>
        </w:tc>
        <w:tc>
          <w:tcPr>
            <w:tcW w:w="2835" w:type="dxa"/>
            <w:vAlign w:val="center"/>
          </w:tcPr>
          <w:p>
            <w:pPr>
              <w:pStyle w:val="14"/>
            </w:pPr>
            <w:r>
              <w:t>矫正对象数量</w:t>
            </w:r>
          </w:p>
          <w:p>
            <w:pPr>
              <w:pStyle w:val="14"/>
            </w:pPr>
          </w:p>
        </w:tc>
        <w:tc>
          <w:tcPr>
            <w:tcW w:w="2551" w:type="dxa"/>
            <w:vAlign w:val="center"/>
          </w:tcPr>
          <w:p>
            <w:pPr>
              <w:pStyle w:val="14"/>
            </w:pPr>
            <w:r>
              <w:t>390人</w:t>
            </w:r>
          </w:p>
        </w:tc>
        <w:tc>
          <w:tcPr>
            <w:tcW w:w="2268" w:type="dxa"/>
            <w:vAlign w:val="center"/>
          </w:tcPr>
          <w:p>
            <w:pPr>
              <w:pStyle w:val="14"/>
            </w:pPr>
            <w:r>
              <w:t>计划标准</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上站率</w:t>
            </w:r>
          </w:p>
          <w:p>
            <w:pPr>
              <w:pStyle w:val="14"/>
            </w:pPr>
          </w:p>
        </w:tc>
        <w:tc>
          <w:tcPr>
            <w:tcW w:w="2835" w:type="dxa"/>
            <w:vAlign w:val="center"/>
          </w:tcPr>
          <w:p>
            <w:pPr>
              <w:pStyle w:val="14"/>
            </w:pPr>
            <w:r>
              <w:t>"教育和社区服务实际到位人数占应到位人数的比例</w:t>
            </w:r>
          </w:p>
          <w:p>
            <w:pPr>
              <w:pStyle w:val="14"/>
            </w:pPr>
          </w:p>
          <w:p>
            <w:pPr>
              <w:pStyle w:val="14"/>
            </w:pPr>
            <w:r>
              <w:t>"</w:t>
            </w:r>
            <w:r>
              <w:tab/>
            </w:r>
          </w:p>
          <w:p>
            <w:pPr>
              <w:pStyle w:val="14"/>
            </w:pPr>
          </w:p>
        </w:tc>
        <w:tc>
          <w:tcPr>
            <w:tcW w:w="2551" w:type="dxa"/>
            <w:vAlign w:val="center"/>
          </w:tcPr>
          <w:p>
            <w:pPr>
              <w:pStyle w:val="14"/>
            </w:pPr>
            <w:r>
              <w:t>≥95%</w:t>
            </w:r>
          </w:p>
        </w:tc>
        <w:tc>
          <w:tcPr>
            <w:tcW w:w="2268" w:type="dxa"/>
            <w:vAlign w:val="center"/>
          </w:tcPr>
          <w:p>
            <w:pPr>
              <w:pStyle w:val="14"/>
            </w:pPr>
            <w:r>
              <w:t>计划标准</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智慧矫正设备</w:t>
            </w:r>
          </w:p>
        </w:tc>
        <w:tc>
          <w:tcPr>
            <w:tcW w:w="2835" w:type="dxa"/>
            <w:vAlign w:val="center"/>
          </w:tcPr>
          <w:p>
            <w:pPr>
              <w:pStyle w:val="14"/>
            </w:pPr>
            <w:r>
              <w:t>智慧矫正设备标准</w:t>
            </w:r>
          </w:p>
        </w:tc>
        <w:tc>
          <w:tcPr>
            <w:tcW w:w="2551" w:type="dxa"/>
            <w:vAlign w:val="center"/>
          </w:tcPr>
          <w:p>
            <w:pPr>
              <w:pStyle w:val="14"/>
            </w:pPr>
            <w:r>
              <w:t>≥5000元</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教育和社区服务时间</w:t>
            </w:r>
          </w:p>
          <w:p>
            <w:pPr>
              <w:pStyle w:val="14"/>
            </w:pPr>
          </w:p>
        </w:tc>
        <w:tc>
          <w:tcPr>
            <w:tcW w:w="2835" w:type="dxa"/>
            <w:vAlign w:val="center"/>
          </w:tcPr>
          <w:p>
            <w:pPr>
              <w:pStyle w:val="14"/>
            </w:pPr>
            <w:r>
              <w:t>"教育和社区服务每天的时间</w:t>
            </w:r>
          </w:p>
          <w:p>
            <w:pPr>
              <w:pStyle w:val="14"/>
            </w:pPr>
            <w:r>
              <w:t>"</w:t>
            </w:r>
            <w:r>
              <w:tab/>
            </w:r>
          </w:p>
          <w:p>
            <w:pPr>
              <w:pStyle w:val="14"/>
            </w:pPr>
          </w:p>
        </w:tc>
        <w:tc>
          <w:tcPr>
            <w:tcW w:w="2551" w:type="dxa"/>
            <w:vAlign w:val="center"/>
          </w:tcPr>
          <w:p>
            <w:pPr>
              <w:pStyle w:val="14"/>
            </w:pPr>
            <w:r>
              <w:t>≥8小时</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社区矫正服刑人员信息核查率</w:t>
            </w:r>
          </w:p>
        </w:tc>
        <w:tc>
          <w:tcPr>
            <w:tcW w:w="2835" w:type="dxa"/>
            <w:vAlign w:val="center"/>
          </w:tcPr>
          <w:p>
            <w:pPr>
              <w:pStyle w:val="14"/>
            </w:pPr>
            <w:r>
              <w:t>已经核查完毕矫正人员占全部矫正人员的比例</w:t>
            </w:r>
          </w:p>
          <w:p>
            <w:pPr>
              <w:pStyle w:val="14"/>
            </w:pPr>
          </w:p>
          <w:p>
            <w:pPr>
              <w:pStyle w:val="14"/>
            </w:pPr>
          </w:p>
        </w:tc>
        <w:tc>
          <w:tcPr>
            <w:tcW w:w="2551" w:type="dxa"/>
            <w:vAlign w:val="center"/>
          </w:tcPr>
          <w:p>
            <w:pPr>
              <w:pStyle w:val="14"/>
            </w:pPr>
            <w:r>
              <w:t>≥85%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降低矫正对象犯罪率</w:t>
            </w:r>
          </w:p>
        </w:tc>
        <w:tc>
          <w:tcPr>
            <w:tcW w:w="2835" w:type="dxa"/>
            <w:vAlign w:val="center"/>
          </w:tcPr>
          <w:p>
            <w:pPr>
              <w:pStyle w:val="14"/>
            </w:pPr>
            <w:r>
              <w:t>矫治对象犯罪的占所有矫治对象的比例</w:t>
            </w:r>
          </w:p>
          <w:p>
            <w:pPr>
              <w:pStyle w:val="14"/>
            </w:pPr>
          </w:p>
          <w:p>
            <w:pPr>
              <w:pStyle w:val="14"/>
            </w:pPr>
          </w:p>
          <w:p>
            <w:pPr>
              <w:pStyle w:val="14"/>
            </w:pPr>
          </w:p>
        </w:tc>
        <w:tc>
          <w:tcPr>
            <w:tcW w:w="2551" w:type="dxa"/>
            <w:vAlign w:val="center"/>
          </w:tcPr>
          <w:p>
            <w:pPr>
              <w:pStyle w:val="14"/>
            </w:pPr>
            <w:r>
              <w:t>&lt;15%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矫正对象满意度</w:t>
            </w:r>
          </w:p>
        </w:tc>
        <w:tc>
          <w:tcPr>
            <w:tcW w:w="2551" w:type="dxa"/>
            <w:vAlign w:val="center"/>
          </w:tcPr>
          <w:p>
            <w:pPr>
              <w:pStyle w:val="14"/>
            </w:pPr>
            <w:r>
              <w:t>≥95%</w:t>
            </w:r>
          </w:p>
        </w:tc>
        <w:tc>
          <w:tcPr>
            <w:tcW w:w="2268" w:type="dxa"/>
            <w:vAlign w:val="center"/>
          </w:tcPr>
          <w:p>
            <w:pPr>
              <w:pStyle w:val="14"/>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18、关于下达提前下达2022年市级社区矫正专项经费预算指标的通知绩效目标表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1.目标内容：依据法律、法规做好社区矫正对象、刑满释放人员的管理、教育、帮扶工作，最大限度降低重新违法犯罪和社会不稳定因素发生率。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社区矫正对象人数</w:t>
            </w:r>
          </w:p>
        </w:tc>
        <w:tc>
          <w:tcPr>
            <w:tcW w:w="2835" w:type="dxa"/>
            <w:vAlign w:val="center"/>
          </w:tcPr>
          <w:p>
            <w:pPr>
              <w:pStyle w:val="14"/>
            </w:pPr>
            <w:r>
              <w:t>"社区矫正对象人员数量</w:t>
            </w:r>
          </w:p>
          <w:p>
            <w:pPr>
              <w:pStyle w:val="14"/>
            </w:pPr>
            <w:r>
              <w:t>"</w:t>
            </w:r>
          </w:p>
        </w:tc>
        <w:tc>
          <w:tcPr>
            <w:tcW w:w="2551" w:type="dxa"/>
            <w:vAlign w:val="center"/>
          </w:tcPr>
          <w:p>
            <w:pPr>
              <w:pStyle w:val="14"/>
            </w:pPr>
            <w:r>
              <w:t>390378人</w:t>
            </w:r>
          </w:p>
        </w:tc>
        <w:tc>
          <w:tcPr>
            <w:tcW w:w="2268" w:type="dxa"/>
            <w:vAlign w:val="center"/>
          </w:tcPr>
          <w:p>
            <w:pPr>
              <w:pStyle w:val="14"/>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社区矫正执法人员学习时间达标率</w:t>
            </w:r>
          </w:p>
        </w:tc>
        <w:tc>
          <w:tcPr>
            <w:tcW w:w="2835" w:type="dxa"/>
            <w:vAlign w:val="center"/>
          </w:tcPr>
          <w:p>
            <w:pPr>
              <w:pStyle w:val="14"/>
            </w:pPr>
            <w:r>
              <w:t>社区矫正执法人员学习时间达标率</w:t>
            </w:r>
          </w:p>
        </w:tc>
        <w:tc>
          <w:tcPr>
            <w:tcW w:w="2551" w:type="dxa"/>
            <w:vAlign w:val="center"/>
          </w:tcPr>
          <w:p>
            <w:pPr>
              <w:pStyle w:val="14"/>
            </w:pPr>
            <w:r>
              <w:t>≥90.9</w:t>
            </w:r>
          </w:p>
        </w:tc>
        <w:tc>
          <w:tcPr>
            <w:tcW w:w="2268" w:type="dxa"/>
            <w:vAlign w:val="center"/>
          </w:tcPr>
          <w:p>
            <w:pPr>
              <w:pStyle w:val="14"/>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社区矫正对象通过率</w:t>
            </w:r>
          </w:p>
        </w:tc>
        <w:tc>
          <w:tcPr>
            <w:tcW w:w="2835" w:type="dxa"/>
            <w:vAlign w:val="center"/>
          </w:tcPr>
          <w:p>
            <w:pPr>
              <w:pStyle w:val="14"/>
            </w:pPr>
            <w:r>
              <w:t>社区矫正对象通过率</w:t>
            </w:r>
          </w:p>
        </w:tc>
        <w:tc>
          <w:tcPr>
            <w:tcW w:w="2551" w:type="dxa"/>
            <w:vAlign w:val="center"/>
          </w:tcPr>
          <w:p>
            <w:pPr>
              <w:pStyle w:val="14"/>
            </w:pPr>
            <w:r>
              <w:t>≥1001</w:t>
            </w:r>
          </w:p>
        </w:tc>
        <w:tc>
          <w:tcPr>
            <w:tcW w:w="2268" w:type="dxa"/>
            <w:vAlign w:val="center"/>
          </w:tcPr>
          <w:p>
            <w:pPr>
              <w:pStyle w:val="14"/>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社区矫正对象帮扶成本</w:t>
            </w:r>
          </w:p>
        </w:tc>
        <w:tc>
          <w:tcPr>
            <w:tcW w:w="2835" w:type="dxa"/>
            <w:vAlign w:val="center"/>
          </w:tcPr>
          <w:p>
            <w:pPr>
              <w:pStyle w:val="14"/>
            </w:pPr>
            <w:r>
              <w:t>人均帮扶成本</w:t>
            </w:r>
          </w:p>
        </w:tc>
        <w:tc>
          <w:tcPr>
            <w:tcW w:w="2551" w:type="dxa"/>
            <w:vAlign w:val="center"/>
          </w:tcPr>
          <w:p>
            <w:pPr>
              <w:pStyle w:val="14"/>
            </w:pPr>
            <w:r>
              <w:t>≥500500元</w:t>
            </w:r>
          </w:p>
        </w:tc>
        <w:tc>
          <w:tcPr>
            <w:tcW w:w="2268" w:type="dxa"/>
            <w:vAlign w:val="center"/>
          </w:tcPr>
          <w:p>
            <w:pPr>
              <w:pStyle w:val="14"/>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降低社区矫正对象犯罪率</w:t>
            </w:r>
          </w:p>
        </w:tc>
        <w:tc>
          <w:tcPr>
            <w:tcW w:w="2835" w:type="dxa"/>
            <w:vAlign w:val="center"/>
          </w:tcPr>
          <w:p>
            <w:pPr>
              <w:pStyle w:val="14"/>
            </w:pPr>
            <w:r>
              <w:t>矫治对象犯罪的占所有矫治对象的比例</w:t>
            </w:r>
          </w:p>
        </w:tc>
        <w:tc>
          <w:tcPr>
            <w:tcW w:w="2551" w:type="dxa"/>
            <w:vAlign w:val="center"/>
          </w:tcPr>
          <w:p>
            <w:pPr>
              <w:pStyle w:val="14"/>
            </w:pPr>
            <w:r>
              <w:t>&lt;15%</w:t>
            </w:r>
          </w:p>
        </w:tc>
        <w:tc>
          <w:tcPr>
            <w:tcW w:w="2268" w:type="dxa"/>
            <w:vAlign w:val="center"/>
          </w:tcPr>
          <w:p>
            <w:pPr>
              <w:pStyle w:val="14"/>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档案合格率</w:t>
            </w:r>
          </w:p>
        </w:tc>
        <w:tc>
          <w:tcPr>
            <w:tcW w:w="2835" w:type="dxa"/>
            <w:vAlign w:val="center"/>
          </w:tcPr>
          <w:p>
            <w:pPr>
              <w:pStyle w:val="14"/>
            </w:pPr>
            <w:r>
              <w:t>工作档案整理合格数占总档案的比率</w:t>
            </w:r>
          </w:p>
        </w:tc>
        <w:tc>
          <w:tcPr>
            <w:tcW w:w="2551" w:type="dxa"/>
            <w:vAlign w:val="center"/>
          </w:tcPr>
          <w:p>
            <w:pPr>
              <w:pStyle w:val="14"/>
            </w:pPr>
            <w:r>
              <w:t>≥95%</w:t>
            </w:r>
          </w:p>
        </w:tc>
        <w:tc>
          <w:tcPr>
            <w:tcW w:w="2268" w:type="dxa"/>
            <w:vAlign w:val="center"/>
          </w:tcPr>
          <w:p>
            <w:pPr>
              <w:pStyle w:val="14"/>
            </w:pPr>
            <w:r>
              <w:t>《司法行政工作要点》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社区矫正对象对帮扶工作的满意度</w:t>
            </w:r>
          </w:p>
        </w:tc>
        <w:tc>
          <w:tcPr>
            <w:tcW w:w="2835" w:type="dxa"/>
            <w:vAlign w:val="center"/>
          </w:tcPr>
          <w:p>
            <w:pPr>
              <w:pStyle w:val="14"/>
            </w:pPr>
            <w:r>
              <w:t>社区矫正对象对帮扶工作的满意度</w:t>
            </w:r>
          </w:p>
        </w:tc>
        <w:tc>
          <w:tcPr>
            <w:tcW w:w="2551" w:type="dxa"/>
            <w:vAlign w:val="center"/>
          </w:tcPr>
          <w:p>
            <w:pPr>
              <w:pStyle w:val="14"/>
            </w:pPr>
            <w:r>
              <w:t>≥95%</w:t>
            </w:r>
          </w:p>
        </w:tc>
        <w:tc>
          <w:tcPr>
            <w:tcW w:w="2268" w:type="dxa"/>
            <w:vAlign w:val="center"/>
          </w:tcPr>
          <w:p>
            <w:pPr>
              <w:pStyle w:val="14"/>
            </w:pPr>
            <w:r>
              <w:rPr>
                <w:rFonts w:hint="eastAsia"/>
                <w:lang w:eastAsia="zh-CN"/>
              </w:rPr>
              <w:t>工作台账</w:t>
            </w:r>
            <w:r>
              <w:t>和考勤记录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19、关于下达提前下达2022年中央政法纪检监察转移支付资金的通知绩效目标表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1.目标内容："支持开展全面依法治国、人民调解、安置帮教、社区矫正、法制宣传、律师公证、司法鉴定、基层司法所等重点工作。</w:t>
            </w:r>
          </w:p>
          <w:p>
            <w:pPr>
              <w:pStyle w:val="14"/>
            </w:pPr>
            <w:r>
              <w:t>切实履行好法制宣传、法律服务、法律保障工作职责，加大对法律援助和司法救助资金的投入力度，为全区经济社会发展提供法律援助"</w:t>
            </w:r>
            <w:r>
              <w:tab/>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编印宣传资料</w:t>
            </w:r>
          </w:p>
        </w:tc>
        <w:tc>
          <w:tcPr>
            <w:tcW w:w="2835" w:type="dxa"/>
            <w:vAlign w:val="center"/>
          </w:tcPr>
          <w:p>
            <w:pPr>
              <w:pStyle w:val="14"/>
            </w:pPr>
            <w:r>
              <w:t>编印普法宣传教材册数</w:t>
            </w:r>
          </w:p>
        </w:tc>
        <w:tc>
          <w:tcPr>
            <w:tcW w:w="2551" w:type="dxa"/>
            <w:vAlign w:val="center"/>
          </w:tcPr>
          <w:p>
            <w:pPr>
              <w:pStyle w:val="14"/>
            </w:pPr>
            <w:r>
              <w:t>≥3600册</w:t>
            </w:r>
          </w:p>
        </w:tc>
        <w:tc>
          <w:tcPr>
            <w:tcW w:w="2268" w:type="dxa"/>
            <w:vAlign w:val="center"/>
          </w:tcPr>
          <w:p>
            <w:pPr>
              <w:pStyle w:val="14"/>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宣传资料上报及时率</w:t>
            </w:r>
          </w:p>
        </w:tc>
        <w:tc>
          <w:tcPr>
            <w:tcW w:w="2835" w:type="dxa"/>
            <w:vAlign w:val="center"/>
          </w:tcPr>
          <w:p>
            <w:pPr>
              <w:pStyle w:val="14"/>
            </w:pPr>
            <w:r>
              <w:t>宣传资料上报及时率</w:t>
            </w:r>
          </w:p>
        </w:tc>
        <w:tc>
          <w:tcPr>
            <w:tcW w:w="2551" w:type="dxa"/>
            <w:vAlign w:val="center"/>
          </w:tcPr>
          <w:p>
            <w:pPr>
              <w:pStyle w:val="14"/>
            </w:pPr>
            <w:r>
              <w:t>≥90%</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宣传培训资料及相关档案管理情况</w:t>
            </w:r>
          </w:p>
        </w:tc>
        <w:tc>
          <w:tcPr>
            <w:tcW w:w="2835" w:type="dxa"/>
            <w:vAlign w:val="center"/>
          </w:tcPr>
          <w:p>
            <w:pPr>
              <w:pStyle w:val="14"/>
            </w:pPr>
            <w:r>
              <w:t>宣传培训资料及相关档案管理情况</w:t>
            </w:r>
          </w:p>
        </w:tc>
        <w:tc>
          <w:tcPr>
            <w:tcW w:w="2551" w:type="dxa"/>
            <w:vAlign w:val="center"/>
          </w:tcPr>
          <w:p>
            <w:pPr>
              <w:pStyle w:val="14"/>
            </w:pPr>
            <w:r>
              <w:t>≥90%</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人均培训成本</w:t>
            </w:r>
          </w:p>
          <w:p>
            <w:pPr>
              <w:pStyle w:val="14"/>
            </w:pPr>
          </w:p>
        </w:tc>
        <w:tc>
          <w:tcPr>
            <w:tcW w:w="2835" w:type="dxa"/>
            <w:vAlign w:val="center"/>
          </w:tcPr>
          <w:p>
            <w:pPr>
              <w:pStyle w:val="14"/>
            </w:pPr>
            <w:r>
              <w:t>人均培训成本</w:t>
            </w:r>
          </w:p>
        </w:tc>
        <w:tc>
          <w:tcPr>
            <w:tcW w:w="2551" w:type="dxa"/>
            <w:vAlign w:val="center"/>
          </w:tcPr>
          <w:p>
            <w:pPr>
              <w:pStyle w:val="14"/>
            </w:pPr>
            <w:r>
              <w:t>≥500元</w:t>
            </w:r>
          </w:p>
        </w:tc>
        <w:tc>
          <w:tcPr>
            <w:tcW w:w="2268" w:type="dxa"/>
            <w:vAlign w:val="center"/>
          </w:tcPr>
          <w:p>
            <w:pPr>
              <w:pStyle w:val="14"/>
            </w:pPr>
            <w:r>
              <w:t>历年工作经验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疑难纠纷调解率</w:t>
            </w:r>
          </w:p>
        </w:tc>
        <w:tc>
          <w:tcPr>
            <w:tcW w:w="2835" w:type="dxa"/>
            <w:vAlign w:val="center"/>
          </w:tcPr>
          <w:p>
            <w:pPr>
              <w:pStyle w:val="14"/>
            </w:pPr>
            <w:r>
              <w:t>疑难纠纷案件占受理法律援助案件的比率</w:t>
            </w:r>
          </w:p>
        </w:tc>
        <w:tc>
          <w:tcPr>
            <w:tcW w:w="2551" w:type="dxa"/>
            <w:vAlign w:val="center"/>
          </w:tcPr>
          <w:p>
            <w:pPr>
              <w:pStyle w:val="14"/>
            </w:pPr>
            <w:r>
              <w:t>≥80%</w:t>
            </w:r>
          </w:p>
        </w:tc>
        <w:tc>
          <w:tcPr>
            <w:tcW w:w="2268" w:type="dxa"/>
            <w:vAlign w:val="center"/>
          </w:tcPr>
          <w:p>
            <w:pPr>
              <w:pStyle w:val="14"/>
            </w:pPr>
            <w:r>
              <w:t>工作规范要求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案件和解率</w:t>
            </w:r>
          </w:p>
        </w:tc>
        <w:tc>
          <w:tcPr>
            <w:tcW w:w="2835" w:type="dxa"/>
            <w:vAlign w:val="center"/>
          </w:tcPr>
          <w:p>
            <w:pPr>
              <w:pStyle w:val="14"/>
            </w:pPr>
            <w:r>
              <w:t>律师见证和解案件占案件总数的比率</w:t>
            </w:r>
          </w:p>
          <w:p>
            <w:pPr>
              <w:pStyle w:val="14"/>
            </w:pPr>
          </w:p>
          <w:p>
            <w:pPr>
              <w:pStyle w:val="14"/>
            </w:pPr>
          </w:p>
        </w:tc>
        <w:tc>
          <w:tcPr>
            <w:tcW w:w="2551" w:type="dxa"/>
            <w:vAlign w:val="center"/>
          </w:tcPr>
          <w:p>
            <w:pPr>
              <w:pStyle w:val="14"/>
            </w:pPr>
            <w:r>
              <w:t>≥85%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当事人满意度</w:t>
            </w:r>
          </w:p>
        </w:tc>
        <w:tc>
          <w:tcPr>
            <w:tcW w:w="2835" w:type="dxa"/>
            <w:vAlign w:val="center"/>
          </w:tcPr>
          <w:p>
            <w:pPr>
              <w:pStyle w:val="14"/>
            </w:pPr>
            <w:r>
              <w:t>法律服务人员通过民事、行政代理，刑事辩护，无偿为当事人提供法律帮助，满意和较满意当事人占被调查当事人的比例</w:t>
            </w:r>
          </w:p>
        </w:tc>
        <w:tc>
          <w:tcPr>
            <w:tcW w:w="2551" w:type="dxa"/>
            <w:vAlign w:val="center"/>
          </w:tcPr>
          <w:p>
            <w:pPr>
              <w:pStyle w:val="14"/>
            </w:pPr>
            <w:r>
              <w:t>≥95%</w:t>
            </w:r>
          </w:p>
        </w:tc>
        <w:tc>
          <w:tcPr>
            <w:tcW w:w="2268" w:type="dxa"/>
            <w:vAlign w:val="center"/>
          </w:tcPr>
          <w:p>
            <w:pPr>
              <w:pStyle w:val="14"/>
            </w:pPr>
            <w:r>
              <w:t>工作规范要求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20、石财行[2021]21号 关于下达2021年中央政法转移支付资金的通知绩效目标表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1.法律服务人员通过民事、行政代理、刑事辩护无偿为当事人提供法律帮助，维护方当事人合法权益。</w:t>
            </w:r>
          </w:p>
          <w:p>
            <w:pPr>
              <w:pStyle w:val="14"/>
            </w:pPr>
            <w:r>
              <w:t>2.司法行政机关为履行特定职责，办理案件和开展业务工作。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代书法律文书</w:t>
            </w:r>
          </w:p>
        </w:tc>
        <w:tc>
          <w:tcPr>
            <w:tcW w:w="2835" w:type="dxa"/>
            <w:vAlign w:val="center"/>
          </w:tcPr>
          <w:p>
            <w:pPr>
              <w:pStyle w:val="14"/>
            </w:pPr>
            <w:r>
              <w:t>代书各类法律文书数量</w:t>
            </w:r>
          </w:p>
          <w:p>
            <w:pPr>
              <w:pStyle w:val="14"/>
            </w:pPr>
          </w:p>
        </w:tc>
        <w:tc>
          <w:tcPr>
            <w:tcW w:w="2551" w:type="dxa"/>
            <w:vAlign w:val="center"/>
          </w:tcPr>
          <w:p>
            <w:pPr>
              <w:pStyle w:val="14"/>
            </w:pPr>
            <w:r>
              <w:t>≥400份</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结案审核通过率</w:t>
            </w:r>
          </w:p>
        </w:tc>
        <w:tc>
          <w:tcPr>
            <w:tcW w:w="2835" w:type="dxa"/>
            <w:vAlign w:val="center"/>
          </w:tcPr>
          <w:p>
            <w:pPr>
              <w:pStyle w:val="14"/>
            </w:pPr>
            <w:r>
              <w:t>结案审核通过率</w:t>
            </w:r>
          </w:p>
        </w:tc>
        <w:tc>
          <w:tcPr>
            <w:tcW w:w="2551" w:type="dxa"/>
            <w:vAlign w:val="center"/>
          </w:tcPr>
          <w:p>
            <w:pPr>
              <w:pStyle w:val="14"/>
            </w:pPr>
            <w:r>
              <w:t>≥90%</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2835" w:type="dxa"/>
            <w:vAlign w:val="center"/>
          </w:tcPr>
          <w:p>
            <w:pPr>
              <w:pStyle w:val="14"/>
            </w:pPr>
            <w:r>
              <w:t>案件、资料上报及时率</w:t>
            </w:r>
          </w:p>
        </w:tc>
        <w:tc>
          <w:tcPr>
            <w:tcW w:w="2551" w:type="dxa"/>
            <w:vAlign w:val="center"/>
          </w:tcPr>
          <w:p>
            <w:pPr>
              <w:pStyle w:val="14"/>
            </w:pPr>
            <w:r>
              <w:t>≥85%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案件和解率</w:t>
            </w:r>
          </w:p>
        </w:tc>
        <w:tc>
          <w:tcPr>
            <w:tcW w:w="2835" w:type="dxa"/>
            <w:vAlign w:val="center"/>
          </w:tcPr>
          <w:p>
            <w:pPr>
              <w:pStyle w:val="14"/>
            </w:pPr>
            <w:r>
              <w:t>律师见证和解案件占案件总数的比率</w:t>
            </w:r>
          </w:p>
          <w:p>
            <w:pPr>
              <w:pStyle w:val="14"/>
            </w:pPr>
          </w:p>
          <w:p>
            <w:pPr>
              <w:pStyle w:val="14"/>
            </w:pPr>
          </w:p>
        </w:tc>
        <w:tc>
          <w:tcPr>
            <w:tcW w:w="2551" w:type="dxa"/>
            <w:vAlign w:val="center"/>
          </w:tcPr>
          <w:p>
            <w:pPr>
              <w:pStyle w:val="14"/>
            </w:pPr>
            <w:r>
              <w:t>≥85%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当事人满意度</w:t>
            </w:r>
          </w:p>
        </w:tc>
        <w:tc>
          <w:tcPr>
            <w:tcW w:w="2835" w:type="dxa"/>
            <w:vAlign w:val="center"/>
          </w:tcPr>
          <w:p>
            <w:pPr>
              <w:pStyle w:val="14"/>
            </w:pPr>
            <w:r>
              <w:t>法律服务人员通过民事、行政代理，刑事辩护，无偿为当事人提供法律帮助，满意和较满意当事人占被调查当事人的比例</w:t>
            </w:r>
          </w:p>
          <w:p>
            <w:pPr>
              <w:pStyle w:val="14"/>
            </w:pPr>
          </w:p>
        </w:tc>
        <w:tc>
          <w:tcPr>
            <w:tcW w:w="2551" w:type="dxa"/>
            <w:vAlign w:val="center"/>
          </w:tcPr>
          <w:p>
            <w:pPr>
              <w:pStyle w:val="14"/>
            </w:pPr>
            <w:r>
              <w:t>≥95%</w:t>
            </w:r>
          </w:p>
        </w:tc>
        <w:tc>
          <w:tcPr>
            <w:tcW w:w="2268" w:type="dxa"/>
            <w:vAlign w:val="center"/>
          </w:tcPr>
          <w:p>
            <w:pPr>
              <w:pStyle w:val="14"/>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21、石家庄市财政局关于下达2021年省级社区矫正补助资金的通知绩效目标表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1.完成审前社会调查400余件，现在册社区服刑人员390余人，手机保证全部开机，掌握每名服刑人员的活动范围，每月不少于8小时的教育和社区服务。预防和减少社区服刑人员重新违法犯罪。</w:t>
            </w:r>
          </w:p>
          <w:p>
            <w:pPr>
              <w:pStyle w:val="14"/>
            </w:pPr>
            <w:r>
              <w:t>2.依据法律、法规做好社区矫正对象、刑满释放人员的管理、教育、帮扶工作，最大限度降低重新违法犯罪和社会不稳定因素发生率。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矫正对象数量</w:t>
            </w:r>
          </w:p>
        </w:tc>
        <w:tc>
          <w:tcPr>
            <w:tcW w:w="2835" w:type="dxa"/>
            <w:vAlign w:val="center"/>
          </w:tcPr>
          <w:p>
            <w:pPr>
              <w:pStyle w:val="14"/>
            </w:pPr>
            <w:r>
              <w:t>矫正对象数量</w:t>
            </w:r>
          </w:p>
          <w:p>
            <w:pPr>
              <w:pStyle w:val="14"/>
            </w:pPr>
          </w:p>
        </w:tc>
        <w:tc>
          <w:tcPr>
            <w:tcW w:w="2551" w:type="dxa"/>
            <w:vAlign w:val="center"/>
          </w:tcPr>
          <w:p>
            <w:pPr>
              <w:pStyle w:val="14"/>
            </w:pPr>
            <w:r>
              <w:t>≥398人</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上站率</w:t>
            </w:r>
          </w:p>
        </w:tc>
        <w:tc>
          <w:tcPr>
            <w:tcW w:w="2835" w:type="dxa"/>
            <w:vAlign w:val="center"/>
          </w:tcPr>
          <w:p>
            <w:pPr>
              <w:pStyle w:val="14"/>
            </w:pPr>
            <w:r>
              <w:t>教育和社区服务实际到位人数占应到位人数的比例</w:t>
            </w:r>
          </w:p>
          <w:p>
            <w:pPr>
              <w:pStyle w:val="14"/>
            </w:pPr>
          </w:p>
          <w:p>
            <w:pPr>
              <w:pStyle w:val="14"/>
            </w:pPr>
          </w:p>
        </w:tc>
        <w:tc>
          <w:tcPr>
            <w:tcW w:w="2551" w:type="dxa"/>
            <w:vAlign w:val="center"/>
          </w:tcPr>
          <w:p>
            <w:pPr>
              <w:pStyle w:val="14"/>
            </w:pPr>
            <w:r>
              <w:t>≥95%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教育和社区服务时间</w:t>
            </w:r>
          </w:p>
        </w:tc>
        <w:tc>
          <w:tcPr>
            <w:tcW w:w="2835" w:type="dxa"/>
            <w:vAlign w:val="center"/>
          </w:tcPr>
          <w:p>
            <w:pPr>
              <w:pStyle w:val="14"/>
            </w:pPr>
            <w:r>
              <w:t>教育和社区服务每天的时间</w:t>
            </w:r>
          </w:p>
          <w:p>
            <w:pPr>
              <w:pStyle w:val="14"/>
            </w:pPr>
          </w:p>
        </w:tc>
        <w:tc>
          <w:tcPr>
            <w:tcW w:w="2551" w:type="dxa"/>
            <w:vAlign w:val="center"/>
          </w:tcPr>
          <w:p>
            <w:pPr>
              <w:pStyle w:val="14"/>
            </w:pPr>
            <w:r>
              <w:t>≥8小时</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社区矫正服刑人员信息核查率</w:t>
            </w:r>
          </w:p>
        </w:tc>
        <w:tc>
          <w:tcPr>
            <w:tcW w:w="2835" w:type="dxa"/>
            <w:vAlign w:val="center"/>
          </w:tcPr>
          <w:p>
            <w:pPr>
              <w:pStyle w:val="14"/>
            </w:pPr>
            <w:r>
              <w:t>已经核查完毕矫正人员占全部矫正人员的比例</w:t>
            </w:r>
          </w:p>
          <w:p>
            <w:pPr>
              <w:pStyle w:val="14"/>
            </w:pPr>
          </w:p>
          <w:p>
            <w:pPr>
              <w:pStyle w:val="14"/>
            </w:pPr>
          </w:p>
        </w:tc>
        <w:tc>
          <w:tcPr>
            <w:tcW w:w="2551" w:type="dxa"/>
            <w:vAlign w:val="center"/>
          </w:tcPr>
          <w:p>
            <w:pPr>
              <w:pStyle w:val="14"/>
            </w:pPr>
            <w:r>
              <w:t>≥85%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降低矫正对象犯罪率</w:t>
            </w:r>
          </w:p>
        </w:tc>
        <w:tc>
          <w:tcPr>
            <w:tcW w:w="2835" w:type="dxa"/>
            <w:vAlign w:val="center"/>
          </w:tcPr>
          <w:p>
            <w:pPr>
              <w:pStyle w:val="14"/>
            </w:pPr>
            <w:r>
              <w:t>矫治对象犯罪的占所有矫治对象的比例</w:t>
            </w:r>
          </w:p>
          <w:p>
            <w:pPr>
              <w:pStyle w:val="14"/>
            </w:pPr>
          </w:p>
          <w:p>
            <w:pPr>
              <w:pStyle w:val="14"/>
            </w:pPr>
          </w:p>
          <w:p>
            <w:pPr>
              <w:pStyle w:val="14"/>
            </w:pPr>
          </w:p>
        </w:tc>
        <w:tc>
          <w:tcPr>
            <w:tcW w:w="2551" w:type="dxa"/>
            <w:vAlign w:val="center"/>
          </w:tcPr>
          <w:p>
            <w:pPr>
              <w:pStyle w:val="14"/>
            </w:pPr>
            <w:r>
              <w:t>&lt;15%</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矫正对象满意度</w:t>
            </w:r>
          </w:p>
        </w:tc>
        <w:tc>
          <w:tcPr>
            <w:tcW w:w="2835" w:type="dxa"/>
            <w:vAlign w:val="center"/>
          </w:tcPr>
          <w:p>
            <w:pPr>
              <w:pStyle w:val="14"/>
            </w:pPr>
            <w:r>
              <w:t>矫正对象对帮扶工作的满意度</w:t>
            </w:r>
          </w:p>
          <w:p>
            <w:pPr>
              <w:pStyle w:val="14"/>
            </w:pPr>
          </w:p>
          <w:p>
            <w:pPr>
              <w:pStyle w:val="14"/>
            </w:pPr>
          </w:p>
        </w:tc>
        <w:tc>
          <w:tcPr>
            <w:tcW w:w="2551" w:type="dxa"/>
            <w:vAlign w:val="center"/>
          </w:tcPr>
          <w:p>
            <w:pPr>
              <w:pStyle w:val="14"/>
            </w:pPr>
            <w:r>
              <w:t>≥95%</w:t>
            </w:r>
          </w:p>
        </w:tc>
        <w:tc>
          <w:tcPr>
            <w:tcW w:w="2268" w:type="dxa"/>
            <w:vAlign w:val="center"/>
          </w:tcPr>
          <w:p>
            <w:pPr>
              <w:pStyle w:val="14"/>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22、雍兴合作社聘请法律顾问绩效目标表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确保雍兴合作社风险依法、有序、稳妥化解，最大限度保护群众利益，维护社会稳定，我区聘请河北索实律师事务所全程参与9起民事诉讼案件审理，为确保风险依法处置提供法律支持。参照2020年度标准，确定自2021年4月至2022年3月服务费用共计15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律师参与民事诉讼案件数量</w:t>
            </w:r>
          </w:p>
        </w:tc>
        <w:tc>
          <w:tcPr>
            <w:tcW w:w="2835" w:type="dxa"/>
            <w:vAlign w:val="center"/>
          </w:tcPr>
          <w:p>
            <w:pPr>
              <w:pStyle w:val="14"/>
            </w:pPr>
            <w:r>
              <w:t>律师参与民事诉讼案件数量</w:t>
            </w:r>
          </w:p>
        </w:tc>
        <w:tc>
          <w:tcPr>
            <w:tcW w:w="2551" w:type="dxa"/>
            <w:vAlign w:val="center"/>
          </w:tcPr>
          <w:p>
            <w:pPr>
              <w:pStyle w:val="14"/>
            </w:pPr>
            <w:r>
              <w:t>≥1009起诉讼案件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律师到岗率</w:t>
            </w:r>
          </w:p>
        </w:tc>
        <w:tc>
          <w:tcPr>
            <w:tcW w:w="2835" w:type="dxa"/>
            <w:vAlign w:val="center"/>
          </w:tcPr>
          <w:p>
            <w:pPr>
              <w:pStyle w:val="14"/>
            </w:pPr>
            <w:r>
              <w:t>律师到岗率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资金拨付及时率</w:t>
            </w:r>
          </w:p>
        </w:tc>
        <w:tc>
          <w:tcPr>
            <w:tcW w:w="2835" w:type="dxa"/>
            <w:vAlign w:val="center"/>
          </w:tcPr>
          <w:p>
            <w:pPr>
              <w:pStyle w:val="14"/>
            </w:pPr>
            <w:r>
              <w:t>拨付资金到位时间</w:t>
            </w:r>
          </w:p>
        </w:tc>
        <w:tc>
          <w:tcPr>
            <w:tcW w:w="2551" w:type="dxa"/>
            <w:vAlign w:val="center"/>
          </w:tcPr>
          <w:p>
            <w:pPr>
              <w:pStyle w:val="14"/>
            </w:pPr>
            <w:r>
              <w:t>1一次性拨付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律师费用标准</w:t>
            </w:r>
          </w:p>
        </w:tc>
        <w:tc>
          <w:tcPr>
            <w:tcW w:w="2835" w:type="dxa"/>
            <w:vAlign w:val="center"/>
          </w:tcPr>
          <w:p>
            <w:pPr>
              <w:pStyle w:val="14"/>
            </w:pPr>
            <w:r>
              <w:t>法律顾问费用单个标准</w:t>
            </w:r>
          </w:p>
        </w:tc>
        <w:tc>
          <w:tcPr>
            <w:tcW w:w="2551" w:type="dxa"/>
            <w:vAlign w:val="center"/>
          </w:tcPr>
          <w:p>
            <w:pPr>
              <w:pStyle w:val="14"/>
            </w:pPr>
            <w:r>
              <w:t>标的额1000万元的以上的部分按2%收取</w:t>
            </w:r>
          </w:p>
        </w:tc>
        <w:tc>
          <w:tcPr>
            <w:tcW w:w="2268" w:type="dxa"/>
            <w:vAlign w:val="center"/>
          </w:tcPr>
          <w:p>
            <w:pPr>
              <w:pStyle w:val="14"/>
            </w:pPr>
            <w:r>
              <w:t>河北省律师服务收费指导意见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律师出庭的时限</w:t>
            </w:r>
          </w:p>
        </w:tc>
        <w:tc>
          <w:tcPr>
            <w:tcW w:w="2835" w:type="dxa"/>
            <w:vAlign w:val="center"/>
          </w:tcPr>
          <w:p>
            <w:pPr>
              <w:pStyle w:val="14"/>
            </w:pPr>
            <w:r>
              <w:t>三日内安排律师见面</w:t>
            </w:r>
          </w:p>
        </w:tc>
        <w:tc>
          <w:tcPr>
            <w:tcW w:w="2551" w:type="dxa"/>
            <w:vAlign w:val="center"/>
          </w:tcPr>
          <w:p>
            <w:pPr>
              <w:pStyle w:val="14"/>
            </w:pPr>
            <w:r>
              <w:t>100日</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案件纠纷调解成功率</w:t>
            </w:r>
          </w:p>
        </w:tc>
        <w:tc>
          <w:tcPr>
            <w:tcW w:w="2835" w:type="dxa"/>
            <w:vAlign w:val="center"/>
          </w:tcPr>
          <w:p>
            <w:pPr>
              <w:pStyle w:val="14"/>
            </w:pPr>
            <w:r>
              <w:t>经律师调解矛盾纠纷成功率占矛盾纠纷案件数</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司法保障</w:t>
            </w:r>
          </w:p>
        </w:tc>
        <w:tc>
          <w:tcPr>
            <w:tcW w:w="2835" w:type="dxa"/>
            <w:vAlign w:val="center"/>
          </w:tcPr>
          <w:p>
            <w:pPr>
              <w:pStyle w:val="14"/>
            </w:pPr>
            <w:r>
              <w:t>节约司法资源，化解矛盾，强化司法保障</w:t>
            </w:r>
          </w:p>
        </w:tc>
        <w:tc>
          <w:tcPr>
            <w:tcW w:w="2551" w:type="dxa"/>
            <w:vAlign w:val="center"/>
          </w:tcPr>
          <w:p>
            <w:pPr>
              <w:pStyle w:val="14"/>
            </w:pPr>
            <w:r>
              <w:t>化解信访矛盾</w:t>
            </w:r>
          </w:p>
        </w:tc>
        <w:tc>
          <w:tcPr>
            <w:tcW w:w="2268"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经律师调解满意度</w:t>
            </w:r>
          </w:p>
        </w:tc>
        <w:tc>
          <w:tcPr>
            <w:tcW w:w="2835" w:type="dxa"/>
            <w:vAlign w:val="center"/>
          </w:tcPr>
          <w:p>
            <w:pPr>
              <w:pStyle w:val="14"/>
            </w:pPr>
            <w:r>
              <w:t>接受调解的纠纷满意的占所有调解案件的比例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2022年，石家庄市鹿泉区司法局安排政府采购预算0.00万元。具体内容见下表。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315石家庄市鹿泉区司法局</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石家庄市鹿泉区司法局（含所属单位）上年末固定资产金额为379.23万元（详见下表）。本年度拟购置固定资产总额为0.00万元，已按要求列入政府采购预算，详见政府采购预算表。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315石家庄市鹿泉区司法局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379.23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526</w:t>
            </w: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5</w:t>
            </w:r>
          </w:p>
        </w:tc>
        <w:tc>
          <w:tcPr>
            <w:tcW w:w="2835" w:type="dxa"/>
            <w:vAlign w:val="center"/>
          </w:tcPr>
          <w:p>
            <w:pPr>
              <w:pStyle w:val="13"/>
            </w:pPr>
            <w:r>
              <w:t>78.97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300.26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2F1EF0F"/>
    <w:multiLevelType w:val="singleLevel"/>
    <w:tmpl w:val="E2F1EF0F"/>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NmOGVkYzQ1NTYxZGUzMGU3MThjN2U4YTIyOWRlZDIifQ=="/>
  </w:docVars>
  <w:rsids>
    <w:rsidRoot w:val="00000000"/>
    <w:rsid w:val="006D6F3B"/>
    <w:rsid w:val="02EA2662"/>
    <w:rsid w:val="06892CAA"/>
    <w:rsid w:val="0A212068"/>
    <w:rsid w:val="0AB82D0A"/>
    <w:rsid w:val="1481539F"/>
    <w:rsid w:val="16666A08"/>
    <w:rsid w:val="1AEC22C2"/>
    <w:rsid w:val="20AE45D3"/>
    <w:rsid w:val="20B66503"/>
    <w:rsid w:val="20E51C1F"/>
    <w:rsid w:val="23331F53"/>
    <w:rsid w:val="23C25A65"/>
    <w:rsid w:val="28122F1A"/>
    <w:rsid w:val="297C6465"/>
    <w:rsid w:val="2B3F6EDF"/>
    <w:rsid w:val="2C270644"/>
    <w:rsid w:val="30DC61B4"/>
    <w:rsid w:val="30F4146F"/>
    <w:rsid w:val="3C4D37D0"/>
    <w:rsid w:val="450E1485"/>
    <w:rsid w:val="4C217134"/>
    <w:rsid w:val="4DFF0074"/>
    <w:rsid w:val="4FDA0564"/>
    <w:rsid w:val="53297A7A"/>
    <w:rsid w:val="5F805584"/>
    <w:rsid w:val="651F4F7C"/>
    <w:rsid w:val="76E14637"/>
    <w:rsid w:val="77412145"/>
    <w:rsid w:val="77D30E25"/>
    <w:rsid w:val="78DC3F0F"/>
    <w:rsid w:val="79B53406"/>
    <w:rsid w:val="7B8A691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6" Type="http://schemas.openxmlformats.org/officeDocument/2006/relationships/fontTable" Target="fontTable.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2022-02-28T15:43:20Z</dcterms:created>
  <dcterms:modified xsi:type="dcterms:W3CDTF">2022-02-28T07:43:20Z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2022-02-28T15:44:38Z</dcterms:created>
  <dcterms:modified xsi:type="dcterms:W3CDTF">2022-02-28T07:44:38Z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2022-02-28T15:43:11Z</dcterms:created>
  <dcterms:modified xsi:type="dcterms:W3CDTF">2022-02-28T07:43:11Z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2022-02-28T15:44:37Z</dcterms:created>
  <dcterms:modified xsi:type="dcterms:W3CDTF">2022-02-28T07:44:37Z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2022-02-28T15:43:17Z</dcterms:created>
  <dcterms:modified xsi:type="dcterms:W3CDTF">2022-02-28T07:43:17Z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2022-02-28T15:44:43Z</dcterms:created>
  <dcterms:modified xsi:type="dcterms:W3CDTF">2022-02-28T07:44:43Z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2022-02-28T15:44:48Z</dcterms:created>
  <dcterms:modified xsi:type="dcterms:W3CDTF">2022-02-28T07:44:48Z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2022-02-28T15:44:37Z</dcterms:created>
  <dcterms:modified xsi:type="dcterms:W3CDTF">2022-02-28T07:44:37Z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2022-02-28T15:44:36Z</dcterms:created>
  <dcterms:modified xsi:type="dcterms:W3CDTF">2022-02-28T07:44:36Z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2022-02-28T15:44:35Z</dcterms:created>
  <dcterms:modified xsi:type="dcterms:W3CDTF">2022-02-28T07:44:35Z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2022-02-28T15:43:04Z</dcterms:created>
  <dcterms:modified xsi:type="dcterms:W3CDTF">2022-02-28T07:43:04Z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2022-02-28T15:44:35Z</dcterms:created>
  <dcterms:modified xsi:type="dcterms:W3CDTF">2022-02-28T07:44:35Z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2022-02-28T15:44:42Z</dcterms:created>
  <dcterms:modified xsi:type="dcterms:W3CDTF">2022-02-28T07:44:42Z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2022-02-28T15:44:41Z</dcterms:created>
  <dcterms:modified xsi:type="dcterms:W3CDTF">2022-02-28T07:44:41Z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2022-02-28T15:44:41Z</dcterms:created>
  <dcterms:modified xsi:type="dcterms:W3CDTF">2022-02-28T07:44:41Z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2022-02-28T15:44:34Z</dcterms:created>
  <dcterms:modified xsi:type="dcterms:W3CDTF">2022-02-28T07:44:34Z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2022-02-28T15:44:33Z</dcterms:created>
  <dcterms:modified xsi:type="dcterms:W3CDTF">2022-02-28T07:44:33Z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2022-02-28T15:44:31Z</dcterms:created>
  <dcterms:modified xsi:type="dcterms:W3CDTF">2022-02-28T07:44:31Z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2022-02-28T15:44:29Z</dcterms:created>
  <dcterms:modified xsi:type="dcterms:W3CDTF">2022-02-28T07:44:29Z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2022-02-28T15:44:28Z</dcterms:created>
  <dcterms:modified xsi:type="dcterms:W3CDTF">2022-02-28T07:44:28Z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2022-02-28T15:44:26Z</dcterms:created>
  <dcterms:modified xsi:type="dcterms:W3CDTF">2022-02-28T07:44:26Z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2022-02-28T15:44:24Z</dcterms:created>
  <dcterms:modified xsi:type="dcterms:W3CDTF">2022-02-28T07:44:24Z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2022-02-28T15:44:39Z</dcterms:created>
  <dcterms:modified xsi:type="dcterms:W3CDTF">2022-02-28T07:44:39Z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2022-02-28T15:44:22Z</dcterms:created>
  <dcterms:modified xsi:type="dcterms:W3CDTF">2022-02-28T07:44:22Z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2022-02-28T15:44:05Z</dcterms:created>
  <dcterms:modified xsi:type="dcterms:W3CDTF">2022-02-28T07:44:05Z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2022-02-28T15:43:02Z</dcterms:created>
  <dcterms:modified xsi:type="dcterms:W3CDTF">2022-02-28T07:43:02Z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2022-02-28T15:43:41Z</dcterms:created>
  <dcterms:modified xsi:type="dcterms:W3CDTF">2022-02-28T07:43:41Z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2022-02-28T15:43:33Z</dcterms:created>
  <dcterms:modified xsi:type="dcterms:W3CDTF">2022-02-28T07:43:33Z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2022-02-28T15:43:31Z</dcterms:created>
  <dcterms:modified xsi:type="dcterms:W3CDTF">2022-02-28T07:43:31Z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2022-02-28T15:43:29Z</dcterms:created>
  <dcterms:modified xsi:type="dcterms:W3CDTF">2022-02-28T07:43:29Z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2022-02-28T15:43:28Z</dcterms:created>
  <dcterms:modified xsi:type="dcterms:W3CDTF">2022-02-28T07:43:28Z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2022-02-28T15:43:19Z</dcterms:created>
  <dcterms:modified xsi:type="dcterms:W3CDTF">2022-02-28T07:43:19Z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2022-02-28T15:43:15Z</dcterms:created>
  <dcterms:modified xsi:type="dcterms:W3CDTF">2022-02-28T07:43:15Z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2022-02-28T15:43:13Z</dcterms:created>
  <dcterms:modified xsi:type="dcterms:W3CDTF">2022-02-28T07:43:12Z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2022-02-28T15:43:27Z</dcterms:created>
  <dcterms:modified xsi:type="dcterms:W3CDTF">2022-02-28T07:43:27Z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2022-02-28T15:43:25Z</dcterms:created>
  <dcterms:modified xsi:type="dcterms:W3CDTF">2022-02-28T07:43:25Z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2022-02-28T15:43:24Z</dcterms:created>
  <dcterms:modified xsi:type="dcterms:W3CDTF">2022-02-28T07:43:24Z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2022-02-28T15:43:23Z</dcterms:created>
  <dcterms:modified xsi:type="dcterms:W3CDTF">2022-02-28T07:43:23Z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2022-02-28T15:44:39Z</dcterms:created>
  <dcterms:modified xsi:type="dcterms:W3CDTF">2022-02-28T07:44:39Z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2022-02-28T15:42:47Z</dcterms:created>
  <dcterms:modified xsi:type="dcterms:W3CDTF">2022-02-28T07:42:47Z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2022-02-28T15:44:43Z</dcterms:created>
  <dcterms:modified xsi:type="dcterms:W3CDTF">2022-02-28T07:44:43Z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2022-02-28T15:43:23Z</dcterms:created>
  <dcterms:modified xsi:type="dcterms:W3CDTF">2022-02-28T07:43:22Z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2022-02-28T15:43:00Z</dcterms:created>
  <dcterms:modified xsi:type="dcterms:W3CDTF">2022-02-28T07:43:00Z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2022-02-28T15:43:22Z</dcterms:created>
  <dcterms:modified xsi:type="dcterms:W3CDTF">2022-02-28T07:43:22Z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2022-02-28T15:43:21Z</dcterms:created>
  <dcterms:modified xsi:type="dcterms:W3CDTF">2022-02-28T07:43:21Z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2022-02-28T15:43:06Z</dcterms:created>
  <dcterms:modified xsi:type="dcterms:W3CDTF">2022-02-28T07:43:06Z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2022-02-28T15:44:40Z</dcterms:created>
  <dcterms:modified xsi:type="dcterms:W3CDTF">2022-02-28T07:44:40Z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2022-02-28T15:43:10Z</dcterms:created>
  <dcterms:modified xsi:type="dcterms:W3CDTF">2022-02-28T07:43:10Z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2022-02-28T15:43:08Z</dcterms:created>
  <dcterms:modified xsi:type="dcterms:W3CDTF">2022-02-28T07:43:08Z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38ad8609-0daf-4144-80ae-85870f1e0807}">
  <ds:schemaRefs/>
</ds:datastoreItem>
</file>

<file path=customXml/itemProps11.xml><?xml version="1.0" encoding="utf-8"?>
<ds:datastoreItem xmlns:ds="http://schemas.openxmlformats.org/officeDocument/2006/customXml" ds:itemID="{8b820f8c-423f-4c95-91ee-4c3a916f72fe}">
  <ds:schemaRefs/>
</ds:datastoreItem>
</file>

<file path=customXml/itemProps12.xml><?xml version="1.0" encoding="utf-8"?>
<ds:datastoreItem xmlns:ds="http://schemas.openxmlformats.org/officeDocument/2006/customXml" ds:itemID="{a5d17ea0-06f4-412d-b22b-2da79c517863}">
  <ds:schemaRefs/>
</ds:datastoreItem>
</file>

<file path=customXml/itemProps13.xml><?xml version="1.0" encoding="utf-8"?>
<ds:datastoreItem xmlns:ds="http://schemas.openxmlformats.org/officeDocument/2006/customXml" ds:itemID="{dd73932d-b227-44fe-81f8-950cea42ce77}">
  <ds:schemaRefs/>
</ds:datastoreItem>
</file>

<file path=customXml/itemProps14.xml><?xml version="1.0" encoding="utf-8"?>
<ds:datastoreItem xmlns:ds="http://schemas.openxmlformats.org/officeDocument/2006/customXml" ds:itemID="{ff5783c6-812f-4d4f-aebb-fe353e73a911}">
  <ds:schemaRefs/>
</ds:datastoreItem>
</file>

<file path=customXml/itemProps15.xml><?xml version="1.0" encoding="utf-8"?>
<ds:datastoreItem xmlns:ds="http://schemas.openxmlformats.org/officeDocument/2006/customXml" ds:itemID="{fbfe2c23-6c9d-454a-96f5-d2d84ca2edbf}">
  <ds:schemaRefs/>
</ds:datastoreItem>
</file>

<file path=customXml/itemProps16.xml><?xml version="1.0" encoding="utf-8"?>
<ds:datastoreItem xmlns:ds="http://schemas.openxmlformats.org/officeDocument/2006/customXml" ds:itemID="{f4c04ed8-59f3-4c20-af72-68b28b304ebc}">
  <ds:schemaRefs/>
</ds:datastoreItem>
</file>

<file path=customXml/itemProps17.xml><?xml version="1.0" encoding="utf-8"?>
<ds:datastoreItem xmlns:ds="http://schemas.openxmlformats.org/officeDocument/2006/customXml" ds:itemID="{2e8d1945-14d2-45f1-bb99-e071083fc216}">
  <ds:schemaRefs/>
</ds:datastoreItem>
</file>

<file path=customXml/itemProps18.xml><?xml version="1.0" encoding="utf-8"?>
<ds:datastoreItem xmlns:ds="http://schemas.openxmlformats.org/officeDocument/2006/customXml" ds:itemID="{04c37e45-d215-4ae9-90d8-a1758b4bad69}">
  <ds:schemaRefs/>
</ds:datastoreItem>
</file>

<file path=customXml/itemProps19.xml><?xml version="1.0" encoding="utf-8"?>
<ds:datastoreItem xmlns:ds="http://schemas.openxmlformats.org/officeDocument/2006/customXml" ds:itemID="{a99569b2-628d-4f7b-82d0-5f6f9a8a2190}">
  <ds:schemaRefs/>
</ds:datastoreItem>
</file>

<file path=customXml/itemProps2.xml><?xml version="1.0" encoding="utf-8"?>
<ds:datastoreItem xmlns:ds="http://schemas.openxmlformats.org/officeDocument/2006/customXml" ds:itemID="{c26b68ce-92d4-418a-a95d-e3bcac095ee9}">
  <ds:schemaRefs/>
</ds:datastoreItem>
</file>

<file path=customXml/itemProps20.xml><?xml version="1.0" encoding="utf-8"?>
<ds:datastoreItem xmlns:ds="http://schemas.openxmlformats.org/officeDocument/2006/customXml" ds:itemID="{3389ae29-7b98-421f-8070-04b96d767776}">
  <ds:schemaRefs/>
</ds:datastoreItem>
</file>

<file path=customXml/itemProps21.xml><?xml version="1.0" encoding="utf-8"?>
<ds:datastoreItem xmlns:ds="http://schemas.openxmlformats.org/officeDocument/2006/customXml" ds:itemID="{f0e15d3d-d822-4061-89e4-1bdc4bb23912}">
  <ds:schemaRefs/>
</ds:datastoreItem>
</file>

<file path=customXml/itemProps22.xml><?xml version="1.0" encoding="utf-8"?>
<ds:datastoreItem xmlns:ds="http://schemas.openxmlformats.org/officeDocument/2006/customXml" ds:itemID="{7a1ddc2e-112e-4529-bf92-4be7f58bd7dc}">
  <ds:schemaRefs/>
</ds:datastoreItem>
</file>

<file path=customXml/itemProps23.xml><?xml version="1.0" encoding="utf-8"?>
<ds:datastoreItem xmlns:ds="http://schemas.openxmlformats.org/officeDocument/2006/customXml" ds:itemID="{d58dd572-cc29-431c-a65b-242804eb5d55}">
  <ds:schemaRefs/>
</ds:datastoreItem>
</file>

<file path=customXml/itemProps24.xml><?xml version="1.0" encoding="utf-8"?>
<ds:datastoreItem xmlns:ds="http://schemas.openxmlformats.org/officeDocument/2006/customXml" ds:itemID="{9872c3d9-e9ce-44dc-b8a8-72441b4d8a5e}">
  <ds:schemaRefs/>
</ds:datastoreItem>
</file>

<file path=customXml/itemProps25.xml><?xml version="1.0" encoding="utf-8"?>
<ds:datastoreItem xmlns:ds="http://schemas.openxmlformats.org/officeDocument/2006/customXml" ds:itemID="{268f620e-1e76-4482-985e-7aca251c8f30}">
  <ds:schemaRefs/>
</ds:datastoreItem>
</file>

<file path=customXml/itemProps26.xml><?xml version="1.0" encoding="utf-8"?>
<ds:datastoreItem xmlns:ds="http://schemas.openxmlformats.org/officeDocument/2006/customXml" ds:itemID="{b954e5d0-069b-42d6-a9ca-e349f49e9556}">
  <ds:schemaRefs/>
</ds:datastoreItem>
</file>

<file path=customXml/itemProps27.xml><?xml version="1.0" encoding="utf-8"?>
<ds:datastoreItem xmlns:ds="http://schemas.openxmlformats.org/officeDocument/2006/customXml" ds:itemID="{112319c1-a909-4bda-acd4-e2764a61cdc2}">
  <ds:schemaRefs/>
</ds:datastoreItem>
</file>

<file path=customXml/itemProps28.xml><?xml version="1.0" encoding="utf-8"?>
<ds:datastoreItem xmlns:ds="http://schemas.openxmlformats.org/officeDocument/2006/customXml" ds:itemID="{920c2f85-921c-4aa6-aea3-6b27a0035686}">
  <ds:schemaRefs/>
</ds:datastoreItem>
</file>

<file path=customXml/itemProps29.xml><?xml version="1.0" encoding="utf-8"?>
<ds:datastoreItem xmlns:ds="http://schemas.openxmlformats.org/officeDocument/2006/customXml" ds:itemID="{9bdaa2ac-cb81-4c45-a4e9-c03d53dd0e76}">
  <ds:schemaRefs/>
</ds:datastoreItem>
</file>

<file path=customXml/itemProps3.xml><?xml version="1.0" encoding="utf-8"?>
<ds:datastoreItem xmlns:ds="http://schemas.openxmlformats.org/officeDocument/2006/customXml" ds:itemID="{569ff346-4ebd-4d04-ab1d-e0ed8bc1cac8}">
  <ds:schemaRefs/>
</ds:datastoreItem>
</file>

<file path=customXml/itemProps30.xml><?xml version="1.0" encoding="utf-8"?>
<ds:datastoreItem xmlns:ds="http://schemas.openxmlformats.org/officeDocument/2006/customXml" ds:itemID="{df41ac81-bc95-44d5-99f1-d55075bec543}">
  <ds:schemaRefs/>
</ds:datastoreItem>
</file>

<file path=customXml/itemProps31.xml><?xml version="1.0" encoding="utf-8"?>
<ds:datastoreItem xmlns:ds="http://schemas.openxmlformats.org/officeDocument/2006/customXml" ds:itemID="{242c9c1e-5f4b-48dc-9ae2-3d1699c2a685}">
  <ds:schemaRefs/>
</ds:datastoreItem>
</file>

<file path=customXml/itemProps32.xml><?xml version="1.0" encoding="utf-8"?>
<ds:datastoreItem xmlns:ds="http://schemas.openxmlformats.org/officeDocument/2006/customXml" ds:itemID="{0a18612e-d7d4-4d53-92b5-c34b5b043ee5}">
  <ds:schemaRefs/>
</ds:datastoreItem>
</file>

<file path=customXml/itemProps33.xml><?xml version="1.0" encoding="utf-8"?>
<ds:datastoreItem xmlns:ds="http://schemas.openxmlformats.org/officeDocument/2006/customXml" ds:itemID="{d192b5dd-1b4e-4e09-8356-8116b0ef41c5}">
  <ds:schemaRefs/>
</ds:datastoreItem>
</file>

<file path=customXml/itemProps34.xml><?xml version="1.0" encoding="utf-8"?>
<ds:datastoreItem xmlns:ds="http://schemas.openxmlformats.org/officeDocument/2006/customXml" ds:itemID="{a5f4d2d2-f656-4569-8632-9cf10a97666f}">
  <ds:schemaRefs/>
</ds:datastoreItem>
</file>

<file path=customXml/itemProps35.xml><?xml version="1.0" encoding="utf-8"?>
<ds:datastoreItem xmlns:ds="http://schemas.openxmlformats.org/officeDocument/2006/customXml" ds:itemID="{bfc91ded-8659-4c9e-810b-b7e97b0ce57d}">
  <ds:schemaRefs/>
</ds:datastoreItem>
</file>

<file path=customXml/itemProps36.xml><?xml version="1.0" encoding="utf-8"?>
<ds:datastoreItem xmlns:ds="http://schemas.openxmlformats.org/officeDocument/2006/customXml" ds:itemID="{6af5b514-d160-45a2-95d8-f96ed308cda6}">
  <ds:schemaRefs/>
</ds:datastoreItem>
</file>

<file path=customXml/itemProps37.xml><?xml version="1.0" encoding="utf-8"?>
<ds:datastoreItem xmlns:ds="http://schemas.openxmlformats.org/officeDocument/2006/customXml" ds:itemID="{3fdc7dfb-c3c3-43a6-b16f-cd33cf3f0775}">
  <ds:schemaRefs/>
</ds:datastoreItem>
</file>

<file path=customXml/itemProps38.xml><?xml version="1.0" encoding="utf-8"?>
<ds:datastoreItem xmlns:ds="http://schemas.openxmlformats.org/officeDocument/2006/customXml" ds:itemID="{c8a9e1e3-5f34-4d6c-b950-6666cef23a71}">
  <ds:schemaRefs/>
</ds:datastoreItem>
</file>

<file path=customXml/itemProps39.xml><?xml version="1.0" encoding="utf-8"?>
<ds:datastoreItem xmlns:ds="http://schemas.openxmlformats.org/officeDocument/2006/customXml" ds:itemID="{0cc009be-0361-4ceb-b4e9-5ad06f3fe227}">
  <ds:schemaRefs/>
</ds:datastoreItem>
</file>

<file path=customXml/itemProps4.xml><?xml version="1.0" encoding="utf-8"?>
<ds:datastoreItem xmlns:ds="http://schemas.openxmlformats.org/officeDocument/2006/customXml" ds:itemID="{3f2b86f9-8f14-4ae8-8117-16d925f5ad3a}">
  <ds:schemaRefs/>
</ds:datastoreItem>
</file>

<file path=customXml/itemProps40.xml><?xml version="1.0" encoding="utf-8"?>
<ds:datastoreItem xmlns:ds="http://schemas.openxmlformats.org/officeDocument/2006/customXml" ds:itemID="{c145208f-5899-4501-9867-bcfaf2ee7317}">
  <ds:schemaRefs/>
</ds:datastoreItem>
</file>

<file path=customXml/itemProps41.xml><?xml version="1.0" encoding="utf-8"?>
<ds:datastoreItem xmlns:ds="http://schemas.openxmlformats.org/officeDocument/2006/customXml" ds:itemID="{439adbc4-ec6c-47a5-97c5-e5a9fe69d0a6}">
  <ds:schemaRefs/>
</ds:datastoreItem>
</file>

<file path=customXml/itemProps42.xml><?xml version="1.0" encoding="utf-8"?>
<ds:datastoreItem xmlns:ds="http://schemas.openxmlformats.org/officeDocument/2006/customXml" ds:itemID="{ad80acc3-85aa-473a-aa1a-02147af670b3}">
  <ds:schemaRefs/>
</ds:datastoreItem>
</file>

<file path=customXml/itemProps43.xml><?xml version="1.0" encoding="utf-8"?>
<ds:datastoreItem xmlns:ds="http://schemas.openxmlformats.org/officeDocument/2006/customXml" ds:itemID="{43713b70-f808-40f3-8fc3-1489a7cfa395}">
  <ds:schemaRefs/>
</ds:datastoreItem>
</file>

<file path=customXml/itemProps44.xml><?xml version="1.0" encoding="utf-8"?>
<ds:datastoreItem xmlns:ds="http://schemas.openxmlformats.org/officeDocument/2006/customXml" ds:itemID="{32060d03-f333-4aae-83bb-ca66a793ccfb}">
  <ds:schemaRefs/>
</ds:datastoreItem>
</file>

<file path=customXml/itemProps45.xml><?xml version="1.0" encoding="utf-8"?>
<ds:datastoreItem xmlns:ds="http://schemas.openxmlformats.org/officeDocument/2006/customXml" ds:itemID="{593e3b0f-3d7c-45fb-9de6-3209f27a93fe}">
  <ds:schemaRefs/>
</ds:datastoreItem>
</file>

<file path=customXml/itemProps46.xml><?xml version="1.0" encoding="utf-8"?>
<ds:datastoreItem xmlns:ds="http://schemas.openxmlformats.org/officeDocument/2006/customXml" ds:itemID="{17c30829-1341-41c7-9b67-7b4a7f892a45}">
  <ds:schemaRefs/>
</ds:datastoreItem>
</file>

<file path=customXml/itemProps47.xml><?xml version="1.0" encoding="utf-8"?>
<ds:datastoreItem xmlns:ds="http://schemas.openxmlformats.org/officeDocument/2006/customXml" ds:itemID="{b04cf4c6-3b51-43b3-9992-467df2503fe6}">
  <ds:schemaRefs/>
</ds:datastoreItem>
</file>

<file path=customXml/itemProps48.xml><?xml version="1.0" encoding="utf-8"?>
<ds:datastoreItem xmlns:ds="http://schemas.openxmlformats.org/officeDocument/2006/customXml" ds:itemID="{011b956c-3776-47df-b143-892bdc2f0dc4}">
  <ds:schemaRefs/>
</ds:datastoreItem>
</file>

<file path=customXml/itemProps49.xml><?xml version="1.0" encoding="utf-8"?>
<ds:datastoreItem xmlns:ds="http://schemas.openxmlformats.org/officeDocument/2006/customXml" ds:itemID="{2cd04f63-b06d-49d7-872e-86f24fbcc637}">
  <ds:schemaRefs/>
</ds:datastoreItem>
</file>

<file path=customXml/itemProps5.xml><?xml version="1.0" encoding="utf-8"?>
<ds:datastoreItem xmlns:ds="http://schemas.openxmlformats.org/officeDocument/2006/customXml" ds:itemID="{b1961bf4-2089-48fd-aa57-d31e8a3f9151}">
  <ds:schemaRefs/>
</ds:datastoreItem>
</file>

<file path=customXml/itemProps50.xml><?xml version="1.0" encoding="utf-8"?>
<ds:datastoreItem xmlns:ds="http://schemas.openxmlformats.org/officeDocument/2006/customXml" ds:itemID="{9960b10f-224f-4fdb-978d-7de3d31e3e30}">
  <ds:schemaRefs/>
</ds:datastoreItem>
</file>

<file path=customXml/itemProps51.xml><?xml version="1.0" encoding="utf-8"?>
<ds:datastoreItem xmlns:ds="http://schemas.openxmlformats.org/officeDocument/2006/customXml" ds:itemID="{f1164741-1ba1-4b21-ab82-7a7e156e60e6}">
  <ds:schemaRefs/>
</ds:datastoreItem>
</file>

<file path=customXml/itemProps52.xml><?xml version="1.0" encoding="utf-8"?>
<ds:datastoreItem xmlns:ds="http://schemas.openxmlformats.org/officeDocument/2006/customXml" ds:itemID="{dded8184-e43f-4ac7-8815-681d1c8d1e00}">
  <ds:schemaRefs/>
</ds:datastoreItem>
</file>

<file path=customXml/itemProps53.xml><?xml version="1.0" encoding="utf-8"?>
<ds:datastoreItem xmlns:ds="http://schemas.openxmlformats.org/officeDocument/2006/customXml" ds:itemID="{d86827cb-b526-4247-b310-defb4909ce65}">
  <ds:schemaRefs/>
</ds:datastoreItem>
</file>

<file path=customXml/itemProps54.xml><?xml version="1.0" encoding="utf-8"?>
<ds:datastoreItem xmlns:ds="http://schemas.openxmlformats.org/officeDocument/2006/customXml" ds:itemID="{37faa2ea-8612-4632-a763-875ba71e521e}">
  <ds:schemaRefs/>
</ds:datastoreItem>
</file>

<file path=customXml/itemProps55.xml><?xml version="1.0" encoding="utf-8"?>
<ds:datastoreItem xmlns:ds="http://schemas.openxmlformats.org/officeDocument/2006/customXml" ds:itemID="{b7cc1bf1-592d-4972-9f00-aa6f03c48e1f}">
  <ds:schemaRefs/>
</ds:datastoreItem>
</file>

<file path=customXml/itemProps56.xml><?xml version="1.0" encoding="utf-8"?>
<ds:datastoreItem xmlns:ds="http://schemas.openxmlformats.org/officeDocument/2006/customXml" ds:itemID="{6d7ed133-6fb3-483a-93bd-2f4c4b421952}">
  <ds:schemaRefs/>
</ds:datastoreItem>
</file>

<file path=customXml/itemProps57.xml><?xml version="1.0" encoding="utf-8"?>
<ds:datastoreItem xmlns:ds="http://schemas.openxmlformats.org/officeDocument/2006/customXml" ds:itemID="{9051f0e5-e0b0-4567-9755-5f7743eedce5}">
  <ds:schemaRefs/>
</ds:datastoreItem>
</file>

<file path=customXml/itemProps58.xml><?xml version="1.0" encoding="utf-8"?>
<ds:datastoreItem xmlns:ds="http://schemas.openxmlformats.org/officeDocument/2006/customXml" ds:itemID="{d7754624-2d13-4b06-9464-dc5863578897}">
  <ds:schemaRefs/>
</ds:datastoreItem>
</file>

<file path=customXml/itemProps59.xml><?xml version="1.0" encoding="utf-8"?>
<ds:datastoreItem xmlns:ds="http://schemas.openxmlformats.org/officeDocument/2006/customXml" ds:itemID="{edb65ec2-4fed-4a8e-88d6-c45adc7722d1}">
  <ds:schemaRefs/>
</ds:datastoreItem>
</file>

<file path=customXml/itemProps6.xml><?xml version="1.0" encoding="utf-8"?>
<ds:datastoreItem xmlns:ds="http://schemas.openxmlformats.org/officeDocument/2006/customXml" ds:itemID="{0a59c13c-f8a6-46c0-a46b-b2250fde7782}">
  <ds:schemaRefs/>
</ds:datastoreItem>
</file>

<file path=customXml/itemProps60.xml><?xml version="1.0" encoding="utf-8"?>
<ds:datastoreItem xmlns:ds="http://schemas.openxmlformats.org/officeDocument/2006/customXml" ds:itemID="{f427f6ff-e2af-4e2d-90ea-3813deb1fb62}">
  <ds:schemaRefs/>
</ds:datastoreItem>
</file>

<file path=customXml/itemProps61.xml><?xml version="1.0" encoding="utf-8"?>
<ds:datastoreItem xmlns:ds="http://schemas.openxmlformats.org/officeDocument/2006/customXml" ds:itemID="{faf9aa3a-f5f5-4ff2-8b85-25d7a46a79b7}">
  <ds:schemaRefs/>
</ds:datastoreItem>
</file>

<file path=customXml/itemProps62.xml><?xml version="1.0" encoding="utf-8"?>
<ds:datastoreItem xmlns:ds="http://schemas.openxmlformats.org/officeDocument/2006/customXml" ds:itemID="{646b8224-0799-4e2b-be03-8d09b72ffc8e}">
  <ds:schemaRefs/>
</ds:datastoreItem>
</file>

<file path=customXml/itemProps63.xml><?xml version="1.0" encoding="utf-8"?>
<ds:datastoreItem xmlns:ds="http://schemas.openxmlformats.org/officeDocument/2006/customXml" ds:itemID="{445fa7ed-75a4-4da3-ac60-d18bb912a225}">
  <ds:schemaRefs/>
</ds:datastoreItem>
</file>

<file path=customXml/itemProps64.xml><?xml version="1.0" encoding="utf-8"?>
<ds:datastoreItem xmlns:ds="http://schemas.openxmlformats.org/officeDocument/2006/customXml" ds:itemID="{3d816fd0-263c-4efb-882b-e2aa2cc8669d}">
  <ds:schemaRefs/>
</ds:datastoreItem>
</file>

<file path=customXml/itemProps65.xml><?xml version="1.0" encoding="utf-8"?>
<ds:datastoreItem xmlns:ds="http://schemas.openxmlformats.org/officeDocument/2006/customXml" ds:itemID="{90d949a7-b62c-42a2-aabf-407d776dd1cb}">
  <ds:schemaRefs/>
</ds:datastoreItem>
</file>

<file path=customXml/itemProps66.xml><?xml version="1.0" encoding="utf-8"?>
<ds:datastoreItem xmlns:ds="http://schemas.openxmlformats.org/officeDocument/2006/customXml" ds:itemID="{1c49d5f1-b8cc-464e-97a8-e769d58bcf3b}">
  <ds:schemaRefs/>
</ds:datastoreItem>
</file>

<file path=customXml/itemProps67.xml><?xml version="1.0" encoding="utf-8"?>
<ds:datastoreItem xmlns:ds="http://schemas.openxmlformats.org/officeDocument/2006/customXml" ds:itemID="{b45adc8f-858c-4a96-bc28-977a1da4261b}">
  <ds:schemaRefs/>
</ds:datastoreItem>
</file>

<file path=customXml/itemProps68.xml><?xml version="1.0" encoding="utf-8"?>
<ds:datastoreItem xmlns:ds="http://schemas.openxmlformats.org/officeDocument/2006/customXml" ds:itemID="{fd7e3fc5-dadc-452c-a145-a86af5a487e7}">
  <ds:schemaRefs/>
</ds:datastoreItem>
</file>

<file path=customXml/itemProps69.xml><?xml version="1.0" encoding="utf-8"?>
<ds:datastoreItem xmlns:ds="http://schemas.openxmlformats.org/officeDocument/2006/customXml" ds:itemID="{8f6144ec-03a5-4427-ae1a-b886bf05f1f9}">
  <ds:schemaRefs/>
</ds:datastoreItem>
</file>

<file path=customXml/itemProps7.xml><?xml version="1.0" encoding="utf-8"?>
<ds:datastoreItem xmlns:ds="http://schemas.openxmlformats.org/officeDocument/2006/customXml" ds:itemID="{3b93369d-9236-48ae-8daa-1ecfd9a8167c}">
  <ds:schemaRefs/>
</ds:datastoreItem>
</file>

<file path=customXml/itemProps70.xml><?xml version="1.0" encoding="utf-8"?>
<ds:datastoreItem xmlns:ds="http://schemas.openxmlformats.org/officeDocument/2006/customXml" ds:itemID="{47988a5d-0775-409c-9521-fb91ba62a4f7}">
  <ds:schemaRefs/>
</ds:datastoreItem>
</file>

<file path=customXml/itemProps71.xml><?xml version="1.0" encoding="utf-8"?>
<ds:datastoreItem xmlns:ds="http://schemas.openxmlformats.org/officeDocument/2006/customXml" ds:itemID="{854c3f10-aabb-4aa7-b922-b2b8d154463e}">
  <ds:schemaRefs/>
</ds:datastoreItem>
</file>

<file path=customXml/itemProps72.xml><?xml version="1.0" encoding="utf-8"?>
<ds:datastoreItem xmlns:ds="http://schemas.openxmlformats.org/officeDocument/2006/customXml" ds:itemID="{25bc3c1d-4ea2-494a-80c7-c22e288f67d1}">
  <ds:schemaRefs/>
</ds:datastoreItem>
</file>

<file path=customXml/itemProps73.xml><?xml version="1.0" encoding="utf-8"?>
<ds:datastoreItem xmlns:ds="http://schemas.openxmlformats.org/officeDocument/2006/customXml" ds:itemID="{8aee6bea-56c9-4079-8064-c7870107813e}">
  <ds:schemaRefs/>
</ds:datastoreItem>
</file>

<file path=customXml/itemProps74.xml><?xml version="1.0" encoding="utf-8"?>
<ds:datastoreItem xmlns:ds="http://schemas.openxmlformats.org/officeDocument/2006/customXml" ds:itemID="{841bb94f-23ed-4054-9d05-1d12cd5c4bd4}">
  <ds:schemaRefs/>
</ds:datastoreItem>
</file>

<file path=customXml/itemProps75.xml><?xml version="1.0" encoding="utf-8"?>
<ds:datastoreItem xmlns:ds="http://schemas.openxmlformats.org/officeDocument/2006/customXml" ds:itemID="{c7e4e3bc-fae3-4712-ab27-20edf74d5d02}">
  <ds:schemaRefs/>
</ds:datastoreItem>
</file>

<file path=customXml/itemProps76.xml><?xml version="1.0" encoding="utf-8"?>
<ds:datastoreItem xmlns:ds="http://schemas.openxmlformats.org/officeDocument/2006/customXml" ds:itemID="{8bbbd474-6eb0-428b-94a0-71c17cad3765}">
  <ds:schemaRefs/>
</ds:datastoreItem>
</file>

<file path=customXml/itemProps77.xml><?xml version="1.0" encoding="utf-8"?>
<ds:datastoreItem xmlns:ds="http://schemas.openxmlformats.org/officeDocument/2006/customXml" ds:itemID="{0db8c9b6-7000-4e3f-a94a-fbde1145c639}">
  <ds:schemaRefs/>
</ds:datastoreItem>
</file>

<file path=customXml/itemProps78.xml><?xml version="1.0" encoding="utf-8"?>
<ds:datastoreItem xmlns:ds="http://schemas.openxmlformats.org/officeDocument/2006/customXml" ds:itemID="{e538627b-7ff2-43e8-a921-d17b765e1171}">
  <ds:schemaRefs/>
</ds:datastoreItem>
</file>

<file path=customXml/itemProps79.xml><?xml version="1.0" encoding="utf-8"?>
<ds:datastoreItem xmlns:ds="http://schemas.openxmlformats.org/officeDocument/2006/customXml" ds:itemID="{cd0776f0-2883-43bd-b858-2a4d47048f3e}">
  <ds:schemaRefs/>
</ds:datastoreItem>
</file>

<file path=customXml/itemProps8.xml><?xml version="1.0" encoding="utf-8"?>
<ds:datastoreItem xmlns:ds="http://schemas.openxmlformats.org/officeDocument/2006/customXml" ds:itemID="{b671b9b3-3cc4-45f9-a967-3f5e95a8255a}">
  <ds:schemaRefs/>
</ds:datastoreItem>
</file>

<file path=customXml/itemProps80.xml><?xml version="1.0" encoding="utf-8"?>
<ds:datastoreItem xmlns:ds="http://schemas.openxmlformats.org/officeDocument/2006/customXml" ds:itemID="{af188396-b14a-4a8e-8dde-4504511e156b}">
  <ds:schemaRefs/>
</ds:datastoreItem>
</file>

<file path=customXml/itemProps81.xml><?xml version="1.0" encoding="utf-8"?>
<ds:datastoreItem xmlns:ds="http://schemas.openxmlformats.org/officeDocument/2006/customXml" ds:itemID="{1b69af84-391f-4116-be2f-e44aaa5dafa2}">
  <ds:schemaRefs/>
</ds:datastoreItem>
</file>

<file path=customXml/itemProps82.xml><?xml version="1.0" encoding="utf-8"?>
<ds:datastoreItem xmlns:ds="http://schemas.openxmlformats.org/officeDocument/2006/customXml" ds:itemID="{aa2bd2cd-5ad5-44cc-adfa-5040830e5b86}">
  <ds:schemaRefs/>
</ds:datastoreItem>
</file>

<file path=customXml/itemProps83.xml><?xml version="1.0" encoding="utf-8"?>
<ds:datastoreItem xmlns:ds="http://schemas.openxmlformats.org/officeDocument/2006/customXml" ds:itemID="{04682d18-2013-461a-b52e-69e1bd9c9022}">
  <ds:schemaRefs/>
</ds:datastoreItem>
</file>

<file path=customXml/itemProps84.xml><?xml version="1.0" encoding="utf-8"?>
<ds:datastoreItem xmlns:ds="http://schemas.openxmlformats.org/officeDocument/2006/customXml" ds:itemID="{1bbc8d90-7671-40ca-979a-0109ebb8ff11}">
  <ds:schemaRefs/>
</ds:datastoreItem>
</file>

<file path=customXml/itemProps85.xml><?xml version="1.0" encoding="utf-8"?>
<ds:datastoreItem xmlns:ds="http://schemas.openxmlformats.org/officeDocument/2006/customXml" ds:itemID="{0bee802c-4d20-4deb-b8a5-42add77dcf5e}">
  <ds:schemaRefs/>
</ds:datastoreItem>
</file>

<file path=customXml/itemProps86.xml><?xml version="1.0" encoding="utf-8"?>
<ds:datastoreItem xmlns:ds="http://schemas.openxmlformats.org/officeDocument/2006/customXml" ds:itemID="{ab96a0aa-58f1-4a16-8715-3cbab8f08d04}">
  <ds:schemaRefs/>
</ds:datastoreItem>
</file>

<file path=customXml/itemProps87.xml><?xml version="1.0" encoding="utf-8"?>
<ds:datastoreItem xmlns:ds="http://schemas.openxmlformats.org/officeDocument/2006/customXml" ds:itemID="{bb89d3b7-c76b-4349-83f8-4b4e3422eb6f}">
  <ds:schemaRefs/>
</ds:datastoreItem>
</file>

<file path=customXml/itemProps88.xml><?xml version="1.0" encoding="utf-8"?>
<ds:datastoreItem xmlns:ds="http://schemas.openxmlformats.org/officeDocument/2006/customXml" ds:itemID="{1483da2a-9b2a-4862-867b-31f3db1182ce}">
  <ds:schemaRefs/>
</ds:datastoreItem>
</file>

<file path=customXml/itemProps89.xml><?xml version="1.0" encoding="utf-8"?>
<ds:datastoreItem xmlns:ds="http://schemas.openxmlformats.org/officeDocument/2006/customXml" ds:itemID="{3bae0719-125e-4986-96d5-4849dd7786e3}">
  <ds:schemaRefs/>
</ds:datastoreItem>
</file>

<file path=customXml/itemProps9.xml><?xml version="1.0" encoding="utf-8"?>
<ds:datastoreItem xmlns:ds="http://schemas.openxmlformats.org/officeDocument/2006/customXml" ds:itemID="{a09b6594-5bf0-46f3-b87e-3235b1758ed7}">
  <ds:schemaRefs/>
</ds:datastoreItem>
</file>

<file path=customXml/itemProps90.xml><?xml version="1.0" encoding="utf-8"?>
<ds:datastoreItem xmlns:ds="http://schemas.openxmlformats.org/officeDocument/2006/customXml" ds:itemID="{bbf6f8e1-fe46-4a6b-b34f-d85b133d7554}">
  <ds:schemaRefs/>
</ds:datastoreItem>
</file>

<file path=customXml/itemProps91.xml><?xml version="1.0" encoding="utf-8"?>
<ds:datastoreItem xmlns:ds="http://schemas.openxmlformats.org/officeDocument/2006/customXml" ds:itemID="{6d767de3-9f6f-404c-b682-a8018a8d93bc}">
  <ds:schemaRefs/>
</ds:datastoreItem>
</file>

<file path=customXml/itemProps92.xml><?xml version="1.0" encoding="utf-8"?>
<ds:datastoreItem xmlns:ds="http://schemas.openxmlformats.org/officeDocument/2006/customXml" ds:itemID="{a6181889-5ff7-452d-860e-8e9c3ebda004}">
  <ds:schemaRefs/>
</ds:datastoreItem>
</file>

<file path=customXml/itemProps93.xml><?xml version="1.0" encoding="utf-8"?>
<ds:datastoreItem xmlns:ds="http://schemas.openxmlformats.org/officeDocument/2006/customXml" ds:itemID="{2e3f2d37-d53b-4d26-bf61-a784b9fc3780}">
  <ds:schemaRefs/>
</ds:datastoreItem>
</file>

<file path=customXml/itemProps94.xml><?xml version="1.0" encoding="utf-8"?>
<ds:datastoreItem xmlns:ds="http://schemas.openxmlformats.org/officeDocument/2006/customXml" ds:itemID="{2b84228e-5f1b-492d-8474-4a1b82422e4e}">
  <ds:schemaRefs/>
</ds:datastoreItem>
</file>

<file path=customXml/itemProps95.xml><?xml version="1.0" encoding="utf-8"?>
<ds:datastoreItem xmlns:ds="http://schemas.openxmlformats.org/officeDocument/2006/customXml" ds:itemID="{6ebeec31-5dc5-4172-86b2-c967cc205f31}">
  <ds:schemaRefs/>
</ds:datastoreItem>
</file>

<file path=customXml/itemProps96.xml><?xml version="1.0" encoding="utf-8"?>
<ds:datastoreItem xmlns:ds="http://schemas.openxmlformats.org/officeDocument/2006/customXml" ds:itemID="{4b9aaf96-f96a-4537-bee1-499008850d83}">
  <ds:schemaRefs/>
</ds:datastoreItem>
</file>

<file path=customXml/itemProps97.xml><?xml version="1.0" encoding="utf-8"?>
<ds:datastoreItem xmlns:ds="http://schemas.openxmlformats.org/officeDocument/2006/customXml" ds:itemID="{c551059f-8222-4906-b26e-b756ce008963}">
  <ds:schemaRefs/>
</ds:datastoreItem>
</file>

<file path=customXml/itemProps98.xml><?xml version="1.0" encoding="utf-8"?>
<ds:datastoreItem xmlns:ds="http://schemas.openxmlformats.org/officeDocument/2006/customXml" ds:itemID="{a42998d5-946f-4784-91a0-2ddb0d183df7}">
  <ds:schemaRefs/>
</ds:datastoreItem>
</file>

<file path=customXml/itemProps99.xml><?xml version="1.0" encoding="utf-8"?>
<ds:datastoreItem xmlns:ds="http://schemas.openxmlformats.org/officeDocument/2006/customXml" ds:itemID="{257e34d2-3dfe-43a1-921d-dc6bb6815526}">
  <ds:schemaRefs/>
</ds:datastoreItem>
</file>

<file path=docProps/app.xml><?xml version="1.0" encoding="utf-8"?>
<Properties xmlns="http://schemas.openxmlformats.org/officeDocument/2006/extended-properties" xmlns:vt="http://schemas.openxmlformats.org/officeDocument/2006/docPropsVTypes">
  <Pages>136</Pages>
  <Words>32219</Words>
  <Characters>37524</Characters>
  <TotalTime>5</TotalTime>
  <ScaleCrop>false</ScaleCrop>
  <LinksUpToDate>false</LinksUpToDate>
  <CharactersWithSpaces>37915</CharactersWithSpaces>
  <Application>WPS Office_11.8.2.9022_F1E327BC-269C-435d-A152-05C5408002CA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2022-02-28T15:44:00Z</dcterms:created>
  <dc:creator>Administrator</dc:creator>
  <cp:lastModifiedBy>Administrator</cp:lastModifiedBy>
  <dcterms:modified xsi:type="dcterms:W3CDTF">2025-01-02T09:10:33Z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0852E0FA48C74F90B894BDAD6D63D4A6_13</vt:lpwstr>
  </property>
</Properties>
</file>