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pacing w:line="360" w:lineRule="auto"/>
        <w:rPr>
          <w:rFonts w:ascii="黑体" w:hAnsi="黑体" w:eastAsia="黑体" w:cs="黑体"/>
          <w:sz w:val="32"/>
          <w:szCs w:val="32"/>
        </w:rPr>
      </w:pPr>
    </w:p>
    <w:p>
      <w:pPr>
        <w:spacing w:line="360" w:lineRule="auto"/>
        <w:jc w:val="center"/>
        <w:rPr>
          <w:rFonts w:ascii="宋体"/>
          <w:b/>
          <w:bCs/>
          <w:sz w:val="36"/>
          <w:szCs w:val="32"/>
        </w:rPr>
      </w:pPr>
      <w:bookmarkStart w:id="0" w:name="_GoBack"/>
      <w:r>
        <w:rPr>
          <w:rFonts w:hint="eastAsia" w:cs="黑体" w:asciiTheme="minorEastAsia" w:hAnsiTheme="minorEastAsia" w:eastAsiaTheme="minorEastAsia"/>
          <w:b/>
          <w:bCs/>
          <w:sz w:val="36"/>
          <w:szCs w:val="36"/>
        </w:rPr>
        <w:t>优抚对象解“三难”</w:t>
      </w:r>
      <w:r>
        <w:rPr>
          <w:rFonts w:hint="eastAsia" w:asciiTheme="minorEastAsia" w:hAnsiTheme="minorEastAsia" w:eastAsiaTheme="minorEastAsia"/>
          <w:b/>
          <w:bCs/>
          <w:sz w:val="36"/>
          <w:szCs w:val="32"/>
        </w:rPr>
        <w:t>项目</w:t>
      </w:r>
      <w:r>
        <w:rPr>
          <w:rFonts w:hint="eastAsia" w:ascii="宋体"/>
          <w:b/>
          <w:bCs/>
          <w:sz w:val="36"/>
          <w:szCs w:val="32"/>
        </w:rPr>
        <w:t>绩效评价报告</w:t>
      </w:r>
    </w:p>
    <w:bookmarkEnd w:id="0"/>
    <w:p>
      <w:pPr>
        <w:spacing w:line="360" w:lineRule="auto"/>
        <w:jc w:val="center"/>
        <w:rPr>
          <w:rFonts w:ascii="仿宋" w:hAnsi="仿宋" w:eastAsia="仿宋" w:cs="仿宋"/>
          <w:sz w:val="32"/>
          <w:szCs w:val="32"/>
        </w:rPr>
      </w:pP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根据《石家庄市鹿泉区区级部门预算绩效管理办法》（鹿财字[2019]65号），遵循“科学性、规范性、客观性和公正性”的原则，对优抚对象解“三难”项目实施了绩效评价，形成本评价报告。</w:t>
      </w:r>
    </w:p>
    <w:p>
      <w:pPr>
        <w:adjustRightInd w:val="0"/>
        <w:snapToGrid w:val="0"/>
        <w:spacing w:line="360" w:lineRule="auto"/>
        <w:rPr>
          <w:rFonts w:ascii="黑体" w:eastAsia="黑体"/>
          <w:b/>
          <w:bCs/>
          <w:sz w:val="32"/>
          <w:szCs w:val="36"/>
        </w:rPr>
      </w:pPr>
      <w:r>
        <w:rPr>
          <w:rFonts w:hint="eastAsia" w:ascii="黑体" w:eastAsia="黑体"/>
          <w:sz w:val="32"/>
          <w:szCs w:val="32"/>
        </w:rPr>
        <w:t xml:space="preserve">    一、项目</w:t>
      </w:r>
      <w:r>
        <w:rPr>
          <w:rFonts w:hint="eastAsia" w:ascii="黑体" w:eastAsia="黑体"/>
          <w:sz w:val="32"/>
          <w:szCs w:val="36"/>
        </w:rPr>
        <w:t>基本情况</w:t>
      </w:r>
    </w:p>
    <w:p>
      <w:pPr>
        <w:adjustRightInd w:val="0"/>
        <w:snapToGrid w:val="0"/>
        <w:spacing w:line="360" w:lineRule="auto"/>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1.项目实施单位及项目立项等基本情况；</w:t>
      </w: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项目实施单位为退役军人事务局，根据《军人抚恤优待条例》、</w:t>
      </w:r>
      <w:r>
        <w:rPr>
          <w:rFonts w:hint="eastAsia" w:ascii="仿宋_GB2312" w:eastAsia="仿宋_GB2312" w:cs="宋体"/>
          <w:kern w:val="0"/>
          <w:sz w:val="32"/>
          <w:szCs w:val="32"/>
          <w:lang w:val="zh-CN"/>
        </w:rPr>
        <w:t>《关于“八一”期间开展走访慰问退役军人优抚对象和驻冀部队官兵活动的通知》、石家庄市民政局、石家庄市财政局关于转发《河北省贯彻光荣院管理办法的实施细则》的通知</w:t>
      </w:r>
      <w:r>
        <w:rPr>
          <w:rFonts w:hint="eastAsia" w:ascii="仿宋_GB2312" w:eastAsia="仿宋_GB2312" w:cs="宋体"/>
          <w:kern w:val="0"/>
          <w:sz w:val="32"/>
          <w:szCs w:val="32"/>
        </w:rPr>
        <w:t>等文件实施立项。</w:t>
      </w: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2.项目主要实施内容和范围；</w:t>
      </w:r>
    </w:p>
    <w:p>
      <w:pPr>
        <w:adjustRightInd w:val="0"/>
        <w:snapToGrid w:val="0"/>
        <w:spacing w:line="360" w:lineRule="auto"/>
        <w:ind w:firstLine="640" w:firstLineChars="200"/>
        <w:rPr>
          <w:rFonts w:ascii="仿宋_GB2312" w:eastAsia="仿宋_GB2312"/>
          <w:color w:val="000000" w:themeColor="text1"/>
          <w:sz w:val="32"/>
          <w:szCs w:val="32"/>
        </w:rPr>
      </w:pPr>
      <w:r>
        <w:rPr>
          <w:rFonts w:hint="eastAsia" w:ascii="仿宋_GB2312" w:eastAsia="仿宋_GB2312"/>
          <w:color w:val="000000" w:themeColor="text1"/>
          <w:sz w:val="32"/>
          <w:szCs w:val="32"/>
        </w:rPr>
        <w:t>我区优抚对象主要包括：伤残军人、三属（含烈士遗属、因公牺牲遗属和病故军人遗属）、在乡</w:t>
      </w:r>
      <w:r>
        <w:rPr>
          <w:rFonts w:hint="eastAsia" w:ascii="仿宋_GB2312" w:eastAsia="仿宋_GB2312"/>
          <w:color w:val="000000" w:themeColor="text1"/>
          <w:sz w:val="32"/>
          <w:szCs w:val="32"/>
          <w:lang w:eastAsia="zh-CN"/>
        </w:rPr>
        <w:t>复员</w:t>
      </w:r>
      <w:r>
        <w:rPr>
          <w:rFonts w:hint="eastAsia" w:ascii="仿宋_GB2312" w:eastAsia="仿宋_GB2312"/>
          <w:color w:val="000000" w:themeColor="text1"/>
          <w:sz w:val="32"/>
          <w:szCs w:val="32"/>
        </w:rPr>
        <w:t>军人、带病回乡退伍军人、在农村的和城镇无工作单位且家庭生活困难的参战退役人员、部分原8023部队其他参加核试验的军队退役人员，老烈士子女（含</w:t>
      </w:r>
      <w:r>
        <w:rPr>
          <w:rFonts w:hint="eastAsia" w:ascii="仿宋_GB2312" w:eastAsia="仿宋_GB2312"/>
          <w:color w:val="000000" w:themeColor="text1"/>
          <w:sz w:val="32"/>
          <w:szCs w:val="32"/>
          <w:lang w:eastAsia="zh-CN"/>
        </w:rPr>
        <w:t>新中国成立</w:t>
      </w:r>
      <w:r>
        <w:rPr>
          <w:rFonts w:hint="eastAsia" w:ascii="仿宋_GB2312" w:eastAsia="仿宋_GB2312"/>
          <w:color w:val="000000" w:themeColor="text1"/>
          <w:sz w:val="32"/>
          <w:szCs w:val="32"/>
        </w:rPr>
        <w:t>前错杀后被平反人员子女）、60周岁以上农村籍退役士兵，主要是解决优抚对象生活困难。</w:t>
      </w: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3.项目资金投入情况</w:t>
      </w: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cs="宋体"/>
          <w:kern w:val="0"/>
          <w:sz w:val="32"/>
          <w:szCs w:val="32"/>
          <w:lang w:val="zh-CN"/>
        </w:rPr>
        <w:t>根据核查统计我区共1600人，根据《关于“八一”期间开展走访慰问退役军人优抚对象和驻冀部队官兵活动的通知》 、石家庄市民政局、石家庄市财政局关于转发《河北省贯彻光荣院管理办法的实施细则》的通知、《关于认真做好2018年春节期间有关工作的通知》等文件，在春节和“八一”期间，分别为优抚对象发放不低于500元生活用品或生活补助，解决优抚对象存在生活、住房、方面的问题及发放临时救济和，按照往年惯例，春节、“八一”期间四大班子领导慰问优抚对象和光荣院，发放慰问信</w:t>
      </w:r>
      <w:r>
        <w:rPr>
          <w:rFonts w:hint="eastAsia" w:ascii="仿宋_GB2312" w:hAnsi="楷体_GB2312" w:eastAsia="仿宋_GB2312" w:cs="楷体_GB2312"/>
          <w:bCs/>
          <w:sz w:val="32"/>
          <w:szCs w:val="32"/>
        </w:rPr>
        <w:t>,</w:t>
      </w:r>
      <w:r>
        <w:rPr>
          <w:rFonts w:hint="eastAsia" w:ascii="仿宋_GB2312" w:eastAsia="仿宋_GB2312" w:cs="宋体"/>
          <w:kern w:val="0"/>
          <w:sz w:val="32"/>
          <w:szCs w:val="32"/>
          <w:lang w:val="zh-CN"/>
        </w:rPr>
        <w:t>使用2019年预算本级资金998224.1元。</w:t>
      </w:r>
    </w:p>
    <w:p>
      <w:pPr>
        <w:adjustRightInd w:val="0"/>
        <w:snapToGrid w:val="0"/>
        <w:spacing w:line="360" w:lineRule="auto"/>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（二）项目预期绩效目标</w:t>
      </w:r>
    </w:p>
    <w:p>
      <w:pPr>
        <w:adjustRightInd w:val="0"/>
        <w:snapToGrid w:val="0"/>
        <w:spacing w:line="360" w:lineRule="auto"/>
        <w:ind w:firstLine="640" w:firstLineChars="200"/>
        <w:rPr>
          <w:rFonts w:ascii="仿宋_GB2312" w:hAnsi="楷体_GB2312" w:eastAsia="仿宋_GB2312" w:cs="楷体_GB2312"/>
          <w:bCs/>
          <w:sz w:val="32"/>
          <w:szCs w:val="32"/>
        </w:rPr>
      </w:pPr>
      <w:r>
        <w:rPr>
          <w:rFonts w:hint="eastAsia" w:ascii="仿宋_GB2312" w:eastAsia="仿宋_GB2312" w:cs="宋体"/>
          <w:kern w:val="0"/>
          <w:sz w:val="32"/>
          <w:szCs w:val="32"/>
          <w:lang w:val="zh-CN"/>
        </w:rPr>
        <w:t>根据核查统计我区共1600人，根据《关于“八一”期间开展走访慰问退役军人优抚对象和驻冀部队官兵活动的通知》 、石家庄市民政局、石家庄市财政局关于转发《河北省贯彻光荣院管理办法的实施细则》的通知、《关于认真做好2018年春节期间有关工作的通知》等文件，在春节和“八一”期间，分别为优抚对象发放不低于500元生活用品或生活补助，解决优抚对象存在生活、住房、方面的问题及发放临时救济和，按照往年惯例，春节、“八一”期间四大班子领导慰问优抚对象和光荣院，发放慰问信</w:t>
      </w:r>
      <w:r>
        <w:rPr>
          <w:rFonts w:hint="eastAsia" w:ascii="仿宋_GB2312" w:hAnsi="楷体_GB2312" w:eastAsia="仿宋_GB2312" w:cs="楷体_GB2312"/>
          <w:bCs/>
          <w:sz w:val="32"/>
          <w:szCs w:val="32"/>
        </w:rPr>
        <w:t>。通过对优抚对象发放资金，解决优抚对象生活困难等问题。</w:t>
      </w:r>
    </w:p>
    <w:p>
      <w:pPr>
        <w:adjustRightInd w:val="0"/>
        <w:snapToGrid w:val="0"/>
        <w:spacing w:line="360" w:lineRule="auto"/>
        <w:ind w:firstLine="643" w:firstLineChars="200"/>
        <w:rPr>
          <w:rFonts w:ascii="黑体" w:hAnsi="黑体" w:eastAsia="黑体" w:cs="黑体"/>
          <w:b/>
          <w:bCs/>
          <w:sz w:val="32"/>
          <w:szCs w:val="32"/>
        </w:rPr>
      </w:pPr>
      <w:r>
        <w:rPr>
          <w:rFonts w:hint="eastAsia" w:ascii="黑体" w:hAnsi="黑体" w:eastAsia="黑体" w:cs="黑体"/>
          <w:b/>
          <w:bCs/>
          <w:sz w:val="32"/>
          <w:szCs w:val="32"/>
        </w:rPr>
        <w:t>二、绩效评价工作情况</w:t>
      </w:r>
    </w:p>
    <w:p>
      <w:pPr>
        <w:rPr>
          <w:rFonts w:ascii="楷体_GB2312" w:hAnsi="楷体_GB2312" w:eastAsia="楷体_GB2312" w:cs="楷体_GB2312"/>
          <w:sz w:val="32"/>
          <w:szCs w:val="32"/>
        </w:rPr>
      </w:pPr>
      <w:r>
        <w:rPr>
          <w:rFonts w:hint="eastAsia" w:ascii="楷体_GB2312" w:hAnsi="楷体_GB2312" w:eastAsia="楷体_GB2312" w:cs="楷体_GB2312"/>
          <w:sz w:val="32"/>
          <w:szCs w:val="32"/>
        </w:rPr>
        <w:t>（一）绩效评价的组织工作</w:t>
      </w:r>
    </w:p>
    <w:p>
      <w:pPr>
        <w:ind w:firstLine="645"/>
        <w:rPr>
          <w:rFonts w:ascii="仿宋_GB2312" w:eastAsia="仿宋_GB2312"/>
          <w:sz w:val="32"/>
          <w:szCs w:val="32"/>
        </w:rPr>
      </w:pPr>
      <w:r>
        <w:rPr>
          <w:rFonts w:hint="eastAsia" w:ascii="仿宋_GB2312" w:eastAsia="仿宋_GB2312"/>
          <w:sz w:val="32"/>
          <w:szCs w:val="32"/>
        </w:rPr>
        <w:t>绩效评价小组组织会议，根据上级文件确定采用调查问卷的形式，实地走访调查。</w:t>
      </w:r>
    </w:p>
    <w:p>
      <w:pPr>
        <w:rPr>
          <w:rFonts w:ascii="楷体_GB2312" w:hAnsi="楷体_GB2312" w:eastAsia="楷体_GB2312" w:cs="楷体_GB2312"/>
          <w:sz w:val="32"/>
          <w:szCs w:val="32"/>
        </w:rPr>
      </w:pPr>
      <w:r>
        <w:rPr>
          <w:rFonts w:hint="eastAsia" w:ascii="楷体_GB2312" w:hAnsi="楷体_GB2312" w:eastAsia="楷体_GB2312" w:cs="楷体_GB2312"/>
          <w:sz w:val="32"/>
          <w:szCs w:val="32"/>
        </w:rPr>
        <w:t>（二）绩效评价的方法和过程</w:t>
      </w:r>
    </w:p>
    <w:p>
      <w:pPr>
        <w:ind w:firstLine="640" w:firstLineChars="200"/>
        <w:rPr>
          <w:rFonts w:ascii="仿宋_GB2312" w:hAnsi="楷体_GB2312" w:eastAsia="仿宋_GB2312" w:cs="楷体_GB2312"/>
          <w:b/>
          <w:bCs/>
          <w:sz w:val="32"/>
          <w:szCs w:val="32"/>
        </w:rPr>
      </w:pPr>
      <w:r>
        <w:rPr>
          <w:rFonts w:hint="eastAsia" w:ascii="仿宋_GB2312" w:hAnsi="楷体_GB2312" w:eastAsia="仿宋_GB2312" w:cs="楷体_GB2312"/>
          <w:sz w:val="32"/>
          <w:szCs w:val="32"/>
        </w:rPr>
        <w:t>实地采用调查问卷的方式进行。</w:t>
      </w:r>
    </w:p>
    <w:p>
      <w:pPr>
        <w:rPr>
          <w:rFonts w:ascii="仿宋_GB2312" w:eastAsia="仿宋_GB2312"/>
          <w:sz w:val="32"/>
          <w:szCs w:val="32"/>
        </w:rPr>
      </w:pPr>
      <w:r>
        <w:rPr>
          <w:rFonts w:hint="eastAsia" w:ascii="楷体_GB2312" w:hAnsi="楷体_GB2312" w:eastAsia="楷体_GB2312" w:cs="楷体_GB2312"/>
          <w:sz w:val="32"/>
          <w:szCs w:val="32"/>
        </w:rPr>
        <w:t>（三）建立绩效评价指标体系</w:t>
      </w:r>
    </w:p>
    <w:p>
      <w:pPr>
        <w:ind w:firstLine="640" w:firstLineChars="200"/>
        <w:rPr>
          <w:rFonts w:ascii="仿宋_GB2312" w:eastAsia="仿宋_GB2312"/>
          <w:bCs/>
          <w:sz w:val="32"/>
          <w:szCs w:val="32"/>
        </w:rPr>
      </w:pPr>
      <w:r>
        <w:rPr>
          <w:rFonts w:hint="eastAsia" w:ascii="仿宋_GB2312" w:eastAsia="仿宋_GB2312"/>
          <w:bCs/>
          <w:sz w:val="32"/>
          <w:szCs w:val="32"/>
        </w:rPr>
        <w:t>1、项目立项规范性、资金到位率</w:t>
      </w:r>
    </w:p>
    <w:p>
      <w:pPr>
        <w:ind w:firstLine="640" w:firstLineChars="200"/>
        <w:rPr>
          <w:rFonts w:ascii="仿宋_GB2312" w:eastAsia="仿宋_GB2312"/>
          <w:bCs/>
          <w:sz w:val="32"/>
          <w:szCs w:val="32"/>
        </w:rPr>
      </w:pPr>
      <w:r>
        <w:rPr>
          <w:rFonts w:hint="eastAsia" w:ascii="仿宋_GB2312" w:eastAsia="仿宋_GB2312"/>
          <w:bCs/>
          <w:sz w:val="32"/>
          <w:szCs w:val="32"/>
        </w:rPr>
        <w:t>2、管理制度健全性、资金使用合规性</w:t>
      </w:r>
    </w:p>
    <w:p>
      <w:pPr>
        <w:ind w:firstLine="640" w:firstLineChars="200"/>
        <w:rPr>
          <w:rFonts w:ascii="仿宋_GB2312" w:eastAsia="仿宋_GB2312"/>
          <w:bCs/>
          <w:sz w:val="32"/>
          <w:szCs w:val="32"/>
        </w:rPr>
      </w:pPr>
      <w:r>
        <w:rPr>
          <w:rFonts w:hint="eastAsia" w:ascii="仿宋_GB2312" w:eastAsia="仿宋_GB2312"/>
          <w:bCs/>
          <w:sz w:val="32"/>
          <w:szCs w:val="32"/>
        </w:rPr>
        <w:t>3、实际完成率、质量达标率</w:t>
      </w:r>
    </w:p>
    <w:p>
      <w:pPr>
        <w:ind w:firstLine="640" w:firstLineChars="200"/>
        <w:rPr>
          <w:rFonts w:ascii="仿宋_GB2312" w:eastAsia="仿宋_GB2312"/>
          <w:bCs/>
          <w:sz w:val="32"/>
          <w:szCs w:val="32"/>
        </w:rPr>
      </w:pPr>
      <w:r>
        <w:rPr>
          <w:rFonts w:hint="eastAsia" w:ascii="仿宋_GB2312" w:eastAsia="仿宋_GB2312"/>
          <w:bCs/>
          <w:sz w:val="32"/>
          <w:szCs w:val="32"/>
        </w:rPr>
        <w:t>4、服务对象满意度、社会效益</w:t>
      </w:r>
    </w:p>
    <w:p>
      <w:pPr>
        <w:rPr>
          <w:rFonts w:ascii="黑体" w:hAnsi="黑体" w:eastAsia="黑体" w:cs="黑体"/>
          <w:b/>
          <w:bCs/>
          <w:sz w:val="32"/>
          <w:szCs w:val="32"/>
        </w:rPr>
      </w:pPr>
      <w:r>
        <w:rPr>
          <w:rFonts w:hint="eastAsia" w:ascii="黑体" w:hAnsi="黑体" w:eastAsia="黑体" w:cs="黑体"/>
          <w:sz w:val="32"/>
          <w:szCs w:val="32"/>
        </w:rPr>
        <w:t>三、项目执行及绩效实现情况</w:t>
      </w:r>
    </w:p>
    <w:p>
      <w:pPr>
        <w:rPr>
          <w:rFonts w:ascii="楷体_GB2312" w:hAnsi="楷体_GB2312" w:eastAsia="楷体_GB2312" w:cs="楷体_GB2312"/>
          <w:sz w:val="32"/>
          <w:szCs w:val="32"/>
        </w:rPr>
      </w:pPr>
      <w:r>
        <w:rPr>
          <w:rFonts w:hint="eastAsia" w:ascii="楷体_GB2312" w:hAnsi="楷体_GB2312" w:eastAsia="楷体_GB2312" w:cs="楷体_GB2312"/>
          <w:sz w:val="32"/>
          <w:szCs w:val="32"/>
        </w:rPr>
        <w:t xml:space="preserve">   （一）项目投入</w:t>
      </w:r>
    </w:p>
    <w:p>
      <w:pPr>
        <w:ind w:firstLine="640" w:firstLineChars="200"/>
        <w:rPr>
          <w:rFonts w:ascii="仿宋_GB2312" w:eastAsia="仿宋_GB2312"/>
          <w:sz w:val="32"/>
          <w:szCs w:val="32"/>
        </w:rPr>
      </w:pPr>
      <w:r>
        <w:rPr>
          <w:rFonts w:hint="eastAsia" w:ascii="仿宋_GB2312" w:eastAsia="仿宋_GB2312"/>
          <w:sz w:val="32"/>
          <w:szCs w:val="32"/>
        </w:rPr>
        <w:t>1.项目</w:t>
      </w:r>
      <w:r>
        <w:rPr>
          <w:rFonts w:ascii="仿宋_GB2312" w:eastAsia="仿宋_GB2312"/>
          <w:sz w:val="32"/>
          <w:szCs w:val="32"/>
        </w:rPr>
        <w:t>立项规范性</w:t>
      </w:r>
      <w:r>
        <w:rPr>
          <w:rFonts w:hint="eastAsia" w:ascii="仿宋_GB2312" w:eastAsia="仿宋_GB2312"/>
          <w:sz w:val="32"/>
          <w:szCs w:val="32"/>
        </w:rPr>
        <w:t>。按照规定的程序申请设立，事前经过必要的可行性研究。</w:t>
      </w:r>
    </w:p>
    <w:p>
      <w:pPr>
        <w:ind w:firstLine="640" w:firstLineChars="200"/>
        <w:rPr>
          <w:rFonts w:ascii="仿宋_GB2312" w:eastAsia="仿宋_GB2312"/>
          <w:sz w:val="32"/>
          <w:szCs w:val="32"/>
        </w:rPr>
      </w:pPr>
      <w:r>
        <w:rPr>
          <w:rFonts w:hint="eastAsia" w:ascii="仿宋_GB2312" w:eastAsia="仿宋_GB2312"/>
          <w:sz w:val="32"/>
          <w:szCs w:val="32"/>
        </w:rPr>
        <w:t>2.资金到位率。</w:t>
      </w:r>
      <w:r>
        <w:rPr>
          <w:rFonts w:hint="eastAsia" w:ascii="仿宋_GB2312" w:hAnsi="楷体_GB2312" w:eastAsia="仿宋_GB2312"/>
          <w:color w:val="000000"/>
          <w:sz w:val="32"/>
          <w:szCs w:val="32"/>
          <w:shd w:val="clear" w:color="auto" w:fill="FFFFFF"/>
        </w:rPr>
        <w:t>资金到位率=</w:t>
      </w:r>
      <w:r>
        <w:rPr>
          <w:rFonts w:ascii="仿宋_GB2312" w:hAnsi="楷体_GB2312" w:eastAsia="仿宋_GB2312"/>
          <w:color w:val="000000"/>
          <w:sz w:val="32"/>
          <w:szCs w:val="32"/>
          <w:shd w:val="clear" w:color="auto" w:fill="FFFFFF"/>
        </w:rPr>
        <w:t>（实际到位资金/计划投入资金）×100%</w:t>
      </w:r>
      <w:r>
        <w:rPr>
          <w:rFonts w:hint="eastAsia" w:ascii="仿宋_GB2312" w:hAnsi="楷体_GB2312" w:eastAsia="仿宋_GB2312"/>
          <w:color w:val="000000"/>
          <w:sz w:val="32"/>
          <w:szCs w:val="32"/>
          <w:shd w:val="clear" w:color="auto" w:fill="FFFFFF"/>
        </w:rPr>
        <w:t>。本年度内实际落实的资金为998224.1元。</w:t>
      </w:r>
    </w:p>
    <w:p>
      <w:pPr>
        <w:rPr>
          <w:rFonts w:ascii="楷体_GB2312" w:hAnsi="楷体_GB2312" w:eastAsia="楷体_GB2312" w:cs="楷体_GB2312"/>
          <w:sz w:val="32"/>
          <w:szCs w:val="32"/>
        </w:rPr>
      </w:pPr>
      <w:r>
        <w:rPr>
          <w:rFonts w:hint="eastAsia" w:ascii="楷体_GB2312" w:hAnsi="楷体_GB2312" w:eastAsia="楷体_GB2312" w:cs="楷体_GB2312"/>
          <w:sz w:val="32"/>
          <w:szCs w:val="32"/>
        </w:rPr>
        <w:t>（二）项目实施过程</w:t>
      </w:r>
    </w:p>
    <w:p>
      <w:pPr>
        <w:ind w:firstLine="640" w:firstLineChars="200"/>
        <w:rPr>
          <w:rFonts w:ascii="仿宋_GB2312" w:eastAsia="仿宋_GB2312"/>
          <w:sz w:val="32"/>
          <w:szCs w:val="32"/>
        </w:rPr>
      </w:pPr>
      <w:r>
        <w:rPr>
          <w:rFonts w:hint="eastAsia" w:ascii="仿宋_GB2312" w:eastAsia="仿宋_GB2312"/>
          <w:sz w:val="32"/>
          <w:szCs w:val="32"/>
        </w:rPr>
        <w:t>1.管理制度健全性。</w:t>
      </w:r>
      <w:r>
        <w:rPr>
          <w:rFonts w:hint="eastAsia" w:ascii="仿宋_GB2312" w:hAnsi="楷体_GB2312" w:eastAsia="仿宋_GB2312"/>
          <w:color w:val="000000"/>
          <w:sz w:val="32"/>
          <w:szCs w:val="32"/>
          <w:shd w:val="clear" w:color="auto" w:fill="FFFFFF"/>
        </w:rPr>
        <w:t>已制定或具有相应的业务管理制度；业务管理制度合法、合规、完整。</w:t>
      </w:r>
    </w:p>
    <w:p>
      <w:pPr>
        <w:ind w:firstLine="640" w:firstLineChars="200"/>
        <w:rPr>
          <w:rFonts w:ascii="仿宋_GB2312" w:eastAsia="仿宋_GB2312"/>
          <w:sz w:val="32"/>
          <w:szCs w:val="32"/>
        </w:rPr>
      </w:pPr>
      <w:r>
        <w:rPr>
          <w:rFonts w:hint="eastAsia" w:ascii="仿宋_GB2312" w:eastAsia="仿宋_GB2312"/>
          <w:sz w:val="32"/>
          <w:szCs w:val="32"/>
        </w:rPr>
        <w:t>2.资金使用合规性。</w:t>
      </w:r>
      <w:r>
        <w:rPr>
          <w:rFonts w:hint="eastAsia" w:ascii="仿宋_GB2312" w:hAnsi="楷体_GB2312" w:eastAsia="仿宋_GB2312"/>
          <w:color w:val="000000"/>
          <w:sz w:val="32"/>
          <w:szCs w:val="32"/>
          <w:shd w:val="clear" w:color="auto" w:fill="FFFFFF"/>
        </w:rPr>
        <w:t>符合国家财经法规和财务管理制度以及有关专项资金管理办法的规定；资金的拨付是否有完整的审批程序和手续；符合项目预算批复或合同规定的用途。</w:t>
      </w:r>
    </w:p>
    <w:p>
      <w:pPr>
        <w:rPr>
          <w:rFonts w:ascii="仿宋_GB2312" w:eastAsia="仿宋_GB2312"/>
          <w:b/>
          <w:bCs/>
          <w:sz w:val="32"/>
          <w:szCs w:val="32"/>
        </w:rPr>
      </w:pPr>
      <w:r>
        <w:rPr>
          <w:rFonts w:hint="eastAsia" w:ascii="楷体_GB2312" w:hAnsi="楷体_GB2312" w:eastAsia="楷体_GB2312" w:cs="楷体_GB2312"/>
          <w:sz w:val="32"/>
          <w:szCs w:val="32"/>
        </w:rPr>
        <w:t>（三）项目产出</w:t>
      </w:r>
    </w:p>
    <w:p>
      <w:pPr>
        <w:ind w:firstLine="640" w:firstLineChars="200"/>
        <w:rPr>
          <w:rFonts w:ascii="楷体_GB2312" w:hAnsi="楷体_GB2312" w:eastAsia="楷体_GB2312"/>
          <w:color w:val="000000"/>
          <w:sz w:val="22"/>
          <w:shd w:val="clear" w:color="auto" w:fill="FFFFFF"/>
        </w:rPr>
      </w:pPr>
      <w:r>
        <w:rPr>
          <w:rFonts w:hint="eastAsia" w:ascii="仿宋_GB2312" w:eastAsia="仿宋_GB2312"/>
          <w:sz w:val="32"/>
          <w:szCs w:val="32"/>
        </w:rPr>
        <w:t>1、实际完成率。</w:t>
      </w:r>
      <w:r>
        <w:rPr>
          <w:rFonts w:ascii="仿宋_GB2312" w:eastAsia="仿宋_GB2312"/>
          <w:sz w:val="32"/>
          <w:szCs w:val="32"/>
        </w:rPr>
        <w:t>实际完成率=（实际产出数/计划产出数）×100%</w:t>
      </w:r>
      <w:r>
        <w:rPr>
          <w:rFonts w:ascii="楷体_GB2312" w:hAnsi="楷体_GB2312" w:eastAsia="楷体_GB2312"/>
          <w:color w:val="000000"/>
          <w:sz w:val="22"/>
          <w:shd w:val="clear" w:color="auto" w:fill="FFFFFF"/>
        </w:rPr>
        <w:t>。</w:t>
      </w:r>
    </w:p>
    <w:p>
      <w:pPr>
        <w:ind w:firstLine="640" w:firstLineChars="200"/>
        <w:rPr>
          <w:rFonts w:ascii="仿宋_GB2312" w:eastAsia="仿宋_GB2312"/>
          <w:sz w:val="32"/>
          <w:szCs w:val="32"/>
        </w:rPr>
      </w:pPr>
      <w:r>
        <w:rPr>
          <w:rFonts w:hint="eastAsia" w:ascii="仿宋_GB2312" w:eastAsia="仿宋_GB2312"/>
          <w:sz w:val="32"/>
          <w:szCs w:val="32"/>
        </w:rPr>
        <w:t>2、质量达标率。</w:t>
      </w:r>
      <w:r>
        <w:rPr>
          <w:rFonts w:ascii="仿宋_GB2312" w:eastAsia="仿宋_GB2312"/>
          <w:sz w:val="32"/>
          <w:szCs w:val="32"/>
        </w:rPr>
        <w:t>质量达标率=（质量达标产出数/实际产出数）×100%。</w:t>
      </w:r>
    </w:p>
    <w:p>
      <w:pPr>
        <w:rPr>
          <w:rFonts w:ascii="楷体_GB2312" w:hAnsi="楷体_GB2312" w:eastAsia="楷体_GB2312" w:cs="楷体_GB2312"/>
          <w:sz w:val="32"/>
          <w:szCs w:val="32"/>
        </w:rPr>
      </w:pPr>
      <w:r>
        <w:rPr>
          <w:rFonts w:hint="eastAsia" w:ascii="楷体_GB2312" w:hAnsi="楷体_GB2312" w:eastAsia="楷体_GB2312" w:cs="楷体_GB2312"/>
          <w:sz w:val="32"/>
          <w:szCs w:val="32"/>
        </w:rPr>
        <w:t>（四）项目效果</w:t>
      </w:r>
    </w:p>
    <w:p>
      <w:pPr>
        <w:ind w:firstLine="640" w:firstLineChars="200"/>
        <w:rPr>
          <w:rFonts w:ascii="仿宋_GB2312" w:eastAsia="仿宋_GB2312"/>
          <w:sz w:val="32"/>
          <w:szCs w:val="32"/>
        </w:rPr>
      </w:pPr>
      <w:r>
        <w:rPr>
          <w:rFonts w:hint="eastAsia" w:ascii="仿宋_GB2312" w:eastAsia="仿宋_GB2312"/>
          <w:sz w:val="32"/>
          <w:szCs w:val="32"/>
        </w:rPr>
        <w:t>1、社会效益。</w:t>
      </w:r>
      <w:r>
        <w:rPr>
          <w:rFonts w:hint="eastAsia" w:ascii="仿宋_GB2312" w:hAnsi="楷体_GB2312" w:eastAsia="仿宋_GB2312" w:cs="楷体_GB2312"/>
          <w:bCs/>
          <w:sz w:val="32"/>
          <w:szCs w:val="32"/>
        </w:rPr>
        <w:t>通过对优抚对象发放资金，解决优抚对象生活困难等问题</w:t>
      </w:r>
      <w:r>
        <w:rPr>
          <w:rFonts w:hint="eastAsia" w:ascii="仿宋_GB2312" w:eastAsia="仿宋_GB2312"/>
          <w:sz w:val="32"/>
          <w:szCs w:val="32"/>
        </w:rPr>
        <w:t>，逐步提高人民群众的幸福感。</w:t>
      </w:r>
    </w:p>
    <w:p>
      <w:pPr>
        <w:ind w:firstLine="640" w:firstLineChars="200"/>
        <w:rPr>
          <w:rFonts w:ascii="仿宋_GB2312" w:eastAsia="仿宋_GB2312"/>
          <w:sz w:val="32"/>
          <w:szCs w:val="32"/>
        </w:rPr>
      </w:pPr>
      <w:r>
        <w:rPr>
          <w:rFonts w:hint="eastAsia" w:ascii="仿宋_GB2312" w:eastAsia="仿宋_GB2312"/>
          <w:sz w:val="32"/>
          <w:szCs w:val="32"/>
        </w:rPr>
        <w:t>2、社会服务对象满意度。通过调查问卷的形式，调查所涉及人员对该项目整体满意。</w:t>
      </w:r>
    </w:p>
    <w:p>
      <w:pPr>
        <w:ind w:firstLine="640" w:firstLineChars="200"/>
        <w:rPr>
          <w:rFonts w:ascii="黑体" w:hAnsi="黑体" w:eastAsia="黑体"/>
          <w:sz w:val="32"/>
          <w:szCs w:val="32"/>
        </w:rPr>
      </w:pPr>
      <w:r>
        <w:rPr>
          <w:rFonts w:hint="eastAsia" w:ascii="黑体" w:hAnsi="黑体" w:eastAsia="黑体"/>
          <w:sz w:val="32"/>
          <w:szCs w:val="32"/>
        </w:rPr>
        <w:t>四、项目综合评价结论和评价等级</w:t>
      </w:r>
    </w:p>
    <w:p>
      <w:pPr>
        <w:ind w:firstLine="640" w:firstLineChars="200"/>
        <w:rPr>
          <w:rFonts w:ascii="仿宋_GB2312" w:eastAsia="仿宋_GB2312"/>
          <w:sz w:val="32"/>
          <w:szCs w:val="32"/>
        </w:rPr>
      </w:pPr>
      <w:r>
        <w:rPr>
          <w:rFonts w:hint="eastAsia" w:ascii="仿宋_GB2312" w:eastAsia="仿宋_GB2312"/>
          <w:sz w:val="32"/>
          <w:szCs w:val="32"/>
        </w:rPr>
        <w:t>根据项目执行情况和项目绩效情况，该项目综合评价得分：90分，项目综合绩效评价等级为优秀。</w:t>
      </w:r>
    </w:p>
    <w:p>
      <w:pPr>
        <w:ind w:firstLine="640" w:firstLineChars="200"/>
        <w:rPr>
          <w:rFonts w:ascii="楷体_GB2312" w:hAnsi="楷体_GB2312" w:eastAsia="楷体_GB2312"/>
          <w:b/>
          <w:bCs/>
          <w:sz w:val="32"/>
          <w:szCs w:val="32"/>
        </w:rPr>
      </w:pPr>
      <w:r>
        <w:rPr>
          <w:rFonts w:hint="eastAsia" w:ascii="黑体" w:hAnsi="黑体" w:eastAsia="黑体"/>
          <w:sz w:val="32"/>
          <w:szCs w:val="32"/>
        </w:rPr>
        <w:t>五、存在的问题及改进措施</w:t>
      </w:r>
    </w:p>
    <w:p>
      <w:pPr>
        <w:ind w:firstLine="640" w:firstLineChars="200"/>
        <w:rPr>
          <w:rFonts w:ascii="仿宋_GB2312" w:eastAsia="仿宋_GB2312"/>
          <w:sz w:val="32"/>
          <w:szCs w:val="32"/>
        </w:rPr>
      </w:pPr>
      <w:r>
        <w:rPr>
          <w:rFonts w:hint="eastAsia" w:ascii="楷体_GB2312" w:hAnsi="楷体_GB2312" w:eastAsia="楷体_GB2312"/>
          <w:bCs/>
          <w:sz w:val="32"/>
          <w:szCs w:val="32"/>
        </w:rPr>
        <w:t>该项目在实施过程中没有存在问题。</w:t>
      </w:r>
    </w:p>
    <w:p>
      <w:pPr>
        <w:adjustRightInd w:val="0"/>
        <w:snapToGrid w:val="0"/>
        <w:spacing w:line="360" w:lineRule="auto"/>
        <w:ind w:firstLine="640" w:firstLineChars="200"/>
        <w:rPr>
          <w:rFonts w:ascii="仿宋_GB2312" w:eastAsia="仿宋_GB2312"/>
          <w:sz w:val="32"/>
          <w:szCs w:val="32"/>
        </w:rPr>
      </w:pPr>
      <w:r>
        <w:rPr>
          <w:rFonts w:hint="eastAsia" w:ascii="黑体" w:eastAsia="黑体"/>
          <w:sz w:val="32"/>
          <w:szCs w:val="32"/>
        </w:rPr>
        <w:t>六、评价工作组人员名单及签字</w:t>
      </w:r>
    </w:p>
    <w:p>
      <w:pPr>
        <w:adjustRightInd w:val="0"/>
        <w:spacing w:line="360" w:lineRule="auto"/>
        <w:rPr>
          <w:rFonts w:ascii="仿宋_GB2312" w:hAnsi="宋体" w:eastAsia="仿宋_GB2312"/>
          <w:sz w:val="32"/>
          <w:szCs w:val="32"/>
        </w:rPr>
      </w:pPr>
    </w:p>
    <w:sectPr>
      <w:footerReference r:id="rId3" w:type="default"/>
      <w:footerReference r:id="rId4" w:type="even"/>
      <w:pgSz w:w="11906" w:h="16838"/>
      <w:pgMar w:top="1361" w:right="1644" w:bottom="1361" w:left="1644"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5"/>
      </w:rPr>
    </w:pPr>
    <w:r>
      <w:fldChar w:fldCharType="begin"/>
    </w:r>
    <w:r>
      <w:rPr>
        <w:rStyle w:val="5"/>
      </w:rPr>
      <w:instrText xml:space="preserve">PAGE  </w:instrText>
    </w:r>
    <w:r>
      <w:fldChar w:fldCharType="separate"/>
    </w:r>
    <w:r>
      <w:rPr>
        <w:rStyle w:val="5"/>
      </w:rPr>
      <w:t>4</w:t>
    </w:r>
    <w:r>
      <w:fldChar w:fldCharType="end"/>
    </w:r>
  </w:p>
  <w:p>
    <w:pPr>
      <w:pStyle w:val="2"/>
      <w:ind w:right="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00051B66"/>
    <w:rsid w:val="000B4FA8"/>
    <w:rsid w:val="00162EFA"/>
    <w:rsid w:val="00211761"/>
    <w:rsid w:val="00341B7A"/>
    <w:rsid w:val="00413A9B"/>
    <w:rsid w:val="00486913"/>
    <w:rsid w:val="00497A0A"/>
    <w:rsid w:val="00681AF2"/>
    <w:rsid w:val="00794544"/>
    <w:rsid w:val="00800F3C"/>
    <w:rsid w:val="00867CD1"/>
    <w:rsid w:val="0097625A"/>
    <w:rsid w:val="00A04495"/>
    <w:rsid w:val="00A35991"/>
    <w:rsid w:val="00A60B07"/>
    <w:rsid w:val="00AD50A7"/>
    <w:rsid w:val="00B67C8C"/>
    <w:rsid w:val="00B86FFA"/>
    <w:rsid w:val="00BD20B3"/>
    <w:rsid w:val="00BF0350"/>
    <w:rsid w:val="00C34D92"/>
    <w:rsid w:val="00C53A0A"/>
    <w:rsid w:val="00C87316"/>
    <w:rsid w:val="00C91041"/>
    <w:rsid w:val="00DF6A8C"/>
    <w:rsid w:val="00E14FD2"/>
    <w:rsid w:val="00F11769"/>
    <w:rsid w:val="00F94A83"/>
    <w:rsid w:val="00FA5A6B"/>
    <w:rsid w:val="0483180E"/>
    <w:rsid w:val="09006C8C"/>
    <w:rsid w:val="26286021"/>
    <w:rsid w:val="2A2941B7"/>
    <w:rsid w:val="34435295"/>
    <w:rsid w:val="3E0A4C0F"/>
    <w:rsid w:val="50260F9C"/>
    <w:rsid w:val="54D20407"/>
    <w:rsid w:val="591E0081"/>
    <w:rsid w:val="705541CE"/>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4">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character" w:styleId="5">
    <w:name w:val="page number"/>
    <w:basedOn w:val="4"/>
    <w:qFormat/>
    <w:uiPriority w:val="0"/>
  </w:style>
  <w:style w:type="table" w:styleId="7">
    <w:name w:val="Table Grid"/>
    <w:basedOn w:val="6"/>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paragraph" w:customStyle="1" w:styleId="8">
    <w:name w:val="默认段落字体 Para Char Char Char Char Char Char Char"/>
    <w:basedOn w:val="1"/>
    <w:qFormat/>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248</Words>
  <Characters>1418</Characters>
  <Lines>11</Lines>
  <Paragraphs>3</Paragraphs>
  <TotalTime>0</TotalTime>
  <ScaleCrop>false</ScaleCrop>
  <LinksUpToDate>false</LinksUpToDate>
  <CharactersWithSpaces>1663</CharactersWithSpaces>
  <Application>WPS Office_10.8.2.7119_F1E327BC-269C-435d-A152-05C5408002CA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Lenovo</cp:lastModifiedBy>
  <cp:lastPrinted>2020-01-04T03:27:00Z</cp:lastPrinted>
  <dcterms:modified xsi:type="dcterms:W3CDTF">2024-12-26T03:10:03Z</dcterms:modified>
  <cp:revision>21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2052-10.8.2.7119</vt:lpwstr>
  </property>
</Properties>
</file>