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石家庄市鹿泉区发展和改革局</w:t>
      </w:r>
    </w:p>
    <w:p>
      <w:pPr>
        <w:snapToGrid w:val="0"/>
        <w:jc w:val="center"/>
        <w:rPr>
          <w:rFonts w:hint="eastAsia" w:ascii="黑体" w:hAnsi="黑体" w:eastAsia="楷体_GB2312" w:cs="黑体"/>
          <w:sz w:val="56"/>
          <w:szCs w:val="72"/>
          <w:lang w:eastAsia="zh-CN"/>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4"/>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3"/>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（一）贯彻落实上级国民经济和社会发展、经济体制改革和对外开放的有关地方性法规、政府规章，制定相关规范性文件。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（二）提出加快建设全区现代化经济体系、推动高质量发展的总体目标、重大任务以及相关政策。落实相关重大战略规划、重大政策、重大工程等的评估督导，提出相关调整建议。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（三）贯彻落实国家、省、市宏观调控政策，统筹提出全区国民经济和社会发展主要目标，监测预测预警宏观经济和社会发展态势趋势，提出经济调节政策建议。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（四）落实国家、省、市完善基本经济制度政策，推动现代化市场体系建设，会同有关部门组织实施市场准入负面清单制度。协调推进优化营商环境。负责生产经营类事业单位管理体制改革工作。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（五）提出全区利用外资和境外投资的战略、规划、总量平衡和结构优化政策。</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（六）负责全区投资综合管理。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（七）推进落实区域协调发展战略、新型城镇化战略和重大政策。落实推进实施京津冀协同发展等区域发展战略。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（八）贯彻实施国家、省、市产业政策。协调一二三产业发展重大问题并统筹衔接相关发展规划和重大政策。</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（九）推动实施全区创新驱动发展战略。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w:t>
      </w:r>
      <w:r>
        <w:rPr>
          <w:rFonts w:ascii="仿宋" w:hAnsi="仿宋" w:eastAsia="仿宋" w:cs="Times New Roman"/>
          <w:sz w:val="32"/>
          <w:szCs w:val="32"/>
        </w:rPr>
        <w:t>十</w:t>
      </w:r>
      <w:r>
        <w:rPr>
          <w:rFonts w:hint="eastAsia" w:ascii="仿宋" w:hAnsi="仿宋" w:eastAsia="仿宋" w:cs="Times New Roman"/>
          <w:sz w:val="32"/>
          <w:szCs w:val="32"/>
        </w:rPr>
        <w:t>）</w:t>
      </w:r>
      <w:r>
        <w:rPr>
          <w:rFonts w:ascii="仿宋" w:hAnsi="仿宋" w:eastAsia="仿宋" w:cs="Times New Roman"/>
          <w:sz w:val="32"/>
          <w:szCs w:val="32"/>
        </w:rPr>
        <w:t>跟踪研判涉及经济安全、生态安全、资源安全、科技安全、社会安全等各类风险隐患，提出相关工作建议。协调落实重要工业品、原材料和重要农产品进出口调控措施。落实上级拟订的储备物资品种目录、总体发展规划。</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（十一）负责全区社会发展与国民经济发展的政策衔接，协调有关重大问题。</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（十二）推进实施可持续发展战略，推动生态文明建设和改革，协调生态环境保护与修复、能源资源节约和综合利用等工作。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（十三）落实上级经济建设与国防建设协调发展的战略和规划，组织推进经济建设项目贯彻国防要求。</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（十四）拟订并组织实施有关价格政策，落实上级管理的重要商品、服务价格和重要收费标准。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（十</w:t>
      </w:r>
      <w:r>
        <w:rPr>
          <w:rFonts w:ascii="仿宋" w:hAnsi="仿宋" w:eastAsia="仿宋" w:cs="Times New Roman"/>
          <w:sz w:val="32"/>
          <w:szCs w:val="32"/>
        </w:rPr>
        <w:t>五</w:t>
      </w:r>
      <w:r>
        <w:rPr>
          <w:rFonts w:hint="eastAsia" w:ascii="仿宋" w:hAnsi="仿宋" w:eastAsia="仿宋" w:cs="Times New Roman"/>
          <w:sz w:val="32"/>
          <w:szCs w:val="32"/>
        </w:rPr>
        <w:t>）</w:t>
      </w:r>
      <w:r>
        <w:rPr>
          <w:rFonts w:ascii="仿宋" w:hAnsi="仿宋" w:eastAsia="仿宋" w:cs="Times New Roman"/>
          <w:sz w:val="32"/>
          <w:szCs w:val="32"/>
        </w:rPr>
        <w:t>提出全区能源发展战略建议，落实上级能源发展规划、产业政策和年度制定计划。</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（十六）落实上级粮食流通规划。</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（十八）协调、管理、推动物流业发展，组织推动重大物流园区和物流项目建设等相关工作。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（十九）贯彻落实国家、省、市有关国内外贸易、国际经济合作的发展战略、方针、政策以及相关法律法规。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（二十）拟定全区国内贸易发展规划。</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（二十一）提出流通体制改革建议。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（二十二）牵头推进商务领域信用体系建设，建立商务诚信公共服务平台。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（二十三）组织实施重要消费品市场调控。</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(二十五)贯彻执行国家对外技术贸易、进出口管制以及鼓励技术和成套设备进出口的贸易政策。贯彻落实科技兴贸战略，依法监督技术引进、设备进口、国家限制出口技术。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（二十六）会同有关部门贯彻执行国家促进服务出口和服务外包发展的规划、政策,牵头拟订全区服务贸易发展规划并组织实施。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(二十七)负责对外投资和经济合作工作。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(二十八)配合上级部门调查国(境)外对我国出口商品实施的歧视性贸易政策、法律法规及做法。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（二十九）负责上级交办的涉及世贸组织相关工作。贯彻执行上级制定的对自由贸易区国家和地区的经贸规划、政策并组织实施。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(三十)负责会展业促进与管理工作。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(三十一)负责经贸交流合作工作。建立联系国内友好关系城市。</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（三十二）监测分析全区商务运行情况，承担全区商务系统对外宣传和信息发布工作。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(三十三)贯彻落实投资促进政策、法规，负责建立投资促进工作体系、工作机制,对利用国内外资金和经济技术合作情况进行统计、汇总、分析。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(三十四)负责促进资金、技术、人才、项目引进和产业对接,争取招商引资相关政策、资金和项目支持。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五)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(三十六)负责国(境)内外重大投资促进活动的谋划、方案制定和组织实施;牵头组织专业性、行业性投资促进活动;指导协调各乡镇和开发区(园区)开展招商活动。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七)负责与国(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(三十八)负责对国(境)内外重要客户的联络拓展、重要团组和客户来访考察、洽谈的组织。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(三十九)组织和促进委托招商、代理招商、中介招商、专业招商、网上招商等多种形式的招商活动,制订并落实奖励政策；加强招商引资专业人才队伍建设。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(四十)负责引进央企资金、项目及各项合作,促进合作项目的建设,负责为央企服务工作;负责外商投资项目建设的跟踪、协调和服务工作,负责引进资金到位统计工作。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（四十一）负责指导全区经济技术交流与区域经济技术合作工作,负责区域间资金、项目、人才、科研成果及产业合作工作，开展与省外重点大专院校、科研院所合作。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（四十二）完成区委、区政府交办的其他任务。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pacing w:line="560" w:lineRule="exact"/>
              <w:jc w:val="center"/>
              <w:rPr>
                <w:rFonts w:hint="eastAsia" w:ascii="仿宋_GB2312" w:hAnsi="Calibri" w:eastAsia="仿宋_GB2312" w:cs="ArialUnicodeMS"/>
                <w:kern w:val="0"/>
                <w:sz w:val="24"/>
                <w:szCs w:val="24"/>
              </w:rPr>
            </w:pPr>
            <w:r>
              <w:rPr>
                <w:rFonts w:hint="eastAsia" w:ascii="仿宋_GB2312" w:hAnsi="Calibri" w:eastAsia="仿宋_GB2312" w:cs="ArialUnicodeMS"/>
                <w:kern w:val="0"/>
                <w:sz w:val="24"/>
                <w:szCs w:val="24"/>
              </w:rPr>
              <w:t>石家庄市鹿泉区发展和改革局</w:t>
            </w:r>
          </w:p>
        </w:tc>
        <w:tc>
          <w:tcPr>
            <w:tcW w:w="2445" w:type="dxa"/>
            <w:vAlign w:val="center"/>
          </w:tcPr>
          <w:p>
            <w:pPr>
              <w:spacing w:line="560" w:lineRule="exact"/>
              <w:jc w:val="center"/>
              <w:rPr>
                <w:rFonts w:hint="eastAsia" w:ascii="仿宋_GB2312" w:hAnsi="Calibri" w:eastAsia="仿宋_GB2312" w:cs="ArialUnicodeMS"/>
                <w:kern w:val="0"/>
                <w:sz w:val="24"/>
                <w:szCs w:val="24"/>
                <w:lang w:val="en-US" w:eastAsia="zh-CN"/>
              </w:rPr>
            </w:pPr>
            <w:r>
              <w:rPr>
                <w:rFonts w:hint="eastAsia" w:ascii="仿宋_GB2312" w:hAnsi="Calibri" w:eastAsia="仿宋_GB2312" w:cs="ArialUnicodeMS"/>
                <w:kern w:val="0"/>
                <w:sz w:val="24"/>
                <w:szCs w:val="24"/>
              </w:rPr>
              <w:t>行政</w:t>
            </w:r>
          </w:p>
        </w:tc>
        <w:tc>
          <w:tcPr>
            <w:tcW w:w="2665" w:type="dxa"/>
            <w:vAlign w:val="center"/>
          </w:tcPr>
          <w:p>
            <w:pPr>
              <w:spacing w:line="560" w:lineRule="exact"/>
              <w:jc w:val="center"/>
              <w:rPr>
                <w:rFonts w:hint="eastAsia" w:ascii="仿宋_GB2312" w:hAnsi="Calibri" w:eastAsia="仿宋_GB2312" w:cs="ArialUnicodeMS"/>
                <w:kern w:val="0"/>
                <w:sz w:val="24"/>
                <w:szCs w:val="24"/>
                <w:lang w:val="en-US" w:eastAsia="zh-CN"/>
              </w:rPr>
            </w:pPr>
            <w:r>
              <w:rPr>
                <w:rFonts w:hint="eastAsia" w:ascii="仿宋_GB2312" w:hAnsi="Calibri" w:eastAsia="仿宋_GB2312" w:cs="ArialUnicodeMS"/>
                <w:kern w:val="0"/>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vAlign w:val="center"/>
          </w:tcPr>
          <w:p>
            <w:pPr>
              <w:spacing w:line="560" w:lineRule="exact"/>
              <w:jc w:val="center"/>
              <w:rPr>
                <w:rFonts w:hint="eastAsia" w:ascii="仿宋_GB2312" w:hAnsi="Calibri" w:eastAsia="仿宋_GB2312" w:cs="ArialUnicodeMS"/>
                <w:kern w:val="0"/>
                <w:sz w:val="24"/>
                <w:szCs w:val="24"/>
              </w:rPr>
            </w:pPr>
          </w:p>
        </w:tc>
        <w:tc>
          <w:tcPr>
            <w:tcW w:w="2445" w:type="dxa"/>
            <w:vAlign w:val="center"/>
          </w:tcPr>
          <w:p>
            <w:pPr>
              <w:spacing w:line="560" w:lineRule="exact"/>
              <w:jc w:val="center"/>
              <w:rPr>
                <w:rFonts w:hint="eastAsia" w:ascii="仿宋_GB2312" w:hAnsi="Calibri" w:eastAsia="仿宋_GB2312" w:cs="ArialUnicodeMS"/>
                <w:kern w:val="0"/>
                <w:sz w:val="24"/>
                <w:szCs w:val="24"/>
                <w:lang w:val="en-US" w:eastAsia="zh-CN"/>
              </w:rPr>
            </w:pPr>
          </w:p>
        </w:tc>
        <w:tc>
          <w:tcPr>
            <w:tcW w:w="2665" w:type="dxa"/>
            <w:vAlign w:val="center"/>
          </w:tcPr>
          <w:p>
            <w:pPr>
              <w:spacing w:line="560" w:lineRule="exact"/>
              <w:jc w:val="center"/>
              <w:rPr>
                <w:rFonts w:hint="eastAsia" w:ascii="仿宋_GB2312" w:hAnsi="Calibri" w:eastAsia="仿宋_GB2312" w:cs="ArialUnicodeMS"/>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vAlign w:val="center"/>
          </w:tcPr>
          <w:p>
            <w:pPr>
              <w:spacing w:line="560" w:lineRule="exact"/>
              <w:jc w:val="center"/>
              <w:rPr>
                <w:rFonts w:ascii="仿宋_GB2312" w:hAnsi="Calibri" w:eastAsia="仿宋_GB2312" w:cs="ArialUnicodeMS"/>
                <w:kern w:val="0"/>
                <w:sz w:val="28"/>
                <w:szCs w:val="28"/>
              </w:rPr>
            </w:pPr>
          </w:p>
        </w:tc>
        <w:tc>
          <w:tcPr>
            <w:tcW w:w="2445" w:type="dxa"/>
            <w:vAlign w:val="center"/>
          </w:tcPr>
          <w:p>
            <w:pPr>
              <w:spacing w:line="560" w:lineRule="exact"/>
              <w:jc w:val="both"/>
              <w:rPr>
                <w:rFonts w:ascii="仿宋_GB2312" w:hAnsi="Calibri" w:eastAsia="仿宋_GB2312" w:cs="ArialUnicodeMS"/>
                <w:kern w:val="0"/>
                <w:sz w:val="28"/>
                <w:szCs w:val="28"/>
              </w:rPr>
            </w:pPr>
          </w:p>
        </w:tc>
        <w:tc>
          <w:tcPr>
            <w:tcW w:w="2665" w:type="dxa"/>
            <w:vAlign w:val="center"/>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155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4"/>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utoSpaceDE w:val="0"/>
        <w:autoSpaceDN w:val="0"/>
        <w:adjustRightInd w:val="0"/>
        <w:spacing w:line="580" w:lineRule="exact"/>
        <w:ind w:firstLine="643"/>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本部门2019年度年初结转和结余823.06万元，本年收入27,258.29万元，本年支出25,416.46万元，用事业基金弥补收支差额0万元，结余分配0万元，年末结转和结余2,664.89万元。</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与2018年度决算相比，</w:t>
      </w:r>
      <w:r>
        <w:rPr>
          <w:rFonts w:hint="eastAsia" w:ascii="仿宋_GB2312" w:eastAsia="仿宋_GB2312" w:cs="DengXian-Regular"/>
          <w:sz w:val="32"/>
          <w:szCs w:val="32"/>
        </w:rPr>
        <w:t>收</w:t>
      </w:r>
      <w:r>
        <w:rPr>
          <w:rFonts w:hint="eastAsia" w:ascii="仿宋_GB2312" w:eastAsia="仿宋_GB2312" w:cs="DengXian-Regular"/>
          <w:sz w:val="32"/>
          <w:szCs w:val="32"/>
          <w:lang w:eastAsia="zh-CN"/>
        </w:rPr>
        <w:t>入</w:t>
      </w:r>
      <w:r>
        <w:rPr>
          <w:rFonts w:hint="eastAsia" w:ascii="仿宋_GB2312" w:eastAsia="仿宋_GB2312" w:cs="DengXian-Regular"/>
          <w:sz w:val="32"/>
          <w:szCs w:val="32"/>
        </w:rPr>
        <w:t>增加</w:t>
      </w:r>
      <w:r>
        <w:rPr>
          <w:rFonts w:hint="eastAsia" w:ascii="仿宋_GB2312" w:eastAsia="仿宋_GB2312" w:cs="DengXian-Regular"/>
          <w:sz w:val="32"/>
          <w:szCs w:val="32"/>
          <w:lang w:val="en-US" w:eastAsia="zh-CN"/>
        </w:rPr>
        <w:t>14309.64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110.51</w:t>
      </w:r>
      <w:r>
        <w:rPr>
          <w:rFonts w:hint="eastAsia" w:ascii="仿宋_GB2312" w:hAnsi="Times New Roman" w:eastAsia="仿宋_GB2312" w:cs="DengXian-Regular"/>
          <w:sz w:val="32"/>
          <w:szCs w:val="32"/>
        </w:rPr>
        <w:t>%，</w:t>
      </w:r>
      <w:r>
        <w:rPr>
          <w:rFonts w:hint="eastAsia" w:ascii="仿宋_GB2312" w:eastAsia="仿宋_GB2312" w:cs="DengXian-Regular"/>
          <w:sz w:val="32"/>
          <w:szCs w:val="32"/>
          <w:lang w:eastAsia="zh-CN"/>
        </w:rPr>
        <w:t>支出增加</w:t>
      </w:r>
      <w:r>
        <w:rPr>
          <w:rFonts w:hint="eastAsia" w:ascii="仿宋_GB2312" w:eastAsia="仿宋_GB2312" w:cs="DengXian-Regular"/>
          <w:sz w:val="32"/>
          <w:szCs w:val="32"/>
          <w:lang w:val="en-US" w:eastAsia="zh-CN"/>
        </w:rPr>
        <w:t>13693.82万元，增长116.81%。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因机构改革</w:t>
      </w:r>
      <w:r>
        <w:rPr>
          <w:rFonts w:hint="eastAsia" w:ascii="仿宋_GB2312" w:hAnsi="Times New Roman" w:eastAsia="仿宋_GB2312" w:cs="DengXian-Regular"/>
          <w:sz w:val="32"/>
          <w:szCs w:val="32"/>
          <w:lang w:val="en-US" w:eastAsia="zh-CN"/>
        </w:rPr>
        <w:t>2019年1月与原商务局合并。</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pPr>
      <w:r>
        <w:rPr>
          <w:rFonts w:hint="eastAsia" w:ascii="仿宋_GB2312" w:hAnsi="Times New Roman" w:eastAsia="仿宋_GB2312" w:cs="DengXian-Regular"/>
          <w:sz w:val="32"/>
          <w:szCs w:val="32"/>
        </w:rPr>
        <w:t>本部门2019年度本年收入合计27,258.29万元，其中：财政拨款收入2</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23.37万元，占</w:t>
      </w:r>
      <w:r>
        <w:rPr>
          <w:rFonts w:hint="eastAsia" w:ascii="仿宋_GB2312" w:hAnsi="Times New Roman" w:eastAsia="仿宋_GB2312" w:cs="DengXian-Regular"/>
          <w:sz w:val="32"/>
          <w:szCs w:val="32"/>
          <w:lang w:val="en-US" w:eastAsia="zh-CN"/>
        </w:rPr>
        <w:t>85.2</w:t>
      </w:r>
      <w:r>
        <w:rPr>
          <w:rFonts w:hint="eastAsia" w:ascii="仿宋_GB2312" w:hAnsi="Times New Roman" w:eastAsia="仿宋_GB2312" w:cs="DengXian-Regular"/>
          <w:sz w:val="32"/>
          <w:szCs w:val="32"/>
        </w:rPr>
        <w:t>%；其他收入4034.92万元，占</w:t>
      </w:r>
      <w:r>
        <w:rPr>
          <w:rFonts w:hint="eastAsia" w:ascii="仿宋_GB2312" w:hAnsi="Times New Roman" w:eastAsia="仿宋_GB2312" w:cs="DengXian-Regular"/>
          <w:sz w:val="32"/>
          <w:szCs w:val="32"/>
          <w:lang w:val="en-US" w:eastAsia="zh-CN"/>
        </w:rPr>
        <w:t>14.8</w:t>
      </w:r>
      <w:r>
        <w:rPr>
          <w:rFonts w:hint="eastAsia" w:ascii="仿宋_GB2312" w:hAnsi="Times New Roman" w:eastAsia="仿宋_GB2312" w:cs="DengXian-Regular"/>
          <w:sz w:val="32"/>
          <w:szCs w:val="32"/>
        </w:rPr>
        <w:t>%。如图所示</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1</w:t>
      </w:r>
      <w:r>
        <w:rPr>
          <w:rFonts w:hint="eastAsia" w:ascii="仿宋_GB2312" w:eastAsia="仿宋_GB2312" w:cs="DengXian-Regular"/>
          <w:sz w:val="28"/>
          <w:szCs w:val="28"/>
        </w:rPr>
        <w:t>：</w:t>
      </w:r>
      <w:r>
        <w:drawing>
          <wp:anchor distT="0" distB="0" distL="114300" distR="114300" simplePos="0" relativeHeight="251675648" behindDoc="0" locked="0" layoutInCell="1" allowOverlap="1">
            <wp:simplePos x="0" y="0"/>
            <wp:positionH relativeFrom="column">
              <wp:posOffset>1195070</wp:posOffset>
            </wp:positionH>
            <wp:positionV relativeFrom="paragraph">
              <wp:posOffset>381000</wp:posOffset>
            </wp:positionV>
            <wp:extent cx="3266440" cy="2305050"/>
            <wp:effectExtent l="4445" t="4445" r="5715" b="14605"/>
            <wp:wrapTopAndBottom/>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hint="eastAsia" w:ascii="仿宋_GB2312" w:hAnsi="Times New Roman" w:eastAsia="仿宋_GB2312" w:cs="DengXian-Regular"/>
          <w:sz w:val="28"/>
          <w:szCs w:val="28"/>
        </w:rPr>
        <w:t>收入构成情况</w:t>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本部门2019年度本年支出合计25,416.46万元，其中：基本支出1878.27万元，占</w:t>
      </w:r>
      <w:r>
        <w:rPr>
          <w:rFonts w:hint="eastAsia" w:ascii="仿宋_GB2312" w:hAnsi="Times New Roman" w:eastAsia="仿宋_GB2312" w:cs="DengXian-Regular"/>
          <w:sz w:val="32"/>
          <w:szCs w:val="32"/>
          <w:lang w:val="en-US" w:eastAsia="zh-CN"/>
        </w:rPr>
        <w:t>7.39</w:t>
      </w:r>
      <w:r>
        <w:rPr>
          <w:rFonts w:hint="eastAsia" w:ascii="仿宋_GB2312" w:hAnsi="Times New Roman" w:eastAsia="仿宋_GB2312" w:cs="DengXian-Regular"/>
          <w:sz w:val="32"/>
          <w:szCs w:val="32"/>
        </w:rPr>
        <w:t>%；项目支出23538.19万元，占</w:t>
      </w:r>
      <w:r>
        <w:rPr>
          <w:rFonts w:hint="eastAsia" w:ascii="仿宋_GB2312" w:hAnsi="Times New Roman" w:eastAsia="仿宋_GB2312" w:cs="DengXian-Regular"/>
          <w:sz w:val="32"/>
          <w:szCs w:val="32"/>
          <w:lang w:val="en-US" w:eastAsia="zh-CN"/>
        </w:rPr>
        <w:t>92.61</w:t>
      </w:r>
      <w:r>
        <w:rPr>
          <w:rFonts w:hint="eastAsia" w:ascii="仿宋_GB2312" w:hAnsi="Times New Roman" w:eastAsia="仿宋_GB2312" w:cs="DengXian-Regular"/>
          <w:sz w:val="32"/>
          <w:szCs w:val="32"/>
        </w:rPr>
        <w:t>%。如图所示：</w:t>
      </w:r>
    </w:p>
    <w:p>
      <w:pPr>
        <w:adjustRightInd w:val="0"/>
        <w:snapToGrid w:val="0"/>
        <w:spacing w:line="580" w:lineRule="exact"/>
        <w:ind w:firstLine="2800" w:firstLineChars="1000"/>
        <w:rPr>
          <w:rFonts w:ascii="黑体" w:hAnsi="Calibri" w:eastAsia="黑体" w:cs="Times New Roman"/>
          <w:b/>
          <w:bCs/>
          <w:sz w:val="32"/>
          <w:szCs w:val="32"/>
        </w:rPr>
      </w:pPr>
      <w:r>
        <w:rPr>
          <w:rFonts w:hint="eastAsia" w:ascii="仿宋_GB2312" w:eastAsia="仿宋_GB2312" w:cs="DengXian-Regular"/>
          <w:sz w:val="28"/>
          <w:szCs w:val="28"/>
        </w:rPr>
        <w:t>图</w:t>
      </w:r>
      <w:r>
        <w:rPr>
          <w:rFonts w:hint="eastAsia" w:ascii="仿宋_GB2312" w:eastAsia="仿宋_GB2312" w:cs="DengXian-Regular"/>
          <w:sz w:val="28"/>
          <w:szCs w:val="28"/>
          <w:lang w:val="en-US" w:eastAsia="zh-CN"/>
        </w:rPr>
        <w:t>2</w:t>
      </w:r>
      <w:r>
        <w:rPr>
          <w:rFonts w:hint="eastAsia" w:ascii="仿宋_GB2312" w:eastAsia="仿宋_GB2312" w:cs="DengXian-Regular"/>
          <w:sz w:val="28"/>
          <w:szCs w:val="28"/>
        </w:rPr>
        <w:t>：</w:t>
      </w:r>
      <w:r>
        <w:rPr>
          <w:rFonts w:hint="eastAsia" w:ascii="仿宋_GB2312" w:hAnsi="Times New Roman" w:eastAsia="仿宋_GB2312" w:cs="DengXian-Regular"/>
          <w:sz w:val="28"/>
          <w:szCs w:val="28"/>
        </w:rPr>
        <w:t>支出构成情况（按支出性质）</w:t>
      </w:r>
      <w:r>
        <w:drawing>
          <wp:anchor distT="0" distB="0" distL="114300" distR="114300" simplePos="0" relativeHeight="251676672" behindDoc="0" locked="0" layoutInCell="1" allowOverlap="1">
            <wp:simplePos x="0" y="0"/>
            <wp:positionH relativeFrom="column">
              <wp:posOffset>1118870</wp:posOffset>
            </wp:positionH>
            <wp:positionV relativeFrom="paragraph">
              <wp:posOffset>235585</wp:posOffset>
            </wp:positionV>
            <wp:extent cx="3190875" cy="1847850"/>
            <wp:effectExtent l="4445" t="4445" r="5080" b="14605"/>
            <wp:wrapTopAndBottom/>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23.37万元,比2018年度增加</w:t>
      </w:r>
      <w:r>
        <w:rPr>
          <w:rFonts w:hint="eastAsia" w:ascii="仿宋_GB2312" w:hAnsi="Times New Roman" w:eastAsia="仿宋_GB2312" w:cs="DengXian-Regular"/>
          <w:sz w:val="32"/>
          <w:szCs w:val="32"/>
          <w:lang w:val="en-US" w:eastAsia="zh-CN"/>
        </w:rPr>
        <w:t>10536.14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83.04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；本年支出22328.19万元，增加</w:t>
      </w:r>
      <w:r>
        <w:rPr>
          <w:rFonts w:hint="eastAsia" w:ascii="仿宋_GB2312" w:hAnsi="Times New Roman" w:eastAsia="仿宋_GB2312" w:cs="DengXian-Regular"/>
          <w:sz w:val="32"/>
          <w:szCs w:val="32"/>
          <w:lang w:val="en-US" w:eastAsia="zh-CN"/>
        </w:rPr>
        <w:t>10880.36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95.04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一般公共预算财政拨款本年收入22423.37万元，比上年增加</w:t>
      </w:r>
      <w:r>
        <w:rPr>
          <w:rFonts w:hint="eastAsia" w:ascii="仿宋_GB2312" w:hAnsi="Times New Roman" w:eastAsia="仿宋_GB2312" w:cs="DengXian-Regular"/>
          <w:sz w:val="32"/>
          <w:szCs w:val="32"/>
          <w:lang w:val="en-US" w:eastAsia="zh-CN"/>
        </w:rPr>
        <w:t>9736.14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76.74%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；本年支出21528.19万元，比上年增加</w:t>
      </w:r>
      <w:r>
        <w:rPr>
          <w:rFonts w:hint="eastAsia" w:ascii="仿宋_GB2312" w:hAnsi="Times New Roman" w:eastAsia="仿宋_GB2312" w:cs="DengXian-Regular"/>
          <w:sz w:val="32"/>
          <w:szCs w:val="32"/>
          <w:lang w:val="en-US" w:eastAsia="zh-CN"/>
        </w:rPr>
        <w:t>10080.36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88.05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2018年</w:t>
      </w:r>
      <w:r>
        <w:rPr>
          <w:rFonts w:hint="eastAsia" w:ascii="仿宋_GB2312" w:hAnsi="Times New Roman" w:eastAsia="仿宋_GB2312" w:cs="DengXian-Regular"/>
          <w:sz w:val="32"/>
          <w:szCs w:val="32"/>
        </w:rPr>
        <w:t>政府性基金预算财政拨款</w:t>
      </w:r>
      <w:r>
        <w:rPr>
          <w:rFonts w:hint="eastAsia" w:ascii="仿宋_GB2312" w:hAnsi="Times New Roman" w:eastAsia="仿宋_GB2312" w:cs="DengXian-Regular"/>
          <w:sz w:val="32"/>
          <w:szCs w:val="32"/>
          <w:lang w:eastAsia="zh-CN"/>
        </w:rPr>
        <w:t>收入为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800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比上年增加</w:t>
      </w:r>
      <w:r>
        <w:rPr>
          <w:rFonts w:hint="eastAsia" w:ascii="仿宋_GB2312" w:hAnsi="Times New Roman" w:eastAsia="仿宋_GB2312" w:cs="DengXian-Regular"/>
          <w:sz w:val="32"/>
          <w:szCs w:val="32"/>
          <w:lang w:val="en-US" w:eastAsia="zh-CN"/>
        </w:rPr>
        <w:t>800万元，</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因机构改革与原商务局合并，商务局下属企业储备库外迁项目安排政府性基金支出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800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原因同上</w:t>
      </w:r>
      <w:r>
        <w:rPr>
          <w:rFonts w:hint="eastAsia" w:ascii="仿宋_GB2312" w:hAnsi="Times New Roman" w:eastAsia="仿宋_GB2312" w:cs="DengXian-Regular"/>
          <w:sz w:val="32"/>
          <w:szCs w:val="32"/>
        </w:rPr>
        <w:t>。</w:t>
      </w:r>
    </w:p>
    <w:p>
      <w:pPr>
        <w:adjustRightInd w:val="0"/>
        <w:snapToGrid w:val="0"/>
        <w:spacing w:line="560" w:lineRule="exact"/>
        <w:jc w:val="center"/>
        <w:rPr>
          <w:rFonts w:ascii="仿宋_GB2312" w:eastAsia="仿宋_GB2312" w:cs="DengXian-Regular"/>
          <w:sz w:val="28"/>
          <w:szCs w:val="28"/>
        </w:rPr>
      </w:pPr>
      <w:r>
        <w:drawing>
          <wp:anchor distT="0" distB="0" distL="114300" distR="114300" simplePos="0" relativeHeight="251677696" behindDoc="0" locked="0" layoutInCell="1" allowOverlap="1">
            <wp:simplePos x="0" y="0"/>
            <wp:positionH relativeFrom="column">
              <wp:posOffset>668020</wp:posOffset>
            </wp:positionH>
            <wp:positionV relativeFrom="paragraph">
              <wp:posOffset>105410</wp:posOffset>
            </wp:positionV>
            <wp:extent cx="4572000" cy="2743200"/>
            <wp:effectExtent l="4445" t="4445" r="14605" b="14605"/>
            <wp:wrapTopAndBottom/>
            <wp:docPr id="3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hint="eastAsia" w:ascii="仿宋_GB2312" w:eastAsia="仿宋_GB2312" w:cs="DengXian-Regular"/>
          <w:sz w:val="28"/>
          <w:szCs w:val="28"/>
        </w:rPr>
        <w:t>图3：201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adjustRightInd w:val="0"/>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23.37万元，完成年初预算的</w:t>
      </w:r>
      <w:r>
        <w:rPr>
          <w:rFonts w:hint="eastAsia" w:ascii="仿宋_GB2312" w:hAnsi="Times New Roman" w:eastAsia="仿宋_GB2312" w:cs="DengXian-Regular"/>
          <w:sz w:val="32"/>
          <w:szCs w:val="32"/>
          <w:lang w:val="en-US" w:eastAsia="zh-CN"/>
        </w:rPr>
        <w:t>500.37</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18582.12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；本年支出22328.19万元，完成年初预算的</w:t>
      </w:r>
      <w:r>
        <w:rPr>
          <w:rFonts w:hint="eastAsia" w:ascii="仿宋_GB2312" w:hAnsi="Times New Roman" w:eastAsia="仿宋_GB2312" w:cs="DengXian-Regular"/>
          <w:sz w:val="32"/>
          <w:szCs w:val="32"/>
          <w:lang w:val="en-US" w:eastAsia="zh-CN"/>
        </w:rPr>
        <w:t>481.08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17686.94</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483.13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17782.12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463.84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16886.94</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78720" behindDoc="0" locked="0" layoutInCell="1" allowOverlap="1">
            <wp:simplePos x="0" y="0"/>
            <wp:positionH relativeFrom="column">
              <wp:posOffset>427355</wp:posOffset>
            </wp:positionH>
            <wp:positionV relativeFrom="paragraph">
              <wp:posOffset>1713230</wp:posOffset>
            </wp:positionV>
            <wp:extent cx="4572000" cy="2863850"/>
            <wp:effectExtent l="4445" t="4445" r="14605" b="8255"/>
            <wp:wrapTopAndBottom/>
            <wp:docPr id="3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hint="eastAsia" w:ascii="仿宋_GB2312" w:hAnsi="Times New Roman" w:eastAsia="仿宋_GB2312" w:cs="DengXian-Regular"/>
          <w:sz w:val="32"/>
          <w:szCs w:val="32"/>
        </w:rPr>
        <w:t>政府性基金预算</w:t>
      </w:r>
      <w:r>
        <w:rPr>
          <w:rFonts w:hint="eastAsia" w:ascii="仿宋_GB2312" w:hAnsi="Times New Roman" w:eastAsia="仿宋_GB2312" w:cs="DengXian-Regular"/>
          <w:sz w:val="32"/>
          <w:szCs w:val="32"/>
          <w:lang w:eastAsia="zh-CN"/>
        </w:rPr>
        <w:t>年初预算为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财政拨款本年收入</w:t>
      </w:r>
      <w:r>
        <w:rPr>
          <w:rFonts w:hint="eastAsia" w:ascii="仿宋_GB2312" w:hAnsi="Times New Roman" w:eastAsia="仿宋_GB2312" w:cs="DengXian-Regular"/>
          <w:sz w:val="32"/>
          <w:szCs w:val="32"/>
          <w:lang w:val="en-US" w:eastAsia="zh-CN"/>
        </w:rPr>
        <w:t>800万元</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800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因机构改革与原商务局合并，商务局下属企业储备库外迁项目安排政府性基金支出</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800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主要原因同上</w:t>
      </w:r>
      <w:r>
        <w:rPr>
          <w:rFonts w:hint="eastAsia" w:ascii="仿宋_GB2312" w:hAnsi="Times New Roman" w:eastAsia="仿宋_GB2312" w:cs="DengXian-Regular"/>
          <w:sz w:val="32"/>
          <w:szCs w:val="32"/>
        </w:rPr>
        <w:t>。</w:t>
      </w:r>
    </w:p>
    <w:p>
      <w:pPr>
        <w:adjustRightInd w:val="0"/>
        <w:snapToGrid w:val="0"/>
        <w:spacing w:line="580" w:lineRule="exact"/>
        <w:ind w:firstLine="1920" w:firstLineChars="6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highlight w:val="none"/>
        </w:rPr>
        <w:t>图4：财政拨款收支预决算对比情况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年度财政拨款支出22328.19万元，主要用于以下方面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一般公共服务（类）支出4929.36万元，占</w:t>
      </w:r>
      <w:r>
        <w:rPr>
          <w:rFonts w:hint="eastAsia" w:ascii="仿宋_GB2312" w:hAnsi="Times New Roman" w:eastAsia="仿宋_GB2312" w:cs="DengXian-Regular"/>
          <w:sz w:val="32"/>
          <w:szCs w:val="32"/>
          <w:lang w:val="en-US" w:eastAsia="zh-CN"/>
        </w:rPr>
        <w:t>22.08</w:t>
      </w:r>
      <w:r>
        <w:rPr>
          <w:rFonts w:hint="eastAsia" w:ascii="仿宋_GB2312" w:hAnsi="Times New Roman" w:eastAsia="仿宋_GB2312" w:cs="DengXian-Regular"/>
          <w:sz w:val="32"/>
          <w:szCs w:val="32"/>
        </w:rPr>
        <w:t xml:space="preserve">%，；科学技术（类）支出650万元，占 </w:t>
      </w:r>
      <w:r>
        <w:rPr>
          <w:rFonts w:hint="eastAsia" w:ascii="仿宋_GB2312" w:hAnsi="Times New Roman" w:eastAsia="仿宋_GB2312" w:cs="DengXian-Regular"/>
          <w:sz w:val="32"/>
          <w:szCs w:val="32"/>
          <w:lang w:val="en-US" w:eastAsia="zh-CN"/>
        </w:rPr>
        <w:t>2.91</w:t>
      </w:r>
      <w:r>
        <w:rPr>
          <w:rFonts w:hint="eastAsia" w:ascii="仿宋_GB2312" w:hAnsi="Times New Roman" w:eastAsia="仿宋_GB2312" w:cs="DengXian-Regular"/>
          <w:sz w:val="32"/>
          <w:szCs w:val="32"/>
        </w:rPr>
        <w:t>%；社会保障和就业（类）支出165.15万元，占</w:t>
      </w:r>
      <w:r>
        <w:rPr>
          <w:rFonts w:hint="eastAsia" w:ascii="仿宋_GB2312" w:hAnsi="Times New Roman" w:eastAsia="仿宋_GB2312" w:cs="DengXian-Regular"/>
          <w:sz w:val="32"/>
          <w:szCs w:val="32"/>
          <w:lang w:val="en-US" w:eastAsia="zh-CN"/>
        </w:rPr>
        <w:t>0.74</w:t>
      </w:r>
      <w:r>
        <w:rPr>
          <w:rFonts w:hint="eastAsia" w:ascii="仿宋_GB2312" w:hAnsi="Times New Roman" w:eastAsia="仿宋_GB2312" w:cs="DengXian-Regular"/>
          <w:sz w:val="32"/>
          <w:szCs w:val="32"/>
        </w:rPr>
        <w:t>%；卫生健康支出68.5</w:t>
      </w:r>
      <w:r>
        <w:rPr>
          <w:rFonts w:hint="eastAsia" w:ascii="仿宋_GB2312" w:hAnsi="Times New Roman" w:eastAsia="仿宋_GB2312" w:cs="DengXian-Regular"/>
          <w:sz w:val="32"/>
          <w:szCs w:val="32"/>
          <w:lang w:eastAsia="zh-CN"/>
        </w:rPr>
        <w:t>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0.30</w:t>
      </w:r>
      <w:r>
        <w:rPr>
          <w:rFonts w:hint="eastAsia" w:ascii="仿宋_GB2312" w:hAnsi="Times New Roman" w:eastAsia="仿宋_GB2312" w:cs="DengXian-Regular"/>
          <w:sz w:val="32"/>
          <w:szCs w:val="32"/>
        </w:rPr>
        <w:t xml:space="preserve">%；节能环保支出381.19万元，占 </w:t>
      </w:r>
      <w:r>
        <w:rPr>
          <w:rFonts w:hint="eastAsia" w:ascii="仿宋_GB2312" w:hAnsi="Times New Roman" w:eastAsia="仿宋_GB2312" w:cs="DengXian-Regular"/>
          <w:sz w:val="32"/>
          <w:szCs w:val="32"/>
          <w:lang w:val="en-US" w:eastAsia="zh-CN"/>
        </w:rPr>
        <w:t>1.70</w:t>
      </w:r>
      <w:r>
        <w:rPr>
          <w:rFonts w:hint="eastAsia" w:ascii="仿宋_GB2312" w:hAnsi="Times New Roman" w:eastAsia="仿宋_GB2312" w:cs="DengXian-Regular"/>
          <w:sz w:val="32"/>
          <w:szCs w:val="32"/>
        </w:rPr>
        <w:t xml:space="preserve">%;城乡社区支出866.84万元，占 </w:t>
      </w:r>
      <w:r>
        <w:rPr>
          <w:rFonts w:hint="eastAsia" w:ascii="仿宋_GB2312" w:hAnsi="Times New Roman" w:eastAsia="仿宋_GB2312" w:cs="DengXian-Regular"/>
          <w:sz w:val="32"/>
          <w:szCs w:val="32"/>
          <w:lang w:val="en-US" w:eastAsia="zh-CN"/>
        </w:rPr>
        <w:t>3.88</w:t>
      </w:r>
      <w:r>
        <w:rPr>
          <w:rFonts w:hint="eastAsia" w:ascii="仿宋_GB2312" w:hAnsi="Times New Roman" w:eastAsia="仿宋_GB2312" w:cs="DengXian-Regular"/>
          <w:sz w:val="32"/>
          <w:szCs w:val="32"/>
        </w:rPr>
        <w:t xml:space="preserve">%;资源勘探信息等支出12268万元，占 </w:t>
      </w:r>
      <w:r>
        <w:rPr>
          <w:rFonts w:hint="eastAsia" w:ascii="仿宋_GB2312" w:hAnsi="Times New Roman" w:eastAsia="仿宋_GB2312" w:cs="DengXian-Regular"/>
          <w:sz w:val="32"/>
          <w:szCs w:val="32"/>
          <w:lang w:val="en-US" w:eastAsia="zh-CN"/>
        </w:rPr>
        <w:t>54.94</w:t>
      </w:r>
      <w:r>
        <w:rPr>
          <w:rFonts w:hint="eastAsia" w:ascii="仿宋_GB2312" w:hAnsi="Times New Roman" w:eastAsia="仿宋_GB2312" w:cs="DengXian-Regular"/>
          <w:sz w:val="32"/>
          <w:szCs w:val="32"/>
        </w:rPr>
        <w:t xml:space="preserve">%;商业服务业等支出1762.91万元，占 </w:t>
      </w:r>
      <w:r>
        <w:rPr>
          <w:rFonts w:hint="eastAsia" w:ascii="仿宋_GB2312" w:hAnsi="Times New Roman" w:eastAsia="仿宋_GB2312" w:cs="DengXian-Regular"/>
          <w:sz w:val="32"/>
          <w:szCs w:val="32"/>
          <w:lang w:val="en-US" w:eastAsia="zh-CN"/>
        </w:rPr>
        <w:t>7.90</w:t>
      </w:r>
      <w:r>
        <w:rPr>
          <w:rFonts w:hint="eastAsia" w:ascii="仿宋_GB2312" w:hAnsi="Times New Roman" w:eastAsia="仿宋_GB2312" w:cs="DengXian-Regular"/>
          <w:sz w:val="32"/>
          <w:szCs w:val="32"/>
        </w:rPr>
        <w:t xml:space="preserve">%;住房保障（类）支出58.96万元，占 </w:t>
      </w:r>
      <w:r>
        <w:rPr>
          <w:rFonts w:hint="eastAsia" w:ascii="仿宋_GB2312" w:hAnsi="Times New Roman" w:eastAsia="仿宋_GB2312" w:cs="DengXian-Regular"/>
          <w:sz w:val="32"/>
          <w:szCs w:val="32"/>
          <w:lang w:val="en-US" w:eastAsia="zh-CN"/>
        </w:rPr>
        <w:t>0.27</w:t>
      </w:r>
      <w:r>
        <w:rPr>
          <w:rFonts w:hint="eastAsia" w:ascii="仿宋_GB2312" w:hAnsi="Times New Roman" w:eastAsia="仿宋_GB2312" w:cs="DengXian-Regular"/>
          <w:sz w:val="32"/>
          <w:szCs w:val="32"/>
        </w:rPr>
        <w:t xml:space="preserve">%;粮油物资储备支出977.28万元，占 </w:t>
      </w:r>
      <w:r>
        <w:rPr>
          <w:rFonts w:hint="eastAsia" w:ascii="仿宋_GB2312" w:hAnsi="Times New Roman" w:eastAsia="仿宋_GB2312" w:cs="DengXian-Regular"/>
          <w:sz w:val="32"/>
          <w:szCs w:val="32"/>
          <w:lang w:val="en-US" w:eastAsia="zh-CN"/>
        </w:rPr>
        <w:t>4.38</w:t>
      </w:r>
      <w:r>
        <w:rPr>
          <w:rFonts w:hint="eastAsia" w:ascii="仿宋_GB2312" w:hAnsi="Times New Roman" w:eastAsia="仿宋_GB2312" w:cs="DengXian-Regular"/>
          <w:sz w:val="32"/>
          <w:szCs w:val="32"/>
        </w:rPr>
        <w:t>%;其他支出200万元，占</w:t>
      </w:r>
      <w:r>
        <w:rPr>
          <w:rFonts w:hint="eastAsia" w:ascii="仿宋_GB2312" w:hAnsi="Times New Roman" w:eastAsia="仿宋_GB2312" w:cs="DengXian-Regular"/>
          <w:sz w:val="32"/>
          <w:szCs w:val="32"/>
          <w:lang w:val="en-US" w:eastAsia="zh-CN"/>
        </w:rPr>
        <w:t>0.90</w:t>
      </w:r>
      <w:r>
        <w:rPr>
          <w:rFonts w:hint="eastAsia" w:ascii="仿宋_GB2312" w:hAnsi="Times New Roman" w:eastAsia="仿宋_GB2312" w:cs="DengXian-Regular"/>
          <w:sz w:val="32"/>
          <w:szCs w:val="32"/>
        </w:rPr>
        <w:t>%。</w:t>
      </w:r>
    </w:p>
    <w:p>
      <w:pPr>
        <w:adjustRightInd w:val="0"/>
        <w:snapToGrid w:val="0"/>
        <w:spacing w:after="160" w:line="560" w:lineRule="exact"/>
        <w:jc w:val="center"/>
        <w:rPr>
          <w:rFonts w:ascii="仿宋_GB2312" w:hAnsi="Times New Roman" w:eastAsia="仿宋_GB2312" w:cs="DengXian-Regular"/>
          <w:sz w:val="28"/>
          <w:szCs w:val="28"/>
        </w:rPr>
      </w:pPr>
      <w:r>
        <w:drawing>
          <wp:anchor distT="0" distB="0" distL="114300" distR="114300" simplePos="0" relativeHeight="251679744" behindDoc="0" locked="0" layoutInCell="1" allowOverlap="1">
            <wp:simplePos x="0" y="0"/>
            <wp:positionH relativeFrom="column">
              <wp:posOffset>586740</wp:posOffset>
            </wp:positionH>
            <wp:positionV relativeFrom="paragraph">
              <wp:posOffset>284480</wp:posOffset>
            </wp:positionV>
            <wp:extent cx="4752340" cy="2743200"/>
            <wp:effectExtent l="4445" t="4445" r="5715" b="14605"/>
            <wp:wrapTopAndBottom/>
            <wp:docPr id="3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28"/>
          <w:szCs w:val="28"/>
          <w:lang w:val="en-US" w:eastAsia="zh-CN"/>
        </w:rPr>
        <w:t xml:space="preserve">      </w:t>
      </w: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66751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45952;mso-width-relative:page;mso-height-relative:page;" fillcolor="#FFFFFF" filled="t" stroked="f" coordsize="21600,21600"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ABbU3i1AAAAAkBAAAPAAAAAAAAAAEAIAAAACIA&#10;AABkcnMvZG93bnJldi54bWxQSwECFAAUAAAACACHTuJA0sYNMUYCAABeBAAADgAAAAAAAAABACAA&#10;AAAjAQAAZHJzL2Uyb0RvYy54bWxQSwUGAAAAAAYABgBZAQAA2wUAAAAA&#10;">
                <v:fill on="t" focussize="0,0"/>
                <v:stroke on="f" weight="0.5pt"/>
                <v:imagedata o:title=""/>
                <o:lock v:ext="edit" aspectratio="f"/>
                <v:textbox>
                  <w:txbxContent>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1878.27万元，其中：人员经费1502.15万元，主要包括基本工资、津贴补贴、奖金、伙食补助费、绩效工资、机关事业单位基本养老保险缴费、职业年金缴费、职工基本医疗保险缴费、住房公积金、其他社会保障缴费、其他工资福利支出、离休费、退休费、抚恤金、生活补助、其他对个人和家庭的补助支出；公用经费 376.12万元，主要包括办公费、印刷费、咨询费、水费、电费、邮电费、取暖费、差旅费、维修（护）费、租赁费、公务接待费、劳务费、委托业务费、工会经费、福利费、公务用车运行维护费、其他交通费用、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本部门2019年度“三公”经费支出共计13.89万元，完成预算的</w:t>
      </w:r>
      <w:r>
        <w:rPr>
          <w:rFonts w:hint="eastAsia" w:ascii="仿宋_GB2312" w:hAnsi="Times New Roman" w:eastAsia="仿宋_GB2312" w:cs="DengXian-Regular"/>
          <w:sz w:val="32"/>
          <w:szCs w:val="32"/>
          <w:lang w:val="en-US" w:eastAsia="zh-CN"/>
        </w:rPr>
        <w:t>58.12</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41.88</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1.75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14.42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（二）公务用车购置及运行维护费支出9.86万元。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9.04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47.83</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w:t>
      </w:r>
      <w:r>
        <w:rPr>
          <w:rFonts w:hint="eastAsia" w:ascii="仿宋_GB2312" w:eastAsia="仿宋_GB2312" w:cs="DengXian-Regular"/>
          <w:sz w:val="32"/>
          <w:szCs w:val="32"/>
          <w:lang w:eastAsia="zh-CN"/>
        </w:rPr>
        <w:t>公务用车使用范围，</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；2019年度公务用车购置及运行维护费较上年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4.34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78.62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仿宋_GB2312" w:eastAsia="仿宋_GB2312" w:cs="DengXian-Regular"/>
          <w:sz w:val="32"/>
          <w:szCs w:val="32"/>
          <w:lang w:eastAsia="zh-CN"/>
        </w:rPr>
        <w:t>未发生“公务购置”经费支出，与年初预算持平。</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9.04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47.83</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w:t>
      </w:r>
      <w:r>
        <w:rPr>
          <w:rFonts w:hint="eastAsia" w:ascii="仿宋_GB2312" w:eastAsia="仿宋_GB2312" w:cs="DengXian-Regular"/>
          <w:sz w:val="32"/>
          <w:szCs w:val="32"/>
          <w:lang w:eastAsia="zh-CN"/>
        </w:rPr>
        <w:t>公务用车使用范围，</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；公车运行维护费支出较上年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4.34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78.62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单位机构改革</w:t>
      </w:r>
      <w:r>
        <w:rPr>
          <w:rFonts w:hint="eastAsia" w:ascii="仿宋_GB2312" w:hAnsi="Times New Roman" w:eastAsia="仿宋_GB2312" w:cs="DengXian-Regular"/>
          <w:sz w:val="32"/>
          <w:szCs w:val="32"/>
          <w:lang w:val="en-US" w:eastAsia="zh-CN"/>
        </w:rPr>
        <w:t>2019年决算与原商务局2019年决算合并</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4.03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highlight w:val="none"/>
          <w:lang w:val="en-US" w:eastAsia="zh-CN"/>
        </w:rPr>
        <w:t>22</w:t>
      </w:r>
      <w:r>
        <w:rPr>
          <w:rFonts w:hint="eastAsia" w:ascii="仿宋_GB2312" w:hAnsi="Times New Roman" w:eastAsia="仿宋_GB2312" w:cs="DengXian-Regular"/>
          <w:sz w:val="32"/>
          <w:szCs w:val="32"/>
          <w:highlight w:val="none"/>
        </w:rPr>
        <w:t>批次、</w:t>
      </w:r>
      <w:r>
        <w:rPr>
          <w:rFonts w:hint="eastAsia" w:ascii="仿宋_GB2312" w:hAnsi="Times New Roman" w:eastAsia="仿宋_GB2312" w:cs="DengXian-Regular"/>
          <w:sz w:val="32"/>
          <w:szCs w:val="32"/>
          <w:highlight w:val="none"/>
          <w:lang w:val="en-US" w:eastAsia="zh-CN"/>
        </w:rPr>
        <w:t>448</w:t>
      </w:r>
      <w:r>
        <w:rPr>
          <w:rFonts w:hint="eastAsia" w:ascii="仿宋_GB2312" w:hAnsi="Times New Roman" w:eastAsia="仿宋_GB2312" w:cs="DengXian-Regular"/>
          <w:sz w:val="32"/>
          <w:szCs w:val="32"/>
          <w:highlight w:val="none"/>
        </w:rPr>
        <w:t>人次。</w:t>
      </w:r>
      <w:r>
        <w:rPr>
          <w:rFonts w:hint="eastAsia" w:ascii="仿宋_GB2312" w:hAnsi="Times New Roman" w:eastAsia="仿宋_GB2312" w:cs="DengXian-Regular"/>
          <w:sz w:val="32"/>
          <w:szCs w:val="32"/>
        </w:rPr>
        <w:t>公务接待费支出较预算减少</w:t>
      </w:r>
      <w:r>
        <w:rPr>
          <w:rFonts w:hint="eastAsia" w:ascii="仿宋_GB2312" w:hAnsi="Times New Roman" w:eastAsia="仿宋_GB2312" w:cs="DengXian-Regular"/>
          <w:sz w:val="32"/>
          <w:szCs w:val="32"/>
          <w:lang w:val="en-US" w:eastAsia="zh-CN"/>
        </w:rPr>
        <w:t>0.97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19.4</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w:t>
      </w:r>
      <w:r>
        <w:rPr>
          <w:rFonts w:hint="eastAsia" w:ascii="仿宋_GB2312" w:eastAsia="仿宋_GB2312" w:cs="DengXian-Regular"/>
          <w:sz w:val="32"/>
          <w:szCs w:val="32"/>
          <w:lang w:eastAsia="zh-CN"/>
        </w:rPr>
        <w:t>公务接待范围和接待标准，</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；公务接待费支出较上年度减少</w:t>
      </w:r>
      <w:r>
        <w:rPr>
          <w:rFonts w:hint="eastAsia" w:ascii="仿宋_GB2312" w:hAnsi="Times New Roman" w:eastAsia="仿宋_GB2312" w:cs="DengXian-Regular"/>
          <w:sz w:val="32"/>
          <w:szCs w:val="32"/>
          <w:lang w:val="en-US" w:eastAsia="zh-CN"/>
        </w:rPr>
        <w:t>2.59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39.12</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w:t>
      </w:r>
      <w:r>
        <w:rPr>
          <w:rFonts w:hint="eastAsia" w:ascii="仿宋_GB2312" w:eastAsia="仿宋_GB2312" w:cs="DengXian-Regular"/>
          <w:sz w:val="32"/>
          <w:szCs w:val="32"/>
          <w:lang w:eastAsia="zh-CN"/>
        </w:rPr>
        <w:t>公务接待范围和接待标准，</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10150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51.65%</w:t>
      </w:r>
      <w:r>
        <w:rPr>
          <w:rFonts w:hint="eastAsia" w:ascii="仿宋_GB2312" w:hAnsi="仿宋_GB2312" w:eastAsia="仿宋_GB2312" w:cs="仿宋_GB2312"/>
          <w:sz w:val="32"/>
          <w:szCs w:val="32"/>
        </w:rPr>
        <w:t>。组织对“2019年省战略性新兴产业发展(乳制品加工能力建设)专项资金”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“2019年省第三批级战略性新兴产业发展专项资金”等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8500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本部门在今年部门决算公开中反映2019年省战略性新兴产业发展(乳制品加工能力建设)项目及2019年省第三批级战略性新兴产业发展</w:t>
      </w:r>
      <w:r>
        <w:rPr>
          <w:rFonts w:hint="eastAsia" w:ascii="仿宋_GB2312" w:hAnsi="仿宋_GB2312" w:eastAsia="仿宋_GB2312" w:cs="仿宋_GB2312"/>
          <w:sz w:val="32"/>
          <w:szCs w:val="32"/>
          <w:lang w:eastAsia="zh-CN"/>
        </w:rPr>
        <w:t>专项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2019年省战略性新兴产业发展(乳制品加工能力建设)项目自评综述：根据年初设定的绩效目标，2019年省战略性新兴产业发展(乳制品加工能力建设)项目绩效自评</w:t>
      </w:r>
      <w:r>
        <w:rPr>
          <w:rFonts w:hint="eastAsia" w:ascii="仿宋_GB2312" w:hAnsi="仿宋_GB2312" w:eastAsia="仿宋_GB2312" w:cs="仿宋_GB2312"/>
          <w:sz w:val="32"/>
          <w:szCs w:val="32"/>
          <w:lang w:eastAsia="zh-CN"/>
        </w:rPr>
        <w:t>结果</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优秀</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3500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3500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实现年产2.2万吨奶粉生产能力；二是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新增婴幼儿配方奶粉三个品项，实现科技成果转化等成果。项目达产后，正常年销售收入达10亿元。</w:t>
      </w:r>
    </w:p>
    <w:p>
      <w:pPr>
        <w:numPr>
          <w:ilvl w:val="0"/>
          <w:numId w:val="4"/>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2019年省第三批级战略性新兴产业发展</w:t>
      </w:r>
      <w:r>
        <w:rPr>
          <w:rFonts w:hint="eastAsia" w:ascii="仿宋_GB2312" w:hAnsi="仿宋_GB2312" w:eastAsia="仿宋_GB2312" w:cs="仿宋_GB2312"/>
          <w:sz w:val="32"/>
          <w:szCs w:val="32"/>
          <w:lang w:eastAsia="zh-CN"/>
        </w:rPr>
        <w:t>专项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2019年省第三批级战略性新兴产业发展</w:t>
      </w:r>
      <w:r>
        <w:rPr>
          <w:rFonts w:hint="eastAsia" w:ascii="仿宋_GB2312" w:hAnsi="仿宋_GB2312" w:eastAsia="仿宋_GB2312" w:cs="仿宋_GB2312"/>
          <w:sz w:val="32"/>
          <w:szCs w:val="32"/>
          <w:lang w:eastAsia="zh-CN"/>
        </w:rPr>
        <w:t>专项</w:t>
      </w:r>
      <w:r>
        <w:rPr>
          <w:rFonts w:hint="eastAsia" w:ascii="仿宋_GB2312" w:hAnsi="仿宋_GB2312" w:eastAsia="仿宋_GB2312" w:cs="仿宋_GB2312"/>
          <w:sz w:val="32"/>
          <w:szCs w:val="32"/>
        </w:rPr>
        <w:t>项目绩效自评</w:t>
      </w:r>
      <w:r>
        <w:rPr>
          <w:rFonts w:hint="eastAsia" w:ascii="仿宋_GB2312" w:hAnsi="仿宋_GB2312" w:eastAsia="仿宋_GB2312" w:cs="仿宋_GB2312"/>
          <w:sz w:val="32"/>
          <w:szCs w:val="32"/>
          <w:lang w:eastAsia="zh-CN"/>
        </w:rPr>
        <w:t>结果</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优秀</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5500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90.91%。</w:t>
      </w:r>
      <w:r>
        <w:rPr>
          <w:rFonts w:hint="eastAsia" w:ascii="仿宋_GB2312" w:eastAsia="仿宋_GB2312" w:cs="DengXian-Regular"/>
          <w:sz w:val="32"/>
          <w:szCs w:val="32"/>
        </w:rPr>
        <w:t>主要产出和效果是</w:t>
      </w:r>
      <w:r>
        <w:rPr>
          <w:rFonts w:hint="eastAsia" w:ascii="仿宋_GB2312" w:hAnsi="仿宋_GB2312" w:eastAsia="仿宋_GB2312" w:cs="仿宋_GB2312"/>
          <w:sz w:val="32"/>
          <w:szCs w:val="32"/>
          <w:lang w:val="en-US" w:eastAsia="zh-CN"/>
        </w:rPr>
        <w:t>高技术产业化及应用示范项目1个500万元，是石家庄科林电气股份有限公司配电自动化系统一二次融合技术研究及其产业化项目，改造生产车间9000平米，购置工频耐压试验测试仪等软硬件设备289台（套）建成自动化生产线6条。科技成果产业化项目3个共5000万元，分别是1.河北普兴电子科技股份有限公司FRD用8英寸硅外延片扩产项目2000万元，项目建成后，形成年产FRD用8英寸硅外延片57万片生产能力；2.河北中瓷电子科技有限公司表巾型电子陶瓷封装生产线建设项目二期2000万元，项目建成后，形成年产18.8亿只表贴型电子陶瓷封装产品的生产能力；3.河北神舟卫星通信股份有限公司卫星通信产业化项目1000万元，项目建成后形成年产各类通信终端5000套、模块30000块的生产能力。</w:t>
      </w:r>
    </w:p>
    <w:p>
      <w:pPr>
        <w:numPr>
          <w:ilvl w:val="0"/>
          <w:numId w:val="2"/>
        </w:numPr>
        <w:adjustRightInd w:val="0"/>
        <w:snapToGrid w:val="0"/>
        <w:spacing w:line="580" w:lineRule="exact"/>
        <w:ind w:left="0" w:leftChars="0"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（无绩效评价表）。</w:t>
      </w:r>
    </w:p>
    <w:p>
      <w:pPr>
        <w:numPr>
          <w:ilvl w:val="0"/>
          <w:numId w:val="0"/>
        </w:numPr>
        <w:adjustRightInd w:val="0"/>
        <w:snapToGrid w:val="0"/>
        <w:spacing w:line="580" w:lineRule="exact"/>
        <w:ind w:left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val="en-US" w:eastAsia="zh-CN"/>
        </w:rPr>
        <w:t xml:space="preserve"> ⑴</w:t>
      </w:r>
      <w:r>
        <w:rPr>
          <w:rFonts w:hint="eastAsia" w:ascii="仿宋_GB2312" w:hAnsi="仿宋_GB2312" w:eastAsia="仿宋_GB2312" w:cs="仿宋_GB2312"/>
          <w:b w:val="0"/>
          <w:bCs w:val="0"/>
          <w:sz w:val="32"/>
          <w:szCs w:val="32"/>
          <w:lang w:val="en-US" w:eastAsia="zh-CN"/>
        </w:rPr>
        <w:t>鹿泉区智慧城市</w:t>
      </w:r>
      <w:r>
        <w:rPr>
          <w:rFonts w:hint="eastAsia" w:ascii="仿宋_GB2312" w:hAnsi="仿宋_GB2312" w:eastAsia="仿宋_GB2312" w:cs="仿宋_GB2312"/>
          <w:b w:val="0"/>
          <w:bCs w:val="0"/>
          <w:sz w:val="32"/>
          <w:szCs w:val="32"/>
          <w:lang w:eastAsia="zh-CN"/>
        </w:rPr>
        <w:t>项目。</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default" w:ascii="Calibri" w:hAnsi="Calibri" w:eastAsia="楷体_GB2312" w:cs="Calibri"/>
          <w:b w:val="0"/>
          <w:bCs w:val="0"/>
          <w:sz w:val="32"/>
          <w:szCs w:val="32"/>
          <w:lang w:val="en-US" w:eastAsia="zh-CN"/>
        </w:rPr>
        <w:t>①</w:t>
      </w:r>
      <w:r>
        <w:rPr>
          <w:rFonts w:hint="eastAsia" w:ascii="楷体_GB2312" w:hAnsi="楷体_GB2312" w:eastAsia="楷体_GB2312" w:cs="楷体_GB2312"/>
          <w:b w:val="0"/>
          <w:bCs w:val="0"/>
          <w:sz w:val="32"/>
          <w:szCs w:val="32"/>
          <w:lang w:val="en-US" w:eastAsia="zh-CN"/>
        </w:rPr>
        <w:t>项目投入</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立项情况分析。经审查该项目</w:t>
      </w: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、绩效目标合理性和绩效指标明确。</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资金落实情况分析。该项目为2018年区政府招标建设项目，总投资12822万元，截至</w:t>
      </w:r>
      <w:bookmarkStart w:id="0" w:name="_GoBack"/>
      <w:bookmarkEnd w:id="0"/>
      <w:r>
        <w:rPr>
          <w:rFonts w:hint="eastAsia" w:ascii="仿宋_GB2312" w:eastAsia="仿宋_GB2312"/>
          <w:b w:val="0"/>
          <w:bCs w:val="0"/>
          <w:sz w:val="32"/>
          <w:szCs w:val="32"/>
          <w:lang w:val="en-US" w:eastAsia="zh-CN"/>
        </w:rPr>
        <w:t>目前财政资金只安排支付了7021万元，剩余5801万元未支付。</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default" w:ascii="Calibri" w:hAnsi="Calibri" w:eastAsia="楷体_GB2312" w:cs="Calibri"/>
          <w:b w:val="0"/>
          <w:bCs w:val="0"/>
          <w:sz w:val="32"/>
          <w:szCs w:val="32"/>
          <w:lang w:val="en-US" w:eastAsia="zh-CN"/>
        </w:rPr>
        <w:t>②</w:t>
      </w:r>
      <w:r>
        <w:rPr>
          <w:rFonts w:hint="eastAsia" w:ascii="楷体_GB2312" w:hAnsi="楷体_GB2312" w:eastAsia="楷体_GB2312" w:cs="楷体_GB2312"/>
          <w:b w:val="0"/>
          <w:bCs w:val="0"/>
          <w:sz w:val="32"/>
          <w:szCs w:val="32"/>
          <w:lang w:val="en-US" w:eastAsia="zh-CN"/>
        </w:rPr>
        <w:t>项目实施过程</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业务管理情况分析。该项目在设计、立项、可研和PPP实施方案中详细约定了管理制度健全性、制度执行有效性和项目质量可控性等情况。</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财务管理。经审查该项目管理制度健全、资金使用合规和财务监控有效。</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default" w:ascii="Calibri" w:hAnsi="Calibri" w:eastAsia="楷体_GB2312" w:cs="Calibri"/>
          <w:b w:val="0"/>
          <w:bCs w:val="0"/>
          <w:sz w:val="32"/>
          <w:szCs w:val="32"/>
          <w:lang w:val="en-US" w:eastAsia="zh-CN"/>
        </w:rPr>
        <w:t>③</w:t>
      </w:r>
      <w:r>
        <w:rPr>
          <w:rFonts w:hint="eastAsia" w:ascii="楷体_GB2312" w:hAnsi="楷体_GB2312" w:eastAsia="楷体_GB2312" w:cs="楷体_GB2312"/>
          <w:b w:val="0"/>
          <w:bCs w:val="0"/>
          <w:sz w:val="32"/>
          <w:szCs w:val="32"/>
          <w:lang w:val="en-US" w:eastAsia="zh-CN"/>
        </w:rPr>
        <w:t>项目产出</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经审查，该项目区政府招标部门已按时完工，完工及时率为100%，项目建设已通过专家评审。</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default" w:ascii="Calibri" w:hAnsi="Calibri" w:eastAsia="楷体_GB2312" w:cs="Calibri"/>
          <w:b w:val="0"/>
          <w:bCs w:val="0"/>
          <w:sz w:val="32"/>
          <w:szCs w:val="32"/>
          <w:lang w:val="en-US" w:eastAsia="zh-CN"/>
        </w:rPr>
        <w:t>④</w:t>
      </w:r>
      <w:r>
        <w:rPr>
          <w:rFonts w:hint="eastAsia" w:ascii="楷体_GB2312" w:hAnsi="楷体_GB2312" w:eastAsia="楷体_GB2312" w:cs="楷体_GB2312"/>
          <w:b w:val="0"/>
          <w:bCs w:val="0"/>
          <w:sz w:val="32"/>
          <w:szCs w:val="32"/>
          <w:lang w:val="en-US" w:eastAsia="zh-CN"/>
        </w:rPr>
        <w:t>项目效果</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hAnsi="仿宋_GB2312" w:eastAsia="仿宋_GB2312" w:cs="仿宋_GB2312"/>
          <w:sz w:val="32"/>
          <w:szCs w:val="32"/>
          <w:lang w:eastAsia="zh-CN"/>
        </w:rPr>
      </w:pPr>
      <w:r>
        <w:rPr>
          <w:rFonts w:hint="eastAsia" w:ascii="仿宋_GB2312" w:eastAsia="仿宋_GB2312"/>
          <w:b w:val="0"/>
          <w:bCs w:val="0"/>
          <w:sz w:val="32"/>
          <w:szCs w:val="32"/>
          <w:lang w:val="en-US" w:eastAsia="zh-CN"/>
        </w:rPr>
        <w:t>经审查该项目</w:t>
      </w:r>
      <w:r>
        <w:rPr>
          <w:rFonts w:hint="eastAsia" w:ascii="仿宋_GB2312" w:hAnsi="仿宋_GB2312" w:eastAsia="仿宋_GB2312" w:cs="仿宋_GB2312"/>
          <w:snapToGrid w:val="0"/>
          <w:sz w:val="32"/>
          <w:szCs w:val="32"/>
        </w:rPr>
        <w:t>内部收益率、投资回收期、总投资收益率三项财务评价指标均优于行业基准值</w:t>
      </w:r>
      <w:r>
        <w:rPr>
          <w:rFonts w:hint="eastAsia" w:ascii="仿宋_GB2312" w:hAnsi="仿宋_GB2312" w:eastAsia="仿宋_GB2312" w:cs="仿宋_GB2312"/>
          <w:snapToGrid w:val="0"/>
          <w:sz w:val="32"/>
          <w:szCs w:val="32"/>
          <w:lang w:eastAsia="zh-CN"/>
        </w:rPr>
        <w:t>，</w:t>
      </w:r>
      <w:r>
        <w:rPr>
          <w:rFonts w:hint="eastAsia" w:ascii="仿宋_GB2312" w:hAnsi="仿宋_GB2312" w:eastAsia="仿宋_GB2312" w:cs="仿宋_GB2312"/>
          <w:snapToGrid w:val="0"/>
          <w:sz w:val="32"/>
          <w:szCs w:val="32"/>
        </w:rPr>
        <w:t>项目经济效益良好</w:t>
      </w:r>
      <w:r>
        <w:rPr>
          <w:rFonts w:hint="eastAsia" w:ascii="仿宋_GB2312" w:hAnsi="仿宋_GB2312" w:eastAsia="仿宋_GB2312" w:cs="仿宋_GB2312"/>
          <w:snapToGrid w:val="0"/>
          <w:sz w:val="32"/>
          <w:szCs w:val="32"/>
          <w:lang w:eastAsia="zh-CN"/>
        </w:rPr>
        <w:t>。</w:t>
      </w:r>
      <w:r>
        <w:rPr>
          <w:rFonts w:hint="eastAsia" w:ascii="仿宋_GB2312" w:hAnsi="仿宋_GB2312" w:eastAsia="仿宋_GB2312" w:cs="仿宋_GB2312"/>
          <w:snapToGrid w:val="0"/>
          <w:sz w:val="32"/>
          <w:szCs w:val="32"/>
          <w:lang w:val="en-US" w:eastAsia="zh-CN"/>
        </w:rPr>
        <w:t>在公共服务均等化、整合城市资源和提升城市公共服务管理水平方面，</w:t>
      </w:r>
      <w:r>
        <w:rPr>
          <w:rFonts w:hint="eastAsia" w:ascii="仿宋_GB2312" w:hAnsi="仿宋_GB2312" w:eastAsia="仿宋_GB2312" w:cs="仿宋_GB2312"/>
          <w:sz w:val="32"/>
          <w:szCs w:val="32"/>
        </w:rPr>
        <w:t>具有广泛的社会意义、工程示范效应和推广价值</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⑤</w:t>
      </w:r>
      <w:r>
        <w:rPr>
          <w:rFonts w:hint="eastAsia" w:ascii="仿宋_GB2312" w:hAnsi="仿宋_GB2312" w:eastAsia="仿宋_GB2312" w:cs="仿宋_GB2312"/>
          <w:b w:val="0"/>
          <w:bCs w:val="0"/>
          <w:sz w:val="32"/>
          <w:szCs w:val="32"/>
          <w:lang w:val="en-US" w:eastAsia="zh-CN"/>
        </w:rPr>
        <w:t>项目综合评价结论和评价等级</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cs="黑体"/>
          <w:b w:val="0"/>
          <w:bCs w:val="0"/>
          <w:sz w:val="32"/>
          <w:szCs w:val="32"/>
          <w:lang w:val="en-US" w:eastAsia="zh-CN"/>
        </w:rPr>
        <w:t>⑥</w:t>
      </w:r>
      <w:r>
        <w:rPr>
          <w:rFonts w:hint="eastAsia" w:ascii="仿宋_GB2312" w:hAnsi="仿宋_GB2312" w:eastAsia="仿宋_GB2312" w:cs="仿宋_GB2312"/>
          <w:b w:val="0"/>
          <w:bCs w:val="0"/>
          <w:sz w:val="32"/>
          <w:szCs w:val="32"/>
          <w:lang w:val="en-US" w:eastAsia="zh-CN"/>
        </w:rPr>
        <w:t>存在的问题及改进措施</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leftChars="0"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b w:val="0"/>
          <w:bCs w:val="0"/>
          <w:sz w:val="32"/>
          <w:szCs w:val="32"/>
          <w:lang w:val="en-US" w:eastAsia="zh-CN"/>
        </w:rPr>
        <w:t>项目存在的主要问题：</w:t>
      </w:r>
      <w:r>
        <w:rPr>
          <w:rFonts w:hint="eastAsia" w:ascii="仿宋_GB2312" w:hAnsi="仿宋_GB2312" w:eastAsia="仿宋_GB2312" w:cs="仿宋_GB2312"/>
          <w:sz w:val="32"/>
          <w:szCs w:val="32"/>
          <w:lang w:val="en-US" w:eastAsia="zh-CN"/>
        </w:rPr>
        <w:t>社会资本方尚未到位，导致项目按建设计划推进不快。</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lang w:val="en-US" w:eastAsia="zh-CN"/>
        </w:rPr>
      </w:pPr>
      <w:r>
        <w:rPr>
          <w:rFonts w:hint="eastAsia" w:ascii="楷体_GB2312" w:hAnsi="楷体_GB2312" w:eastAsia="楷体_GB2312"/>
          <w:b w:val="0"/>
          <w:bCs w:val="0"/>
          <w:sz w:val="32"/>
          <w:szCs w:val="32"/>
          <w:lang w:val="en-US" w:eastAsia="zh-CN"/>
        </w:rPr>
        <w:t xml:space="preserve">    针对问题提出具体的改进措施或建议：</w:t>
      </w:r>
      <w:r>
        <w:rPr>
          <w:rFonts w:hint="eastAsia" w:ascii="仿宋_GB2312" w:hAnsi="仿宋_GB2312" w:eastAsia="仿宋_GB2312" w:cs="仿宋_GB2312"/>
          <w:sz w:val="32"/>
          <w:szCs w:val="32"/>
          <w:lang w:val="en-US" w:eastAsia="zh-CN"/>
        </w:rPr>
        <w:t>加快与社会资本方的谈判，保证项目正常建设</w:t>
      </w:r>
      <w:r>
        <w:rPr>
          <w:rFonts w:hint="eastAsia" w:hAnsi="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bCs/>
          <w:sz w:val="32"/>
          <w:szCs w:val="32"/>
          <w:lang w:val="en-US" w:eastAsia="zh-CN"/>
        </w:rPr>
        <w:t>⑵</w:t>
      </w:r>
      <w:r>
        <w:rPr>
          <w:rFonts w:hint="eastAsia" w:ascii="仿宋_GB2312" w:hAnsi="仿宋_GB2312" w:eastAsia="仿宋_GB2312" w:cs="仿宋_GB2312"/>
          <w:b w:val="0"/>
          <w:bCs w:val="0"/>
          <w:sz w:val="32"/>
          <w:szCs w:val="32"/>
        </w:rPr>
        <w:t>石家庄鹿泉区省级粮食储备库整体置换外迁项目</w:t>
      </w:r>
    </w:p>
    <w:p>
      <w:pPr>
        <w:ind w:firstLine="640" w:firstLineChars="200"/>
        <w:rPr>
          <w:rFonts w:ascii="仿宋_GB2312" w:eastAsia="仿宋_GB2312" w:cs="Times New Roman"/>
          <w:sz w:val="32"/>
          <w:szCs w:val="32"/>
        </w:rPr>
      </w:pPr>
      <w:r>
        <w:rPr>
          <w:rFonts w:hint="eastAsia" w:ascii="仿宋_GB2312" w:eastAsia="仿宋_GB2312" w:cs="仿宋_GB2312"/>
          <w:sz w:val="32"/>
          <w:szCs w:val="32"/>
        </w:rPr>
        <w:t>石家庄鹿泉区省级粮食储备库始建于</w:t>
      </w:r>
      <w:r>
        <w:rPr>
          <w:rFonts w:ascii="仿宋_GB2312" w:eastAsia="仿宋_GB2312" w:cs="仿宋_GB2312"/>
          <w:sz w:val="32"/>
          <w:szCs w:val="32"/>
        </w:rPr>
        <w:t>1953</w:t>
      </w:r>
      <w:r>
        <w:rPr>
          <w:rFonts w:hint="eastAsia" w:ascii="仿宋_GB2312" w:eastAsia="仿宋_GB2312" w:cs="仿宋_GB2312"/>
          <w:sz w:val="32"/>
          <w:szCs w:val="32"/>
        </w:rPr>
        <w:t>年，性质为国有独资公司，是区内唯一一家国有粮食收储企业。</w:t>
      </w:r>
      <w:r>
        <w:rPr>
          <w:rFonts w:hint="eastAsia" w:ascii="仿宋_GB2312" w:hAnsi="宋体" w:eastAsia="仿宋_GB2312" w:cs="仿宋_GB2312"/>
          <w:sz w:val="32"/>
          <w:szCs w:val="32"/>
        </w:rPr>
        <w:t>项目选址位于鹿泉区黄壁庄镇，规划占地</w:t>
      </w:r>
      <w:r>
        <w:rPr>
          <w:rFonts w:ascii="仿宋_GB2312" w:hAnsi="宋体" w:eastAsia="仿宋_GB2312" w:cs="仿宋_GB2312"/>
          <w:sz w:val="32"/>
          <w:szCs w:val="32"/>
        </w:rPr>
        <w:t>82299.8</w:t>
      </w:r>
      <w:r>
        <w:rPr>
          <w:rFonts w:hint="eastAsia" w:ascii="仿宋_GB2312" w:hAnsi="宋体" w:eastAsia="仿宋_GB2312" w:cs="仿宋_GB2312"/>
          <w:sz w:val="32"/>
          <w:szCs w:val="32"/>
        </w:rPr>
        <w:t>平方米。建设内容为</w:t>
      </w:r>
      <w:r>
        <w:rPr>
          <w:rFonts w:ascii="仿宋_GB2312" w:hAnsi="宋体" w:eastAsia="仿宋_GB2312" w:cs="仿宋_GB2312"/>
          <w:sz w:val="32"/>
          <w:szCs w:val="32"/>
        </w:rPr>
        <w:t>10</w:t>
      </w:r>
      <w:r>
        <w:rPr>
          <w:rFonts w:hint="eastAsia" w:ascii="仿宋_GB2312" w:hAnsi="宋体" w:eastAsia="仿宋_GB2312" w:cs="仿宋_GB2312"/>
          <w:sz w:val="32"/>
          <w:szCs w:val="32"/>
        </w:rPr>
        <w:t>栋标准房式仓以及磅房、食堂、质检、化验等相关设施，总仓容达</w:t>
      </w:r>
      <w:r>
        <w:rPr>
          <w:rFonts w:ascii="仿宋_GB2312" w:hAnsi="宋体" w:eastAsia="仿宋_GB2312" w:cs="仿宋_GB2312"/>
          <w:sz w:val="32"/>
          <w:szCs w:val="32"/>
        </w:rPr>
        <w:t>11</w:t>
      </w:r>
      <w:r>
        <w:rPr>
          <w:rFonts w:hint="eastAsia" w:ascii="仿宋_GB2312" w:hAnsi="宋体" w:eastAsia="仿宋_GB2312" w:cs="仿宋_GB2312"/>
          <w:sz w:val="32"/>
          <w:szCs w:val="32"/>
        </w:rPr>
        <w:t>万吨。于</w:t>
      </w:r>
      <w:r>
        <w:rPr>
          <w:rFonts w:ascii="仿宋_GB2312" w:hAnsi="宋体" w:eastAsia="仿宋_GB2312" w:cs="仿宋_GB2312"/>
          <w:sz w:val="32"/>
          <w:szCs w:val="32"/>
        </w:rPr>
        <w:t>2016</w:t>
      </w:r>
      <w:r>
        <w:rPr>
          <w:rFonts w:hint="eastAsia" w:ascii="仿宋_GB2312" w:hAnsi="宋体" w:eastAsia="仿宋_GB2312" w:cs="仿宋_GB2312"/>
          <w:sz w:val="32"/>
          <w:szCs w:val="32"/>
        </w:rPr>
        <w:t>年</w:t>
      </w:r>
      <w:r>
        <w:rPr>
          <w:rFonts w:ascii="仿宋_GB2312" w:hAnsi="宋体" w:eastAsia="仿宋_GB2312" w:cs="仿宋_GB2312"/>
          <w:sz w:val="32"/>
          <w:szCs w:val="32"/>
        </w:rPr>
        <w:t>6</w:t>
      </w:r>
      <w:r>
        <w:rPr>
          <w:rFonts w:hint="eastAsia" w:ascii="仿宋_GB2312" w:hAnsi="宋体" w:eastAsia="仿宋_GB2312" w:cs="仿宋_GB2312"/>
          <w:sz w:val="32"/>
          <w:szCs w:val="32"/>
        </w:rPr>
        <w:t>月开始建设，</w:t>
      </w:r>
      <w:r>
        <w:rPr>
          <w:rFonts w:ascii="仿宋_GB2312" w:hAnsi="宋体" w:eastAsia="仿宋_GB2312" w:cs="仿宋_GB2312"/>
          <w:sz w:val="32"/>
          <w:szCs w:val="32"/>
        </w:rPr>
        <w:t>2018</w:t>
      </w:r>
      <w:r>
        <w:rPr>
          <w:rFonts w:hint="eastAsia" w:ascii="仿宋_GB2312" w:hAnsi="宋体" w:eastAsia="仿宋_GB2312" w:cs="仿宋_GB2312"/>
          <w:sz w:val="32"/>
          <w:szCs w:val="32"/>
        </w:rPr>
        <w:t>年</w:t>
      </w:r>
      <w:r>
        <w:rPr>
          <w:rFonts w:ascii="仿宋_GB2312" w:hAnsi="宋体" w:eastAsia="仿宋_GB2312" w:cs="仿宋_GB2312"/>
          <w:sz w:val="32"/>
          <w:szCs w:val="32"/>
        </w:rPr>
        <w:t>10</w:t>
      </w:r>
      <w:r>
        <w:rPr>
          <w:rFonts w:hint="eastAsia" w:ascii="仿宋_GB2312" w:hAnsi="宋体" w:eastAsia="仿宋_GB2312" w:cs="仿宋_GB2312"/>
          <w:sz w:val="32"/>
          <w:szCs w:val="32"/>
        </w:rPr>
        <w:t>月竣工；项目建成后，可调动周边农民的种粮积极性，促进周边富余人员的再就业，有效提高我区在粮食行业的市场竞争力，极大提高储粮环境，确保各级储备粮安全。</w:t>
      </w:r>
      <w:r>
        <w:rPr>
          <w:rFonts w:hint="eastAsia" w:ascii="仿宋_GB2312" w:eastAsia="仿宋_GB2312" w:cs="仿宋_GB2312"/>
          <w:sz w:val="32"/>
          <w:szCs w:val="32"/>
        </w:rPr>
        <w:t>本项目根据区政府常务会通过，在完善相关手续后于</w:t>
      </w:r>
      <w:r>
        <w:rPr>
          <w:rFonts w:ascii="仿宋_GB2312" w:eastAsia="仿宋_GB2312" w:cs="仿宋_GB2312"/>
          <w:sz w:val="32"/>
          <w:szCs w:val="32"/>
        </w:rPr>
        <w:t>2015</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29</w:t>
      </w:r>
      <w:r>
        <w:rPr>
          <w:rFonts w:hint="eastAsia" w:ascii="仿宋_GB2312" w:eastAsia="仿宋_GB2312" w:cs="仿宋_GB2312"/>
          <w:sz w:val="32"/>
          <w:szCs w:val="32"/>
        </w:rPr>
        <w:t>日进行了固定资产项目备案。证号：鹿发改投资备字【</w:t>
      </w:r>
      <w:r>
        <w:rPr>
          <w:rFonts w:ascii="仿宋_GB2312" w:eastAsia="仿宋_GB2312" w:cs="仿宋_GB2312"/>
          <w:sz w:val="32"/>
          <w:szCs w:val="32"/>
        </w:rPr>
        <w:t>2015</w:t>
      </w:r>
      <w:r>
        <w:rPr>
          <w:rFonts w:hint="eastAsia" w:ascii="仿宋_GB2312" w:eastAsia="仿宋_GB2312" w:cs="仿宋_GB2312"/>
          <w:sz w:val="32"/>
          <w:szCs w:val="32"/>
        </w:rPr>
        <w:t>】</w:t>
      </w:r>
      <w:r>
        <w:rPr>
          <w:rFonts w:ascii="仿宋_GB2312" w:eastAsia="仿宋_GB2312" w:cs="仿宋_GB2312"/>
          <w:sz w:val="32"/>
          <w:szCs w:val="32"/>
        </w:rPr>
        <w:t>25</w:t>
      </w:r>
      <w:r>
        <w:rPr>
          <w:rFonts w:hint="eastAsia" w:ascii="仿宋_GB2312" w:eastAsia="仿宋_GB2312" w:cs="仿宋_GB2312"/>
          <w:sz w:val="32"/>
          <w:szCs w:val="32"/>
        </w:rPr>
        <w:t>号。</w:t>
      </w:r>
    </w:p>
    <w:p>
      <w:pPr>
        <w:pStyle w:val="2"/>
        <w:keepNext w:val="0"/>
        <w:keepLines w:val="0"/>
        <w:pageBreakBefore w:val="0"/>
        <w:widowControl w:val="0"/>
        <w:kinsoku/>
        <w:wordWrap/>
        <w:overflowPunct/>
        <w:topLinePunct w:val="0"/>
        <w:autoSpaceDE w:val="0"/>
        <w:autoSpaceDN w:val="0"/>
        <w:bidi w:val="0"/>
        <w:adjustRightInd w:val="0"/>
        <w:snapToGrid/>
        <w:ind w:firstLine="640" w:firstLineChars="200"/>
        <w:textAlignment w:val="auto"/>
        <w:rPr>
          <w:rFonts w:hint="default" w:eastAsia="仿宋_GB2312"/>
          <w:lang w:val="en-US" w:eastAsia="zh-CN"/>
        </w:rPr>
      </w:pPr>
      <w:r>
        <w:rPr>
          <w:rFonts w:hint="eastAsia" w:ascii="仿宋_GB2312" w:hAnsi="仿宋_GB2312" w:eastAsia="仿宋_GB2312" w:cs="仿宋_GB2312"/>
          <w:b w:val="0"/>
          <w:bCs w:val="0"/>
          <w:sz w:val="32"/>
          <w:szCs w:val="32"/>
        </w:rPr>
        <w:t>自项目开工以来，截</w:t>
      </w:r>
      <w:r>
        <w:rPr>
          <w:rFonts w:hint="eastAsia" w:hAnsi="仿宋_GB2312" w:cs="仿宋_GB2312"/>
          <w:b w:val="0"/>
          <w:bCs w:val="0"/>
          <w:sz w:val="32"/>
          <w:szCs w:val="32"/>
          <w:lang w:eastAsia="zh-CN"/>
        </w:rPr>
        <w:t>至</w:t>
      </w:r>
      <w:r>
        <w:rPr>
          <w:rFonts w:hint="eastAsia" w:ascii="仿宋_GB2312" w:hAnsi="仿宋_GB2312" w:eastAsia="仿宋_GB2312" w:cs="仿宋_GB2312"/>
          <w:b w:val="0"/>
          <w:bCs w:val="0"/>
          <w:sz w:val="32"/>
          <w:szCs w:val="32"/>
        </w:rPr>
        <w:t>2018年底区财政累计安排整体置换外迁资金11037万元用于新库区建设。根据财力情况，区财政2019年安排2945万元整体置换外迁资金，资金已全部到位，并已全部用于储备库（新建）项目</w:t>
      </w:r>
      <w:r>
        <w:rPr>
          <w:rFonts w:hint="eastAsia" w:ascii="宋体" w:cs="宋体"/>
          <w:b/>
          <w:bCs/>
          <w:sz w:val="36"/>
          <w:szCs w:val="36"/>
        </w:rPr>
        <w:t>。</w:t>
      </w:r>
    </w:p>
    <w:p>
      <w:pPr>
        <w:keepNext w:val="0"/>
        <w:keepLines w:val="0"/>
        <w:pageBreakBefore w:val="0"/>
        <w:widowControl w:val="0"/>
        <w:kinsoku/>
        <w:wordWrap/>
        <w:overflowPunct/>
        <w:topLinePunct w:val="0"/>
        <w:autoSpaceDE/>
        <w:autoSpaceDN/>
        <w:bidi w:val="0"/>
        <w:adjustRightInd w:val="0"/>
        <w:snapToGrid w:val="0"/>
        <w:spacing w:line="240" w:lineRule="auto"/>
        <w:ind w:firstLine="640" w:firstLineChars="200"/>
        <w:textAlignment w:val="auto"/>
        <w:rPr>
          <w:rFonts w:ascii="仿宋_GB2312" w:eastAsia="仿宋_GB2312" w:cs="Times New Roman"/>
          <w:sz w:val="32"/>
          <w:szCs w:val="32"/>
        </w:rPr>
      </w:pPr>
      <w:r>
        <w:rPr>
          <w:rFonts w:hint="eastAsia" w:ascii="仿宋_GB2312" w:hAnsi="仿宋_GB2312" w:eastAsia="仿宋_GB2312" w:cs="仿宋_GB2312"/>
          <w:b w:val="0"/>
          <w:bCs w:val="0"/>
          <w:sz w:val="32"/>
          <w:szCs w:val="32"/>
        </w:rPr>
        <w:t>绩效评价情况</w:t>
      </w:r>
    </w:p>
    <w:p>
      <w:pPr>
        <w:ind w:firstLine="624" w:firstLineChars="195"/>
        <w:rPr>
          <w:rFonts w:ascii="仿宋_GB2312" w:hAnsi="仿宋_GB2312" w:eastAsia="仿宋_GB2312" w:cs="Times New Roman"/>
          <w:sz w:val="32"/>
          <w:szCs w:val="32"/>
        </w:rPr>
      </w:pPr>
      <w:r>
        <w:rPr>
          <w:rFonts w:hint="eastAsia" w:ascii="仿宋_GB2312" w:hAnsi="仿宋_GB2312" w:eastAsia="仿宋_GB2312" w:cs="仿宋_GB2312"/>
          <w:sz w:val="32"/>
          <w:szCs w:val="32"/>
        </w:rPr>
        <w:t>产出指标：本项目共新建</w:t>
      </w:r>
      <w:r>
        <w:rPr>
          <w:rFonts w:ascii="仿宋_GB2312" w:hAnsi="仿宋_GB2312" w:eastAsia="仿宋_GB2312" w:cs="仿宋_GB2312"/>
          <w:sz w:val="32"/>
          <w:szCs w:val="32"/>
        </w:rPr>
        <w:t>22</w:t>
      </w:r>
      <w:r>
        <w:rPr>
          <w:rFonts w:hint="eastAsia" w:ascii="仿宋_GB2312" w:hAnsi="仿宋_GB2312" w:eastAsia="仿宋_GB2312" w:cs="仿宋_GB2312"/>
          <w:sz w:val="32"/>
          <w:szCs w:val="32"/>
        </w:rPr>
        <w:t>个仓号，竣工后，仓储设施的安全储粮环境将进一步得到改善，仓库完好率达到</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，仓容比原库容提高了</w:t>
      </w:r>
      <w:r>
        <w:rPr>
          <w:rFonts w:ascii="仿宋_GB2312" w:hAnsi="仿宋_GB2312" w:eastAsia="仿宋_GB2312" w:cs="仿宋_GB2312"/>
          <w:sz w:val="32"/>
          <w:szCs w:val="32"/>
        </w:rPr>
        <w:t>300%</w:t>
      </w:r>
      <w:r>
        <w:rPr>
          <w:rFonts w:hint="eastAsia" w:ascii="仿宋_GB2312" w:hAnsi="仿宋_GB2312" w:eastAsia="仿宋_GB2312" w:cs="仿宋_GB2312"/>
          <w:sz w:val="32"/>
          <w:szCs w:val="32"/>
        </w:rPr>
        <w:t>。</w:t>
      </w:r>
    </w:p>
    <w:p>
      <w:pPr>
        <w:ind w:firstLine="624" w:firstLineChars="195"/>
        <w:rPr>
          <w:rFonts w:ascii="仿宋_GB2312" w:hAnsi="仿宋_GB2312" w:eastAsia="仿宋_GB2312" w:cs="Times New Roman"/>
          <w:sz w:val="32"/>
          <w:szCs w:val="32"/>
        </w:rPr>
      </w:pPr>
      <w:r>
        <w:rPr>
          <w:rFonts w:hint="eastAsia" w:ascii="仿宋_GB2312" w:hAnsi="仿宋_GB2312" w:eastAsia="仿宋_GB2312" w:cs="仿宋_GB2312"/>
          <w:sz w:val="32"/>
          <w:szCs w:val="32"/>
        </w:rPr>
        <w:t>经济效益指标：该项目竣工后，改善了仓储条件，进而实现降低储粮成本，以仓储实现效益。主要表现在：库内储粮环境基本达到准低温储粮，减少了因粮堆高温而产生的生虫坏粮事故，每年能节约熏蒸费、人工费近</w:t>
      </w:r>
      <w:r>
        <w:rPr>
          <w:rFonts w:ascii="仿宋_GB2312" w:hAnsi="仿宋_GB2312" w:eastAsia="仿宋_GB2312" w:cs="仿宋_GB2312"/>
          <w:sz w:val="32"/>
          <w:szCs w:val="32"/>
        </w:rPr>
        <w:t>20000</w:t>
      </w:r>
      <w:r>
        <w:rPr>
          <w:rFonts w:hint="eastAsia" w:ascii="仿宋_GB2312" w:hAnsi="仿宋_GB2312" w:eastAsia="仿宋_GB2312" w:cs="仿宋_GB2312"/>
          <w:sz w:val="32"/>
          <w:szCs w:val="32"/>
        </w:rPr>
        <w:t>元；避免了坏粮亏库现象；同时提高了仓库的有效利用率，可增加有效仓容近</w:t>
      </w:r>
      <w:r>
        <w:rPr>
          <w:rFonts w:ascii="仿宋_GB2312" w:hAnsi="仿宋_GB2312" w:eastAsia="仿宋_GB2312" w:cs="仿宋_GB2312"/>
          <w:sz w:val="32"/>
          <w:szCs w:val="32"/>
        </w:rPr>
        <w:t>11</w:t>
      </w:r>
      <w:r>
        <w:rPr>
          <w:rFonts w:hint="eastAsia" w:ascii="仿宋_GB2312" w:hAnsi="仿宋_GB2312" w:eastAsia="仿宋_GB2312" w:cs="仿宋_GB2312"/>
          <w:sz w:val="32"/>
          <w:szCs w:val="32"/>
        </w:rPr>
        <w:t>万吨，经济效益明显。</w:t>
      </w:r>
    </w:p>
    <w:p>
      <w:pPr>
        <w:pStyle w:val="5"/>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社会效益指标：作为我区唯一一家国有粮食收储企业，连续多年按照国家政策收购余粮。随着中央惠农政策力度的加大，农民种粮积极性大增，连续多年丰产，种粮农民切实得到了实惠。项目投入使用后，杜绝了长此以往的各种安全储粮隐患，保证了仓房的长期使用，具有较大的可持续性。仓房条件的有效改善，将使收购量进一步提升，活跃了区域内粮食市场，在一定程度上调动了农民的种粮积极性，更大的享受惠民政策。</w:t>
      </w:r>
    </w:p>
    <w:p>
      <w:pPr>
        <w:ind w:firstLine="624" w:firstLineChars="195"/>
        <w:rPr>
          <w:rFonts w:ascii="仿宋_GB2312" w:hAnsi="仿宋_GB2312" w:eastAsia="仿宋_GB2312" w:cs="Times New Roman"/>
          <w:sz w:val="32"/>
          <w:szCs w:val="32"/>
        </w:rPr>
      </w:pPr>
      <w:r>
        <w:rPr>
          <w:rFonts w:hint="eastAsia" w:ascii="仿宋_GB2312" w:hAnsi="仿宋_GB2312" w:eastAsia="仿宋_GB2312" w:cs="仿宋_GB2312"/>
          <w:sz w:val="32"/>
          <w:szCs w:val="32"/>
        </w:rPr>
        <w:t>环境效益指标：本项目为新建项目，项目初期就进行了环境评价报告，对“三废”有明确的处理方法，不会对周边产生新的污染源，不会破坏自然环境。在整个施工过程中产生的少量废弃物物经过适当的措施均能达到有关排放标准。总体上对环境是没有任何影响。</w:t>
      </w:r>
    </w:p>
    <w:p>
      <w:pPr>
        <w:ind w:firstLine="640" w:firstLineChars="200"/>
        <w:rPr>
          <w:rFonts w:ascii="仿宋_GB2312" w:eastAsia="仿宋_GB2312" w:cs="Times New Roman"/>
          <w:sz w:val="32"/>
          <w:szCs w:val="32"/>
        </w:rPr>
      </w:pPr>
      <w:r>
        <w:rPr>
          <w:rFonts w:hint="eastAsia" w:ascii="仿宋_GB2312" w:hAnsi="仿宋_GB2312" w:eastAsia="仿宋_GB2312" w:cs="仿宋_GB2312"/>
          <w:sz w:val="32"/>
          <w:szCs w:val="32"/>
        </w:rPr>
        <w:t>可持续影响指标：本项目建设符合国家、省市相关政策。项目竣工后，极大的改善了存储条件，确保了国粮的安全。提高了储备数量，稳固了国家宏观调控能力。调动了广大农民种粮积极性，充分发挥了粮食主渠道作用，国家惠农政策落到实处。</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本部门2019年度机关运行经费支出376.12万元，比2018年度增加</w:t>
      </w:r>
      <w:r>
        <w:rPr>
          <w:rFonts w:hint="eastAsia" w:ascii="仿宋_GB2312" w:hAnsi="Times New Roman" w:eastAsia="仿宋_GB2312" w:cs="DengXian-Regular"/>
          <w:sz w:val="32"/>
          <w:szCs w:val="32"/>
          <w:lang w:val="en-US" w:eastAsia="zh-CN"/>
        </w:rPr>
        <w:t>245.52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187.99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机构改革与原商务局合并，增加</w:t>
      </w:r>
      <w:r>
        <w:rPr>
          <w:rFonts w:hint="eastAsia" w:ascii="仿宋_GB2312" w:eastAsia="仿宋_GB2312" w:cs="DengXian-Regular"/>
          <w:sz w:val="32"/>
          <w:szCs w:val="32"/>
          <w:lang w:eastAsia="zh-CN"/>
        </w:rPr>
        <w:t>通讯补贴、公务用车改革补贴、</w:t>
      </w:r>
      <w:r>
        <w:rPr>
          <w:rFonts w:hint="eastAsia" w:ascii="仿宋_GB2312" w:hAnsi="Times New Roman" w:eastAsia="仿宋_GB2312" w:cs="DengXian-Regular"/>
          <w:sz w:val="32"/>
          <w:szCs w:val="32"/>
          <w:lang w:eastAsia="zh-CN"/>
        </w:rPr>
        <w:t>劳务派遣人员经费等</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2968.52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171.21</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2797.31</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2835.9</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95.53</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801.74</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27.0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与商务局合并，车辆增加</w:t>
      </w:r>
      <w:r>
        <w:rPr>
          <w:rFonts w:hint="eastAsia" w:ascii="仿宋_GB2312" w:hAnsi="Times New Roman" w:eastAsia="仿宋_GB2312" w:cs="DengXian-Regular"/>
          <w:sz w:val="32"/>
          <w:szCs w:val="32"/>
        </w:rPr>
        <w:t>。其中，机要通信用车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辆，其他用车主要是</w:t>
      </w:r>
      <w:r>
        <w:rPr>
          <w:rFonts w:hint="eastAsia" w:ascii="仿宋_GB2312" w:eastAsia="仿宋_GB2312" w:cs="DengXian-Regular"/>
          <w:sz w:val="32"/>
          <w:szCs w:val="32"/>
          <w:lang w:eastAsia="zh-CN"/>
        </w:rPr>
        <w:t>财务未独立核算的下属事业单位未参加车改车辆</w:t>
      </w:r>
      <w:r>
        <w:rPr>
          <w:rFonts w:hint="eastAsia" w:ascii="仿宋_GB2312" w:hAnsi="Times New Roman" w:eastAsia="仿宋_GB2312" w:cs="DengXian-Regular"/>
          <w:sz w:val="32"/>
          <w:szCs w:val="32"/>
        </w:rPr>
        <w:t>；单位</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lang w:eastAsia="zh-CN"/>
        </w:rPr>
        <w:t>国有资本经营预算财政拨款</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lang w:val="en-US" w:eastAsia="zh-CN"/>
        </w:rPr>
        <w:t>国有资本经营预算财政拨款支出决算表（公开09表）</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257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4"/>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6" w:type="first"/>
          <w:footerReference r:id="rId18" w:type="first"/>
          <w:headerReference r:id="rId15" w:type="default"/>
          <w:footerReference r:id="rId17" w:type="defaul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360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360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4"/>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8"/>
        <w:tblpPr w:leftFromText="180" w:rightFromText="180" w:vertAnchor="text" w:horzAnchor="page" w:tblpXSpec="center" w:tblpY="31"/>
        <w:tblOverlap w:val="never"/>
        <w:tblW w:w="9975" w:type="dxa"/>
        <w:jc w:val="center"/>
        <w:tblLayout w:type="fixed"/>
        <w:tblCellMar>
          <w:top w:w="0" w:type="dxa"/>
          <w:left w:w="0" w:type="dxa"/>
          <w:bottom w:w="0" w:type="dxa"/>
          <w:right w:w="0" w:type="dxa"/>
        </w:tblCellMar>
      </w:tblPr>
      <w:tblGrid>
        <w:gridCol w:w="3236"/>
        <w:gridCol w:w="731"/>
        <w:gridCol w:w="1028"/>
        <w:gridCol w:w="3137"/>
        <w:gridCol w:w="541"/>
        <w:gridCol w:w="1302"/>
      </w:tblGrid>
      <w:tr>
        <w:tblPrEx>
          <w:tblCellMar>
            <w:top w:w="0" w:type="dxa"/>
            <w:left w:w="0" w:type="dxa"/>
            <w:bottom w:w="0" w:type="dxa"/>
            <w:right w:w="0" w:type="dxa"/>
          </w:tblCellMar>
        </w:tblPrEx>
        <w:trPr>
          <w:trHeight w:val="489" w:hRule="atLeast"/>
          <w:jc w:val="center"/>
        </w:trPr>
        <w:tc>
          <w:tcPr>
            <w:tcW w:w="9975"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8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石家庄市鹿泉区发展和改革局</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8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98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22,423.37</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5765.95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650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4,034.92</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165.15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68.50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381.19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3,108.53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12,268.00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1,772.91</w:t>
            </w:r>
          </w:p>
        </w:tc>
      </w:tr>
      <w:tr>
        <w:tblPrEx>
          <w:tblCellMar>
            <w:top w:w="0" w:type="dxa"/>
            <w:left w:w="0" w:type="dxa"/>
            <w:bottom w:w="0" w:type="dxa"/>
            <w:right w:w="0" w:type="dxa"/>
          </w:tblCellMar>
        </w:tblPrEx>
        <w:trPr>
          <w:trHeight w:val="19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58.96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977.28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27258.29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82"/>
                <w:tab w:val="right" w:pos="1491"/>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eastAsia="zh-CN" w:bidi="ar"/>
              </w:rPr>
              <w:t>25416.46</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823.06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2664.89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28081.35　</w:t>
            </w:r>
          </w:p>
        </w:tc>
        <w:tc>
          <w:tcPr>
            <w:tcW w:w="31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3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28081.35　</w:t>
            </w:r>
          </w:p>
        </w:tc>
      </w:tr>
      <w:tr>
        <w:tblPrEx>
          <w:tblCellMar>
            <w:top w:w="0" w:type="dxa"/>
            <w:left w:w="0" w:type="dxa"/>
            <w:bottom w:w="0" w:type="dxa"/>
            <w:right w:w="0" w:type="dxa"/>
          </w:tblCellMar>
        </w:tblPrEx>
        <w:trPr>
          <w:trHeight w:val="213" w:hRule="atLeast"/>
          <w:jc w:val="center"/>
        </w:trPr>
        <w:tc>
          <w:tcPr>
            <w:tcW w:w="9975"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tc>
      </w:tr>
    </w:tbl>
    <w:tbl>
      <w:tblPr>
        <w:tblStyle w:val="8"/>
        <w:tblW w:w="9180" w:type="dxa"/>
        <w:jc w:val="center"/>
        <w:tblLayout w:type="fixed"/>
        <w:tblCellMar>
          <w:top w:w="0" w:type="dxa"/>
          <w:left w:w="0" w:type="dxa"/>
          <w:bottom w:w="0" w:type="dxa"/>
          <w:right w:w="0" w:type="dxa"/>
        </w:tblCellMar>
      </w:tblPr>
      <w:tblGrid>
        <w:gridCol w:w="829"/>
        <w:gridCol w:w="21"/>
        <w:gridCol w:w="1273"/>
        <w:gridCol w:w="2497"/>
        <w:gridCol w:w="68"/>
        <w:gridCol w:w="976"/>
        <w:gridCol w:w="104"/>
        <w:gridCol w:w="940"/>
        <w:gridCol w:w="140"/>
        <w:gridCol w:w="166"/>
        <w:gridCol w:w="179"/>
        <w:gridCol w:w="105"/>
        <w:gridCol w:w="225"/>
        <w:gridCol w:w="59"/>
        <w:gridCol w:w="256"/>
        <w:gridCol w:w="347"/>
        <w:gridCol w:w="43"/>
        <w:gridCol w:w="874"/>
        <w:gridCol w:w="78"/>
      </w:tblGrid>
      <w:tr>
        <w:tblPrEx>
          <w:tblCellMar>
            <w:top w:w="0" w:type="dxa"/>
            <w:left w:w="0" w:type="dxa"/>
            <w:bottom w:w="0" w:type="dxa"/>
            <w:right w:w="0" w:type="dxa"/>
          </w:tblCellMar>
        </w:tblPrEx>
        <w:trPr>
          <w:trHeight w:val="843" w:hRule="atLeast"/>
          <w:jc w:val="center"/>
        </w:trPr>
        <w:tc>
          <w:tcPr>
            <w:tcW w:w="9180" w:type="dxa"/>
            <w:gridSpan w:val="19"/>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404" w:hRule="atLeast"/>
          <w:jc w:val="center"/>
        </w:trPr>
        <w:tc>
          <w:tcPr>
            <w:tcW w:w="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9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6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74" w:hRule="atLeast"/>
          <w:jc w:val="center"/>
        </w:trPr>
        <w:tc>
          <w:tcPr>
            <w:tcW w:w="4688"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石家庄市鹿泉区发展和改革局</w:t>
            </w: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42"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462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4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04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306"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28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28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603"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91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70"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1283" w:hRule="atLeast"/>
          <w:jc w:val="center"/>
        </w:trPr>
        <w:tc>
          <w:tcPr>
            <w:tcW w:w="850"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4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462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0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0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1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462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27,258.29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23,223.37</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4,034.92</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6,633.24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4,850.00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1,783.24</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政协事务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2010202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发展与改革事务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4,885.03</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4,075.06</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809.97</w:t>
            </w:r>
          </w:p>
        </w:tc>
      </w:tr>
      <w:tr>
        <w:tblPrEx>
          <w:shd w:val="clear" w:color="auto" w:fill="auto"/>
          <w:tblCellMar>
            <w:top w:w="0" w:type="dxa"/>
            <w:left w:w="0" w:type="dxa"/>
            <w:bottom w:w="0" w:type="dxa"/>
            <w:right w:w="0" w:type="dxa"/>
          </w:tblCellMar>
        </w:tblPrEx>
        <w:trPr>
          <w:gridAfter w:val="1"/>
          <w:wAfter w:w="78" w:type="dxa"/>
          <w:trHeight w:val="90"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748.45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746.71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98.88</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73.84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25.05</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2010404</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战略规划与实施</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3,022.42</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3,022.42</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日常经济运行调节</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114.90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114.90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2010450</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88.51</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88.51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其他发展与改革事务支出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811.87</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28.68</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783.19</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商贸事务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1,714.06</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770.80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943.26</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707.01</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687.09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19.93</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927.05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923.34</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2011304</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对外贸易管理</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其他科学技术支出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科技奖励</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其他科学技术支出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165.15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165.15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117.86</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117.86</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112.48</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112.48</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2080506</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5.38</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5.38</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61.72</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61.72</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10.03</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10.03</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192.19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192.19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21110</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能源节约利用</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2111001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能源节约利用</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污染减排</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2111103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减排专项支出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3,108.53</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866.84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2,241.69</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96.69</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111.69</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96.69</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2,145.00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2,945.00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2,145.00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资源勘探信息等支出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13,706.00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13,706.00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制造业</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2150299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其他制造业支出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21508</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支持中小企业发展和管理支出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2150805</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中小企业发展专项</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商业服务业等支出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1,822.91</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1,812.91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商业流通事务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407.91</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397.91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其他商业流通事务支出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392.91</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382.91</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21606</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涉外发展服务支出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90"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2160699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其他涉外发展服务支出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其他商业服务业等支出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2169999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56.24</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粮油物资储备支出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852.28</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852.28</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粮油事务</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692.28</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692.28</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2220106</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粮食专项业务活动</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43.93</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43.93</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2220199</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其他粮油事务支出</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648.35</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648.35</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粮油储备</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2220401</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储备粮油补贴</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8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2220403</w:t>
            </w:r>
          </w:p>
        </w:tc>
        <w:tc>
          <w:tcPr>
            <w:tcW w:w="37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储备粮（油）库建设</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0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30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0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1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gridAfter w:val="1"/>
          <w:wAfter w:w="78" w:type="dxa"/>
          <w:trHeight w:val="308" w:hRule="atLeast"/>
          <w:jc w:val="center"/>
        </w:trPr>
        <w:tc>
          <w:tcPr>
            <w:tcW w:w="9102" w:type="dxa"/>
            <w:gridSpan w:val="1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注：本表反映部门本年度取得的各项收入情况。</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bl>
    <w:tbl>
      <w:tblPr>
        <w:tblStyle w:val="8"/>
        <w:tblpPr w:leftFromText="180" w:rightFromText="180" w:vertAnchor="text" w:horzAnchor="page" w:tblpX="1132" w:tblpY="46"/>
        <w:tblOverlap w:val="never"/>
        <w:tblW w:w="9740" w:type="dxa"/>
        <w:tblInd w:w="0" w:type="dxa"/>
        <w:shd w:val="clear" w:color="auto" w:fill="auto"/>
        <w:tblLayout w:type="fixed"/>
        <w:tblCellMar>
          <w:top w:w="0" w:type="dxa"/>
          <w:left w:w="0" w:type="dxa"/>
          <w:bottom w:w="0" w:type="dxa"/>
          <w:right w:w="0" w:type="dxa"/>
        </w:tblCellMar>
      </w:tblPr>
      <w:tblGrid>
        <w:gridCol w:w="575"/>
        <w:gridCol w:w="307"/>
        <w:gridCol w:w="237"/>
        <w:gridCol w:w="3628"/>
        <w:gridCol w:w="1097"/>
        <w:gridCol w:w="1038"/>
        <w:gridCol w:w="1083"/>
        <w:gridCol w:w="593"/>
        <w:gridCol w:w="400"/>
        <w:gridCol w:w="782"/>
      </w:tblGrid>
      <w:tr>
        <w:tblPrEx>
          <w:tblCellMar>
            <w:top w:w="0" w:type="dxa"/>
            <w:left w:w="0" w:type="dxa"/>
            <w:bottom w:w="0" w:type="dxa"/>
            <w:right w:w="0" w:type="dxa"/>
          </w:tblCellMar>
        </w:tblPrEx>
        <w:trPr>
          <w:trHeight w:val="632" w:hRule="atLeast"/>
        </w:trPr>
        <w:tc>
          <w:tcPr>
            <w:tcW w:w="9740"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CellMar>
            <w:top w:w="0" w:type="dxa"/>
            <w:left w:w="0" w:type="dxa"/>
            <w:bottom w:w="0" w:type="dxa"/>
            <w:right w:w="0" w:type="dxa"/>
          </w:tblCellMar>
        </w:tblPrEx>
        <w:trPr>
          <w:trHeight w:val="324" w:hRule="atLeast"/>
        </w:trPr>
        <w:tc>
          <w:tcPr>
            <w:tcW w:w="5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62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9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58"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CellMar>
            <w:top w:w="0" w:type="dxa"/>
            <w:left w:w="0" w:type="dxa"/>
            <w:bottom w:w="0" w:type="dxa"/>
            <w:right w:w="0" w:type="dxa"/>
          </w:tblCellMar>
        </w:tblPrEx>
        <w:trPr>
          <w:trHeight w:val="324" w:hRule="atLeast"/>
        </w:trPr>
        <w:tc>
          <w:tcPr>
            <w:tcW w:w="4747"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部门：石家庄市鹿泉区发展和改革局</w:t>
            </w:r>
          </w:p>
        </w:tc>
        <w:tc>
          <w:tcPr>
            <w:tcW w:w="109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58"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33" w:hRule="atLeast"/>
        </w:trPr>
        <w:tc>
          <w:tcPr>
            <w:tcW w:w="4747" w:type="dxa"/>
            <w:gridSpan w:val="4"/>
            <w:tcBorders>
              <w:top w:val="single" w:color="000000" w:sz="4" w:space="0"/>
              <w:left w:val="single" w:color="000000" w:sz="4" w:space="0"/>
              <w:bottom w:val="single" w:color="000000" w:sz="4" w:space="0"/>
              <w:right w:val="single" w:color="000000" w:sz="4" w:space="0"/>
            </w:tcBorders>
            <w:shd w:val="clear" w:color="FFFFFF"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1097"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本年支出合计</w:t>
            </w:r>
          </w:p>
        </w:tc>
        <w:tc>
          <w:tcPr>
            <w:tcW w:w="1038"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083"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593"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上缴上级支出</w:t>
            </w:r>
          </w:p>
        </w:tc>
        <w:tc>
          <w:tcPr>
            <w:tcW w:w="400"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经营支出</w:t>
            </w:r>
          </w:p>
        </w:tc>
        <w:tc>
          <w:tcPr>
            <w:tcW w:w="782" w:type="dxa"/>
            <w:vMerge w:val="restart"/>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对附属单位补助支出</w:t>
            </w:r>
          </w:p>
        </w:tc>
      </w:tr>
      <w:tr>
        <w:tblPrEx>
          <w:tblCellMar>
            <w:top w:w="0" w:type="dxa"/>
            <w:left w:w="0" w:type="dxa"/>
            <w:bottom w:w="0" w:type="dxa"/>
            <w:right w:w="0" w:type="dxa"/>
          </w:tblCellMar>
        </w:tblPrEx>
        <w:trPr>
          <w:trHeight w:val="333" w:hRule="atLeast"/>
        </w:trPr>
        <w:tc>
          <w:tcPr>
            <w:tcW w:w="1119" w:type="dxa"/>
            <w:gridSpan w:val="3"/>
            <w:vMerge w:val="restart"/>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3628" w:type="dxa"/>
            <w:vMerge w:val="restart"/>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1097"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38"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0"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2"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33" w:hRule="atLeast"/>
        </w:trPr>
        <w:tc>
          <w:tcPr>
            <w:tcW w:w="1119" w:type="dxa"/>
            <w:gridSpan w:val="3"/>
            <w:vMerge w:val="continue"/>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28" w:type="dxa"/>
            <w:vMerge w:val="continue"/>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7"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0"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2"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33" w:hRule="atLeast"/>
        </w:trPr>
        <w:tc>
          <w:tcPr>
            <w:tcW w:w="1119" w:type="dxa"/>
            <w:gridSpan w:val="3"/>
            <w:vMerge w:val="continue"/>
            <w:tcBorders>
              <w:top w:val="nil"/>
              <w:left w:val="single" w:color="000000" w:sz="4" w:space="0"/>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28" w:type="dxa"/>
            <w:vMerge w:val="continue"/>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7"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0"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2" w:type="dxa"/>
            <w:vMerge w:val="continue"/>
            <w:tcBorders>
              <w:top w:val="single" w:color="000000" w:sz="4" w:space="0"/>
              <w:left w:val="nil"/>
              <w:bottom w:val="single" w:color="000000" w:sz="4" w:space="0"/>
              <w:right w:val="single" w:color="000000" w:sz="4" w:space="0"/>
            </w:tcBorders>
            <w:shd w:val="clear" w:color="FFFFFF"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24" w:hRule="atLeast"/>
        </w:trPr>
        <w:tc>
          <w:tcPr>
            <w:tcW w:w="4747" w:type="dxa"/>
            <w:gridSpan w:val="4"/>
            <w:tcBorders>
              <w:top w:val="nil"/>
              <w:left w:val="single" w:color="000000" w:sz="4" w:space="0"/>
              <w:bottom w:val="single" w:color="000000" w:sz="4" w:space="0"/>
              <w:right w:val="single" w:color="000000" w:sz="4" w:space="0"/>
            </w:tcBorders>
            <w:shd w:val="clear" w:color="FFFFFF"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1097"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038"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083"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593"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400"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782" w:type="dxa"/>
            <w:tcBorders>
              <w:top w:val="nil"/>
              <w:left w:val="nil"/>
              <w:bottom w:val="single" w:color="000000" w:sz="4" w:space="0"/>
              <w:right w:val="single" w:color="000000" w:sz="4" w:space="0"/>
            </w:tcBorders>
            <w:shd w:val="clear" w:color="FFFFFF"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24" w:hRule="atLeast"/>
        </w:trPr>
        <w:tc>
          <w:tcPr>
            <w:tcW w:w="474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25,416.46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1,878.27</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23,538.19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5,765.95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1,613.60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4,152.34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4.15</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2010202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4.15</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发展与改革事务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4,876.64</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838.44</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4,038.20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748.91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748.91</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97.19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97.19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2010404</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战略规划与实施</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3,022.42</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3,022.42</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2010405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日常经济运行调节</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114.90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114.90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2010450</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事业运行</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88.51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88.51</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2010499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其他发展与改革事务支出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804.71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1.02</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803.69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20113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商贸事务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855.16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775.16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2011301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771.45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771.45</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2011302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3.71</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2011304</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对外贸易管理</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206</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科学技术支出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20699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其他科学技术支出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2069901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科技奖励</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2069999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其他科学技术支出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117.86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47.29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行政事业单位离退休</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117.86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117.86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112.48</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112.48</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5.38</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5.38</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36.50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36.50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退役士兵安置</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36.50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36.50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其他生活救助</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2082502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其他农村生活救助</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68.50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68.50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68.50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68.50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行政单位医疗</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60.06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60.06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事业单位医疗</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8.44</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8.44</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节能环保支出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381.19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381.19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污染防治</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189.00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189.00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2110301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大气</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189.00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189.00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21110</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能源节约利用</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2111001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能源节约利用</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21111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污染减排</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47.19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47.19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2111103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减排专项支出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47.19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47.19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3,108.53</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3,108.53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111.69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111.69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2120102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111.69</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111.69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城乡社区公共设施</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51.84</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51.84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2120303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小城镇基础设施建设</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51.84</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51.84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21213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城市基础设施配套费安排的支出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2121301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城市公共设施</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资源勘探信息等支出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12,268.00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13.00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12,255.00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制造业</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12,250.00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12,250.00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2150299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其他制造业支出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12,250.00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12,250.00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工业和信息产业监管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13.00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2150501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13.00</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21508</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支持中小企业发展和管理支出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2150805</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中小企业发展专项</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商业服务业等支出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1,772.91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1,772.91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商业流通事务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357.91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357.91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2160202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2160299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其他商业流通事务支出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342.91</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342.91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21606</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涉外发展服务支出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2160699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其他涉外发展服务支出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其他商业服务业等支出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2169999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其他商业服务业等支出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住房公积金</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58.96</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粮油物资储备支出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977.28</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6.35</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970.93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粮油事务</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817.28</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6.35</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810.93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2220106</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粮食专项业务活动</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43.93</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43.93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2220199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其他粮油事务支出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773.35</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6.35</w:t>
            </w: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767.00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22204</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粮油储备</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2220401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储备粮油补贴</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2220403</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储备粮（油）库建设</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24"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22999</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33" w:hRule="atLeast"/>
        </w:trPr>
        <w:tc>
          <w:tcPr>
            <w:tcW w:w="111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2299901</w:t>
            </w:r>
          </w:p>
        </w:tc>
        <w:tc>
          <w:tcPr>
            <w:tcW w:w="3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其他支出</w:t>
            </w:r>
          </w:p>
        </w:tc>
        <w:tc>
          <w:tcPr>
            <w:tcW w:w="10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10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10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16"/>
                <w:szCs w:val="16"/>
                <w:u w:val="none"/>
              </w:rPr>
            </w:pPr>
          </w:p>
        </w:tc>
      </w:tr>
    </w:tbl>
    <w:p>
      <w:pPr>
        <w:widowControl/>
        <w:shd w:val="clear"/>
        <w:jc w:val="left"/>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注：本表反映部门本年度各项支出情况。</w:t>
      </w:r>
    </w:p>
    <w:tbl>
      <w:tblPr>
        <w:tblStyle w:val="8"/>
        <w:tblpPr w:leftFromText="180" w:rightFromText="180" w:vertAnchor="text" w:horzAnchor="page" w:tblpX="817" w:tblpY="1249"/>
        <w:tblOverlap w:val="never"/>
        <w:tblW w:w="10240" w:type="dxa"/>
        <w:tblInd w:w="0" w:type="dxa"/>
        <w:shd w:val="clear" w:color="auto" w:fill="auto"/>
        <w:tblLayout w:type="fixed"/>
        <w:tblCellMar>
          <w:top w:w="0" w:type="dxa"/>
          <w:left w:w="0" w:type="dxa"/>
          <w:bottom w:w="0" w:type="dxa"/>
          <w:right w:w="0" w:type="dxa"/>
        </w:tblCellMar>
      </w:tblPr>
      <w:tblGrid>
        <w:gridCol w:w="2826"/>
        <w:gridCol w:w="244"/>
        <w:gridCol w:w="997"/>
        <w:gridCol w:w="2943"/>
        <w:gridCol w:w="557"/>
        <w:gridCol w:w="997"/>
        <w:gridCol w:w="997"/>
        <w:gridCol w:w="679"/>
      </w:tblGrid>
      <w:tr>
        <w:tblPrEx>
          <w:shd w:val="clear" w:color="auto" w:fill="auto"/>
          <w:tblCellMar>
            <w:top w:w="0" w:type="dxa"/>
            <w:left w:w="0" w:type="dxa"/>
            <w:bottom w:w="0" w:type="dxa"/>
            <w:right w:w="0" w:type="dxa"/>
          </w:tblCellMar>
        </w:tblPrEx>
        <w:trPr>
          <w:trHeight w:val="1137" w:hRule="atLeast"/>
        </w:trPr>
        <w:tc>
          <w:tcPr>
            <w:tcW w:w="1024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shd w:val="clear"/>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nil"/>
              <w:bottom w:val="nil"/>
              <w:right w:val="nil"/>
            </w:tcBorders>
            <w:shd w:val="clear" w:color="auto" w:fill="auto"/>
            <w:noWrap/>
            <w:tcMar>
              <w:top w:w="15" w:type="dxa"/>
              <w:left w:w="15" w:type="dxa"/>
              <w:right w:w="15" w:type="dxa"/>
            </w:tcMar>
            <w:vAlign w:val="bottom"/>
          </w:tcPr>
          <w:p>
            <w:pPr>
              <w:shd w:val="clear"/>
              <w:rPr>
                <w:rFonts w:hint="eastAsia" w:ascii="Arial" w:hAnsi="Arial" w:cs="Arial"/>
                <w:i w:val="0"/>
                <w:color w:val="000000"/>
                <w:sz w:val="20"/>
                <w:szCs w:val="20"/>
                <w:u w:val="none"/>
              </w:rPr>
            </w:pPr>
          </w:p>
        </w:tc>
        <w:tc>
          <w:tcPr>
            <w:tcW w:w="244"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997"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2943"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557"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997"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1676"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shd w:val="clear" w:color="auto" w:fill="auto"/>
          <w:tblCellMar>
            <w:top w:w="0" w:type="dxa"/>
            <w:left w:w="0" w:type="dxa"/>
            <w:bottom w:w="0" w:type="dxa"/>
            <w:right w:w="0" w:type="dxa"/>
          </w:tblCellMar>
        </w:tblPrEx>
        <w:trPr>
          <w:trHeight w:val="582" w:hRule="atLeast"/>
        </w:trPr>
        <w:tc>
          <w:tcPr>
            <w:tcW w:w="4067" w:type="dxa"/>
            <w:gridSpan w:val="3"/>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部门：石家庄市鹿泉区发展和改革局</w:t>
            </w:r>
          </w:p>
        </w:tc>
        <w:tc>
          <w:tcPr>
            <w:tcW w:w="2943"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557"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997" w:type="dxa"/>
            <w:tcBorders>
              <w:top w:val="nil"/>
              <w:left w:val="nil"/>
              <w:bottom w:val="nil"/>
              <w:right w:val="nil"/>
            </w:tcBorders>
            <w:shd w:val="clear" w:color="auto" w:fill="auto"/>
            <w:noWrap/>
            <w:tcMar>
              <w:top w:w="15" w:type="dxa"/>
              <w:left w:w="15" w:type="dxa"/>
              <w:right w:w="15" w:type="dxa"/>
            </w:tcMar>
            <w:vAlign w:val="bottom"/>
          </w:tcPr>
          <w:p>
            <w:pPr>
              <w:shd w:val="clear"/>
              <w:rPr>
                <w:rFonts w:hint="default" w:ascii="Arial" w:hAnsi="Arial" w:cs="Arial"/>
                <w:i w:val="0"/>
                <w:color w:val="000000"/>
                <w:sz w:val="20"/>
                <w:szCs w:val="20"/>
                <w:u w:val="none"/>
              </w:rPr>
            </w:pPr>
          </w:p>
        </w:tc>
        <w:tc>
          <w:tcPr>
            <w:tcW w:w="1676"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shd w:val="clear"/>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CellMar>
            <w:top w:w="0" w:type="dxa"/>
            <w:left w:w="0" w:type="dxa"/>
            <w:bottom w:w="0" w:type="dxa"/>
            <w:right w:w="0" w:type="dxa"/>
          </w:tblCellMar>
        </w:tblPrEx>
        <w:trPr>
          <w:trHeight w:val="599" w:hRule="atLeast"/>
        </w:trPr>
        <w:tc>
          <w:tcPr>
            <w:tcW w:w="406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收     入</w:t>
            </w:r>
          </w:p>
        </w:tc>
        <w:tc>
          <w:tcPr>
            <w:tcW w:w="6173"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     出</w:t>
            </w:r>
          </w:p>
        </w:tc>
      </w:tr>
      <w:tr>
        <w:tblPrEx>
          <w:tblCellMar>
            <w:top w:w="0" w:type="dxa"/>
            <w:left w:w="0" w:type="dxa"/>
            <w:bottom w:w="0" w:type="dxa"/>
            <w:right w:w="0" w:type="dxa"/>
          </w:tblCellMar>
        </w:tblPrEx>
        <w:trPr>
          <w:trHeight w:val="546" w:hRule="atLeast"/>
        </w:trPr>
        <w:tc>
          <w:tcPr>
            <w:tcW w:w="282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w:t>
            </w:r>
          </w:p>
        </w:tc>
        <w:tc>
          <w:tcPr>
            <w:tcW w:w="2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行次</w:t>
            </w:r>
          </w:p>
        </w:tc>
        <w:tc>
          <w:tcPr>
            <w:tcW w:w="9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w:t>
            </w:r>
          </w:p>
        </w:tc>
        <w:tc>
          <w:tcPr>
            <w:tcW w:w="29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w:t>
            </w:r>
          </w:p>
        </w:tc>
        <w:tc>
          <w:tcPr>
            <w:tcW w:w="5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行次</w:t>
            </w:r>
          </w:p>
        </w:tc>
        <w:tc>
          <w:tcPr>
            <w:tcW w:w="99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合计</w:t>
            </w:r>
          </w:p>
        </w:tc>
        <w:tc>
          <w:tcPr>
            <w:tcW w:w="9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一般公共预算财政拨款</w:t>
            </w:r>
          </w:p>
        </w:tc>
        <w:tc>
          <w:tcPr>
            <w:tcW w:w="6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政府性基金预算财政拨款</w:t>
            </w:r>
          </w:p>
        </w:tc>
      </w:tr>
      <w:tr>
        <w:tblPrEx>
          <w:shd w:val="clear" w:color="auto" w:fill="auto"/>
          <w:tblCellMar>
            <w:top w:w="0" w:type="dxa"/>
            <w:left w:w="0" w:type="dxa"/>
            <w:bottom w:w="0" w:type="dxa"/>
            <w:right w:w="0" w:type="dxa"/>
          </w:tblCellMar>
        </w:tblPrEx>
        <w:trPr>
          <w:trHeight w:val="1701" w:hRule="atLeast"/>
        </w:trPr>
        <w:tc>
          <w:tcPr>
            <w:tcW w:w="282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2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9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29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5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99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9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6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栏次</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栏次</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一、一般公共预算财政拨款</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22,423.37</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一、一般公共服务支出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4,929.36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4,929.36</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二、政府性基金预算财政拨款</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800.00</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二、外交支出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三、国防支出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四、公共安全支出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五、教育支出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六、科学技术支出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650.00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650.00</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七、文化旅游体育与传媒支出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八、社会保障和就业支出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165.15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165.15</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九、卫生健康支出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68.50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68.50</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十、节能环保支出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381.19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381.19</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十一、城乡社区支出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66.84</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800.00</w:t>
            </w: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十二、农林水支出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十三、交通运输支出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十四、资源勘探信息等支出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12,268.00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12,268.00</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十五、商业服务业等支出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1,762.91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1,762.91</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十六、金融支出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十七、援助其他地区支出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十八、自然资源海洋气象等支出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十九、住房保障支出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58.96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58.96</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二十、粮油物资储备支出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977.28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977.28</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1137"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二十一、灾害防治及应急管理支出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二十二、其他支出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51</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200.00</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200.00</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二十四、债务付息支出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52</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本年收入合计</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23,223.37</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本年支出合计</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53</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22,328.19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21,528.19</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800.00</w:t>
            </w: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年初财政拨款结转和结余</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819.18</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年末财政拨款结转和结余</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1,714.36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1,714.36</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一、一般公共预算财政拨款</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819.18</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二、政府性基金预算财政拨款</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56</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0"/>
                <w:szCs w:val="20"/>
                <w:u w:val="none"/>
              </w:rPr>
            </w:pP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57</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hd w:val="clear"/>
              <w:jc w:val="right"/>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82" w:hRule="atLeast"/>
        </w:trPr>
        <w:tc>
          <w:tcPr>
            <w:tcW w:w="28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2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29</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24,042.55</w:t>
            </w:r>
          </w:p>
        </w:tc>
        <w:tc>
          <w:tcPr>
            <w:tcW w:w="2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总计</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24,042.55</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23,242.55</w:t>
            </w:r>
          </w:p>
        </w:tc>
        <w:tc>
          <w:tcPr>
            <w:tcW w:w="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800.00</w:t>
            </w:r>
          </w:p>
        </w:tc>
      </w:tr>
      <w:tr>
        <w:tblPrEx>
          <w:shd w:val="clear" w:color="auto" w:fill="auto"/>
          <w:tblCellMar>
            <w:top w:w="0" w:type="dxa"/>
            <w:left w:w="0" w:type="dxa"/>
            <w:bottom w:w="0" w:type="dxa"/>
            <w:right w:w="0" w:type="dxa"/>
          </w:tblCellMar>
        </w:tblPrEx>
        <w:trPr>
          <w:trHeight w:val="582" w:hRule="atLeast"/>
        </w:trPr>
        <w:tc>
          <w:tcPr>
            <w:tcW w:w="102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tbl>
      <w:tblPr>
        <w:tblStyle w:val="8"/>
        <w:tblW w:w="9540" w:type="dxa"/>
        <w:tblInd w:w="-241" w:type="dxa"/>
        <w:shd w:val="clear" w:color="auto" w:fill="auto"/>
        <w:tblLayout w:type="fixed"/>
        <w:tblCellMar>
          <w:top w:w="0" w:type="dxa"/>
          <w:left w:w="0" w:type="dxa"/>
          <w:bottom w:w="0" w:type="dxa"/>
          <w:right w:w="0" w:type="dxa"/>
        </w:tblCellMar>
      </w:tblPr>
      <w:tblGrid>
        <w:gridCol w:w="1170"/>
        <w:gridCol w:w="1410"/>
        <w:gridCol w:w="2370"/>
        <w:gridCol w:w="1605"/>
        <w:gridCol w:w="1600"/>
        <w:gridCol w:w="1385"/>
      </w:tblGrid>
      <w:tr>
        <w:tblPrEx>
          <w:shd w:val="clear" w:color="auto" w:fill="auto"/>
          <w:tblCellMar>
            <w:top w:w="0" w:type="dxa"/>
            <w:left w:w="0" w:type="dxa"/>
            <w:bottom w:w="0" w:type="dxa"/>
            <w:right w:w="0" w:type="dxa"/>
          </w:tblCellMar>
        </w:tblPrEx>
        <w:trPr>
          <w:trHeight w:val="390" w:hRule="atLeast"/>
        </w:trPr>
        <w:tc>
          <w:tcPr>
            <w:tcW w:w="9540" w:type="dxa"/>
            <w:gridSpan w:val="6"/>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shd w:val="clear" w:color="auto" w:fill="auto"/>
          <w:tblCellMar>
            <w:top w:w="0" w:type="dxa"/>
            <w:left w:w="0" w:type="dxa"/>
            <w:bottom w:w="0" w:type="dxa"/>
            <w:right w:w="0" w:type="dxa"/>
          </w:tblCellMar>
        </w:tblPrEx>
        <w:trPr>
          <w:trHeight w:val="255" w:hRule="atLeast"/>
        </w:trPr>
        <w:tc>
          <w:tcPr>
            <w:tcW w:w="25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shd w:val="clear" w:color="auto" w:fill="auto"/>
          <w:tblCellMar>
            <w:top w:w="0" w:type="dxa"/>
            <w:left w:w="0" w:type="dxa"/>
            <w:bottom w:w="0" w:type="dxa"/>
            <w:right w:w="0" w:type="dxa"/>
          </w:tblCellMar>
        </w:tblPrEx>
        <w:trPr>
          <w:trHeight w:val="255" w:hRule="atLeast"/>
        </w:trPr>
        <w:tc>
          <w:tcPr>
            <w:tcW w:w="4950" w:type="dxa"/>
            <w:gridSpan w:val="3"/>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部门：石家庄市鹿泉区发展和改革局</w:t>
            </w:r>
          </w:p>
        </w:tc>
        <w:tc>
          <w:tcPr>
            <w:tcW w:w="16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shd w:val="clear" w:color="auto" w:fill="auto"/>
          <w:tblCellMar>
            <w:top w:w="0" w:type="dxa"/>
            <w:left w:w="0" w:type="dxa"/>
            <w:bottom w:w="0" w:type="dxa"/>
            <w:right w:w="0" w:type="dxa"/>
          </w:tblCellMar>
        </w:tblPrEx>
        <w:trPr>
          <w:trHeight w:val="308" w:hRule="atLeast"/>
        </w:trPr>
        <w:tc>
          <w:tcPr>
            <w:tcW w:w="49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59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shd w:val="clear" w:color="auto" w:fill="auto"/>
          <w:tblCellMar>
            <w:top w:w="0" w:type="dxa"/>
            <w:left w:w="0" w:type="dxa"/>
            <w:bottom w:w="0" w:type="dxa"/>
            <w:right w:w="0" w:type="dxa"/>
          </w:tblCellMar>
        </w:tblPrEx>
        <w:trPr>
          <w:trHeight w:val="308" w:hRule="atLeast"/>
        </w:trPr>
        <w:tc>
          <w:tcPr>
            <w:tcW w:w="117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80"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6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6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3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shd w:val="clear" w:color="auto" w:fill="auto"/>
          <w:tblCellMar>
            <w:top w:w="0" w:type="dxa"/>
            <w:left w:w="0" w:type="dxa"/>
            <w:bottom w:w="0" w:type="dxa"/>
            <w:right w:w="0" w:type="dxa"/>
          </w:tblCellMar>
        </w:tblPrEx>
        <w:trPr>
          <w:trHeight w:val="277" w:hRule="atLeast"/>
        </w:trPr>
        <w:tc>
          <w:tcPr>
            <w:tcW w:w="117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8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8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4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CellMar>
            <w:top w:w="0" w:type="dxa"/>
            <w:left w:w="0" w:type="dxa"/>
            <w:bottom w:w="0" w:type="dxa"/>
            <w:right w:w="0" w:type="dxa"/>
          </w:tblCellMar>
        </w:tblPrEx>
        <w:trPr>
          <w:trHeight w:val="308" w:hRule="atLeast"/>
        </w:trPr>
        <w:tc>
          <w:tcPr>
            <w:tcW w:w="4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21,528.19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1,878.27</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19,649.92</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4,929.36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1,613.60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3,315.76</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政协事务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2010202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4.15</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发展与改革事务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4,070.05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838.44</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3,231.61</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748.91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748.91</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72.14</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72.14</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2010404</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战略规划与实施</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3,022.42</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3,022.42</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2010405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日常经济运行调节</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114.90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114.90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2010450</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88.51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88.51</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2010499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其他发展与改革事务支出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23.17</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22.15</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商贸事务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855.16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775.16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771.45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771.45</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3.71</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2011304</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对外贸易管理</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科学技术支出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其他科学技术支出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科技奖励</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2069999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其他科学技术支出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165.15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117.86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47.29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117.86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117.86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112.48</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112.48</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2080506</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5.38</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5.38</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36.50</w:t>
            </w:r>
          </w:p>
        </w:tc>
      </w:tr>
      <w:tr>
        <w:tblPrEx>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68.50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68.50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68.50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68.50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8.44</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8.44</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381.19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381.19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189.00</w:t>
            </w:r>
          </w:p>
        </w:tc>
      </w:tr>
      <w:tr>
        <w:tblPrEx>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189.00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21110</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能源节约利用</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2111001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能源节约利用</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污染减排</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2111103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减排专项支出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47.19</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66.84</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66.84</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r>
      <w:tr>
        <w:tblPrEx>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51.84</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资源勘探信息等支出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12,268.00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12,255.00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制造业</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12,250.00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12,250.00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2150299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其他制造业支出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12,250.00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12,250.00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工业和信息产业监管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2150501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13.00</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21508</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支持中小企业发展和管理支出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2150805</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中小企业发展专项</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商业服务业等支出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1,762.91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1,762.91</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商业流通事务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347.91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347.91</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2160299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其他商业流通事务支出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332.91</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332.91</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21606</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涉外发展服务支出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2160699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其他涉外发展服务支出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其他商业服务业等支出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2169999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90"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58.96</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粮油物资储备支出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977.28</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6.35</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970.93</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粮油事务</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817.28</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6.35</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810.93</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2220106</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粮食专项业务活动</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43.93</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43.93</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2220199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其他粮油事务支出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773.35</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6.35</w:t>
            </w: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767.00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粮油储备</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储备粮油补贴</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2220403</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储备粮（油）库建设</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22999</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r>
      <w:tr>
        <w:tblPrEx>
          <w:shd w:val="clear" w:color="auto" w:fill="auto"/>
          <w:tblCellMar>
            <w:top w:w="0" w:type="dxa"/>
            <w:left w:w="0" w:type="dxa"/>
            <w:bottom w:w="0" w:type="dxa"/>
            <w:right w:w="0" w:type="dxa"/>
          </w:tblCellMar>
        </w:tblPrEx>
        <w:trPr>
          <w:trHeight w:val="308" w:hRule="atLeast"/>
        </w:trPr>
        <w:tc>
          <w:tcPr>
            <w:tcW w:w="11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2299901</w:t>
            </w:r>
          </w:p>
        </w:tc>
        <w:tc>
          <w:tcPr>
            <w:tcW w:w="3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1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r>
    </w:tbl>
    <w:p>
      <w:r>
        <w:br w:type="page"/>
      </w:r>
    </w:p>
    <w:tbl>
      <w:tblPr>
        <w:tblStyle w:val="8"/>
        <w:tblW w:w="10220" w:type="dxa"/>
        <w:tblInd w:w="-586" w:type="dxa"/>
        <w:shd w:val="clear" w:color="auto" w:fill="auto"/>
        <w:tblLayout w:type="fixed"/>
        <w:tblCellMar>
          <w:top w:w="0" w:type="dxa"/>
          <w:left w:w="0" w:type="dxa"/>
          <w:bottom w:w="0" w:type="dxa"/>
          <w:right w:w="0" w:type="dxa"/>
        </w:tblCellMar>
      </w:tblPr>
      <w:tblGrid>
        <w:gridCol w:w="1095"/>
        <w:gridCol w:w="1839"/>
        <w:gridCol w:w="946"/>
        <w:gridCol w:w="603"/>
        <w:gridCol w:w="1465"/>
        <w:gridCol w:w="734"/>
        <w:gridCol w:w="674"/>
        <w:gridCol w:w="2117"/>
        <w:gridCol w:w="747"/>
      </w:tblGrid>
      <w:tr>
        <w:tblPrEx>
          <w:shd w:val="clear" w:color="auto" w:fill="auto"/>
          <w:tblCellMar>
            <w:top w:w="0" w:type="dxa"/>
            <w:left w:w="0" w:type="dxa"/>
            <w:bottom w:w="0" w:type="dxa"/>
            <w:right w:w="0" w:type="dxa"/>
          </w:tblCellMar>
        </w:tblPrEx>
        <w:trPr>
          <w:trHeight w:val="155" w:hRule="atLeast"/>
        </w:trPr>
        <w:tc>
          <w:tcPr>
            <w:tcW w:w="10220"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CellMar>
            <w:top w:w="0" w:type="dxa"/>
            <w:left w:w="0" w:type="dxa"/>
            <w:bottom w:w="0" w:type="dxa"/>
            <w:right w:w="0" w:type="dxa"/>
          </w:tblCellMar>
        </w:tblPrEx>
        <w:trPr>
          <w:trHeight w:val="90" w:hRule="atLeast"/>
        </w:trPr>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83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4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0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7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64"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CellMar>
            <w:top w:w="0" w:type="dxa"/>
            <w:left w:w="0" w:type="dxa"/>
            <w:bottom w:w="0" w:type="dxa"/>
            <w:right w:w="0" w:type="dxa"/>
          </w:tblCellMar>
        </w:tblPrEx>
        <w:trPr>
          <w:trHeight w:val="90" w:hRule="atLeast"/>
        </w:trPr>
        <w:tc>
          <w:tcPr>
            <w:tcW w:w="3880" w:type="dxa"/>
            <w:gridSpan w:val="3"/>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部门：石家庄市鹿泉区发展和改革局</w:t>
            </w:r>
          </w:p>
        </w:tc>
        <w:tc>
          <w:tcPr>
            <w:tcW w:w="60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7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864"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CellMar>
            <w:top w:w="0" w:type="dxa"/>
            <w:left w:w="0" w:type="dxa"/>
            <w:bottom w:w="0" w:type="dxa"/>
            <w:right w:w="0" w:type="dxa"/>
          </w:tblCellMar>
        </w:tblPrEx>
        <w:trPr>
          <w:trHeight w:val="90" w:hRule="atLeast"/>
        </w:trPr>
        <w:tc>
          <w:tcPr>
            <w:tcW w:w="38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人员经费</w:t>
            </w:r>
          </w:p>
        </w:tc>
        <w:tc>
          <w:tcPr>
            <w:tcW w:w="6340"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公用经费</w:t>
            </w:r>
          </w:p>
        </w:tc>
      </w:tr>
      <w:tr>
        <w:tblPrEx>
          <w:tblCellMar>
            <w:top w:w="0" w:type="dxa"/>
            <w:left w:w="0" w:type="dxa"/>
            <w:bottom w:w="0" w:type="dxa"/>
            <w:right w:w="0" w:type="dxa"/>
          </w:tblCellMar>
        </w:tblPrEx>
        <w:trPr>
          <w:trHeight w:val="312" w:hRule="atLeast"/>
        </w:trPr>
        <w:tc>
          <w:tcPr>
            <w:tcW w:w="109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18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c>
          <w:tcPr>
            <w:tcW w:w="6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14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7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c>
          <w:tcPr>
            <w:tcW w:w="6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科目编码</w:t>
            </w:r>
          </w:p>
        </w:tc>
        <w:tc>
          <w:tcPr>
            <w:tcW w:w="21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科目名称</w:t>
            </w:r>
          </w:p>
        </w:tc>
        <w:tc>
          <w:tcPr>
            <w:tcW w:w="7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决算数</w:t>
            </w:r>
          </w:p>
        </w:tc>
      </w:tr>
      <w:tr>
        <w:tblPrEx>
          <w:tblCellMar>
            <w:top w:w="0" w:type="dxa"/>
            <w:left w:w="0" w:type="dxa"/>
            <w:bottom w:w="0" w:type="dxa"/>
            <w:right w:w="0" w:type="dxa"/>
          </w:tblCellMar>
        </w:tblPrEx>
        <w:trPr>
          <w:trHeight w:val="312" w:hRule="atLeast"/>
        </w:trPr>
        <w:tc>
          <w:tcPr>
            <w:tcW w:w="109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18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6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14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7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6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21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c>
          <w:tcPr>
            <w:tcW w:w="7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工资福利支出</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1,077.65</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商品和服务支出</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368.61</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债务利息及费用支出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30101</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基本工资</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309.76</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30201</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办公费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19.73</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30701</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国内债务付息</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30102</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津贴补贴</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157.90</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30202</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印刷费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7.48</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30702</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国外债务付息</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30103</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奖金</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262.91</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30203</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咨询费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0.80</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资本性支出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7.51</w:t>
            </w: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30106</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伙食补助费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30204</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手续费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31001</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房屋建筑物购建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30107</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绩效工资</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73.60</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30205</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水费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1.81</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31002</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办公设备购置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7.51</w:t>
            </w: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30108</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机关事业单位基本养老保险缴费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105.72</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30206</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电费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2.96</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31003</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专用设备购置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30109</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职业年金缴费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6.68</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30207</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邮电费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37.22</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31005</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基础设施建设</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30110</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职工基本医疗保险缴费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65.63</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30208</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取暖费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6.67</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31006</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大型修缮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30111</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公务员医疗补助缴费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30209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物业管理费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31007</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信息网络及软件购置更新</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30112</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其他社会保障缴费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6.07</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30211</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差旅费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7.32</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31008</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物资储备</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30113</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住房公积金</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70.48</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30212</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因公出国（境）费用</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31009</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土地补偿</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03"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30114</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医疗费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30213</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维修（护）费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3.64</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31010</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安置补助</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30199</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其他工资福利支出</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18.91</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30214</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租赁费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0.41</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31011</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地上附着物和青苗补偿</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对个人和家庭的补助</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424.50</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30215</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会议费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31012</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拆迁补偿</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30301</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离休费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50.68</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30216</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培训费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31013</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公务用车购置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4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30302</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退休费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287.47</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公务接待费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1.71</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31019</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其他交通工具购置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4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30303</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退职（役）费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30218</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专用材料费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31021</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文物和陈列品购置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4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30304</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抚恤金</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66.90</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30224</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被装购置费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31022</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无形资产购置</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4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30305</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生活补助</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19.45</w:t>
            </w: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30225</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专用燃料费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31099</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其他资本性支出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30306</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救济费</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30226</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劳务费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36.13</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其他支出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6"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30307</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医疗费补助</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30227</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委托业务费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180.30</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39906</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赠与</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90"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30308</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助学金</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30228</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工会经费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4.25</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39907</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国家赔偿费用支出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247"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30309</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奖励金</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30229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福利费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5.37</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39908</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对民间非营利组织和群众性自治组织补贴</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30310</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个人农业生产补贴</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30231</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公务用车运行维护费</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9.86</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39999</w:t>
            </w: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其他支出</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30399</w:t>
            </w: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其他对个人和家庭的补助</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30239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其他交通费用</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29.94</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30240</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税金及附加费用</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55"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18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30299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 xml:space="preserve">  其他商品和服务支出</w:t>
            </w:r>
          </w:p>
        </w:tc>
        <w:tc>
          <w:tcPr>
            <w:tcW w:w="7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13.00</w:t>
            </w:r>
          </w:p>
        </w:tc>
        <w:tc>
          <w:tcPr>
            <w:tcW w:w="6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2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shd w:val="clear" w:color="auto" w:fill="auto"/>
              </w:rPr>
            </w:pP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shd w:val="clear" w:color="auto" w:fill="auto"/>
              </w:rPr>
            </w:pPr>
          </w:p>
        </w:tc>
      </w:tr>
      <w:tr>
        <w:tblPrEx>
          <w:tblCellMar>
            <w:top w:w="0" w:type="dxa"/>
            <w:left w:w="0" w:type="dxa"/>
            <w:bottom w:w="0" w:type="dxa"/>
            <w:right w:w="0" w:type="dxa"/>
          </w:tblCellMar>
        </w:tblPrEx>
        <w:trPr>
          <w:trHeight w:val="145" w:hRule="atLeast"/>
        </w:trPr>
        <w:tc>
          <w:tcPr>
            <w:tcW w:w="293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人员经费合计</w:t>
            </w:r>
          </w:p>
        </w:tc>
        <w:tc>
          <w:tcPr>
            <w:tcW w:w="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1,502.15</w:t>
            </w:r>
          </w:p>
        </w:tc>
        <w:tc>
          <w:tcPr>
            <w:tcW w:w="5593"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公用经费合计</w:t>
            </w:r>
          </w:p>
        </w:tc>
        <w:tc>
          <w:tcPr>
            <w:tcW w:w="7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shd w:val="clear" w:color="auto" w:fill="auto"/>
              </w:rPr>
            </w:pPr>
            <w:r>
              <w:rPr>
                <w:rFonts w:hint="eastAsia" w:ascii="宋体" w:hAnsi="宋体" w:eastAsia="宋体" w:cs="宋体"/>
                <w:i w:val="0"/>
                <w:color w:val="000000"/>
                <w:kern w:val="0"/>
                <w:sz w:val="22"/>
                <w:szCs w:val="22"/>
                <w:u w:val="none"/>
                <w:shd w:val="clear" w:color="auto" w:fill="auto"/>
                <w:lang w:val="en-US" w:eastAsia="zh-CN" w:bidi="ar"/>
              </w:rPr>
              <w:t>376.12</w:t>
            </w:r>
          </w:p>
        </w:tc>
      </w:tr>
    </w:tbl>
    <w:p>
      <w:r>
        <w:br w:type="page"/>
      </w:r>
    </w:p>
    <w:tbl>
      <w:tblPr>
        <w:tblStyle w:val="8"/>
        <w:tblW w:w="9468" w:type="dxa"/>
        <w:jc w:val="center"/>
        <w:tblLayout w:type="autofit"/>
        <w:tblCellMar>
          <w:top w:w="0" w:type="dxa"/>
          <w:left w:w="0" w:type="dxa"/>
          <w:bottom w:w="0" w:type="dxa"/>
          <w:right w:w="0" w:type="dxa"/>
        </w:tblCellMar>
      </w:tblPr>
      <w:tblGrid>
        <w:gridCol w:w="1515"/>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468"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5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320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石家庄市鹿泉区发展和改革局</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468"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515"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515"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515"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515"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23.90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18.90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18.90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trHeight w:val="417" w:hRule="atLeast"/>
          <w:jc w:val="center"/>
        </w:trPr>
        <w:tc>
          <w:tcPr>
            <w:tcW w:w="9468"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515"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515"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515"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515"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13.89</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9.86</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9.86</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4.03</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660" w:type="dxa"/>
        <w:jc w:val="center"/>
        <w:tblLayout w:type="fixed"/>
        <w:tblCellMar>
          <w:top w:w="0" w:type="dxa"/>
          <w:left w:w="0" w:type="dxa"/>
          <w:bottom w:w="0" w:type="dxa"/>
          <w:right w:w="0" w:type="dxa"/>
        </w:tblCellMar>
      </w:tblPr>
      <w:tblGrid>
        <w:gridCol w:w="753"/>
        <w:gridCol w:w="233"/>
        <w:gridCol w:w="204"/>
        <w:gridCol w:w="1868"/>
        <w:gridCol w:w="424"/>
        <w:gridCol w:w="1232"/>
        <w:gridCol w:w="1232"/>
        <w:gridCol w:w="1232"/>
        <w:gridCol w:w="1235"/>
        <w:gridCol w:w="1247"/>
      </w:tblGrid>
      <w:tr>
        <w:tblPrEx>
          <w:tblCellMar>
            <w:top w:w="0" w:type="dxa"/>
            <w:left w:w="0" w:type="dxa"/>
            <w:bottom w:w="0" w:type="dxa"/>
            <w:right w:w="0" w:type="dxa"/>
          </w:tblCellMar>
        </w:tblPrEx>
        <w:trPr>
          <w:trHeight w:val="1086" w:hRule="atLeast"/>
          <w:jc w:val="center"/>
        </w:trPr>
        <w:tc>
          <w:tcPr>
            <w:tcW w:w="966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468" w:hRule="atLeast"/>
          <w:jc w:val="center"/>
        </w:trPr>
        <w:tc>
          <w:tcPr>
            <w:tcW w:w="7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8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468" w:hRule="atLeast"/>
          <w:jc w:val="center"/>
        </w:trPr>
        <w:tc>
          <w:tcPr>
            <w:tcW w:w="3058" w:type="dxa"/>
            <w:gridSpan w:val="4"/>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石家庄市鹿泉区发展和改革局</w:t>
            </w:r>
          </w:p>
        </w:tc>
        <w:tc>
          <w:tcPr>
            <w:tcW w:w="4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8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507" w:hRule="atLeast"/>
          <w:jc w:val="center"/>
        </w:trPr>
        <w:tc>
          <w:tcPr>
            <w:tcW w:w="305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2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69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2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507" w:hRule="atLeast"/>
          <w:jc w:val="center"/>
        </w:trPr>
        <w:tc>
          <w:tcPr>
            <w:tcW w:w="11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86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2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07" w:hRule="atLeast"/>
          <w:jc w:val="center"/>
        </w:trPr>
        <w:tc>
          <w:tcPr>
            <w:tcW w:w="11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1246" w:hRule="atLeast"/>
          <w:jc w:val="center"/>
        </w:trPr>
        <w:tc>
          <w:tcPr>
            <w:tcW w:w="11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6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68" w:hRule="atLeast"/>
          <w:jc w:val="center"/>
        </w:trPr>
        <w:tc>
          <w:tcPr>
            <w:tcW w:w="30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68" w:hRule="atLeast"/>
          <w:jc w:val="center"/>
        </w:trPr>
        <w:tc>
          <w:tcPr>
            <w:tcW w:w="30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800.00</w:t>
            </w: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468" w:hRule="atLeast"/>
          <w:jc w:val="center"/>
        </w:trPr>
        <w:tc>
          <w:tcPr>
            <w:tcW w:w="11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881" w:hRule="atLeast"/>
          <w:jc w:val="center"/>
        </w:trPr>
        <w:tc>
          <w:tcPr>
            <w:tcW w:w="11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1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468" w:hRule="atLeast"/>
          <w:jc w:val="center"/>
        </w:trPr>
        <w:tc>
          <w:tcPr>
            <w:tcW w:w="11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1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800.00</w:t>
            </w: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468" w:hRule="atLeast"/>
          <w:jc w:val="center"/>
        </w:trPr>
        <w:tc>
          <w:tcPr>
            <w:tcW w:w="11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07" w:hRule="atLeast"/>
          <w:jc w:val="center"/>
        </w:trPr>
        <w:tc>
          <w:tcPr>
            <w:tcW w:w="119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8"/>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石家庄市鹿泉区发展和改革局</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12"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无</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jc w:val="left"/>
      </w:pPr>
      <w:r>
        <w:rPr>
          <w:rFonts w:hint="eastAsia" w:ascii="宋体" w:hAnsi="宋体" w:eastAsia="宋体" w:cs="宋体"/>
          <w:color w:val="000000"/>
          <w:sz w:val="22"/>
        </w:rPr>
        <w:t>本部门本年度无相关支出情况，按要求空表列示。</w:t>
      </w:r>
      <w:r>
        <w:br w:type="page"/>
      </w:r>
      <w:r>
        <w:rPr>
          <w:rFonts w:hint="eastAsia"/>
        </w:rPr>
        <w:t>本部门本年度无相关支出情况，按要求空表列示。</w:t>
      </w:r>
    </w:p>
    <w:p>
      <w:r>
        <mc:AlternateContent>
          <mc:Choice Requires="wps">
            <w:drawing>
              <wp:anchor distT="0" distB="0" distL="114300" distR="114300" simplePos="0" relativeHeight="25167462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462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1" w:type="first"/>
      <w:headerReference r:id="rId20" w:type="default"/>
      <w:footerReference r:id="rId22"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691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691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793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793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998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998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9305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305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9408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408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510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510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9100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100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203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486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179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179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0768;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281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384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pPr>
        <w:ind w:left="-10"/>
      </w:pPr>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19D9"/>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2A3492"/>
    <w:rsid w:val="02B47879"/>
    <w:rsid w:val="03B72B7A"/>
    <w:rsid w:val="05B00A30"/>
    <w:rsid w:val="05BE267A"/>
    <w:rsid w:val="05F73F66"/>
    <w:rsid w:val="060C6ED3"/>
    <w:rsid w:val="06815186"/>
    <w:rsid w:val="06B3324D"/>
    <w:rsid w:val="06DD235B"/>
    <w:rsid w:val="073F50E5"/>
    <w:rsid w:val="0789555A"/>
    <w:rsid w:val="080302C9"/>
    <w:rsid w:val="084B39C0"/>
    <w:rsid w:val="08D361D2"/>
    <w:rsid w:val="0A1B74DF"/>
    <w:rsid w:val="0B011416"/>
    <w:rsid w:val="0C9A7EF5"/>
    <w:rsid w:val="0CD576A3"/>
    <w:rsid w:val="10EA3568"/>
    <w:rsid w:val="11D83F8B"/>
    <w:rsid w:val="14441D1D"/>
    <w:rsid w:val="1496295A"/>
    <w:rsid w:val="14AE57CA"/>
    <w:rsid w:val="1951614C"/>
    <w:rsid w:val="19BC575B"/>
    <w:rsid w:val="19DF5064"/>
    <w:rsid w:val="19EC5994"/>
    <w:rsid w:val="1A2877F0"/>
    <w:rsid w:val="1BE505D2"/>
    <w:rsid w:val="1C29299B"/>
    <w:rsid w:val="1D0F3E1B"/>
    <w:rsid w:val="1F160B8E"/>
    <w:rsid w:val="1F941055"/>
    <w:rsid w:val="21AA410F"/>
    <w:rsid w:val="2699662F"/>
    <w:rsid w:val="26DB71B7"/>
    <w:rsid w:val="28123915"/>
    <w:rsid w:val="28AE3709"/>
    <w:rsid w:val="2B5C4F40"/>
    <w:rsid w:val="2CB43612"/>
    <w:rsid w:val="2E8405E2"/>
    <w:rsid w:val="2FB27F90"/>
    <w:rsid w:val="30DD743B"/>
    <w:rsid w:val="3198467E"/>
    <w:rsid w:val="31C2036A"/>
    <w:rsid w:val="31FC1B67"/>
    <w:rsid w:val="320D02A5"/>
    <w:rsid w:val="323A5621"/>
    <w:rsid w:val="32762030"/>
    <w:rsid w:val="33CF297F"/>
    <w:rsid w:val="33E750F2"/>
    <w:rsid w:val="348E566F"/>
    <w:rsid w:val="36AD0447"/>
    <w:rsid w:val="3A226944"/>
    <w:rsid w:val="3AEE6A48"/>
    <w:rsid w:val="3C03006C"/>
    <w:rsid w:val="3C1620AA"/>
    <w:rsid w:val="3C1C5FC9"/>
    <w:rsid w:val="3D0C414E"/>
    <w:rsid w:val="3D8F080F"/>
    <w:rsid w:val="3D994C74"/>
    <w:rsid w:val="41FF6043"/>
    <w:rsid w:val="432B2715"/>
    <w:rsid w:val="4339643A"/>
    <w:rsid w:val="43636487"/>
    <w:rsid w:val="43FC381D"/>
    <w:rsid w:val="44775FD9"/>
    <w:rsid w:val="44CE1FA4"/>
    <w:rsid w:val="45A0387F"/>
    <w:rsid w:val="487F73ED"/>
    <w:rsid w:val="4A347EAE"/>
    <w:rsid w:val="4F2619E0"/>
    <w:rsid w:val="510C5001"/>
    <w:rsid w:val="52600405"/>
    <w:rsid w:val="529B4319"/>
    <w:rsid w:val="52B51651"/>
    <w:rsid w:val="547A0EA0"/>
    <w:rsid w:val="57773DD6"/>
    <w:rsid w:val="578B79AB"/>
    <w:rsid w:val="58281336"/>
    <w:rsid w:val="5A0359D3"/>
    <w:rsid w:val="5A122425"/>
    <w:rsid w:val="5A322468"/>
    <w:rsid w:val="5BCA427A"/>
    <w:rsid w:val="5C04314E"/>
    <w:rsid w:val="5CA01D91"/>
    <w:rsid w:val="5CCD3FD5"/>
    <w:rsid w:val="5EF32C9F"/>
    <w:rsid w:val="5F1C0980"/>
    <w:rsid w:val="5F6179F4"/>
    <w:rsid w:val="5F73189A"/>
    <w:rsid w:val="619E46CB"/>
    <w:rsid w:val="61FA5F9D"/>
    <w:rsid w:val="62AE7E0E"/>
    <w:rsid w:val="62BA1195"/>
    <w:rsid w:val="641342A7"/>
    <w:rsid w:val="64401DD7"/>
    <w:rsid w:val="6497582B"/>
    <w:rsid w:val="64BF6F15"/>
    <w:rsid w:val="64CD6910"/>
    <w:rsid w:val="65CD1766"/>
    <w:rsid w:val="66426B6C"/>
    <w:rsid w:val="66975029"/>
    <w:rsid w:val="66F03D0D"/>
    <w:rsid w:val="67425AFD"/>
    <w:rsid w:val="67852C70"/>
    <w:rsid w:val="6789158D"/>
    <w:rsid w:val="67AB2C98"/>
    <w:rsid w:val="67D81BA4"/>
    <w:rsid w:val="6A2C60DB"/>
    <w:rsid w:val="6AAF1C96"/>
    <w:rsid w:val="6C23638E"/>
    <w:rsid w:val="6DA862BD"/>
    <w:rsid w:val="6DE26F57"/>
    <w:rsid w:val="6E8C027C"/>
    <w:rsid w:val="6EA00A36"/>
    <w:rsid w:val="721E2049"/>
    <w:rsid w:val="7303002D"/>
    <w:rsid w:val="756257B1"/>
    <w:rsid w:val="75681757"/>
    <w:rsid w:val="75A346A8"/>
    <w:rsid w:val="77287D1B"/>
    <w:rsid w:val="77F31B39"/>
    <w:rsid w:val="79637D4D"/>
    <w:rsid w:val="79B9382C"/>
    <w:rsid w:val="7A7F56D0"/>
    <w:rsid w:val="7AD86AE0"/>
    <w:rsid w:val="7AFD6E4A"/>
    <w:rsid w:val="7B043B76"/>
    <w:rsid w:val="7B617C44"/>
    <w:rsid w:val="7C041A6A"/>
    <w:rsid w:val="7D6157E3"/>
    <w:rsid w:val="7E327570"/>
    <w:rsid w:val="7E904391"/>
    <w:rsid w:val="7F6D51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Plain Text"/>
    <w:basedOn w:val="1"/>
    <w:qFormat/>
    <w:uiPriority w:val="99"/>
    <w:rPr>
      <w:rFonts w:ascii="宋体" w:hAnsi="Courier New" w:cs="宋体"/>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No Spacing"/>
    <w:qFormat/>
    <w:uiPriority w:val="0"/>
    <w:pPr>
      <w:widowControl w:val="0"/>
      <w:jc w:val="both"/>
    </w:pPr>
    <w:rPr>
      <w:rFonts w:ascii="宋体" w:hAnsi="宋体" w:eastAsia="仿宋_GB2312" w:cs="Times New Roman"/>
      <w:kern w:val="2"/>
      <w:sz w:val="32"/>
      <w:szCs w:val="22"/>
      <w:lang w:val="en-US" w:eastAsia="zh-CN" w:bidi="ar-SA"/>
    </w:rPr>
  </w:style>
  <w:style w:type="character" w:customStyle="1" w:styleId="12">
    <w:name w:val="页眉 Char"/>
    <w:basedOn w:val="10"/>
    <w:link w:val="7"/>
    <w:qFormat/>
    <w:uiPriority w:val="99"/>
    <w:rPr>
      <w:rFonts w:asciiTheme="minorHAnsi" w:hAnsiTheme="minorHAnsi" w:eastAsiaTheme="minorEastAsia"/>
      <w:sz w:val="18"/>
      <w:szCs w:val="18"/>
    </w:rPr>
  </w:style>
  <w:style w:type="character" w:customStyle="1" w:styleId="13">
    <w:name w:val="页脚 Char"/>
    <w:basedOn w:val="10"/>
    <w:link w:val="6"/>
    <w:qFormat/>
    <w:uiPriority w:val="99"/>
    <w:rPr>
      <w:sz w:val="18"/>
      <w:szCs w:val="18"/>
    </w:rPr>
  </w:style>
  <w:style w:type="paragraph" w:customStyle="1" w:styleId="14">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chart" Target="charts/chart5.xml"/><Relationship Id="rId28" Type="http://schemas.openxmlformats.org/officeDocument/2006/relationships/chart" Target="charts/chart4.xml"/><Relationship Id="rId27" Type="http://schemas.openxmlformats.org/officeDocument/2006/relationships/chart" Target="charts/chart3.xml"/><Relationship Id="rId26" Type="http://schemas.openxmlformats.org/officeDocument/2006/relationships/chart" Target="charts/chart2.xml"/><Relationship Id="rId25" Type="http://schemas.openxmlformats.org/officeDocument/2006/relationships/chart" Target="charts/chart1.xml"/><Relationship Id="rId24" Type="http://schemas.openxmlformats.org/officeDocument/2006/relationships/image" Target="media/image1.bmp"/><Relationship Id="rId23" Type="http://schemas.openxmlformats.org/officeDocument/2006/relationships/theme" Target="theme/theme1.xml"/><Relationship Id="rId22" Type="http://schemas.openxmlformats.org/officeDocument/2006/relationships/footer" Target="footer8.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019&#24180;&#20915;&#31639;&#20844;&#24320;\&#30707;&#23478;&#24196;&#24066;&#40575;&#27849;&#21306;&#21457;&#23637;&#21644;&#25913;&#38761;&#23616;&#20844;&#24320;&#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019&#24180;&#20915;&#31639;&#20844;&#24320;\&#30707;&#23478;&#24196;&#24066;&#40575;&#27849;&#21306;&#21457;&#23637;&#21644;&#25913;&#38761;&#23616;&#20844;&#24320;&#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019&#24180;&#20915;&#31639;&#20844;&#24320;\&#30707;&#23478;&#24196;&#24066;&#40575;&#27849;&#21306;&#21457;&#23637;&#21644;&#25913;&#38761;&#23616;&#20844;&#24320;&#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019&#24180;&#20915;&#31639;&#20844;&#24320;\&#30707;&#23478;&#24196;&#24066;&#40575;&#27849;&#21306;&#21457;&#23637;&#21644;&#25913;&#38761;&#23616;&#20844;&#24320;&#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019&#24180;&#20915;&#31639;&#20844;&#24320;\&#30707;&#23478;&#24196;&#24066;&#40575;&#27849;&#21306;&#21457;&#23637;&#21644;&#25913;&#38761;&#23616;&#20844;&#24320;&#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141569747569656"/>
                  <c:y val="-0.30793230629748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政拨款收入85</a:t>
                    </a:r>
                    <a:r>
                      <a:rPr lang="en-US" altLang="zh-CN"/>
                      <a:t>.2</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其他收入1</a:t>
                    </a:r>
                    <a:r>
                      <a:rPr lang="en-US" altLang="zh-CN"/>
                      <a:t>4.8</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[石家庄市鹿泉区发展和改革局公开表.XLS]Sheet1!$C$1:$C$2</c:f>
              <c:strCache>
                <c:ptCount val="2"/>
                <c:pt idx="0">
                  <c:v>政拨款收入</c:v>
                </c:pt>
                <c:pt idx="1">
                  <c:v>其他收入</c:v>
                </c:pt>
              </c:strCache>
            </c:strRef>
          </c:cat>
          <c:val>
            <c:numRef>
              <c:f>[石家庄市鹿泉区发展和改革局公开表.XLS]Sheet1!$D$1:$D$2</c:f>
              <c:numCache>
                <c:formatCode>General</c:formatCode>
                <c:ptCount val="2"/>
                <c:pt idx="0">
                  <c:v>23223.37</c:v>
                </c:pt>
                <c:pt idx="1">
                  <c:v>4034.92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0465084292209561"/>
                  <c:y val="0.16643629016035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7</a:t>
                    </a:r>
                    <a:r>
                      <a:rPr lang="en-US" altLang="zh-CN"/>
                      <a:t>.39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9</a:t>
                    </a:r>
                    <a:r>
                      <a:rPr lang="en-US" altLang="zh-CN"/>
                      <a:t>2.61</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[石家庄市鹿泉区发展和改革局公开表.XLS]Sheet1!$C$1:$C$2</c:f>
              <c:strCache>
                <c:ptCount val="2"/>
                <c:pt idx="0">
                  <c:v>基本支出</c:v>
                </c:pt>
                <c:pt idx="1">
                  <c:v>项目支出</c:v>
                </c:pt>
              </c:strCache>
            </c:strRef>
          </c:cat>
          <c:val>
            <c:numRef>
              <c:f>[石家庄市鹿泉区发展和改革局公开表.XLS]Sheet1!$D$1:$D$2</c:f>
              <c:numCache>
                <c:formatCode>General</c:formatCode>
                <c:ptCount val="2"/>
                <c:pt idx="0">
                  <c:v>1878.27</c:v>
                </c:pt>
                <c:pt idx="1">
                  <c:v>23538.19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777777777778"/>
          <c:y val="0.189583333333333"/>
          <c:w val="0.749222222222222"/>
          <c:h val="0.711666666666667"/>
        </c:manualLayout>
      </c:layout>
      <c:barChart>
        <c:barDir val="col"/>
        <c:grouping val="clustered"/>
        <c:varyColors val="0"/>
        <c:ser>
          <c:idx val="0"/>
          <c:order val="0"/>
          <c:spPr>
            <a:solidFill>
              <a:schemeClr val="accent1"/>
            </a:solidFill>
            <a:ln>
              <a:noFill/>
            </a:ln>
            <a:effectLst/>
          </c:spPr>
          <c:invertIfNegative val="0"/>
          <c:dLbls>
            <c:dLbl>
              <c:idx val="0"/>
              <c:layout>
                <c:manualLayout>
                  <c:x val="0"/>
                  <c:y val="-0.0833333333333333"/>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97222222222222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868055555555556"/>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937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[石家庄市鹿泉区发展和改革局公开表.XLS]Sheet1!$C$11:$C$14</c:f>
              <c:strCache>
                <c:ptCount val="4"/>
                <c:pt idx="0">
                  <c:v>2019年收入</c:v>
                </c:pt>
                <c:pt idx="1">
                  <c:v>2018年收入</c:v>
                </c:pt>
                <c:pt idx="2">
                  <c:v>2019年支出</c:v>
                </c:pt>
                <c:pt idx="3">
                  <c:v>2018年支出</c:v>
                </c:pt>
              </c:strCache>
            </c:strRef>
          </c:cat>
          <c:val>
            <c:numRef>
              <c:f>[石家庄市鹿泉区发展和改革局公开表.XLS]Sheet1!$D$11:$D$14</c:f>
              <c:numCache>
                <c:formatCode>General</c:formatCode>
                <c:ptCount val="4"/>
                <c:pt idx="0">
                  <c:v>23223.37</c:v>
                </c:pt>
                <c:pt idx="1">
                  <c:v>12687.23</c:v>
                </c:pt>
                <c:pt idx="2">
                  <c:v>22328.19</c:v>
                </c:pt>
                <c:pt idx="3">
                  <c:v>11447.83</c:v>
                </c:pt>
              </c:numCache>
            </c:numRef>
          </c:val>
        </c:ser>
        <c:dLbls>
          <c:showLegendKey val="0"/>
          <c:showVal val="1"/>
          <c:showCatName val="0"/>
          <c:showSerName val="0"/>
          <c:showPercent val="0"/>
          <c:showBubbleSize val="0"/>
        </c:dLbls>
        <c:gapWidth val="75"/>
        <c:overlap val="40"/>
        <c:axId val="262147492"/>
        <c:axId val="409214669"/>
      </c:barChart>
      <c:catAx>
        <c:axId val="26214749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9214669"/>
        <c:crosses val="autoZero"/>
        <c:auto val="1"/>
        <c:lblAlgn val="ctr"/>
        <c:lblOffset val="100"/>
        <c:noMultiLvlLbl val="0"/>
      </c:catAx>
      <c:valAx>
        <c:axId val="40921466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21474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25"/>
          <c:y val="0.176388888888889"/>
          <c:w val="0.749222222222222"/>
          <c:h val="0.711666666666667"/>
        </c:manualLayout>
      </c:layout>
      <c:barChart>
        <c:barDir val="col"/>
        <c:grouping val="clustered"/>
        <c:varyColors val="0"/>
        <c:ser>
          <c:idx val="0"/>
          <c:order val="0"/>
          <c:spPr>
            <a:solidFill>
              <a:schemeClr val="accent1"/>
            </a:solidFill>
            <a:ln>
              <a:noFill/>
            </a:ln>
            <a:effectLst/>
          </c:spPr>
          <c:invertIfNegative val="0"/>
          <c:dLbls>
            <c:dLbl>
              <c:idx val="0"/>
              <c:layout>
                <c:manualLayout>
                  <c:x val="0"/>
                  <c:y val="-0.0833333333333333"/>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97222222222222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868055555555556"/>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937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[石家庄市鹿泉区发展和改革局公开表.XLS]Sheet1!$C$11:$C$14</c:f>
              <c:strCache>
                <c:ptCount val="4"/>
                <c:pt idx="0">
                  <c:v>收入预算数</c:v>
                </c:pt>
                <c:pt idx="1">
                  <c:v>收入决算数</c:v>
                </c:pt>
                <c:pt idx="2">
                  <c:v>支出预算数</c:v>
                </c:pt>
                <c:pt idx="3">
                  <c:v>支出决算数</c:v>
                </c:pt>
              </c:strCache>
            </c:strRef>
          </c:cat>
          <c:val>
            <c:numRef>
              <c:f>[石家庄市鹿泉区发展和改革局公开表.XLS]Sheet1!$D$11:$D$14</c:f>
              <c:numCache>
                <c:formatCode>General</c:formatCode>
                <c:ptCount val="4"/>
                <c:pt idx="0">
                  <c:v>4641.25</c:v>
                </c:pt>
                <c:pt idx="1">
                  <c:v>23223.37</c:v>
                </c:pt>
                <c:pt idx="2">
                  <c:v>4641.25</c:v>
                </c:pt>
                <c:pt idx="3">
                  <c:v>22328.19</c:v>
                </c:pt>
              </c:numCache>
            </c:numRef>
          </c:val>
        </c:ser>
        <c:dLbls>
          <c:showLegendKey val="0"/>
          <c:showVal val="1"/>
          <c:showCatName val="0"/>
          <c:showSerName val="0"/>
          <c:showPercent val="0"/>
          <c:showBubbleSize val="0"/>
        </c:dLbls>
        <c:gapWidth val="75"/>
        <c:overlap val="40"/>
        <c:axId val="262147492"/>
        <c:axId val="409214669"/>
      </c:barChart>
      <c:catAx>
        <c:axId val="26214749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9214669"/>
        <c:crosses val="autoZero"/>
        <c:auto val="1"/>
        <c:lblAlgn val="ctr"/>
        <c:lblOffset val="100"/>
        <c:noMultiLvlLbl val="0"/>
      </c:catAx>
      <c:valAx>
        <c:axId val="40921466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21474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     </a:t>
            </a:r>
          </a:p>
        </c:rich>
      </c:tx>
      <c:layout>
        <c:manualLayout>
          <c:xMode val="edge"/>
          <c:yMode val="edge"/>
          <c:x val="0.795694444444444"/>
          <c:y val="0.09375"/>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Lbls>
            <c:dLbl>
              <c:idx val="1"/>
              <c:layout>
                <c:manualLayout>
                  <c:x val="0.0341580078999415"/>
                  <c:y val="-0.107113885407426"/>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科学技术</a:t>
                    </a:r>
                    <a:r>
                      <a:rPr lang="en-US" altLang="zh-CN"/>
                      <a:t>2.91</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263220902703371"/>
                  <c:y val="-0.044835521849299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社会保障和就业</a:t>
                    </a:r>
                    <a:r>
                      <a:rPr lang="en-US" altLang="zh-CN"/>
                      <a:t>0.74</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31427044361304"/>
                      <c:h val="0.129861111111111"/>
                    </c:manualLayout>
                  </c15:layout>
                </c:ext>
              </c:extLst>
            </c:dLbl>
            <c:dLbl>
              <c:idx val="3"/>
              <c:layout>
                <c:manualLayout>
                  <c:x val="0.0275238338253937"/>
                  <c:y val="0.038376802797572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卫生健康</a:t>
                    </a:r>
                    <a:r>
                      <a:rPr lang="en-US" altLang="zh-CN"/>
                      <a:t>0.3</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0237967516892965"/>
                  <c:y val="0.085078540787178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节能环保</a:t>
                    </a:r>
                    <a:r>
                      <a:rPr lang="en-US" altLang="zh-CN"/>
                      <a:t>1.7</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0181038103199665"/>
                  <c:y val="0.094952008759528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城乡社区</a:t>
                    </a:r>
                    <a:r>
                      <a:rPr lang="en-US" altLang="zh-CN"/>
                      <a:t>3.88</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676387825584776"/>
                  <c:y val="-0.087860976334471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资源勘探信息</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54.94</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layout>
                <c:manualLayout>
                  <c:x val="-0.108872387062401"/>
                  <c:y val="0.0733085487126547"/>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商业服务业</a:t>
                    </a:r>
                    <a:r>
                      <a:rPr lang="en-US" altLang="zh-CN"/>
                      <a:t>7.9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135944930768397"/>
                  <c:y val="0.0317437871584746"/>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住房保障</a:t>
                    </a:r>
                    <a:r>
                      <a:rPr lang="en-US" altLang="zh-CN"/>
                      <a:t>0.27</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layout>
                <c:manualLayout>
                  <c:x val="-0.0484465767227813"/>
                  <c:y val="-0.015019928451973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粮油物资储备4</a:t>
                    </a:r>
                    <a:r>
                      <a:rPr lang="en-US" altLang="zh-CN"/>
                      <a:t>.38</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0"/>
              <c:layout>
                <c:manualLayout>
                  <c:x val="0.0278470253916331"/>
                  <c:y val="-0.013599333396508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其他支出</a:t>
                    </a:r>
                  </a:p>
                  <a:p>
                    <a:pPr defTabSz="914400">
                      <a:defRPr lang="zh-CN" sz="900" b="0" i="0" u="none" strike="noStrike" kern="1200" baseline="0">
                        <a:solidFill>
                          <a:schemeClr val="tx1">
                            <a:lumMod val="75000"/>
                            <a:lumOff val="25000"/>
                          </a:schemeClr>
                        </a:solidFill>
                        <a:latin typeface="+mn-lt"/>
                        <a:ea typeface="+mn-ea"/>
                        <a:cs typeface="+mn-cs"/>
                      </a:defRPr>
                    </a:pPr>
                    <a:r>
                      <a:rPr lang="en-US" altLang="zh-CN"/>
                      <a:t>0.9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[石家庄市鹿泉区发展和改革局公开表.XLS]Sheet1!$C$1:$C$11</c:f>
              <c:strCache>
                <c:ptCount val="11"/>
                <c:pt idx="0">
                  <c:v>一般公共服务（类）</c:v>
                </c:pt>
                <c:pt idx="1">
                  <c:v>科学技术（类）</c:v>
                </c:pt>
                <c:pt idx="2">
                  <c:v>社会保障和就业（类）</c:v>
                </c:pt>
                <c:pt idx="3">
                  <c:v>卫生健康</c:v>
                </c:pt>
                <c:pt idx="4">
                  <c:v>节能环保</c:v>
                </c:pt>
                <c:pt idx="5">
                  <c:v>城乡社区</c:v>
                </c:pt>
                <c:pt idx="6">
                  <c:v>资源勘探信息</c:v>
                </c:pt>
                <c:pt idx="7">
                  <c:v>商业服务业</c:v>
                </c:pt>
                <c:pt idx="8">
                  <c:v>住房保障（类）</c:v>
                </c:pt>
                <c:pt idx="9">
                  <c:v>粮油物资储备</c:v>
                </c:pt>
                <c:pt idx="10">
                  <c:v>其他支出</c:v>
                </c:pt>
              </c:strCache>
            </c:strRef>
          </c:cat>
          <c:val>
            <c:numRef>
              <c:f>[石家庄市鹿泉区发展和改革局公开表.XLS]Sheet1!$D$1:$D$11</c:f>
              <c:numCache>
                <c:formatCode>General</c:formatCode>
                <c:ptCount val="11"/>
                <c:pt idx="0">
                  <c:v>4929.36</c:v>
                </c:pt>
                <c:pt idx="1">
                  <c:v>650</c:v>
                </c:pt>
                <c:pt idx="2">
                  <c:v>165.15</c:v>
                </c:pt>
                <c:pt idx="3">
                  <c:v>68.5</c:v>
                </c:pt>
                <c:pt idx="4">
                  <c:v>381.19</c:v>
                </c:pt>
                <c:pt idx="5">
                  <c:v>866.84</c:v>
                </c:pt>
                <c:pt idx="6">
                  <c:v>12268</c:v>
                </c:pt>
                <c:pt idx="7">
                  <c:v>1762.91</c:v>
                </c:pt>
                <c:pt idx="8">
                  <c:v>58.96</c:v>
                </c:pt>
                <c:pt idx="9">
                  <c:v>977.28</c:v>
                </c:pt>
                <c:pt idx="10">
                  <c:v>200</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4</TotalTime>
  <ScaleCrop>false</ScaleCrop>
  <LinksUpToDate>false</LinksUpToDate>
  <CharactersWithSpaces>11119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2020-11-04T06:36:00Z</cp:lastPrinted>
  <dcterms:modified xsi:type="dcterms:W3CDTF">2024-11-26T06:28:23Z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0C90C2230E5D486E8A85711E86A2D151_13</vt:lpwstr>
  </property>
</Properties>
</file>