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：131001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：中国人民政治协商会议河北省石家庄市鹿泉区委员会(本级)</w:t>
      </w:r>
    </w:p>
    <w:p>
      <w:pPr>
        <w:spacing w:line="600" w:lineRule="auto"/>
        <w:jc w:val="left"/>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p>
    <w:p>
      <w:pPr>
        <w:spacing w:line="600" w:lineRule="auto"/>
        <w:rPr>
          <w:rFonts w:ascii="楷体_GB2312" w:hAnsi="楷体_GB2312" w:eastAsia="楷体_GB2312" w:cs="楷体_GB2312"/>
          <w:color w:val="000000"/>
          <w:sz w:val="40"/>
          <w:szCs w:val="40"/>
        </w:rPr>
      </w:pPr>
    </w:p>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ascii="黑体" w:hAnsi="黑体" w:eastAsia="黑体" w:cs="黑体"/>
          <w:b/>
          <w:bCs/>
          <w:sz w:val="72"/>
          <w:szCs w:val="96"/>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单位概况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一、单位职责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ascii="Arial" w:hAnsi="Arial" w:eastAsia="Arial" w:cs="Arial"/>
          <w:color w:val="000000"/>
          <w:sz w:val="18"/>
          <w:szCs w:val="18"/>
          <w:shd w:val="clear" w:color="auto" w:fill="FFFFFF"/>
        </w:rPr>
        <w:t> </w:t>
      </w:r>
      <w:r>
        <w:rPr>
          <w:rFonts w:hint="eastAsia" w:ascii="仿宋_GB2312" w:hAnsi="仿宋_GB2312" w:eastAsia="仿宋_GB2312" w:cs="仿宋_GB2312"/>
          <w:color w:val="000000"/>
          <w:sz w:val="32"/>
          <w:szCs w:val="32"/>
          <w:shd w:val="clear" w:color="auto" w:fill="FFFFFF"/>
        </w:rPr>
        <w:t>（一）政治协商</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政协各类会议是政协履行职能的主要形式，是开展工作的主体，是委员履行自身职责的主要途径，完善各项会议制度，规范会议程序，提高会议质量，提高政治协商水平。根据形势、任务和党委政府统一部署，安排协商活动，召开专题座谈会等，增强开展政治协商的自觉性和主动性，规范协商内容，丰富协商形式和层次，把政治协商纳入决策程序。</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（一）民主监督</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有效履行民主监督职责。通过意见、建议的方式对国家法律法规的实施、重大方针政策的贯彻执行、完善民主监督机制，畅通民主监督渠道，建立健全知情、沟通制度，将民主监督寓于委员提案、进行视察、参与工作检查等活动中，提高民主监督质量和成效，对区委、区政府的工作进行政治监督，组织、鼓励和引导委员深入实际，通过建议案、提案等形式进行监督。</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通过参加党委政府组织的调查和检查活动实施监督。对政协委员和参加政协的各党派团体以及各专委会（提案者）的提案进行审查立案，立案后交承办单位办理，适时督办。</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完善民主监督机制，畅通民主监督渠道，建立健全知情、沟通制度，加强工作协调配合，提高民主监督的质量和成效。</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完善提案审查、办理和反馈机制，做到提案程序更加规范，制度更加完善，提案质量和办理质量不断提高，政协履职作用更加突出。</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（三）参政议政</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通过对重大问题以及人民群众普遍关心的问题，开展调查研究，向区委、区政府提出意见和建议，发挥政协作为扩大社会各界有序参与的重要渠道作用，探索开展活动的新方法新途径，充分调动委员参政议政积极，向区委、区政府提出高质量的建议案。</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通过界别渠道密切联系群众，反映社情民意，努力做到协调关系、化解矛盾、理顺情绪，增进社会各阶层不同利益群体的和谐和稳定。</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（四）政协事务管理</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加强区政协机关自身建设和宣传工作，扩大政协与区委、区人大常委会、区政府、各民主党派、工商联、人民团体、区直有关部门和市、县（区）政协的联系、协调工作。</w:t>
      </w:r>
    </w:p>
    <w:p>
      <w:pPr>
        <w:pStyle w:val="10"/>
        <w:widowControl/>
        <w:shd w:val="clear" w:color="auto" w:fill="FFFFFF"/>
        <w:spacing w:beforeAutospacing="0" w:afterAutospacing="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区政协机关的日常工作，机构编制、人事任免、调配及人员培训、考核奖惩、工资福利，后勤保障、机关经费管理、资产管理、基建和审计，机关接待、离退休人员服务，以及承办区政协主席、副主席、交办的其他事项，机关基本设施设备正常运转、信息化保障、老干部服务保障能力进一步提高。</w:t>
      </w:r>
    </w:p>
    <w:p>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w:t>
      </w:r>
      <w:r>
        <w:rPr>
          <w:rFonts w:hint="eastAsia" w:ascii="仿宋_GB2312" w:hAnsi="仿宋_GB2312" w:eastAsia="仿宋_GB2312" w:cs="仿宋_GB2312"/>
          <w:sz w:val="32"/>
          <w:szCs w:val="32"/>
          <w:shd w:val="clear" w:color="auto" w:fill="FFFFFF"/>
        </w:rPr>
        <w:t>我部门无二级预算单位，因此，</w:t>
      </w:r>
      <w:r>
        <w:rPr>
          <w:rFonts w:hint="eastAsia" w:ascii="仿宋_GB2312" w:eastAsia="仿宋_GB2312" w:cs="仿宋_GB2312"/>
          <w:kern w:val="0"/>
          <w:sz w:val="28"/>
          <w:szCs w:val="28"/>
          <w:lang w:val="en-US" w:eastAsia="zh-CN"/>
        </w:rPr>
        <w:t>中国人民政治协商会议河北省石家庄市鹿泉区委员会</w:t>
      </w:r>
      <w:r>
        <w:rPr>
          <w:rFonts w:hint="eastAsia" w:ascii="仿宋_GB2312" w:hAnsi="仿宋_GB2312" w:eastAsia="仿宋_GB2312" w:cs="仿宋_GB2312"/>
          <w:sz w:val="32"/>
          <w:szCs w:val="32"/>
          <w:shd w:val="clear" w:color="auto" w:fill="FFFFFF"/>
        </w:rPr>
        <w:t>2023年度部门决算即</w:t>
      </w:r>
      <w:r>
        <w:rPr>
          <w:rFonts w:hint="eastAsia" w:ascii="仿宋_GB2312" w:eastAsia="仿宋_GB2312" w:cs="仿宋_GB2312"/>
          <w:kern w:val="0"/>
          <w:sz w:val="28"/>
          <w:szCs w:val="28"/>
          <w:lang w:val="en-US" w:eastAsia="zh-CN"/>
        </w:rPr>
        <w:t>中国人民政治协商会议河北省石家庄市鹿泉区委员会</w:t>
      </w:r>
      <w:r>
        <w:rPr>
          <w:rFonts w:hint="eastAsia" w:ascii="仿宋_GB2312" w:hAnsi="仿宋_GB2312" w:eastAsia="仿宋_GB2312" w:cs="仿宋_GB2312"/>
          <w:sz w:val="32"/>
          <w:szCs w:val="32"/>
          <w:shd w:val="clear" w:color="auto" w:fill="FFFFFF"/>
        </w:rPr>
        <w:t>本级2023年度决算。</w:t>
      </w:r>
      <w:r>
        <w:rPr>
          <w:rFonts w:ascii="仿宋_GB2312" w:hAnsi="仿宋_GB2312" w:eastAsia="仿宋_GB2312"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pPr>
              <w:spacing w:line="560" w:lineRule="exact"/>
              <w:rPr>
                <w:rFonts w:ascii="仿宋_GB2312" w:hAnsi="Calibri" w:eastAsia="仿宋_GB2312" w:cs="ArialUnicodeMS"/>
                <w:sz w:val="28"/>
                <w:szCs w:val="28"/>
              </w:rPr>
            </w:pPr>
            <w:r>
              <w:rPr>
                <w:rFonts w:hint="eastAsia" w:ascii="仿宋_GB2312" w:eastAsia="仿宋_GB2312" w:cs="仿宋_GB2312"/>
                <w:kern w:val="0"/>
                <w:sz w:val="28"/>
                <w:szCs w:val="28"/>
                <w:lang w:val="en-US" w:eastAsia="zh-CN"/>
              </w:rPr>
              <w:t>中国人民政治协商会议河北省石家庄市鹿泉区委员会</w:t>
            </w:r>
            <w:r>
              <w:rPr>
                <w:rFonts w:ascii="仿宋_GB2312" w:eastAsia="仿宋_GB2312" w:cs="仿宋_GB2312"/>
                <w:kern w:val="0"/>
                <w:sz w:val="28"/>
                <w:szCs w:val="28"/>
              </w:rPr>
              <w:t>(</w:t>
            </w:r>
            <w:r>
              <w:rPr>
                <w:rFonts w:hint="eastAsia" w:ascii="仿宋_GB2312" w:eastAsia="仿宋_GB2312" w:cs="仿宋_GB2312"/>
                <w:kern w:val="0"/>
                <w:sz w:val="28"/>
                <w:szCs w:val="28"/>
              </w:rPr>
              <w:t>本级</w:t>
            </w:r>
            <w:r>
              <w:rPr>
                <w:rFonts w:ascii="仿宋_GB2312" w:eastAsia="仿宋_GB2312" w:cs="仿宋_GB2312"/>
                <w:kern w:val="0"/>
                <w:sz w:val="28"/>
                <w:szCs w:val="28"/>
              </w:rPr>
              <w:t>)</w:t>
            </w:r>
          </w:p>
        </w:tc>
        <w:tc>
          <w:tcPr>
            <w:tcW w:w="2445" w:type="dxa"/>
          </w:tcPr>
          <w:p>
            <w:pPr>
              <w:spacing w:line="560" w:lineRule="exact"/>
              <w:jc w:val="center"/>
              <w:rPr>
                <w:rFonts w:ascii="仿宋_GB2312" w:hAnsi="Calibri" w:eastAsia="仿宋_GB2312" w:cs="ArialUnicodeMS"/>
                <w:sz w:val="28"/>
                <w:szCs w:val="28"/>
              </w:rPr>
            </w:pPr>
            <w:r>
              <w:rPr>
                <w:rFonts w:hint="eastAsia" w:ascii="仿宋_GB2312" w:eastAsia="仿宋_GB2312" w:cs="仿宋_GB2312"/>
                <w:kern w:val="0"/>
                <w:sz w:val="28"/>
                <w:szCs w:val="28"/>
                <w:highlight w:val="none"/>
                <w:shd w:val="clear" w:color="auto" w:fill="auto"/>
              </w:rPr>
              <w:t>行政</w:t>
            </w:r>
            <w:r>
              <w:rPr>
                <w:rFonts w:hint="eastAsia" w:ascii="仿宋_GB2312" w:eastAsia="仿宋_GB2312" w:cs="仿宋_GB2312"/>
                <w:kern w:val="0"/>
                <w:sz w:val="28"/>
                <w:szCs w:val="28"/>
                <w:highlight w:val="none"/>
                <w:shd w:val="clear" w:color="auto" w:fill="auto"/>
                <w:lang w:eastAsia="zh-CN"/>
              </w:rPr>
              <w:t>部门</w:t>
            </w:r>
          </w:p>
        </w:tc>
        <w:tc>
          <w:tcPr>
            <w:tcW w:w="2665" w:type="dxa"/>
          </w:tcPr>
          <w:p>
            <w:pPr>
              <w:spacing w:line="560" w:lineRule="exact"/>
              <w:jc w:val="center"/>
              <w:rPr>
                <w:rFonts w:ascii="仿宋_GB2312" w:hAnsi="Calibri" w:eastAsia="仿宋_GB2312" w:cs="ArialUnicodeMS"/>
                <w:sz w:val="28"/>
                <w:szCs w:val="28"/>
              </w:rPr>
            </w:pPr>
            <w:r>
              <w:rPr>
                <w:rFonts w:hint="eastAsia" w:ascii="仿宋_GB2312" w:eastAsia="仿宋_GB2312" w:cs="Times New Roman"/>
                <w:kern w:val="0"/>
                <w:sz w:val="28"/>
                <w:szCs w:val="28"/>
                <w:highlight w:val="none"/>
                <w:shd w:val="clear" w:color="auto" w:fill="auto"/>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ascii="Times New Roman" w:hAnsi="Times New Roman" w:eastAsia="黑体" w:cs="Times New Roman"/>
          <w:sz w:val="32"/>
          <w:szCs w:val="32"/>
          <w:highlight w:val="yellow"/>
        </w:rPr>
      </w:pPr>
    </w:p>
    <w:p>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编制部门（单位）：中国人民政治协商会议河北省石家庄市鹿泉区委员会(本级)</w:t>
            </w:r>
          </w:p>
        </w:tc>
        <w:tc>
          <w:tcPr>
            <w:tcW w:w="1262" w:type="pct"/>
            <w:gridSpan w:val="2"/>
            <w:tcBorders>
              <w:top w:val="nil"/>
              <w:left w:val="nil"/>
              <w:bottom w:val="single" w:color="auto" w:sz="4" w:space="0"/>
              <w:right w:val="nil"/>
            </w:tcBorders>
            <w:noWrap/>
            <w:vAlign w:val="bottom"/>
          </w:tcPr>
          <w:p>
            <w:pPr>
              <w:jc w:val="center"/>
              <w:rPr>
                <w:rFonts w:ascii="宋体" w:hAnsi="宋体" w:eastAsia="宋体"/>
                <w:color w:val="000000"/>
                <w:sz w:val="20"/>
                <w:szCs w:val="20"/>
                <w:lang w:bidi="ar"/>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lang w:bidi="ar"/>
              </w:rPr>
              <w:t>年度</w:t>
            </w:r>
          </w:p>
        </w:tc>
        <w:tc>
          <w:tcPr>
            <w:tcW w:w="1757" w:type="pct"/>
            <w:gridSpan w:val="3"/>
            <w:tcBorders>
              <w:top w:val="nil"/>
              <w:left w:val="nil"/>
              <w:bottom w:val="single" w:color="auto" w:sz="4" w:space="0"/>
              <w:right w:val="nil"/>
            </w:tcBorders>
            <w:noWrap/>
            <w:vAlign w:val="bottom"/>
          </w:tcPr>
          <w:p>
            <w:pPr>
              <w:jc w:val="right"/>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支出</w:t>
            </w: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决算数</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562.23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四、上级补助收入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五、事业收入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六、经营收入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七、附属单位上缴收入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八、其他收入</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228.33</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28.69</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826"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39.91</w:t>
            </w: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lang w:bidi="ar"/>
              </w:rPr>
            </w:pPr>
            <w:r>
              <w:rPr>
                <w:rFonts w:ascii="Times New Roman" w:hAnsi="Times New Roman" w:eastAsia="宋体" w:cs="Times New Roman"/>
                <w:color w:val="000000"/>
                <w:sz w:val="20"/>
                <w:szCs w:val="20"/>
                <w:lang w:bidi="ar"/>
              </w:rPr>
              <w:t>61</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1361"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82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注：1.本表反映部门本年度的总收支和年末结转结余情况。2.本套报表金额转换时可能存在尾数误差。</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编制部门（单位）：中国人民政治协商会议河北省石家庄市鹿泉区委员会(本级)                                                                                                         </w:t>
            </w:r>
          </w:p>
        </w:tc>
        <w:tc>
          <w:tcPr>
            <w:tcW w:w="3405" w:type="dxa"/>
            <w:gridSpan w:val="4"/>
            <w:tcBorders>
              <w:top w:val="nil"/>
              <w:left w:val="nil"/>
              <w:bottom w:val="single" w:color="auto" w:sz="4" w:space="0"/>
              <w:right w:val="nil"/>
            </w:tcBorders>
            <w:noWrap/>
            <w:vAlign w:val="bottom"/>
          </w:tcPr>
          <w:p>
            <w:pPr>
              <w:jc w:val="center"/>
              <w:rPr>
                <w:rFonts w:ascii="方正仿宋_GB2312" w:hAnsi="方正仿宋_GB2312" w:eastAsia="方正仿宋_GB2312" w:cs="方正仿宋_GB2312"/>
                <w:color w:val="000000"/>
                <w:sz w:val="20"/>
                <w:szCs w:val="20"/>
                <w:lang w:bidi="ar"/>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lang w:bidi="ar"/>
              </w:rPr>
              <w:t>年度</w:t>
            </w:r>
          </w:p>
        </w:tc>
        <w:tc>
          <w:tcPr>
            <w:tcW w:w="2588" w:type="dxa"/>
            <w:gridSpan w:val="3"/>
            <w:tcBorders>
              <w:top w:val="nil"/>
              <w:left w:val="nil"/>
              <w:bottom w:val="single" w:color="auto" w:sz="4" w:space="0"/>
              <w:right w:val="nil"/>
            </w:tcBorders>
            <w:noWrap/>
            <w:vAlign w:val="bottom"/>
          </w:tcPr>
          <w:p>
            <w:pPr>
              <w:jc w:val="right"/>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上级补助收入</w:t>
            </w:r>
          </w:p>
        </w:tc>
        <w:tc>
          <w:tcPr>
            <w:tcW w:w="964" w:type="dxa"/>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其他收入</w:t>
            </w:r>
          </w:p>
        </w:tc>
      </w:tr>
      <w:tr>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103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c>
          <w:tcPr>
            <w:tcW w:w="1027"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6</w:t>
            </w:r>
          </w:p>
        </w:tc>
        <w:tc>
          <w:tcPr>
            <w:tcW w:w="964" w:type="dxa"/>
            <w:tcBorders>
              <w:top w:val="nil"/>
              <w:left w:val="nil"/>
              <w:bottom w:val="single" w:color="000000" w:sz="4" w:space="0"/>
              <w:right w:val="single" w:color="000000" w:sz="4" w:space="0"/>
            </w:tcBorders>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7</w:t>
            </w:r>
          </w:p>
        </w:tc>
      </w:tr>
      <w:tr>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859.16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859.16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562.23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562.23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政协事务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562.23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562.23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465.37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465.37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2010202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96.87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96.87</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228.33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228.33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219.86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219.86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180.93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180.93</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38.94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38.94</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退役安置</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退役士兵安置</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8.46</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28.69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28.69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28.69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28.69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28.69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28.69</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39.91</w:t>
            </w:r>
          </w:p>
        </w:tc>
        <w:tc>
          <w:tcPr>
            <w:tcW w:w="103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注：本表反映部门本年度取得的各项收入情况。</w:t>
            </w:r>
          </w:p>
        </w:tc>
      </w:tr>
    </w:tbl>
    <w:p>
      <w:pPr>
        <w:rPr>
          <w:rFonts w:ascii="黑体" w:hAnsi="黑体" w:eastAsia="黑体"/>
          <w:bCs/>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03</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编制部门（单位）：中国人民政治协商会议河北省石家庄市鹿泉区委员会(本级) </w:t>
            </w:r>
            <w:r>
              <w:rPr>
                <w:rFonts w:hint="eastAsia" w:asciiTheme="minorEastAsia" w:hAnsiTheme="minorEastAsia" w:cstheme="minorEastAsia"/>
                <w:color w:val="000000"/>
                <w:sz w:val="20"/>
                <w:szCs w:val="20"/>
                <w:lang w:bidi="ar"/>
              </w:rPr>
              <w:t xml:space="preserve">                                                                                                         </w:t>
            </w:r>
          </w:p>
        </w:tc>
        <w:tc>
          <w:tcPr>
            <w:tcW w:w="1403" w:type="pct"/>
            <w:gridSpan w:val="3"/>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734" w:type="pct"/>
            <w:gridSpan w:val="3"/>
            <w:tcBorders>
              <w:top w:val="nil"/>
              <w:left w:val="nil"/>
              <w:bottom w:val="single" w:color="auto" w:sz="4" w:space="0"/>
              <w:right w:val="nil"/>
            </w:tcBorders>
            <w:noWrap/>
            <w:vAlign w:val="bottom"/>
          </w:tcPr>
          <w:p>
            <w:pPr>
              <w:widowControl/>
              <w:jc w:val="right"/>
              <w:textAlignment w:val="bottom"/>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 xml:space="preserve"> 金额单位：万元</w:t>
            </w:r>
          </w:p>
        </w:tc>
      </w:tr>
      <w:tr>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0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经营支出</w:t>
            </w:r>
          </w:p>
        </w:tc>
        <w:tc>
          <w:tcPr>
            <w:tcW w:w="795"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对附属单位补助支出</w:t>
            </w:r>
          </w:p>
        </w:tc>
      </w:tr>
      <w:tr>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03"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2" w:type="pct"/>
            <w:gridSpan w:val="2"/>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2"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795" w:type="pct"/>
            <w:tcBorders>
              <w:top w:val="nil"/>
              <w:left w:val="nil"/>
              <w:bottom w:val="single" w:color="000000" w:sz="4" w:space="0"/>
              <w:right w:val="single" w:color="000000" w:sz="4" w:space="0"/>
            </w:tcBorders>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r>
      <w:tr>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753.83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105.33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562.23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政协事务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562.23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219.86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219.86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219.86</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180.93</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180.93</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38.94</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38.94</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注：本表反映部门本年度各项支出情况。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公开04表</w:t>
            </w:r>
          </w:p>
        </w:tc>
      </w:tr>
      <w:tr>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编制部门（单位）：中国人民政治协商会议河北省石家庄市鹿泉区委员会(本级) </w:t>
            </w:r>
            <w:r>
              <w:rPr>
                <w:rFonts w:hint="eastAsia" w:asciiTheme="minorEastAsia" w:hAnsiTheme="minorEastAsia" w:cstheme="minorEastAsia"/>
                <w:color w:val="000000"/>
                <w:sz w:val="20"/>
                <w:szCs w:val="20"/>
                <w:lang w:bidi="ar"/>
              </w:rPr>
              <w:t xml:space="preserve">                                                                                                   </w:t>
            </w:r>
          </w:p>
        </w:tc>
        <w:tc>
          <w:tcPr>
            <w:tcW w:w="649" w:type="pct"/>
            <w:gridSpan w:val="3"/>
            <w:tcBorders>
              <w:top w:val="nil"/>
              <w:left w:val="nil"/>
              <w:bottom w:val="single" w:color="auto" w:sz="4" w:space="0"/>
              <w:right w:val="nil"/>
            </w:tcBorders>
            <w:noWrap/>
            <w:vAlign w:val="bottom"/>
          </w:tcPr>
          <w:p>
            <w:pPr>
              <w:jc w:val="center"/>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919"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    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609"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26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行次</w:t>
            </w:r>
          </w:p>
        </w:tc>
        <w:tc>
          <w:tcPr>
            <w:tcW w:w="552" w:type="pct"/>
            <w:gridSpan w:val="2"/>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1</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    次</w:t>
            </w:r>
          </w:p>
        </w:tc>
        <w:tc>
          <w:tcPr>
            <w:tcW w:w="266" w:type="pct"/>
            <w:tcBorders>
              <w:top w:val="nil"/>
              <w:left w:val="nil"/>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2</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3</w:t>
            </w:r>
          </w:p>
        </w:tc>
        <w:tc>
          <w:tcPr>
            <w:tcW w:w="520" w:type="pct"/>
            <w:tcBorders>
              <w:top w:val="nil"/>
              <w:left w:val="nil"/>
              <w:bottom w:val="single" w:color="000000" w:sz="4" w:space="0"/>
              <w:right w:val="single" w:color="000000"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4</w:t>
            </w:r>
          </w:p>
        </w:tc>
        <w:tc>
          <w:tcPr>
            <w:tcW w:w="520" w:type="pct"/>
            <w:tcBorders>
              <w:top w:val="nil"/>
              <w:left w:val="nil"/>
              <w:bottom w:val="single" w:color="000000" w:sz="4" w:space="0"/>
              <w:right w:val="single" w:color="000000" w:sz="8"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5</w:t>
            </w: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一、一般公共服务支出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562.23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562.23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二、外交支出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四、公共安全支出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五、教育支出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六、科学技术支出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七、文化旅游体育与传媒支出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八、社会保障和就业支出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228.33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228.33</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九、卫生健康支出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28.69</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28.69</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十、节能环保支出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十一、城乡社区支出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12</w:t>
            </w:r>
          </w:p>
        </w:tc>
        <w:tc>
          <w:tcPr>
            <w:tcW w:w="609"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十二、农林水支出</w:t>
            </w:r>
          </w:p>
        </w:tc>
        <w:tc>
          <w:tcPr>
            <w:tcW w:w="266" w:type="pct"/>
            <w:tcBorders>
              <w:top w:val="nil"/>
              <w:left w:val="nil"/>
              <w:bottom w:val="single" w:color="auto"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39.91</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39.91</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25</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二十五、债务付息支出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26</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本年收入合计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27</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895"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本年支出合计</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28</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年末财政拨款结转和结余</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一、一般公共预算财政拨款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29</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二、政府性基金预算财政拨款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30</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三、国有资本经营预算财政拨款</w:t>
            </w: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31</w:t>
            </w:r>
          </w:p>
        </w:tc>
        <w:tc>
          <w:tcPr>
            <w:tcW w:w="60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pPr>
              <w:jc w:val="lef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32</w:t>
            </w:r>
          </w:p>
        </w:tc>
        <w:tc>
          <w:tcPr>
            <w:tcW w:w="609"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895" w:type="pct"/>
            <w:gridSpan w:val="2"/>
            <w:tcBorders>
              <w:top w:val="nil"/>
              <w:left w:val="nil"/>
              <w:bottom w:val="single" w:color="000000" w:sz="8" w:space="0"/>
              <w:right w:val="single" w:color="000000" w:sz="4" w:space="0"/>
            </w:tcBorders>
            <w:noWrap/>
            <w:vAlign w:val="center"/>
          </w:tcPr>
          <w:p>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lang w:bidi="ar"/>
              </w:rPr>
              <w:t>总计</w:t>
            </w:r>
          </w:p>
        </w:tc>
        <w:tc>
          <w:tcPr>
            <w:tcW w:w="266" w:type="pct"/>
            <w:tcBorders>
              <w:top w:val="nil"/>
              <w:left w:val="nil"/>
              <w:bottom w:val="single" w:color="000000" w:sz="8" w:space="0"/>
              <w:right w:val="single" w:color="000000" w:sz="4" w:space="0"/>
            </w:tcBorders>
            <w:noWrap/>
            <w:vAlign w:val="center"/>
          </w:tcPr>
          <w:p>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lang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859.16</w:t>
            </w:r>
          </w:p>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注：本表反映部门本年度一般公共预算财政拨款、政府性基金预算财政拨款和国有资本经营预算财政拨款的总收支和年末结转结余情况。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2714"/>
        <w:gridCol w:w="3416"/>
        <w:gridCol w:w="1590"/>
        <w:gridCol w:w="522"/>
        <w:gridCol w:w="544"/>
        <w:gridCol w:w="383"/>
        <w:gridCol w:w="1233"/>
      </w:tblGrid>
      <w:tr>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05</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编制部门（单位）：中国人民政治协商会议河北省石家庄市鹿泉区委员会(本级)</w:t>
            </w:r>
          </w:p>
        </w:tc>
        <w:tc>
          <w:tcPr>
            <w:tcW w:w="1551" w:type="pct"/>
            <w:gridSpan w:val="2"/>
            <w:tcBorders>
              <w:top w:val="nil"/>
              <w:left w:val="nil"/>
              <w:bottom w:val="single" w:color="auto" w:sz="4" w:space="0"/>
              <w:right w:val="nil"/>
            </w:tcBorders>
            <w:noWrap/>
            <w:vAlign w:val="bottom"/>
          </w:tcPr>
          <w:p>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591" w:type="pct"/>
            <w:gridSpan w:val="2"/>
            <w:tcBorders>
              <w:top w:val="nil"/>
              <w:left w:val="nil"/>
              <w:bottom w:val="single" w:color="auto" w:sz="4" w:space="0"/>
              <w:right w:val="nil"/>
            </w:tcBorders>
            <w:noWrap/>
            <w:vAlign w:val="bottom"/>
          </w:tcPr>
          <w:p>
            <w:pPr>
              <w:widowControl/>
              <w:jc w:val="right"/>
              <w:textAlignment w:val="bottom"/>
              <w:rPr>
                <w:rFonts w:ascii="方正仿宋_GB2312" w:hAnsi="方正仿宋_GB2312" w:eastAsia="方正仿宋_GB2312" w:cs="方正仿宋_GB2312"/>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3552" w:type="pct"/>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r>
      <w:tr>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 w:val="20"/>
                <w:szCs w:val="20"/>
              </w:rPr>
            </w:pP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859.16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753.83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cs="Times New Roman"/>
                <w:sz w:val="20"/>
                <w:szCs w:val="20"/>
              </w:rPr>
              <w:t>105.33</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562.23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政协事务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562.23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465.37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2010202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96.87</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219.86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219.86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219.86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180.93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180.93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38.94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38.94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8.46</w:t>
            </w: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39.91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注：本表反映部门本年度一般公共预算财政拨款支出情况。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编制部门（单位）：中国人民政治协商会议河北省石家庄市鹿泉区委员会(本级) </w:t>
            </w:r>
            <w:r>
              <w:rPr>
                <w:rFonts w:hint="eastAsia" w:asciiTheme="minorEastAsia" w:hAnsiTheme="minorEastAsia" w:cstheme="minorEastAsia"/>
                <w:color w:val="000000"/>
                <w:sz w:val="18"/>
                <w:szCs w:val="18"/>
                <w:lang w:bidi="ar"/>
              </w:rPr>
              <w:t xml:space="preserve">                                                                   </w:t>
            </w:r>
          </w:p>
        </w:tc>
        <w:tc>
          <w:tcPr>
            <w:tcW w:w="865" w:type="pct"/>
            <w:gridSpan w:val="2"/>
            <w:tcBorders>
              <w:top w:val="nil"/>
              <w:left w:val="nil"/>
              <w:bottom w:val="single" w:color="auto" w:sz="4" w:space="0"/>
              <w:right w:val="nil"/>
            </w:tcBorders>
            <w:noWrap/>
            <w:vAlign w:val="bottom"/>
          </w:tcPr>
          <w:p>
            <w:pPr>
              <w:jc w:val="center"/>
              <w:rPr>
                <w:rFonts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841" w:type="pct"/>
            <w:gridSpan w:val="4"/>
            <w:tcBorders>
              <w:top w:val="nil"/>
              <w:left w:val="nil"/>
              <w:bottom w:val="single" w:color="auto" w:sz="4" w:space="0"/>
              <w:right w:val="nil"/>
            </w:tcBorders>
            <w:noWrap/>
            <w:vAlign w:val="bottom"/>
          </w:tcPr>
          <w:p>
            <w:pPr>
              <w:jc w:val="right"/>
              <w:rPr>
                <w:rFonts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426.61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139.72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154.27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10.88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66.98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87.07</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0.52</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0.52</w:t>
            </w: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38.94</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9.73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hint="eastAsia" w:ascii="Times New Roman" w:hAnsi="Times New Roman" w:cs="Times New Roman"/>
                <w:sz w:val="18"/>
                <w:szCs w:val="18"/>
              </w:rPr>
              <w:t>12.15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16.88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11.81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3.99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39.91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186.98</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18.32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162.60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6.05</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72.82</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2.93</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5.60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10.50</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17.09</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r>
              <w:rPr>
                <w:rFonts w:ascii="Times New Roman" w:hAnsi="Times New Roman" w:cs="Times New Roman"/>
                <w:sz w:val="18"/>
                <w:szCs w:val="18"/>
              </w:rPr>
              <w:t>2.71</w:t>
            </w: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imes New Roman" w:hAnsi="Times New Roman" w:cs="Times New Roman"/>
                <w:sz w:val="18"/>
                <w:szCs w:val="18"/>
              </w:rPr>
            </w:pPr>
            <w:r>
              <w:rPr>
                <w:rFonts w:ascii="Times New Roman" w:hAnsi="Times New Roman" w:cs="Times New Roman"/>
                <w:sz w:val="18"/>
                <w:szCs w:val="18"/>
              </w:rPr>
              <w:t>613.58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asciiTheme="minorEastAsia" w:hAnsiTheme="minorEastAsia" w:cstheme="minorEastAsia"/>
                <w:color w:val="000000"/>
                <w:sz w:val="18"/>
                <w:szCs w:val="18"/>
              </w:rPr>
            </w:pPr>
            <w:r>
              <w:rPr>
                <w:rFonts w:ascii="Times New Roman" w:hAnsi="Times New Roman" w:cs="Times New Roman"/>
                <w:sz w:val="18"/>
                <w:szCs w:val="18"/>
              </w:rPr>
              <w:t>140.24</w:t>
            </w:r>
          </w:p>
        </w:tc>
      </w:tr>
      <w:tr>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注：本表反映部门本年度一般公共预算财政拨款基本支出明细情况。</w:t>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宋体" w:cs="Times New Roman"/>
                <w:color w:val="000000"/>
                <w:sz w:val="20"/>
                <w:szCs w:val="20"/>
                <w:lang w:bidi="ar"/>
              </w:rPr>
              <w:t>07</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 xml:space="preserve">编制部门（单位）：中国人民政治协商会议河北省石家庄市鹿泉区委员会(本级) </w:t>
            </w:r>
            <w:r>
              <w:rPr>
                <w:rFonts w:hint="eastAsia" w:ascii="宋体" w:hAnsi="宋体" w:eastAsia="宋体"/>
                <w:color w:val="000000"/>
                <w:sz w:val="20"/>
                <w:szCs w:val="20"/>
                <w:lang w:bidi="ar"/>
              </w:rPr>
              <w:t xml:space="preserve">                                                                                     </w:t>
            </w:r>
          </w:p>
        </w:tc>
        <w:tc>
          <w:tcPr>
            <w:tcW w:w="1217"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85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w:t>
            </w:r>
          </w:p>
        </w:tc>
        <w:tc>
          <w:tcPr>
            <w:tcW w:w="623"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本年收入</w:t>
            </w:r>
          </w:p>
        </w:tc>
        <w:tc>
          <w:tcPr>
            <w:tcW w:w="1609" w:type="pct"/>
            <w:gridSpan w:val="4"/>
            <w:tcBorders>
              <w:top w:val="single" w:color="auto" w:sz="4" w:space="0"/>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本年支出</w:t>
            </w:r>
          </w:p>
        </w:tc>
        <w:tc>
          <w:tcPr>
            <w:tcW w:w="973" w:type="pct"/>
            <w:vMerge w:val="restart"/>
            <w:tcBorders>
              <w:top w:val="single" w:color="auto" w:sz="4" w:space="0"/>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年末结转和结余</w:t>
            </w:r>
          </w:p>
        </w:tc>
      </w:tr>
      <w:tr>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基本支出</w:t>
            </w:r>
          </w:p>
        </w:tc>
        <w:tc>
          <w:tcPr>
            <w:tcW w:w="546" w:type="pct"/>
            <w:vMerge w:val="restart"/>
            <w:tcBorders>
              <w:top w:val="nil"/>
              <w:left w:val="nil"/>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项目支出</w:t>
            </w:r>
          </w:p>
        </w:tc>
        <w:tc>
          <w:tcPr>
            <w:tcW w:w="973" w:type="pct"/>
            <w:vMerge w:val="continue"/>
            <w:tcBorders>
              <w:left w:val="nil"/>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结转</w:t>
            </w:r>
          </w:p>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结余</w:t>
            </w: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栏次</w:t>
            </w:r>
          </w:p>
        </w:tc>
        <w:tc>
          <w:tcPr>
            <w:tcW w:w="623"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1</w:t>
            </w:r>
          </w:p>
        </w:tc>
        <w:tc>
          <w:tcPr>
            <w:tcW w:w="489"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2</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3</w:t>
            </w:r>
          </w:p>
        </w:tc>
        <w:tc>
          <w:tcPr>
            <w:tcW w:w="534"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4</w:t>
            </w:r>
          </w:p>
        </w:tc>
        <w:tc>
          <w:tcPr>
            <w:tcW w:w="54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lang w:bidi="ar"/>
              </w:rPr>
              <w:t>5</w:t>
            </w:r>
          </w:p>
        </w:tc>
        <w:tc>
          <w:tcPr>
            <w:tcW w:w="973"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t>本部门本年度无</w:t>
            </w:r>
            <w:r>
              <w:rPr>
                <w:rFonts w:hint="eastAsia" w:ascii="方正仿宋_GB2312" w:hAnsi="方正仿宋_GB2312" w:eastAsia="方正仿宋_GB2312" w:cs="方正仿宋_GB2312"/>
                <w:color w:val="000000"/>
                <w:sz w:val="20"/>
                <w:szCs w:val="20"/>
                <w:lang w:val="en-US" w:eastAsia="zh-CN" w:bidi="ar"/>
              </w:rPr>
              <w:t>政府性基金预算财政拨款收入</w:t>
            </w:r>
            <w:r>
              <w:rPr>
                <w:rFonts w:hint="eastAsia" w:ascii="方正仿宋_GB2312" w:hAnsi="方正仿宋_GB2312" w:eastAsia="方正仿宋_GB2312" w:cs="方正仿宋_GB2312"/>
                <w:color w:val="000000"/>
                <w:sz w:val="20"/>
                <w:szCs w:val="20"/>
                <w:lang w:bidi="ar"/>
              </w:rPr>
              <w:t>支出，按要求以空表列示</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br w:type="page"/>
            </w:r>
          </w:p>
        </w:tc>
      </w:tr>
    </w:tbl>
    <w:p>
      <w:pPr>
        <w:rPr>
          <w:rFonts w:ascii="仿宋_GB2312" w:hAnsi="宋体" w:eastAsia="仿宋_GB2312"/>
          <w:b/>
          <w:sz w:val="32"/>
          <w:szCs w:val="32"/>
        </w:rPr>
      </w:pPr>
      <w:r>
        <w:rPr>
          <w:rFonts w:hint="eastAsia" w:ascii="仿宋_GB2312" w:hAnsi="宋体" w:eastAsia="仿宋_GB2312"/>
          <w:b/>
          <w:sz w:val="32"/>
          <w:szCs w:val="32"/>
        </w:rPr>
        <w:br w:type="page"/>
      </w:r>
    </w:p>
    <w:p>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公开</w:t>
            </w:r>
            <w:r>
              <w:rPr>
                <w:rFonts w:ascii="Times New Roman" w:hAnsi="Times New Roman" w:eastAsia="方正仿宋_GB2312" w:cs="Times New Roman"/>
                <w:color w:val="000000"/>
                <w:sz w:val="20"/>
                <w:szCs w:val="20"/>
                <w:lang w:bidi="ar"/>
              </w:rPr>
              <w:t>08</w:t>
            </w:r>
            <w:r>
              <w:rPr>
                <w:rFonts w:hint="eastAsia" w:ascii="方正仿宋_GB2312" w:hAnsi="方正仿宋_GB2312" w:eastAsia="方正仿宋_GB2312" w:cs="方正仿宋_GB2312"/>
                <w:color w:val="000000"/>
                <w:sz w:val="20"/>
                <w:szCs w:val="20"/>
                <w:lang w:bidi="ar"/>
              </w:rPr>
              <w:t>表</w:t>
            </w:r>
          </w:p>
        </w:tc>
      </w:tr>
      <w:tr>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lang w:bidi="ar"/>
              </w:rPr>
              <w:t>编制部门（单位）：中国人民政治协商会议河北省石家庄市鹿泉区委员会(本级)</w:t>
            </w:r>
          </w:p>
        </w:tc>
        <w:tc>
          <w:tcPr>
            <w:tcW w:w="1666"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20"/>
                <w:szCs w:val="20"/>
                <w:lang w:bidi="ar"/>
              </w:rPr>
            </w:pPr>
            <w:r>
              <w:rPr>
                <w:rFonts w:ascii="Times New Roman" w:hAnsi="Times New Roman" w:eastAsia="宋体" w:cs="Times New Roman"/>
                <w:color w:val="000000"/>
                <w:sz w:val="20"/>
                <w:szCs w:val="20"/>
                <w:lang w:bidi="ar"/>
              </w:rPr>
              <w:t>2023</w:t>
            </w:r>
            <w:r>
              <w:rPr>
                <w:rFonts w:hint="eastAsia" w:ascii="方正仿宋_GB2312" w:hAnsi="方正仿宋_GB2312" w:eastAsia="方正仿宋_GB2312" w:cs="方正仿宋_GB2312"/>
                <w:color w:val="000000"/>
                <w:sz w:val="20"/>
                <w:szCs w:val="20"/>
                <w:lang w:bidi="ar"/>
              </w:rPr>
              <w:t>年度</w:t>
            </w:r>
          </w:p>
        </w:tc>
        <w:tc>
          <w:tcPr>
            <w:tcW w:w="1624" w:type="pct"/>
            <w:gridSpan w:val="3"/>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20"/>
                <w:szCs w:val="20"/>
                <w:lang w:bidi="ar"/>
              </w:rPr>
            </w:pPr>
            <w:r>
              <w:rPr>
                <w:rFonts w:hint="eastAsia" w:ascii="方正仿宋_GB2312" w:hAnsi="方正仿宋_GB2312" w:eastAsia="方正仿宋_GB2312" w:cs="方正仿宋_GB2312"/>
                <w:color w:val="000000"/>
                <w:sz w:val="20"/>
                <w:szCs w:val="20"/>
                <w:lang w:bidi="ar"/>
              </w:rPr>
              <w:t>金额单位：万元</w:t>
            </w:r>
          </w:p>
        </w:tc>
      </w:tr>
      <w:tr>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lang w:bidi="ar"/>
              </w:rPr>
              <w:t xml:space="preserve"> 项目</w:t>
            </w:r>
          </w:p>
        </w:tc>
        <w:tc>
          <w:tcPr>
            <w:tcW w:w="2484" w:type="pct"/>
            <w:gridSpan w:val="5"/>
            <w:vMerge w:val="restart"/>
            <w:tcBorders>
              <w:top w:val="single" w:color="auto" w:sz="4" w:space="0"/>
              <w:left w:val="single" w:color="auto"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vAlign w:val="center"/>
          </w:tcPr>
          <w:p>
            <w:pPr>
              <w:widowControl/>
              <w:jc w:val="center"/>
              <w:textAlignment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vAlign w:val="center"/>
          </w:tcPr>
          <w:p>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vAlign w:val="center"/>
          </w:tcPr>
          <w:p>
            <w:pPr>
              <w:jc w:val="center"/>
              <w:rPr>
                <w:rFonts w:ascii="方正仿宋_GB2312" w:hAnsi="方正仿宋_GB2312" w:eastAsia="方正仿宋_GB2312" w:cs="方正仿宋_GB2312"/>
                <w:color w:val="000000"/>
                <w:sz w:val="20"/>
                <w:szCs w:val="20"/>
              </w:rPr>
            </w:pPr>
          </w:p>
        </w:tc>
      </w:tr>
      <w:tr>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ascii="Times New Roman" w:hAnsi="Times New Roman" w:eastAsia="宋体" w:cs="Times New Roman"/>
                <w:color w:val="000000"/>
                <w:sz w:val="20"/>
                <w:szCs w:val="20"/>
              </w:rPr>
            </w:pPr>
          </w:p>
        </w:tc>
      </w:tr>
      <w:tr>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pPr>
              <w:widowControl/>
              <w:jc w:val="left"/>
              <w:textAlignment w:val="center"/>
              <w:rPr>
                <w:rFonts w:hint="eastAsia" w:ascii="宋体" w:hAnsi="宋体" w:eastAsia="方正仿宋_GB2312"/>
                <w:color w:val="000000"/>
                <w:sz w:val="20"/>
                <w:szCs w:val="20"/>
                <w:lang w:eastAsia="zh-CN"/>
              </w:rPr>
            </w:pPr>
            <w:r>
              <w:rPr>
                <w:rFonts w:hint="eastAsia" w:ascii="方正仿宋_GB2312" w:hAnsi="方正仿宋_GB2312" w:eastAsia="方正仿宋_GB2312" w:cs="方正仿宋_GB2312"/>
                <w:color w:val="000000"/>
                <w:sz w:val="20"/>
                <w:szCs w:val="20"/>
                <w:lang w:bidi="ar"/>
              </w:rPr>
              <w:t>注：本表反映部门本年度国有资本经营预算财政拨款支出情况</w:t>
            </w:r>
            <w:r>
              <w:rPr>
                <w:rFonts w:hint="eastAsia" w:ascii="方正仿宋_GB2312" w:hAnsi="方正仿宋_GB2312" w:eastAsia="方正仿宋_GB2312" w:cs="方正仿宋_GB2312"/>
                <w:color w:val="000000"/>
                <w:sz w:val="20"/>
                <w:szCs w:val="20"/>
                <w:lang w:eastAsia="zh-CN" w:bidi="ar"/>
              </w:rPr>
              <w:t>，</w:t>
            </w:r>
            <w:r>
              <w:rPr>
                <w:rFonts w:hint="eastAsia" w:ascii="方正仿宋_GB2312" w:hAnsi="方正仿宋_GB2312" w:eastAsia="方正仿宋_GB2312" w:cs="方正仿宋_GB2312"/>
                <w:color w:val="000000"/>
                <w:sz w:val="20"/>
                <w:szCs w:val="20"/>
                <w:lang w:bidi="ar"/>
              </w:rPr>
              <w:t>本部门本年度无</w:t>
            </w:r>
            <w:r>
              <w:rPr>
                <w:rFonts w:hint="eastAsia" w:ascii="方正仿宋_GB2312" w:hAnsi="方正仿宋_GB2312" w:eastAsia="方正仿宋_GB2312" w:cs="方正仿宋_GB2312"/>
                <w:color w:val="000000"/>
                <w:sz w:val="20"/>
                <w:szCs w:val="20"/>
                <w:lang w:val="en-US" w:eastAsia="zh-CN" w:bidi="ar"/>
              </w:rPr>
              <w:t>政府性基金预算财政拨款收入</w:t>
            </w:r>
            <w:r>
              <w:rPr>
                <w:rFonts w:hint="eastAsia" w:ascii="方正仿宋_GB2312" w:hAnsi="方正仿宋_GB2312" w:eastAsia="方正仿宋_GB2312" w:cs="方正仿宋_GB2312"/>
                <w:color w:val="000000"/>
                <w:sz w:val="20"/>
                <w:szCs w:val="20"/>
                <w:lang w:bidi="ar"/>
              </w:rPr>
              <w:t>支出，按要求以空表列示</w:t>
            </w:r>
            <w:r>
              <w:rPr>
                <w:rFonts w:hint="eastAsia" w:ascii="方正仿宋_GB2312" w:hAnsi="方正仿宋_GB2312" w:eastAsia="方正仿宋_GB2312" w:cs="方正仿宋_GB2312"/>
                <w:color w:val="000000"/>
                <w:sz w:val="20"/>
                <w:szCs w:val="20"/>
                <w:lang w:eastAsia="zh-CN" w:bidi="ar"/>
              </w:rPr>
              <w:t>。</w:t>
            </w:r>
          </w:p>
        </w:tc>
      </w:tr>
    </w:tbl>
    <w:p>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编制部门（单位）：中国人民政治协商会议河北省石家庄市鹿泉区委员会(本级)</w:t>
            </w:r>
          </w:p>
        </w:tc>
        <w:tc>
          <w:tcPr>
            <w:tcW w:w="933" w:type="pct"/>
            <w:gridSpan w:val="3"/>
            <w:tcBorders>
              <w:top w:val="nil"/>
              <w:left w:val="nil"/>
              <w:bottom w:val="single" w:color="auto" w:sz="4" w:space="0"/>
              <w:right w:val="nil"/>
            </w:tcBorders>
            <w:noWrap/>
            <w:vAlign w:val="bottom"/>
          </w:tcPr>
          <w:p>
            <w:pPr>
              <w:widowControl/>
              <w:jc w:val="center"/>
              <w:textAlignment w:val="bottom"/>
              <w:rPr>
                <w:rFonts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2129" w:type="pct"/>
            <w:gridSpan w:val="5"/>
            <w:tcBorders>
              <w:top w:val="nil"/>
              <w:left w:val="nil"/>
              <w:bottom w:val="single" w:color="auto" w:sz="4" w:space="0"/>
              <w:right w:val="nil"/>
            </w:tcBorders>
            <w:noWrap/>
            <w:vAlign w:val="bottom"/>
          </w:tcPr>
          <w:p>
            <w:pPr>
              <w:widowControl/>
              <w:jc w:val="right"/>
              <w:textAlignment w:val="bottom"/>
              <w:rPr>
                <w:rFonts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493" w:type="pct"/>
            <w:gridSpan w:val="6"/>
            <w:tcBorders>
              <w:top w:val="single" w:color="auto" w:sz="4" w:space="0"/>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52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17" w:type="pct"/>
            <w:gridSpan w:val="4"/>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66"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88"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126" w:type="pct"/>
            <w:gridSpan w:val="3"/>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ascii="方正仿宋_GB2312" w:hAnsi="方正仿宋_GB2312" w:eastAsia="方正仿宋_GB2312" w:cs="方正仿宋_GB2312"/>
                <w:color w:val="000000"/>
                <w:sz w:val="18"/>
                <w:szCs w:val="18"/>
              </w:rPr>
            </w:pP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52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350"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58" w:type="pct"/>
            <w:gridSpan w:val="2"/>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33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366"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88"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275"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42"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07"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511" w:type="pct"/>
            <w:tcBorders>
              <w:top w:val="nil"/>
              <w:left w:val="nil"/>
              <w:bottom w:val="single" w:color="000000" w:sz="4" w:space="0"/>
              <w:right w:val="single" w:color="000000" w:sz="4" w:space="0"/>
            </w:tcBorders>
            <w:noWrap/>
            <w:vAlign w:val="center"/>
          </w:tcPr>
          <w:p>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18.20</w:t>
            </w:r>
          </w:p>
        </w:tc>
        <w:tc>
          <w:tcPr>
            <w:tcW w:w="52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16.20</w:t>
            </w: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16.20</w:t>
            </w:r>
          </w:p>
        </w:tc>
        <w:tc>
          <w:tcPr>
            <w:tcW w:w="33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2.00</w:t>
            </w:r>
          </w:p>
        </w:tc>
        <w:tc>
          <w:tcPr>
            <w:tcW w:w="366"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11.37</w:t>
            </w:r>
          </w:p>
        </w:tc>
        <w:tc>
          <w:tcPr>
            <w:tcW w:w="488"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10.50</w:t>
            </w:r>
          </w:p>
        </w:tc>
        <w:tc>
          <w:tcPr>
            <w:tcW w:w="442"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10.50</w:t>
            </w:r>
          </w:p>
        </w:tc>
        <w:tc>
          <w:tcPr>
            <w:tcW w:w="511" w:type="pct"/>
            <w:tcBorders>
              <w:top w:val="nil"/>
              <w:left w:val="nil"/>
              <w:bottom w:val="single" w:color="000000" w:sz="4" w:space="0"/>
              <w:right w:val="single" w:color="000000" w:sz="4" w:space="0"/>
            </w:tcBorders>
            <w:noWrap/>
            <w:vAlign w:val="center"/>
          </w:tcPr>
          <w:p>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0.87</w:t>
            </w:r>
          </w:p>
        </w:tc>
      </w:tr>
      <w:tr>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r>
        <w:rPr>
          <w:rFonts w:hint="eastAsia" w:ascii="仿宋_GB2312" w:hAnsi="宋体" w:eastAsia="仿宋_GB2312"/>
          <w:b/>
          <w:sz w:val="32"/>
          <w:szCs w:val="32"/>
        </w:rPr>
        <w:br w:type="page"/>
      </w:r>
    </w:p>
    <w:p>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pPr>
        <w:pStyle w:val="10"/>
        <w:widowControl/>
        <w:spacing w:beforeAutospacing="0" w:afterAutospacing="0"/>
        <w:jc w:val="center"/>
        <w:rPr>
          <w:rFonts w:ascii="Arial" w:hAnsi="Arial" w:eastAsia="Arial" w:cs="Arial"/>
          <w:color w:val="000000"/>
          <w:sz w:val="18"/>
          <w:szCs w:val="18"/>
          <w:shd w:val="clear" w:color="auto" w:fill="FFFFFF"/>
        </w:rPr>
      </w:pPr>
    </w:p>
    <w:p>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w:t>
      </w:r>
      <w:r>
        <w:rPr>
          <w:rFonts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支</w:t>
      </w:r>
      <w:r>
        <w:rPr>
          <w:rFonts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ascii="Times New Roman" w:hAnsi="Times New Roman" w:eastAsia="仿宋_GB2312" w:cs="Times New Roman"/>
          <w:kern w:val="2"/>
          <w:sz w:val="32"/>
          <w:szCs w:val="32"/>
          <w:lang w:val="zh-CN"/>
        </w:rPr>
        <w:t>859.16</w:t>
      </w:r>
      <w:r>
        <w:rPr>
          <w:rFonts w:ascii="Times New Roman" w:hAnsi="Times New Roman" w:eastAsia="仿宋_GB2312" w:cs="Times New Roman"/>
          <w:kern w:val="2"/>
          <w:sz w:val="32"/>
          <w:szCs w:val="32"/>
        </w:rPr>
        <w:t>万元，与2022年度决算相比</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lang w:val="zh-CN"/>
        </w:rPr>
        <w:t>减少145.64万元</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zh-CN"/>
        </w:rPr>
        <w:t>下降14.49%，</w:t>
      </w:r>
      <w:r>
        <w:rPr>
          <w:rFonts w:ascii="Times New Roman" w:hAnsi="Times New Roman" w:eastAsia="仿宋_GB2312" w:cs="Times New Roman"/>
          <w:kern w:val="2"/>
          <w:sz w:val="32"/>
          <w:szCs w:val="32"/>
        </w:rPr>
        <w:t>主要是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减少</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减少</w:t>
      </w:r>
      <w:r>
        <w:rPr>
          <w:rFonts w:hint="eastAsia" w:ascii="仿宋_GB2312" w:hAnsi="Times New Roman" w:eastAsia="仿宋_GB2312" w:cs="仿宋_GB2312"/>
          <w:sz w:val="32"/>
          <w:szCs w:val="32"/>
        </w:rPr>
        <w:t>。</w:t>
      </w:r>
    </w:p>
    <w:p>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eastAsia="Arial"/>
          <w:color w:val="000000"/>
          <w:sz w:val="18"/>
          <w:szCs w:val="18"/>
          <w:shd w:val="clear" w:color="auto" w:fill="FFFFFF"/>
        </w:rPr>
        <w:t> </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859.16</w:t>
      </w:r>
      <w:r>
        <w:rPr>
          <w:rFonts w:ascii="Times New Roman" w:hAnsi="Times New Roman" w:eastAsia="仿宋_GB2312" w:cs="Times New Roman"/>
          <w:kern w:val="2"/>
          <w:sz w:val="32"/>
          <w:szCs w:val="32"/>
          <w:lang w:val="zh-CN"/>
        </w:rPr>
        <w:t>万元，其中：财政拨款收入859.16万元，占100%；上级补助收入0万元，占0%；事业收入0万元，占0%；经营收入0万元，占0%；附属单位上缴收入0万元，占0%；其他收入0万元，占0%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本单位2023年度本年支出合计859.16万元，其中：基本支出753.83万元，占87.74%；项目支出105.33万元，占12.26%；上缴上级支出0万元，占0%；经营支出0万元，占0%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年度财政拨款本年收入859.16</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减少145.64万元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降低14.49%，</w:t>
      </w:r>
      <w:r>
        <w:rPr>
          <w:rFonts w:ascii="Times New Roman" w:hAnsi="Times New Roman" w:eastAsia="仿宋_GB2312"/>
          <w:kern w:val="2"/>
          <w:sz w:val="32"/>
          <w:szCs w:val="32"/>
          <w:lang w:val="zh-CN"/>
        </w:rPr>
        <w:t>主要是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减少</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减少</w:t>
      </w:r>
      <w:r>
        <w:rPr>
          <w:rFonts w:ascii="Times New Roman" w:hAnsi="Times New Roman" w:eastAsia="仿宋_GB2312"/>
          <w:kern w:val="2"/>
          <w:sz w:val="32"/>
          <w:szCs w:val="32"/>
          <w:lang w:val="zh-CN"/>
        </w:rPr>
        <w:t>；本年支出 859.16</w:t>
      </w:r>
      <w:r>
        <w:rPr>
          <w:rFonts w:hint="eastAsia"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减少145.64万元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降低14.49%，</w:t>
      </w:r>
      <w:r>
        <w:rPr>
          <w:rFonts w:ascii="Times New Roman" w:hAnsi="Times New Roman" w:eastAsia="仿宋_GB2312"/>
          <w:kern w:val="2"/>
          <w:sz w:val="32"/>
          <w:szCs w:val="32"/>
          <w:lang w:val="zh-CN"/>
        </w:rPr>
        <w:t>主要是</w:t>
      </w:r>
      <w:r>
        <w:rPr>
          <w:rFonts w:hint="eastAsia" w:ascii="仿宋_GB2312" w:hAnsi="Times New Roman" w:eastAsia="仿宋_GB2312" w:cs="Wingdings"/>
          <w:sz w:val="32"/>
          <w:szCs w:val="32"/>
        </w:rPr>
        <w:t>人员编制</w:t>
      </w:r>
      <w:r>
        <w:rPr>
          <w:rFonts w:hint="eastAsia" w:ascii="仿宋_GB2312" w:hAnsi="Times New Roman" w:eastAsia="仿宋_GB2312" w:cs="Wingdings"/>
          <w:sz w:val="32"/>
          <w:szCs w:val="32"/>
          <w:lang w:val="en-US" w:eastAsia="zh-CN"/>
        </w:rPr>
        <w:t>减少</w:t>
      </w:r>
      <w:r>
        <w:rPr>
          <w:rFonts w:hint="eastAsia" w:ascii="仿宋_GB2312" w:hAnsi="Times New Roman" w:eastAsia="仿宋_GB2312" w:cs="Wingdings"/>
          <w:sz w:val="32"/>
          <w:szCs w:val="32"/>
        </w:rPr>
        <w:t>，基本支出、办公费用资金支出规模较上年有所</w:t>
      </w:r>
      <w:r>
        <w:rPr>
          <w:rFonts w:hint="eastAsia" w:ascii="仿宋_GB2312" w:hAnsi="Times New Roman" w:eastAsia="仿宋_GB2312" w:cs="Wingdings"/>
          <w:sz w:val="32"/>
          <w:szCs w:val="32"/>
          <w:lang w:val="en-US" w:eastAsia="zh-CN"/>
        </w:rPr>
        <w:t>减少</w:t>
      </w:r>
      <w:r>
        <w:rPr>
          <w:rFonts w:ascii="Times New Roman" w:hAnsi="Times New Roman" w:eastAsia="仿宋_GB2312"/>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一般公共预算财政拨款本年收入859.16万元,比上年</w:t>
      </w:r>
      <w:r>
        <w:rPr>
          <w:rFonts w:hint="eastAsia" w:ascii="Times New Roman" w:hAnsi="Times New Roman" w:eastAsia="仿宋_GB2312" w:cs="Times New Roman"/>
          <w:sz w:val="30"/>
          <w:szCs w:val="30"/>
          <w:lang w:val="zh-CN"/>
        </w:rPr>
        <w:t>减少145.64万元，降低14.49%，</w:t>
      </w:r>
      <w:r>
        <w:rPr>
          <w:rFonts w:hint="eastAsia" w:ascii="Times New Roman" w:hAnsi="Times New Roman" w:eastAsia="仿宋_GB2312" w:cs="Times New Roman"/>
          <w:kern w:val="2"/>
          <w:sz w:val="32"/>
          <w:szCs w:val="32"/>
          <w:lang w:val="zh-CN"/>
        </w:rPr>
        <w:t>主要是厉行节约，压缩开支</w:t>
      </w:r>
      <w:r>
        <w:rPr>
          <w:rFonts w:ascii="Times New Roman" w:hAnsi="Times New Roman" w:eastAsia="仿宋_GB2312" w:cs="Times New Roman"/>
          <w:kern w:val="2"/>
          <w:sz w:val="32"/>
          <w:szCs w:val="32"/>
          <w:lang w:val="zh-CN"/>
        </w:rPr>
        <w:t>；本年支出 859.16</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减少145.64万元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降低14.49%，</w:t>
      </w:r>
      <w:r>
        <w:rPr>
          <w:rFonts w:hint="eastAsia" w:ascii="仿宋_GB2312" w:hAnsi="Times New Roman" w:eastAsia="仿宋_GB2312" w:cs="Wingdings"/>
          <w:sz w:val="32"/>
          <w:szCs w:val="32"/>
        </w:rPr>
        <w:t>主要是厉行节约，压缩开支</w:t>
      </w:r>
      <w:r>
        <w:rPr>
          <w:rFonts w:hint="eastAsia" w:ascii="仿宋_GB2312" w:hAnsi="Times New Roman" w:eastAsia="仿宋_GB2312" w:cs="仿宋_GB2312"/>
          <w:sz w:val="32"/>
          <w:szCs w:val="32"/>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hint="eastAsia" w:ascii="Times New Roman" w:hAnsi="Times New Roman" w:eastAsia="仿宋_GB2312" w:cs="Times New Roman"/>
          <w:sz w:val="30"/>
          <w:szCs w:val="30"/>
          <w:lang w:val="en-US" w:eastAsia="zh-CN"/>
        </w:rPr>
        <w:t>无增减变化</w:t>
      </w:r>
      <w:r>
        <w:rPr>
          <w:rFonts w:ascii="Times New Roman" w:hAnsi="Times New Roman" w:eastAsia="仿宋_GB2312" w:cs="Times New Roman"/>
          <w:kern w:val="2"/>
          <w:sz w:val="32"/>
          <w:szCs w:val="32"/>
          <w:lang w:val="zh-CN"/>
        </w:rPr>
        <w:t>；本年支出 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hAnsi="Times New Roman" w:eastAsia="仿宋_GB2312" w:cs="Times New Roman"/>
          <w:kern w:val="2"/>
          <w:sz w:val="32"/>
          <w:szCs w:val="32"/>
          <w:lang w:val="zh-CN"/>
        </w:rPr>
        <w:t>。</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年度财政拨款本年收入859.16万元，完成年初预算的98.28%，比年初预算</w:t>
      </w:r>
      <w:r>
        <w:rPr>
          <w:rFonts w:hint="eastAsia" w:ascii="Times New Roman" w:hAnsi="Times New Roman" w:eastAsia="仿宋_GB2312" w:cs="Times New Roman"/>
          <w:sz w:val="30"/>
          <w:szCs w:val="30"/>
          <w:lang w:val="zh-CN"/>
        </w:rPr>
        <w:t>减少15.01万元</w:t>
      </w:r>
      <w:r>
        <w:rPr>
          <w:rFonts w:ascii="Times New Roman" w:hAnsi="Times New Roman" w:eastAsia="仿宋_GB2312" w:cs="Times New Roman"/>
          <w:kern w:val="2"/>
          <w:sz w:val="32"/>
          <w:szCs w:val="32"/>
          <w:lang w:val="zh-CN"/>
        </w:rPr>
        <w:t>，决算数小于预算数主要原因是</w:t>
      </w:r>
      <w:r>
        <w:rPr>
          <w:rFonts w:hint="eastAsia" w:ascii="Times New Roman" w:hAnsi="Times New Roman" w:eastAsia="仿宋_GB2312" w:cs="Times New Roman"/>
          <w:kern w:val="2"/>
          <w:sz w:val="32"/>
          <w:szCs w:val="32"/>
          <w:lang w:val="zh-CN"/>
        </w:rPr>
        <w:t>厉行节约，压缩开支</w:t>
      </w:r>
      <w:r>
        <w:rPr>
          <w:rFonts w:ascii="Times New Roman" w:hAnsi="Times New Roman" w:eastAsia="仿宋_GB2312" w:cs="Times New Roman"/>
          <w:kern w:val="2"/>
          <w:sz w:val="32"/>
          <w:szCs w:val="32"/>
          <w:lang w:val="zh-CN"/>
        </w:rPr>
        <w:t>；本年支出859.16万元，完成年初预算的98.28%，比年初预算</w:t>
      </w:r>
      <w:r>
        <w:rPr>
          <w:rFonts w:hint="eastAsia" w:ascii="Times New Roman" w:hAnsi="Times New Roman" w:eastAsia="仿宋_GB2312" w:cs="Times New Roman"/>
          <w:sz w:val="30"/>
          <w:szCs w:val="30"/>
          <w:lang w:val="zh-CN"/>
        </w:rPr>
        <w:t>减少15.01万元</w:t>
      </w:r>
      <w:r>
        <w:rPr>
          <w:rFonts w:ascii="Times New Roman" w:hAnsi="Times New Roman" w:eastAsia="仿宋_GB2312" w:cs="Times New Roman"/>
          <w:kern w:val="2"/>
          <w:sz w:val="32"/>
          <w:szCs w:val="32"/>
          <w:lang w:val="zh-CN"/>
        </w:rPr>
        <w:t>，决算数小于预算数主要原因是</w:t>
      </w:r>
      <w:r>
        <w:rPr>
          <w:rFonts w:hint="eastAsia" w:ascii="Times New Roman" w:hAnsi="Times New Roman" w:eastAsia="仿宋_GB2312" w:cs="Times New Roman"/>
          <w:kern w:val="2"/>
          <w:sz w:val="32"/>
          <w:szCs w:val="32"/>
          <w:lang w:eastAsia="zh-CN"/>
        </w:rPr>
        <w:t>厉行节约，压缩开支</w:t>
      </w:r>
      <w:r>
        <w:rPr>
          <w:rFonts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收入859.16万元，完成年初预算的 98.28%，比年初预算</w:t>
      </w:r>
      <w:r>
        <w:rPr>
          <w:rFonts w:hint="eastAsia" w:ascii="Times New Roman" w:hAnsi="Times New Roman" w:eastAsia="仿宋_GB2312" w:cs="Times New Roman"/>
          <w:sz w:val="30"/>
          <w:szCs w:val="30"/>
          <w:lang w:val="zh-CN"/>
        </w:rPr>
        <w:t>减少15.01万元</w:t>
      </w:r>
      <w:r>
        <w:rPr>
          <w:rFonts w:ascii="Times New Roman" w:hAnsi="Times New Roman" w:eastAsia="仿宋_GB2312" w:cs="Times New Roman"/>
          <w:kern w:val="2"/>
          <w:sz w:val="32"/>
          <w:szCs w:val="32"/>
          <w:lang w:val="zh-CN"/>
        </w:rPr>
        <w:t>，主要原因</w:t>
      </w:r>
      <w:r>
        <w:rPr>
          <w:rFonts w:hint="default" w:ascii="Times New Roman" w:hAnsi="Times New Roman" w:eastAsia="仿宋_GB2312" w:cs="Times New Roman"/>
          <w:color w:val="auto"/>
          <w:kern w:val="2"/>
          <w:sz w:val="32"/>
          <w:szCs w:val="32"/>
          <w:lang w:val="zh-CN" w:eastAsia="zh-CN" w:bidi="ar-SA"/>
        </w:rPr>
        <w:t>是</w:t>
      </w:r>
      <w:r>
        <w:rPr>
          <w:rFonts w:hint="eastAsia" w:ascii="Times New Roman" w:hAnsi="Times New Roman" w:eastAsia="仿宋_GB2312" w:cs="Times New Roman"/>
          <w:kern w:val="2"/>
          <w:sz w:val="32"/>
          <w:szCs w:val="32"/>
          <w:lang w:eastAsia="zh-CN"/>
        </w:rPr>
        <w:t>厉行节约，压缩开支</w:t>
      </w:r>
      <w:r>
        <w:rPr>
          <w:rFonts w:ascii="Times New Roman" w:hAnsi="Times New Roman" w:eastAsia="仿宋_GB2312" w:cs="Times New Roman"/>
          <w:kern w:val="2"/>
          <w:sz w:val="32"/>
          <w:szCs w:val="32"/>
          <w:lang w:val="zh-CN"/>
        </w:rPr>
        <w:t>；本年支出859.16万元，完成年初预算的98.28%，比年初预算</w:t>
      </w:r>
      <w:r>
        <w:rPr>
          <w:rFonts w:hint="eastAsia" w:ascii="Times New Roman" w:hAnsi="Times New Roman" w:eastAsia="仿宋_GB2312" w:cs="Times New Roman"/>
          <w:sz w:val="30"/>
          <w:szCs w:val="30"/>
          <w:lang w:val="zh-CN"/>
        </w:rPr>
        <w:t>减少15.01万元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eastAsia="zh-CN"/>
        </w:rPr>
        <w:t>厉行节约，压缩开支</w:t>
      </w:r>
      <w:r>
        <w:rPr>
          <w:rFonts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无增减变化</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p>
    <w:p>
      <w:pPr>
        <w:autoSpaceDE w:val="0"/>
        <w:autoSpaceDN w:val="0"/>
        <w:adjustRightInd w:val="0"/>
        <w:spacing w:line="580" w:lineRule="exact"/>
        <w:ind w:firstLine="640" w:firstLineChars="200"/>
        <w:jc w:val="left"/>
        <w:rPr>
          <w:rFonts w:ascii="Times New Roman" w:hAnsi="Times New Roman" w:eastAsia="仿宋_GB2312" w:cs="Times New Roman"/>
          <w:color w:val="000000"/>
          <w:kern w:val="2"/>
          <w:sz w:val="32"/>
          <w:szCs w:val="32"/>
          <w:shd w:val="clear" w:color="auto" w:fill="FFFFFF"/>
          <w:lang w:val="zh-CN"/>
        </w:rPr>
      </w:pPr>
      <w:r>
        <w:rPr>
          <w:rFonts w:ascii="Times New Roman" w:hAnsi="Times New Roman" w:eastAsia="仿宋_GB2312" w:cs="Times New Roman"/>
          <w:kern w:val="2"/>
          <w:sz w:val="32"/>
          <w:szCs w:val="32"/>
          <w:lang w:val="zh-CN"/>
        </w:rPr>
        <w:t>3. 国有资本经营预算财政拨款本年收入0万元，完成年初预算的0%，</w:t>
      </w:r>
      <w:r>
        <w:rPr>
          <w:rFonts w:ascii="Times New Roman" w:hAnsi="Times New Roman" w:eastAsia="仿宋_GB2312" w:cs="Times New Roman"/>
          <w:sz w:val="30"/>
          <w:szCs w:val="30"/>
          <w:lang w:val="zh-CN"/>
        </w:rPr>
        <w:t>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p>
    <w:p>
      <w:pPr>
        <w:pStyle w:val="10"/>
        <w:widowControl/>
        <w:spacing w:beforeAutospacing="0" w:afterAutospacing="0"/>
        <w:rPr>
          <w:rFonts w:ascii="Times New Roman" w:hAnsi="Times New Roman" w:eastAsia="Arial"/>
        </w:rPr>
      </w:pPr>
    </w:p>
    <w:p>
      <w:pPr>
        <w:pStyle w:val="10"/>
        <w:widowControl/>
        <w:spacing w:beforeAutospacing="0" w:afterAutospacing="0"/>
        <w:rPr>
          <w:rFonts w:ascii="Times New Roman" w:hAnsi="Times New Roman" w:eastAsia="仿宋_GB2312"/>
          <w:sz w:val="32"/>
          <w:szCs w:val="32"/>
          <w:highlight w:val="none"/>
        </w:rPr>
      </w:pPr>
      <w:r>
        <w:rPr>
          <w:rFonts w:ascii="Times New Roman" w:hAnsi="Times New Roman"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pPr>
        <w:adjustRightInd w:val="0"/>
        <w:snapToGrid w:val="0"/>
        <w:spacing w:line="580" w:lineRule="exact"/>
        <w:ind w:firstLine="660" w:firstLineChars="200"/>
        <w:jc w:val="left"/>
        <w:rPr>
          <w:rFonts w:ascii="Times New Roman" w:hAnsi="Times New Roman" w:eastAsia="仿宋_GB2312"/>
          <w:kern w:val="2"/>
          <w:sz w:val="32"/>
          <w:szCs w:val="32"/>
          <w:lang w:val="zh-CN"/>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年度财政拨款支出859.16万元，主要用于以下方面：</w:t>
      </w:r>
      <w:r>
        <w:rPr>
          <w:rFonts w:ascii="Times New Roman" w:hAnsi="Times New Roman" w:eastAsia="仿宋_GB2312"/>
          <w:kern w:val="2"/>
          <w:sz w:val="32"/>
          <w:szCs w:val="32"/>
          <w:lang w:val="zh-CN"/>
        </w:rPr>
        <w:t>一般公共服务（类）支出562.23万元，占65.44%；</w:t>
      </w:r>
      <w:r>
        <w:rPr>
          <w:rFonts w:ascii="Times New Roman" w:hAnsi="Times New Roman" w:eastAsia="仿宋_GB2312"/>
          <w:kern w:val="2"/>
          <w:sz w:val="32"/>
          <w:szCs w:val="32"/>
        </w:rPr>
        <w:t>外交</w:t>
      </w:r>
      <w:r>
        <w:rPr>
          <w:rFonts w:ascii="Times New Roman" w:hAnsi="Times New Roman" w:eastAsia="仿宋_GB2312"/>
          <w:kern w:val="2"/>
          <w:sz w:val="32"/>
          <w:szCs w:val="32"/>
          <w:lang w:val="zh-CN"/>
        </w:rPr>
        <w:t>（类）支出0万元，占0%；国防（类）支出0万元，占0%；公共安全类（类）支出0万元，占0%；教育（类）支出0万元，占0%；科学技术（类）支出0万元，占0%；文化旅游体育与传媒（类）支出0万元，占0%；社会保障和就业 （类）支出228.33万元，占26.58%；卫生健康（类）支出28.69万元，占3.34%；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39.91万元，占4.65%；粮油物资储备（类）支出0万元，占0%；国有资本经营预算支出0万元，占0%；害防治及应急管理（类）支出0万元，占0%；其他（类）支出0万元，占0%；债务</w:t>
      </w:r>
      <w:r>
        <w:rPr>
          <w:rFonts w:ascii="Times New Roman" w:hAnsi="Times New Roman" w:eastAsia="仿宋_GB2312"/>
          <w:kern w:val="2"/>
          <w:sz w:val="32"/>
          <w:szCs w:val="32"/>
        </w:rPr>
        <w:t>还本</w:t>
      </w:r>
      <w:r>
        <w:rPr>
          <w:rFonts w:ascii="Times New Roman" w:hAnsi="Times New Roman" w:eastAsia="仿宋_GB2312"/>
          <w:kern w:val="2"/>
          <w:sz w:val="32"/>
          <w:szCs w:val="32"/>
          <w:lang w:val="zh-CN"/>
        </w:rPr>
        <w:t>（类）支出0万元，占0%；债务付息（类）支出0万元，占0%；抗疫特别国债安排的支出0万元，占0%。</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753.83万元，其中：人员经费613.58万元，主要包括基本工资、津贴补贴、奖金、绩效工资、机关事业部门基本养老保险缴费、职业年金缴费、职工基本医疗保险缴费、公务员医疗补助缴费、住房公积金、医疗费、其他社会保障缴费、其他工资福利支出、离休费、 退休费、 抚恤金、生活补助、医疗费补助、其他对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140.24万元，主要包括办公费、印刷费、咨询费、手续费、邮电费、取暖费、物业管理费、差旅费、因公出国（境）费用、维修（护）费、租赁费、会议费、培训费、公务接待费、委托业务费、工会经费、福利费、公务用车运行维护费、其他交通费用、其他商品和服务支出、办公设备购置、信息网络及软件购置更新</w:t>
      </w:r>
      <w:r>
        <w:rPr>
          <w:rFonts w:hint="eastAsia" w:ascii="Times New Roman" w:hAnsi="Times New Roman" w:eastAsia="仿宋_GB2312"/>
          <w:kern w:val="2"/>
          <w:sz w:val="32"/>
          <w:szCs w:val="32"/>
          <w:lang w:val="zh-CN"/>
        </w:rPr>
        <w:t>。</w:t>
      </w:r>
    </w:p>
    <w:p>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年度“三公”经费财政拨款支出预算为18.2万元，支出决算为11.37万元，完成预算的62.46%，较预算</w:t>
      </w:r>
      <w:r>
        <w:rPr>
          <w:rFonts w:hint="eastAsia" w:ascii="Times New Roman" w:hAnsi="Times New Roman" w:eastAsia="仿宋_GB2312"/>
          <w:kern w:val="2"/>
          <w:sz w:val="32"/>
          <w:szCs w:val="32"/>
          <w:lang w:val="zh-CN"/>
        </w:rPr>
        <w:t>减少6.83万元，降低37.54%，</w:t>
      </w:r>
      <w:r>
        <w:rPr>
          <w:rFonts w:ascii="Times New Roman" w:hAnsi="Times New Roman" w:eastAsia="仿宋_GB2312"/>
          <w:kern w:val="2"/>
          <w:sz w:val="32"/>
          <w:szCs w:val="32"/>
          <w:lang w:val="zh-CN"/>
        </w:rPr>
        <w:t>主要</w:t>
      </w:r>
      <w:r>
        <w:rPr>
          <w:rFonts w:hint="eastAsia" w:ascii="仿宋_GB2312" w:hAnsi="Times New Roman" w:eastAsia="仿宋_GB2312" w:cs="仿宋_GB2312"/>
          <w:sz w:val="32"/>
          <w:szCs w:val="32"/>
        </w:rPr>
        <w:t>一是加强公务用车管理；二是厉行节约，严控公务接待规模</w:t>
      </w:r>
      <w:r>
        <w:rPr>
          <w:rFonts w:ascii="Times New Roman" w:hAnsi="Times New Roman" w:eastAsia="仿宋_GB2312"/>
          <w:kern w:val="2"/>
          <w:sz w:val="32"/>
          <w:szCs w:val="32"/>
          <w:lang w:val="zh-CN"/>
        </w:rPr>
        <w:t>；较2022年度决算</w:t>
      </w:r>
      <w:r>
        <w:rPr>
          <w:rFonts w:hint="eastAsia" w:ascii="Times New Roman" w:hAnsi="Times New Roman" w:eastAsia="仿宋_GB2312"/>
          <w:kern w:val="2"/>
          <w:sz w:val="32"/>
          <w:szCs w:val="32"/>
          <w:lang w:val="zh-CN"/>
        </w:rPr>
        <w:t>减少0.05万元</w:t>
      </w:r>
      <w:r>
        <w:rPr>
          <w:rFonts w:hint="eastAsia" w:ascii="Times New Roman" w:hAnsi="Times New Roman" w:eastAsia="仿宋_GB2312" w:cs="仿宋_GB2312"/>
          <w:sz w:val="30"/>
          <w:szCs w:val="30"/>
        </w:rPr>
        <w:t>，</w:t>
      </w:r>
      <w:r>
        <w:rPr>
          <w:rFonts w:hint="eastAsia" w:ascii="Times New Roman" w:hAnsi="Times New Roman" w:eastAsia="仿宋_GB2312"/>
          <w:kern w:val="2"/>
          <w:sz w:val="32"/>
          <w:szCs w:val="32"/>
          <w:lang w:val="zh-CN"/>
        </w:rPr>
        <w:t>降低0.46%，</w:t>
      </w:r>
      <w:r>
        <w:rPr>
          <w:rFonts w:ascii="Times New Roman" w:hAnsi="Times New Roman" w:eastAsia="仿宋_GB2312"/>
          <w:kern w:val="2"/>
          <w:sz w:val="32"/>
          <w:szCs w:val="32"/>
          <w:lang w:val="zh-CN"/>
        </w:rPr>
        <w:t>主要是</w:t>
      </w:r>
      <w:r>
        <w:rPr>
          <w:rFonts w:hint="eastAsia" w:ascii="仿宋_GB2312" w:hAnsi="Times New Roman" w:eastAsia="仿宋_GB2312" w:cs="仿宋_GB2312"/>
          <w:sz w:val="32"/>
          <w:szCs w:val="32"/>
        </w:rPr>
        <w:t>厉行节约，严控公务接待规模</w:t>
      </w:r>
      <w:r>
        <w:rPr>
          <w:rFonts w:ascii="Times New Roman" w:hAnsi="Times New Roman" w:eastAsia="仿宋_GB2312"/>
          <w:kern w:val="2"/>
          <w:sz w:val="32"/>
          <w:szCs w:val="32"/>
          <w:lang w:val="zh-CN"/>
        </w:rPr>
        <w:t>。</w:t>
      </w:r>
    </w:p>
    <w:p>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pPr>
        <w:pStyle w:val="10"/>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2023年度因公出国（境）费支出预算为0万元,支出决算0万元。完成预算的0%。因公出国（境）费支出较预算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lang w:val="en-US" w:eastAsia="zh-CN"/>
        </w:rPr>
        <w:t>无增减变化</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w:t>
      </w:r>
      <w:r>
        <w:rPr>
          <w:rFonts w:hint="eastAsia" w:ascii="Times New Roman" w:hAnsi="Times New Roman" w:eastAsia="仿宋_GB2312"/>
          <w:kern w:val="2"/>
          <w:sz w:val="32"/>
          <w:szCs w:val="32"/>
        </w:rPr>
        <w:t>无增减变化</w:t>
      </w:r>
      <w:r>
        <w:rPr>
          <w:rFonts w:ascii="Times New Roman" w:hAnsi="Times New Roman" w:eastAsia="仿宋_GB2312"/>
          <w:kern w:val="2"/>
          <w:sz w:val="32"/>
          <w:szCs w:val="32"/>
        </w:rPr>
        <w:t>。因公出国（境）团组0个、共0人、参加其他单位组织的因公出国（境）团组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人/无本部门组织的出国（境）团组。</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年度公务用车购置及运行维护费预算为16.2万元，支出决算 10.5万元，完成预算的64.83%,较预算</w:t>
      </w:r>
      <w:r>
        <w:rPr>
          <w:rFonts w:hint="eastAsia" w:ascii="Times New Roman" w:hAnsi="Times New Roman" w:eastAsia="仿宋_GB2312" w:cs="Times New Roman"/>
          <w:kern w:val="2"/>
          <w:sz w:val="32"/>
          <w:szCs w:val="32"/>
          <w:lang w:val="zh-CN"/>
        </w:rPr>
        <w:t>减少5.7万元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降低35.17%，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硬化预算约束，严守公务用车配备及使用纪律所致</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减少0.92万元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降低8.04%，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严控公务用车使用</w:t>
      </w:r>
      <w:r>
        <w:rPr>
          <w:rFonts w:ascii="Times New Roman" w:hAnsi="Times New Roman" w:eastAsia="仿宋_GB2312" w:cs="Times New Roman"/>
          <w:kern w:val="2"/>
          <w:sz w:val="32"/>
          <w:szCs w:val="32"/>
          <w:lang w:val="zh-CN"/>
        </w:rPr>
        <w:t>。其中：</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w:t>
      </w:r>
      <w:r>
        <w:rPr>
          <w:rFonts w:hint="eastAsia" w:ascii="Times New Roman" w:hAnsi="Times New Roman" w:eastAsia="仿宋_GB2312" w:cs="Times New Roman"/>
          <w:kern w:val="2"/>
          <w:sz w:val="32"/>
          <w:szCs w:val="32"/>
          <w:lang w:val="zh-CN"/>
        </w:rPr>
        <w:t>未发生“公务用车购置”经费支出，</w:t>
      </w:r>
      <w:r>
        <w:rPr>
          <w:rFonts w:ascii="Times New Roman" w:hAnsi="Times New Roman" w:eastAsia="仿宋_GB2312" w:cs="Times New Roman"/>
          <w:kern w:val="2"/>
          <w:sz w:val="32"/>
          <w:szCs w:val="32"/>
          <w:lang w:val="zh-CN"/>
        </w:rPr>
        <w:t>公务用车购置费支出较预算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无增减变化</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10.5</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年度单位公务用车保有量6辆，发生运行维护费支出10.5万元。公车运行维护费支出较预算</w:t>
      </w:r>
      <w:r>
        <w:rPr>
          <w:rFonts w:hint="eastAsia" w:ascii="Times New Roman" w:hAnsi="Times New Roman" w:eastAsia="仿宋_GB2312" w:cs="Times New Roman"/>
          <w:kern w:val="2"/>
          <w:sz w:val="32"/>
          <w:szCs w:val="32"/>
          <w:lang w:val="zh-CN"/>
        </w:rPr>
        <w:t>减少5.7万元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降低35.17%，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严控公务用车使用</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减少0.92万元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降低8.04%，</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严控公务用车使用</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年度公务接待费支出预算为2万元，支出决算0.87万元，完成预算的43.3%。公务接待费支出较预算</w:t>
      </w:r>
      <w:r>
        <w:rPr>
          <w:rFonts w:hint="eastAsia" w:ascii="Times New Roman" w:hAnsi="Times New Roman" w:eastAsia="仿宋_GB2312" w:cs="Times New Roman"/>
          <w:kern w:val="2"/>
          <w:sz w:val="32"/>
          <w:szCs w:val="32"/>
          <w:lang w:val="zh-CN"/>
        </w:rPr>
        <w:t>减少1.13万元，降低56.7%，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厉行节约，严格规范公务接待行为和经费支出</w:t>
      </w:r>
      <w:r>
        <w:rPr>
          <w:rFonts w:ascii="Times New Roman" w:hAnsi="Times New Roman" w:eastAsia="仿宋_GB2312" w:cs="Times New Roman"/>
          <w:kern w:val="2"/>
          <w:sz w:val="32"/>
          <w:szCs w:val="32"/>
          <w:lang w:val="zh-CN"/>
        </w:rPr>
        <w:t>；较上年度</w:t>
      </w:r>
      <w:r>
        <w:rPr>
          <w:rFonts w:hint="eastAsia" w:ascii="Times New Roman" w:hAnsi="Times New Roman" w:eastAsia="仿宋_GB2312" w:cs="Times New Roman"/>
          <w:kern w:val="2"/>
          <w:sz w:val="32"/>
          <w:szCs w:val="32"/>
          <w:lang w:val="zh-CN"/>
        </w:rPr>
        <w:t>减少1.13万元，降低56.7%，</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厉行节约，严格规范公务接待行为和经费支出</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en-US" w:eastAsia="zh-CN"/>
        </w:rPr>
        <w:t>6</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en-US" w:eastAsia="zh-CN"/>
        </w:rPr>
        <w:t>59</w:t>
      </w:r>
      <w:r>
        <w:rPr>
          <w:rFonts w:ascii="Times New Roman" w:hAnsi="Times New Roman" w:eastAsia="仿宋_GB2312" w:cs="Times New Roman"/>
          <w:kern w:val="2"/>
          <w:sz w:val="32"/>
          <w:szCs w:val="32"/>
          <w:lang w:val="zh-CN"/>
        </w:rPr>
        <w:t>人次。</w:t>
      </w:r>
    </w:p>
    <w:p>
      <w:pPr>
        <w:pStyle w:val="10"/>
        <w:widowControl/>
        <w:spacing w:beforeAutospacing="0" w:afterAutospacing="0"/>
        <w:jc w:val="both"/>
        <w:outlineLvl w:val="1"/>
        <w:rPr>
          <w:rFonts w:ascii="Times New Roman" w:hAnsi="Times New Roman" w:eastAsia="仿宋_GB2312"/>
          <w:sz w:val="32"/>
          <w:szCs w:val="32"/>
          <w:highlight w:val="yellow"/>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年度机关运行经费支出140.24万元，较2022年度</w:t>
      </w:r>
      <w:r>
        <w:rPr>
          <w:rFonts w:hint="eastAsia" w:ascii="Times New Roman" w:hAnsi="Times New Roman" w:eastAsia="仿宋_GB2312"/>
          <w:kern w:val="2"/>
          <w:sz w:val="32"/>
          <w:szCs w:val="32"/>
          <w:lang w:val="zh-CN"/>
        </w:rPr>
        <w:t>减少29.84万元，降低17.54%，</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厉行节约，严格规范经费支出。</w:t>
      </w:r>
    </w:p>
    <w:p>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年度政府采购支出总额20万元，从采购类型来看，政府采购货物支出1.1万元、政府采购工程支出0万元、政府采购服务支出18.9万元。授予中小企业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20万元，占政府采购支出总额的100%，其中授予小微企业合同金额20万元，占政府采购支出总额的100%。</w:t>
      </w:r>
    </w:p>
    <w:p>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年12月31日，本单位共有车辆6辆，比上年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无增减变化</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用车0辆，机要通信用车0辆，应急保障用车0辆，执法执勤用车0辆，特种专业技术用车0辆，离退休干部用车0辆，其他用车6辆，其他用车主要是</w:t>
      </w:r>
      <w:r>
        <w:rPr>
          <w:rFonts w:hint="eastAsia" w:ascii="仿宋_GB2312" w:eastAsia="仿宋_GB2312" w:cs="DengXian-Regular"/>
          <w:sz w:val="32"/>
          <w:szCs w:val="32"/>
          <w:highlight w:val="none"/>
        </w:rPr>
        <w:t>正</w:t>
      </w:r>
      <w:r>
        <w:rPr>
          <w:rFonts w:hint="eastAsia" w:ascii="仿宋_GB2312" w:eastAsia="仿宋_GB2312" w:cs="DengXian-Regular"/>
          <w:sz w:val="32"/>
          <w:szCs w:val="32"/>
        </w:rPr>
        <w:t>常公务用车</w:t>
      </w:r>
      <w:r>
        <w:rPr>
          <w:rFonts w:ascii="Times New Roman" w:hAnsi="Times New Roman" w:eastAsia="仿宋_GB2312"/>
          <w:kern w:val="2"/>
          <w:sz w:val="32"/>
          <w:szCs w:val="32"/>
          <w:lang w:val="zh-CN"/>
        </w:rPr>
        <w:t>。单位价值100万元（含）以上设备（不含车辆）0台（套）。</w:t>
      </w:r>
    </w:p>
    <w:p>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根据预算绩效管理要求，本单位组织对2023年度一般公共预算项目支出全面开展绩效自评，其中，一级项目</w:t>
      </w:r>
      <w:r>
        <w:rPr>
          <w:rFonts w:hint="eastAsia" w:ascii="Times New Roman" w:hAnsi="Times New Roman" w:eastAsia="仿宋_GB2312"/>
          <w:kern w:val="2"/>
          <w:sz w:val="32"/>
          <w:szCs w:val="32"/>
          <w:lang w:val="en-US" w:eastAsia="zh-CN"/>
        </w:rPr>
        <w:t>9</w:t>
      </w:r>
      <w:r>
        <w:rPr>
          <w:rFonts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en-US" w:eastAsia="zh-CN"/>
        </w:rPr>
        <w:t>105.33</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政协委员工作站（室）建设活动经费、政协委员专项经费、政协文史资料编印费、政协委员报刊、杂志书籍订阅费、工商联专项业务费、退役军人公益岗补贴、政协会议政务外网使用费、“智慧政协”移动云服务费、政协会议、</w:t>
      </w:r>
      <w:r>
        <w:rPr>
          <w:rFonts w:hint="eastAsia" w:ascii="Times New Roman" w:hAnsi="Times New Roman" w:eastAsia="仿宋_GB2312"/>
          <w:kern w:val="2"/>
          <w:sz w:val="32"/>
          <w:szCs w:val="32"/>
          <w:lang w:val="en-US" w:eastAsia="zh-CN"/>
        </w:rPr>
        <w:t>公务接待</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9</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zh-CN"/>
        </w:rPr>
        <w:t>政协委员工作站（室）建设活动经费、政协委员专项经费、政协文史资料编印费、政协委员报刊、杂志书籍订阅费、工商联专项业务费、退役军人公益岗补贴、政协会议政务外网使用费、“智慧政协”移动云服务费、政协会议、公务接待</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9</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pPr>
        <w:pStyle w:val="10"/>
        <w:widowControl/>
        <w:spacing w:beforeAutospacing="0" w:afterAutospacing="0"/>
        <w:ind w:firstLine="640" w:firstLineChars="200"/>
        <w:rPr>
          <w:rFonts w:ascii="Times New Roman" w:hAnsi="Times New Roman" w:eastAsia="仿宋_GB2312"/>
          <w:sz w:val="32"/>
          <w:szCs w:val="32"/>
          <w:highlight w:val="yellow"/>
        </w:rPr>
      </w:pP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zh-CN"/>
        </w:rPr>
        <w:t>政协委员专项经费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政协文史资料编印费</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9</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en-US" w:eastAsia="zh-CN"/>
        </w:rPr>
        <w:t>105.33</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w:t>
      </w:r>
    </w:p>
    <w:p>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本单位在今年部门决算公开中反映</w:t>
      </w:r>
      <w:r>
        <w:rPr>
          <w:rFonts w:hint="eastAsia" w:ascii="Times New Roman" w:hAnsi="Times New Roman" w:eastAsia="仿宋_GB2312"/>
          <w:kern w:val="2"/>
          <w:sz w:val="32"/>
          <w:szCs w:val="32"/>
          <w:lang w:val="zh-CN"/>
        </w:rPr>
        <w:t>政协委员报刊、杂志书籍订阅费</w:t>
      </w:r>
      <w:r>
        <w:rPr>
          <w:rFonts w:ascii="Times New Roman" w:hAnsi="Times New Roman" w:eastAsia="仿宋_GB2312"/>
          <w:kern w:val="2"/>
          <w:sz w:val="32"/>
          <w:szCs w:val="32"/>
          <w:lang w:val="zh-CN"/>
        </w:rPr>
        <w:t>项目及</w:t>
      </w:r>
      <w:r>
        <w:rPr>
          <w:rFonts w:hint="eastAsia" w:ascii="Times New Roman" w:hAnsi="Times New Roman" w:eastAsia="仿宋_GB2312"/>
          <w:kern w:val="2"/>
          <w:sz w:val="32"/>
          <w:szCs w:val="32"/>
          <w:lang w:val="zh-CN"/>
        </w:rPr>
        <w:t>政协委员专项经费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9</w:t>
      </w:r>
      <w:r>
        <w:rPr>
          <w:rFonts w:ascii="Times New Roman" w:hAnsi="Times New Roman" w:eastAsia="仿宋_GB2312"/>
          <w:kern w:val="2"/>
          <w:sz w:val="32"/>
          <w:szCs w:val="32"/>
          <w:lang w:val="zh-CN"/>
        </w:rPr>
        <w:t>个项目绩效自评结果。</w:t>
      </w:r>
    </w:p>
    <w:p>
      <w:pPr>
        <w:rPr>
          <w:rFonts w:hint="eastAsia" w:ascii="Times New Roman" w:hAnsi="Times New Roman" w:eastAsia="仿宋_GB2312"/>
          <w:kern w:val="2"/>
          <w:sz w:val="32"/>
          <w:szCs w:val="32"/>
          <w:lang w:val="zh-CN"/>
        </w:rPr>
      </w:pP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38.1</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38.1</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完成区政协三届三次全体会顺利召开，为顺利完成政协会议提供后勤保障等工作</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未发现问题。</w:t>
      </w:r>
    </w:p>
    <w:p>
      <w:pPr>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rPr>
        <w:t>政协委员订报</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8.6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8.6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保证为广大政协委员订阅政协相关报刊杂志，提高委员参政议政水平和能力。未发现问题。</w:t>
      </w:r>
    </w:p>
    <w:p>
      <w:pPr>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rPr>
        <w:t>政协文史资料编印费</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按照区委、区政府要求编辑、撰写鹿泉文化、历史资料等宣传。未发现问题。</w:t>
      </w:r>
    </w:p>
    <w:p>
      <w:pPr>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rPr>
        <w:t>政协委员专项经费</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20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根据上级政协及区委、区政府要求，政协委员安排政协委员调研、视察等活动。未发现问题。</w:t>
      </w:r>
    </w:p>
    <w:p>
      <w:pPr>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rPr>
        <w:t>政协会议政务外网使用费、“智慧政协”移动云服务费</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3.8</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保证云服务外网正常使用。未发现问题。</w:t>
      </w:r>
    </w:p>
    <w:p>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rPr>
        <w:t>工商联专项业务</w:t>
      </w:r>
      <w:r>
        <w:rPr>
          <w:rFonts w:hint="eastAsia" w:ascii="仿宋_GB2312" w:hAnsi="Times New Roman" w:eastAsia="仿宋_GB2312" w:cs="DengXian-Regular"/>
          <w:sz w:val="32"/>
          <w:szCs w:val="32"/>
        </w:rPr>
        <w:t>经费</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仿宋_GB2312" w:hAnsi="Times New Roman" w:eastAsia="仿宋_GB2312" w:cs="DengXian-Regular"/>
          <w:sz w:val="32"/>
          <w:szCs w:val="32"/>
        </w:rPr>
        <w:t>根据区委、区政府要求，</w:t>
      </w:r>
      <w:r>
        <w:rPr>
          <w:rFonts w:hint="eastAsia" w:ascii="仿宋_GB2312" w:hAnsi="Times New Roman" w:eastAsia="仿宋_GB2312" w:cs="DengXian-Regular"/>
          <w:sz w:val="32"/>
          <w:szCs w:val="32"/>
          <w:lang w:val="en-US" w:eastAsia="zh-CN"/>
        </w:rPr>
        <w:t>完成</w:t>
      </w:r>
      <w:r>
        <w:rPr>
          <w:rFonts w:hint="eastAsia" w:ascii="仿宋_GB2312" w:hAnsi="Times New Roman" w:eastAsia="仿宋_GB2312" w:cs="DengXian-Regular"/>
          <w:sz w:val="32"/>
          <w:szCs w:val="32"/>
        </w:rPr>
        <w:t>专项业务经费。</w:t>
      </w:r>
      <w:r>
        <w:rPr>
          <w:rFonts w:hint="eastAsia" w:ascii="Times New Roman" w:hAnsi="Times New Roman" w:eastAsia="仿宋_GB2312"/>
          <w:kern w:val="2"/>
          <w:sz w:val="32"/>
          <w:szCs w:val="32"/>
          <w:lang w:val="zh-CN"/>
        </w:rPr>
        <w:t>未发现问题。</w:t>
      </w:r>
    </w:p>
    <w:p>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lang w:val="en-US" w:eastAsia="zh-CN"/>
        </w:rPr>
        <w:t>政协委员工作站（室）建设活动经费</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10.5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10.5</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仿宋_GB2312" w:hAnsi="仿宋_GB2312" w:eastAsia="仿宋_GB2312" w:cs="仿宋_GB2312"/>
          <w:sz w:val="32"/>
          <w:szCs w:val="32"/>
        </w:rPr>
        <w:t>方便</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政协委员相关工作与活动，达到工作正常进行。</w:t>
      </w:r>
      <w:r>
        <w:rPr>
          <w:rFonts w:hint="eastAsia" w:ascii="Times New Roman" w:hAnsi="Times New Roman" w:eastAsia="仿宋_GB2312"/>
          <w:kern w:val="2"/>
          <w:sz w:val="32"/>
          <w:szCs w:val="32"/>
          <w:lang w:val="zh-CN"/>
        </w:rPr>
        <w:t>未发现问题。</w:t>
      </w:r>
    </w:p>
    <w:p>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lang w:val="zh-CN"/>
        </w:rPr>
      </w:pPr>
      <w:r>
        <w:rPr>
          <w:rFonts w:hint="eastAsia" w:ascii="仿宋_GB2312" w:hAnsi="仿宋_GB2312" w:eastAsia="仿宋_GB2312" w:cs="仿宋_GB2312"/>
          <w:sz w:val="32"/>
          <w:szCs w:val="32"/>
          <w:lang w:val="en-US" w:eastAsia="zh-CN"/>
        </w:rPr>
        <w:t>退役军人公益岗补贴</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8.46</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8.46</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仿宋_GB2312" w:hAnsi="仿宋_GB2312" w:eastAsia="仿宋_GB2312" w:cs="仿宋_GB2312"/>
          <w:sz w:val="32"/>
          <w:szCs w:val="32"/>
        </w:rPr>
        <w:t>发放两名涉军公益岗岗位人员补助工资，保障办公正常运转。</w:t>
      </w:r>
      <w:r>
        <w:rPr>
          <w:rFonts w:hint="eastAsia" w:ascii="Times New Roman" w:hAnsi="Times New Roman" w:eastAsia="仿宋_GB2312"/>
          <w:kern w:val="2"/>
          <w:sz w:val="32"/>
          <w:szCs w:val="32"/>
          <w:lang w:val="zh-CN"/>
        </w:rPr>
        <w:t>未发现问题。</w:t>
      </w:r>
    </w:p>
    <w:p>
      <w:pPr>
        <w:ind w:firstLine="640" w:firstLineChars="200"/>
        <w:rPr>
          <w:rFonts w:hint="eastAsia" w:ascii="Times New Roman" w:hAnsi="Times New Roman" w:eastAsia="仿宋_GB2312" w:cs="Times New Roman"/>
          <w:color w:val="auto"/>
          <w:kern w:val="2"/>
          <w:sz w:val="32"/>
          <w:szCs w:val="32"/>
          <w:lang w:val="zh-CN" w:eastAsia="zh-CN" w:bidi="ar-SA"/>
        </w:rPr>
      </w:pPr>
      <w:r>
        <w:rPr>
          <w:rFonts w:hint="eastAsia" w:ascii="仿宋_GB2312" w:hAnsi="仿宋_GB2312" w:eastAsia="仿宋_GB2312" w:cs="仿宋_GB2312"/>
          <w:sz w:val="32"/>
          <w:szCs w:val="32"/>
          <w:lang w:val="en-US" w:eastAsia="zh-CN"/>
        </w:rPr>
        <w:t>公务接待</w:t>
      </w:r>
      <w:r>
        <w:rPr>
          <w:rFonts w:ascii="Times New Roman" w:hAnsi="Times New Roman" w:eastAsia="仿宋_GB2312"/>
          <w:kern w:val="2"/>
          <w:sz w:val="32"/>
          <w:szCs w:val="32"/>
          <w:lang w:val="zh-CN"/>
        </w:rPr>
        <w:t>项目绩效自评情况：根据年初设定的绩效目标，</w:t>
      </w:r>
      <w:r>
        <w:rPr>
          <w:rFonts w:hint="eastAsia" w:ascii="仿宋_GB2312" w:hAnsi="Times New Roman" w:eastAsia="仿宋_GB2312" w:cs="DengXian-Regular"/>
          <w:sz w:val="32"/>
          <w:szCs w:val="32"/>
        </w:rPr>
        <w:t>政协会议</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0.87</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0.87</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仿宋_GB2312" w:hAnsi="仿宋_GB2312" w:eastAsia="仿宋_GB2312" w:cs="仿宋_GB2312"/>
          <w:sz w:val="32"/>
          <w:szCs w:val="32"/>
          <w:lang w:eastAsia="zh-CN"/>
        </w:rPr>
        <w:t>迎接上级</w:t>
      </w:r>
      <w:r>
        <w:rPr>
          <w:rFonts w:hint="eastAsia" w:ascii="仿宋_GB2312" w:hAnsi="仿宋_GB2312" w:eastAsia="仿宋_GB2312" w:cs="仿宋_GB2312"/>
          <w:sz w:val="32"/>
          <w:szCs w:val="32"/>
          <w:lang w:val="en-US" w:eastAsia="zh-CN"/>
        </w:rPr>
        <w:t>政协</w:t>
      </w:r>
      <w:r>
        <w:rPr>
          <w:rFonts w:hint="eastAsia" w:ascii="仿宋_GB2312" w:hAnsi="仿宋_GB2312" w:eastAsia="仿宋_GB2312" w:cs="仿宋_GB2312"/>
          <w:sz w:val="32"/>
          <w:szCs w:val="32"/>
          <w:lang w:eastAsia="zh-CN"/>
        </w:rPr>
        <w:t>安排的调研、视察，接待兄弟县市</w:t>
      </w:r>
      <w:r>
        <w:rPr>
          <w:rFonts w:hint="eastAsia" w:ascii="仿宋_GB2312" w:hAnsi="仿宋_GB2312" w:eastAsia="仿宋_GB2312" w:cs="仿宋_GB2312"/>
          <w:sz w:val="32"/>
          <w:szCs w:val="32"/>
          <w:lang w:val="en-US" w:eastAsia="zh-CN"/>
        </w:rPr>
        <w:t>政协</w:t>
      </w:r>
      <w:r>
        <w:rPr>
          <w:rFonts w:hint="eastAsia" w:ascii="仿宋_GB2312" w:hAnsi="仿宋_GB2312" w:eastAsia="仿宋_GB2312" w:cs="仿宋_GB2312"/>
          <w:sz w:val="32"/>
          <w:szCs w:val="32"/>
          <w:lang w:eastAsia="zh-CN"/>
        </w:rPr>
        <w:t>到我区工作交流、参观考察</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未发现问题。</w:t>
      </w:r>
    </w:p>
    <w:p>
      <w:pPr>
        <w:ind w:firstLine="640"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highlight w:val="none"/>
        </w:rPr>
        <w:t>附</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项目支出绩效自评表</w:t>
      </w:r>
    </w:p>
    <w:tbl>
      <w:tblPr>
        <w:tblStyle w:val="11"/>
        <w:tblW w:w="10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38"/>
        <w:gridCol w:w="1058"/>
        <w:gridCol w:w="569"/>
        <w:gridCol w:w="1021"/>
        <w:gridCol w:w="1026"/>
        <w:gridCol w:w="1074"/>
        <w:gridCol w:w="2109"/>
        <w:gridCol w:w="1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4" w:hRule="atLeast"/>
          <w:jc w:val="center"/>
        </w:trPr>
        <w:tc>
          <w:tcPr>
            <w:tcW w:w="1014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0" w:type="auto"/>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0" w:type="auto"/>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工商联专项业务费</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82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31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6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264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20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jc w:val="center"/>
        </w:trPr>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4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通过组织5次培训会交流，为参加政治协商，发挥民主监督作用，积极参政议政，参与政府相关的经济活动，推动经济交流和协作，促进经济社会发展。     </w:t>
            </w:r>
          </w:p>
        </w:tc>
        <w:tc>
          <w:tcPr>
            <w:tcW w:w="420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通过组织5次培训会交流，为参加政治协商，发挥民主监督作用，积极参政议政，参与政府相关的经济活动，推动经济交流和协作，促进经济社会发展。     </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jc w:val="center"/>
        </w:trPr>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0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jc w:val="center"/>
        </w:trPr>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4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0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56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组织培训会交流对接次数</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5次</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5次</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工作完成质量</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工作的及时性</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96%</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专项业务费的成本</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万元</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万元</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7"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5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7"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56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提高工作效率</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7"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6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监督覆盖率</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≥96%</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96%</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4"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6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工作水平</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≥97%</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97%</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7"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569"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1638"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57"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7" w:hRule="atLeast"/>
          <w:jc w:val="center"/>
        </w:trPr>
        <w:tc>
          <w:tcPr>
            <w:tcW w:w="1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8502"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rPr>
          <w:rFonts w:hint="eastAsia"/>
          <w:lang w:val="zh-CN" w:eastAsia="zh-CN"/>
        </w:rPr>
      </w:pPr>
    </w:p>
    <w:p>
      <w:pPr>
        <w:pStyle w:val="2"/>
        <w:numPr>
          <w:ilvl w:val="0"/>
          <w:numId w:val="0"/>
        </w:numPr>
        <w:ind w:leftChars="0"/>
        <w:rPr>
          <w:rFonts w:hint="default"/>
        </w:rPr>
      </w:pPr>
    </w:p>
    <w:tbl>
      <w:tblPr>
        <w:tblStyle w:val="11"/>
        <w:tblpPr w:leftFromText="180" w:rightFromText="180" w:vertAnchor="text" w:horzAnchor="page" w:tblpX="885" w:tblpY="1176"/>
        <w:tblOverlap w:val="never"/>
        <w:tblW w:w="10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72"/>
        <w:gridCol w:w="1083"/>
        <w:gridCol w:w="885"/>
        <w:gridCol w:w="1162"/>
        <w:gridCol w:w="1176"/>
        <w:gridCol w:w="1169"/>
        <w:gridCol w:w="1887"/>
        <w:gridCol w:w="1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54" w:hRule="atLeast"/>
        </w:trPr>
        <w:tc>
          <w:tcPr>
            <w:tcW w:w="1036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8" w:hRule="atLeast"/>
        </w:trPr>
        <w:tc>
          <w:tcPr>
            <w:tcW w:w="0" w:type="auto"/>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0" w:type="auto"/>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1" w:hRule="atLeast"/>
        </w:trPr>
        <w:tc>
          <w:tcPr>
            <w:tcW w:w="147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04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政协委员报刊、杂志书籍订阅费</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5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96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30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1"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w:t>
            </w: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8.6</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3" w:hRule="atLeast"/>
        </w:trPr>
        <w:tc>
          <w:tcPr>
            <w:tcW w:w="14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1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23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8"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13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政协委员报刊、杂志书籍订阅数量205份，用于政协委员报刊杂志订阅等费用，为保障工作正常运行。     </w:t>
            </w:r>
          </w:p>
        </w:tc>
        <w:tc>
          <w:tcPr>
            <w:tcW w:w="423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政协委员报刊、杂志书籍订阅数量205份，用于政协委员报刊杂志订阅等费用，为保障工作正常运行。     </w:t>
            </w: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58"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13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3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14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13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3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1" w:hRule="atLeast"/>
        </w:trPr>
        <w:tc>
          <w:tcPr>
            <w:tcW w:w="1472"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5"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8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报刊杂志订阅数量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205份</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205份</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6"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工作完成质量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订阅的及时性</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9"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8.6</w:t>
            </w:r>
            <w:r>
              <w:rPr>
                <w:rFonts w:hint="eastAsia" w:ascii="宋体" w:hAnsi="宋体" w:eastAsia="宋体" w:cs="宋体"/>
                <w:i w:val="0"/>
                <w:color w:val="000000"/>
                <w:kern w:val="0"/>
                <w:sz w:val="20"/>
                <w:szCs w:val="20"/>
                <w:u w:val="none"/>
                <w:lang w:val="en-US" w:eastAsia="zh-CN" w:bidi="ar"/>
              </w:rPr>
              <w:t>万元</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8.6</w:t>
            </w:r>
            <w:r>
              <w:rPr>
                <w:rFonts w:hint="eastAsia" w:ascii="宋体" w:hAnsi="宋体" w:eastAsia="宋体" w:cs="宋体"/>
                <w:i w:val="0"/>
                <w:color w:val="000000"/>
                <w:kern w:val="0"/>
                <w:sz w:val="20"/>
                <w:szCs w:val="20"/>
                <w:u w:val="none"/>
                <w:lang w:val="en-US" w:eastAsia="zh-CN" w:bidi="ar"/>
              </w:rPr>
              <w:t>万元</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4"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8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成本利用率</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委员参与率</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≥97%</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97%</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加强节约利用</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长期发展</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年</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年</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政协委员满意度</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1" w:hRule="atLeast"/>
        </w:trPr>
        <w:tc>
          <w:tcPr>
            <w:tcW w:w="147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6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4" w:hRule="atLeast"/>
        </w:trPr>
        <w:tc>
          <w:tcPr>
            <w:tcW w:w="14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888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7"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rPr>
          <w:rFonts w:hint="default"/>
        </w:rPr>
      </w:pPr>
    </w:p>
    <w:p>
      <w:pPr>
        <w:numPr>
          <w:ilvl w:val="0"/>
          <w:numId w:val="0"/>
        </w:numPr>
        <w:adjustRightInd w:val="0"/>
        <w:snapToGrid w:val="0"/>
        <w:spacing w:line="580" w:lineRule="exact"/>
        <w:ind w:firstLine="640" w:firstLineChars="200"/>
        <w:rPr>
          <w:rFonts w:hint="eastAsia" w:ascii="Times New Roman" w:hAnsi="Times New Roman" w:eastAsia="仿宋_GB2312"/>
          <w:kern w:val="2"/>
          <w:sz w:val="32"/>
          <w:szCs w:val="32"/>
          <w:lang w:val="zh-CN"/>
        </w:rPr>
      </w:pPr>
    </w:p>
    <w:tbl>
      <w:tblPr>
        <w:tblStyle w:val="11"/>
        <w:tblpPr w:leftFromText="180" w:rightFromText="180" w:vertAnchor="text" w:horzAnchor="page" w:tblpX="896" w:tblpY="615"/>
        <w:tblOverlap w:val="never"/>
        <w:tblW w:w="10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30"/>
        <w:gridCol w:w="1074"/>
        <w:gridCol w:w="1061"/>
        <w:gridCol w:w="1038"/>
        <w:gridCol w:w="1236"/>
        <w:gridCol w:w="1083"/>
        <w:gridCol w:w="1830"/>
        <w:gridCol w:w="1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1" w:hRule="atLeast"/>
        </w:trPr>
        <w:tc>
          <w:tcPr>
            <w:tcW w:w="1026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0" w:type="auto"/>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4"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0" w:type="auto"/>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9" w:hRule="atLeast"/>
        </w:trPr>
        <w:tc>
          <w:tcPr>
            <w:tcW w:w="133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c>
          <w:tcPr>
            <w:tcW w:w="13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3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9" w:hRule="atLeast"/>
        </w:trPr>
        <w:tc>
          <w:tcPr>
            <w:tcW w:w="13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1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8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1" w:hRule="atLeast"/>
        </w:trPr>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0.866</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3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0.866</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0.866</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9" w:hRule="atLeast"/>
        </w:trPr>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3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7" w:hRule="atLeast"/>
        </w:trPr>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3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5" w:hRule="atLeast"/>
        </w:trPr>
        <w:tc>
          <w:tcPr>
            <w:tcW w:w="13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2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1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9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积极组织委员开展带调研、视察撰写高质量提按报告，充分发挥委员各界别作用，为经建设服务使人民群众获得满意。     </w:t>
            </w:r>
          </w:p>
        </w:tc>
        <w:tc>
          <w:tcPr>
            <w:tcW w:w="41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积极组织委员开展带调研、视察撰写高质量提按报告，充分发挥委员各界别作用，为经建设服务使人民群众获得满意。     </w:t>
            </w:r>
          </w:p>
        </w:tc>
        <w:tc>
          <w:tcPr>
            <w:tcW w:w="1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0" w:hRule="atLeast"/>
        </w:trPr>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9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9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1" w:hRule="atLeast"/>
        </w:trPr>
        <w:tc>
          <w:tcPr>
            <w:tcW w:w="1330"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4"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06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接待来访和考察交流批次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20次</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20次</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9"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计划公务接待次数完成率</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全部完成</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全部完成</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工作按时完成率</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6"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人均接待标准</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≤80</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元</w:t>
            </w:r>
            <w:r>
              <w:rPr>
                <w:rFonts w:ascii="Calibri" w:hAnsi="Calibri" w:eastAsia="宋体" w:cs="Calibri"/>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人</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1"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9"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效益指标（40分）</w:t>
            </w:r>
          </w:p>
        </w:tc>
        <w:tc>
          <w:tcPr>
            <w:tcW w:w="106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公共服务水平</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4"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6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4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6" w:hRule="atLeast"/>
        </w:trPr>
        <w:tc>
          <w:tcPr>
            <w:tcW w:w="1330"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2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1" w:hRule="atLeast"/>
        </w:trPr>
        <w:tc>
          <w:tcPr>
            <w:tcW w:w="1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893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7"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rPr>
          <w:rFonts w:hint="eastAsia"/>
          <w:lang w:val="zh-CN"/>
        </w:rPr>
      </w:pPr>
    </w:p>
    <w:tbl>
      <w:tblPr>
        <w:tblStyle w:val="11"/>
        <w:tblpPr w:leftFromText="180" w:rightFromText="180" w:vertAnchor="text" w:horzAnchor="page" w:tblpX="1421" w:tblpY="463"/>
        <w:tblOverlap w:val="never"/>
        <w:tblW w:w="9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64"/>
        <w:gridCol w:w="955"/>
        <w:gridCol w:w="1012"/>
        <w:gridCol w:w="691"/>
        <w:gridCol w:w="1267"/>
        <w:gridCol w:w="1043"/>
        <w:gridCol w:w="1880"/>
        <w:gridCol w:w="1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9" w:hRule="atLeast"/>
        </w:trPr>
        <w:tc>
          <w:tcPr>
            <w:tcW w:w="978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5" w:hRule="atLeast"/>
        </w:trPr>
        <w:tc>
          <w:tcPr>
            <w:tcW w:w="978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5" w:hRule="atLeast"/>
        </w:trPr>
        <w:tc>
          <w:tcPr>
            <w:tcW w:w="1464"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6848"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1468"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2" w:hRule="atLeast"/>
        </w:trPr>
        <w:tc>
          <w:tcPr>
            <w:tcW w:w="146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7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涉军公益岗工资</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39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9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9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8.463648</w:t>
            </w: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8.463648</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8.463648</w:t>
            </w:r>
          </w:p>
        </w:tc>
        <w:tc>
          <w:tcPr>
            <w:tcW w:w="14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8"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1"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265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19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5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发放两名涉军公益岗岗位人员补助工资，保障办公正常运转。     </w:t>
            </w:r>
          </w:p>
        </w:tc>
        <w:tc>
          <w:tcPr>
            <w:tcW w:w="419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发放两名涉军公益岗岗位人员补助工资，保障办公正常运转。     </w:t>
            </w:r>
          </w:p>
        </w:tc>
        <w:tc>
          <w:tcPr>
            <w:tcW w:w="14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77"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5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65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0"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01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发放人数</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2人</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2人</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4"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退役军人补助覆盖率</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7"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补贴发放及时率</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公益性岗位补贴人均标准</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每月1157.68元</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每月1157.68元</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8"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1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2"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10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服务水平提升情况</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享受补助人数</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2人</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2人</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公共服务水平</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资源消耗</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无</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无</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9"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19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w:t>
            </w:r>
          </w:p>
        </w:tc>
        <w:tc>
          <w:tcPr>
            <w:tcW w:w="1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≥97%</w:t>
            </w:r>
          </w:p>
        </w:tc>
        <w:tc>
          <w:tcPr>
            <w:tcW w:w="1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97%</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7" w:hRule="atLeast"/>
        </w:trPr>
        <w:tc>
          <w:tcPr>
            <w:tcW w:w="1464"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4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8" w:hRule="atLeast"/>
        </w:trPr>
        <w:tc>
          <w:tcPr>
            <w:tcW w:w="146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8316"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5" w:hRule="atLeast"/>
        </w:trPr>
        <w:tc>
          <w:tcPr>
            <w:tcW w:w="1464"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95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2"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9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6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43"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88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1468"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2"/>
        <w:numPr>
          <w:ilvl w:val="0"/>
          <w:numId w:val="0"/>
        </w:numPr>
        <w:ind w:leftChars="0"/>
        <w:rPr>
          <w:rFonts w:hint="eastAsia"/>
          <w:sz w:val="15"/>
          <w:szCs w:val="15"/>
          <w:lang w:val="zh-CN"/>
        </w:rPr>
      </w:pPr>
    </w:p>
    <w:tbl>
      <w:tblPr>
        <w:tblStyle w:val="11"/>
        <w:tblpPr w:leftFromText="180" w:rightFromText="180" w:vertAnchor="text" w:horzAnchor="page" w:tblpX="885" w:tblpY="606"/>
        <w:tblOverlap w:val="never"/>
        <w:tblW w:w="10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30"/>
        <w:gridCol w:w="1120"/>
        <w:gridCol w:w="1088"/>
        <w:gridCol w:w="1230"/>
        <w:gridCol w:w="1229"/>
        <w:gridCol w:w="1200"/>
        <w:gridCol w:w="1830"/>
        <w:gridCol w:w="15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4" w:hRule="atLeast"/>
        </w:trPr>
        <w:tc>
          <w:tcPr>
            <w:tcW w:w="1070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7" w:hRule="atLeast"/>
        </w:trPr>
        <w:tc>
          <w:tcPr>
            <w:tcW w:w="0" w:type="auto"/>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7"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0" w:type="auto"/>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trPr>
        <w:tc>
          <w:tcPr>
            <w:tcW w:w="138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34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政协委员工作站（室）建设活动经费</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5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2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9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w:t>
            </w: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10.5</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7"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46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2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6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通过建立25个政协基层委员工作站，深入推进政协协商向基层延伸，拓展政协协商范围，指导基层开展协商议事活动，使区政协专门协商作用得到切实发挥，不断推进全区基层协商，达到委员工作站顺利进行。     </w:t>
            </w:r>
          </w:p>
        </w:tc>
        <w:tc>
          <w:tcPr>
            <w:tcW w:w="427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通过建立25个政协基层委员工作站，深入推进政协协商向基层延伸，拓展政协协商范围，指导基层开展协商议事活动，使区政协专门协商作用得到切实发挥，不断推进全区基层协商，达到委员工作站顺利进行。     </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08"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6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6" w:hRule="atLeast"/>
        </w:trPr>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6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7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1387"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5"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08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建立政协基层委员工作站数量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25个</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25个</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建立政协基层委员工作站完成率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1"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建立政协基层委员工作站完成时间</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2022年底前完成</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2022年底前完成</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2"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建立政协委员工作站的总成本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6万元</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6万元</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1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服务水平提升情况</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社会影响力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资源消耗</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≤90%</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90%</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项目建成效果</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3"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5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4" w:hRule="atLeast"/>
        </w:trPr>
        <w:tc>
          <w:tcPr>
            <w:tcW w:w="1387"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1387"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9313"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tbl>
      <w:tblPr>
        <w:tblStyle w:val="11"/>
        <w:tblpPr w:leftFromText="180" w:rightFromText="180" w:vertAnchor="text" w:horzAnchor="page" w:tblpX="885" w:tblpY="1106"/>
        <w:tblOverlap w:val="never"/>
        <w:tblW w:w="107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86"/>
        <w:gridCol w:w="1119"/>
        <w:gridCol w:w="878"/>
        <w:gridCol w:w="1358"/>
        <w:gridCol w:w="1396"/>
        <w:gridCol w:w="1207"/>
        <w:gridCol w:w="1781"/>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8" w:hRule="atLeast"/>
        </w:trPr>
        <w:tc>
          <w:tcPr>
            <w:tcW w:w="1070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3" w:hRule="atLeast"/>
        </w:trPr>
        <w:tc>
          <w:tcPr>
            <w:tcW w:w="1070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7" w:hRule="atLeast"/>
        </w:trPr>
        <w:tc>
          <w:tcPr>
            <w:tcW w:w="1386"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7739"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15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6" w:hRule="atLeast"/>
        </w:trPr>
        <w:tc>
          <w:tcPr>
            <w:tcW w:w="138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2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政协委员专项经费</w:t>
            </w: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56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6" w:hRule="atLeast"/>
        </w:trPr>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9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9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2"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6"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8"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3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3" w:hRule="atLeast"/>
        </w:trPr>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35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38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3"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35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积极组织委员开展带调研、视察撰写高质量提按报告，充分发挥委员各界别作用，为经建设服务使人民群众获得满意</w:t>
            </w:r>
          </w:p>
        </w:tc>
        <w:tc>
          <w:tcPr>
            <w:tcW w:w="438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积极组织委员开展带调研、视察撰写高质量提按报告，充分发挥委员各界别作用，为经建设服务使人民群众获得满意</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2"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3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38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3"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3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38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2" w:hRule="atLeast"/>
        </w:trPr>
        <w:tc>
          <w:tcPr>
            <w:tcW w:w="1386"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4"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87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调研活动次数</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≥5次</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6次</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9"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调研结果真实率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1"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8"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9"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87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为我区发展做出了积极贡献</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有所贡献</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有所贡献</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8"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7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形成了政治协商、民主监督、参政议政浓厚氛围，有效推进了我区民主建设</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有所建设</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有所建设</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4"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7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对工作发展影响力</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进一步提升</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进一步提升</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1"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87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75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受益群体满意度</w:t>
            </w:r>
          </w:p>
        </w:tc>
        <w:tc>
          <w:tcPr>
            <w:tcW w:w="17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受益群体满意度</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0" w:hRule="atLeast"/>
        </w:trPr>
        <w:tc>
          <w:tcPr>
            <w:tcW w:w="1386"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3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8" w:hRule="atLeast"/>
        </w:trPr>
        <w:tc>
          <w:tcPr>
            <w:tcW w:w="1386"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931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9" w:hRule="atLeast"/>
        </w:trPr>
        <w:tc>
          <w:tcPr>
            <w:tcW w:w="1386"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1119"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78"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58"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9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157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pStyle w:val="2"/>
        <w:numPr>
          <w:ilvl w:val="0"/>
          <w:numId w:val="0"/>
        </w:numPr>
        <w:ind w:leftChars="0"/>
        <w:jc w:val="both"/>
        <w:rPr>
          <w:rFonts w:hint="eastAsia"/>
          <w:lang w:val="zh-CN"/>
        </w:rPr>
      </w:pPr>
    </w:p>
    <w:p>
      <w:pPr>
        <w:rPr>
          <w:rFonts w:hint="eastAsia"/>
          <w:lang w:val="zh-CN"/>
        </w:rPr>
      </w:pPr>
    </w:p>
    <w:tbl>
      <w:tblPr>
        <w:tblStyle w:val="11"/>
        <w:tblpPr w:leftFromText="180" w:rightFromText="180" w:vertAnchor="text" w:horzAnchor="page" w:tblpX="885" w:tblpY="366"/>
        <w:tblOverlap w:val="never"/>
        <w:tblW w:w="10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35"/>
        <w:gridCol w:w="1105"/>
        <w:gridCol w:w="780"/>
        <w:gridCol w:w="1320"/>
        <w:gridCol w:w="1337"/>
        <w:gridCol w:w="1191"/>
        <w:gridCol w:w="1838"/>
        <w:gridCol w:w="1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1056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 w:hRule="atLeast"/>
        </w:trPr>
        <w:tc>
          <w:tcPr>
            <w:tcW w:w="0" w:type="auto"/>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0" w:type="auto"/>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政协文史资料编印费</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58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18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30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1"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5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6"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6" w:hRule="atLeast"/>
        </w:trPr>
        <w:tc>
          <w:tcPr>
            <w:tcW w:w="14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2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36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政协文史书籍编印量不少于210册，为了提高委员履职能力水平为经济建设服务，达到工作顺利进行。     </w:t>
            </w:r>
          </w:p>
        </w:tc>
        <w:tc>
          <w:tcPr>
            <w:tcW w:w="436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政协文史书籍编印量不少于210册，为了提高委员履职能力水平为经济建设服务，达到工作顺利进行。     </w:t>
            </w:r>
          </w:p>
        </w:tc>
        <w:tc>
          <w:tcPr>
            <w:tcW w:w="15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5"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3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4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2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36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2"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7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年度内政协文史书籍编印量</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≥210册</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210册</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编印的合格率</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6"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编印的及时率</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≥96%</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96%</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资金成本</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r>
              <w:rPr>
                <w:rFonts w:hint="eastAsia" w:ascii="宋体" w:hAnsi="宋体" w:eastAsia="宋体" w:cs="宋体"/>
                <w:i w:val="0"/>
                <w:color w:val="000000"/>
                <w:kern w:val="0"/>
                <w:sz w:val="20"/>
                <w:szCs w:val="20"/>
                <w:u w:val="none"/>
                <w:lang w:val="en-US" w:eastAsia="zh-CN" w:bidi="ar"/>
              </w:rPr>
              <w:t>万元</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r>
              <w:rPr>
                <w:rFonts w:hint="eastAsia" w:ascii="宋体" w:hAnsi="宋体" w:eastAsia="宋体" w:cs="宋体"/>
                <w:i w:val="0"/>
                <w:color w:val="000000"/>
                <w:kern w:val="0"/>
                <w:sz w:val="20"/>
                <w:szCs w:val="20"/>
                <w:u w:val="none"/>
                <w:lang w:val="en-US" w:eastAsia="zh-CN" w:bidi="ar"/>
              </w:rPr>
              <w:t>万元</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2"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7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经济发展贡献率</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高</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高</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委员参与率</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加强节约利用</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2"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持续发展作用力</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对我区发展有所影响</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对我区发展有所影响</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1"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7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65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满意率</w:t>
            </w:r>
          </w:p>
        </w:tc>
        <w:tc>
          <w:tcPr>
            <w:tcW w:w="11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8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15" w:hRule="atLeast"/>
        </w:trPr>
        <w:tc>
          <w:tcPr>
            <w:tcW w:w="143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57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2" w:hRule="atLeast"/>
        </w:trPr>
        <w:tc>
          <w:tcPr>
            <w:tcW w:w="14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912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8"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tbl>
      <w:tblPr>
        <w:tblStyle w:val="11"/>
        <w:tblpPr w:leftFromText="180" w:rightFromText="180" w:vertAnchor="text" w:horzAnchor="page" w:tblpX="885" w:tblpY="1109"/>
        <w:tblOverlap w:val="never"/>
        <w:tblW w:w="106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85"/>
        <w:gridCol w:w="1118"/>
        <w:gridCol w:w="981"/>
        <w:gridCol w:w="1306"/>
        <w:gridCol w:w="1339"/>
        <w:gridCol w:w="1205"/>
        <w:gridCol w:w="1775"/>
        <w:gridCol w:w="1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0" w:hRule="atLeast"/>
        </w:trPr>
        <w:tc>
          <w:tcPr>
            <w:tcW w:w="1068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trPr>
        <w:tc>
          <w:tcPr>
            <w:tcW w:w="1068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0" w:hRule="atLeast"/>
        </w:trPr>
        <w:tc>
          <w:tcPr>
            <w:tcW w:w="138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7724"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1571"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0" w:hRule="atLeast"/>
        </w:trPr>
        <w:tc>
          <w:tcPr>
            <w:tcW w:w="138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2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政协会议政务外网使用费、“智慧政协”移动云服务费</w:t>
            </w:r>
          </w:p>
        </w:tc>
        <w:tc>
          <w:tcPr>
            <w:tcW w:w="13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5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0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98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3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w:t>
            </w:r>
          </w:p>
        </w:tc>
        <w:tc>
          <w:tcPr>
            <w:tcW w:w="15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 w:hRule="atLeast"/>
        </w:trPr>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3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3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3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通过购买1个外网使用费，为了保障2023年政协会议政务外网使用费及“智慧政协”移动云服务费工作正常运转，达到工作按期完成。     </w:t>
            </w:r>
          </w:p>
        </w:tc>
        <w:tc>
          <w:tcPr>
            <w:tcW w:w="431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通过购买1个外网使用费，为了保障2022年政协会议政务外网使用费及“智慧政协”移动云服务费工作正常运转，达到工作按期完成。     </w:t>
            </w:r>
          </w:p>
        </w:tc>
        <w:tc>
          <w:tcPr>
            <w:tcW w:w="15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9" w:hRule="atLeast"/>
        </w:trPr>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31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6" w:hRule="atLeast"/>
        </w:trPr>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31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98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购买数量</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1个</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1个</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智慧政协的完成率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99%</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确保工作按期完成率</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资金成本</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3.8万元</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3.8万元</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0"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9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5"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98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提高单位政务水平</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提升工作效益</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5"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采用无纸化办公，节能环保</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效果显著</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效果显著</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推动2023年度工作顺利开展</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工作保障</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工作保障</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5"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98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6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w:t>
            </w:r>
          </w:p>
        </w:tc>
        <w:tc>
          <w:tcPr>
            <w:tcW w:w="12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98%</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38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2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0" w:hRule="atLeast"/>
        </w:trPr>
        <w:tc>
          <w:tcPr>
            <w:tcW w:w="138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929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138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1118"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8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06"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39"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75"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157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tbl>
      <w:tblPr>
        <w:tblStyle w:val="11"/>
        <w:tblpPr w:leftFromText="180" w:rightFromText="180" w:vertAnchor="text" w:horzAnchor="page" w:tblpX="885" w:tblpY="1069"/>
        <w:tblOverlap w:val="never"/>
        <w:tblW w:w="10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92"/>
        <w:gridCol w:w="1125"/>
        <w:gridCol w:w="1091"/>
        <w:gridCol w:w="1267"/>
        <w:gridCol w:w="1298"/>
        <w:gridCol w:w="1204"/>
        <w:gridCol w:w="1784"/>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74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4"/>
                <w:szCs w:val="44"/>
                <w:u w:val="none"/>
              </w:rPr>
            </w:pPr>
            <w:r>
              <w:rPr>
                <w:rFonts w:hint="default" w:ascii="方正小标宋_GBK" w:hAnsi="方正小标宋_GBK" w:eastAsia="方正小标宋_GBK" w:cs="方正小标宋_GBK"/>
                <w:i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5" w:hRule="atLeast"/>
        </w:trPr>
        <w:tc>
          <w:tcPr>
            <w:tcW w:w="1074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 w:hRule="atLeast"/>
        </w:trPr>
        <w:tc>
          <w:tcPr>
            <w:tcW w:w="139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填报单位：</w:t>
            </w:r>
          </w:p>
        </w:tc>
        <w:tc>
          <w:tcPr>
            <w:tcW w:w="7769"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w:t>
            </w:r>
          </w:p>
        </w:tc>
        <w:tc>
          <w:tcPr>
            <w:tcW w:w="1579"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trPr>
        <w:tc>
          <w:tcPr>
            <w:tcW w:w="139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基本情况</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235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政协会议费</w:t>
            </w:r>
          </w:p>
        </w:tc>
        <w:tc>
          <w:tcPr>
            <w:tcW w:w="1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实施(主管）单位</w:t>
            </w:r>
          </w:p>
        </w:tc>
        <w:tc>
          <w:tcPr>
            <w:tcW w:w="45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中国人民政治协商会议河北省石家庄市鹿泉区委员会本级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13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二、预算执行情况</w:t>
            </w:r>
          </w:p>
        </w:tc>
        <w:tc>
          <w:tcPr>
            <w:tcW w:w="22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预算安排情况（调整后）</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资金到位情况</w:t>
            </w:r>
          </w:p>
        </w:tc>
        <w:tc>
          <w:tcPr>
            <w:tcW w:w="298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资金执行情况</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8" w:hRule="atLeast"/>
        </w:trPr>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38.1</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到位数：</w:t>
            </w:r>
          </w:p>
        </w:tc>
        <w:tc>
          <w:tcPr>
            <w:tcW w:w="1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38.1</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执行数：</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38.1</w:t>
            </w:r>
          </w:p>
        </w:tc>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9" w:hRule="atLeast"/>
        </w:trPr>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                     财政资金</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4" w:hRule="atLeast"/>
        </w:trPr>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Calibri" w:hAnsi="Calibri" w:eastAsia="宋体" w:cs="Calibri"/>
                <w:i w:val="0"/>
                <w:color w:val="000000"/>
                <w:sz w:val="20"/>
                <w:szCs w:val="20"/>
                <w:u w:val="none"/>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2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13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三、目标完成情况</w:t>
            </w:r>
          </w:p>
        </w:tc>
        <w:tc>
          <w:tcPr>
            <w:tcW w:w="348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年度预期目标</w:t>
            </w:r>
          </w:p>
        </w:tc>
        <w:tc>
          <w:tcPr>
            <w:tcW w:w="4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具体完成情况</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8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通过召开政协会议次数不少于一次的活动，为了我区重大工作积极建言献策、开展政协协商，保障会议顺利开展。     </w:t>
            </w:r>
          </w:p>
        </w:tc>
        <w:tc>
          <w:tcPr>
            <w:tcW w:w="428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通过召开政协会议次数不少于一次的活动，为了我区重大工作积极建言献策、开展政协协商，保障会议顺利开展。     </w:t>
            </w:r>
          </w:p>
        </w:tc>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8" w:hRule="atLeast"/>
        </w:trPr>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8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3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8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28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38" w:hRule="atLeast"/>
        </w:trPr>
        <w:tc>
          <w:tcPr>
            <w:tcW w:w="1392"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年度绩效指标完成情况</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一级指标</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预期指标值</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实际完成值</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5"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产出指标（40）</w:t>
            </w:r>
          </w:p>
        </w:tc>
        <w:tc>
          <w:tcPr>
            <w:tcW w:w="109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政协全体会议</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至少1次</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1次</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7"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会议完成率</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4"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会议按时完成情况</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按时完成</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按时完成</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6"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召开会议的成本</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38.1万元</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38.1万元</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6"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预算执行率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效益指标（40）</w:t>
            </w:r>
          </w:p>
        </w:tc>
        <w:tc>
          <w:tcPr>
            <w:tcW w:w="109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经济发展</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有所提高</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有所提高</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提案利用率</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≥90%</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90%</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资源消耗</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长期发展</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1年</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1年</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9"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（10分）</w:t>
            </w:r>
          </w:p>
        </w:tc>
        <w:tc>
          <w:tcPr>
            <w:tcW w:w="109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25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政协委员满意度</w:t>
            </w:r>
          </w:p>
        </w:tc>
        <w:tc>
          <w:tcPr>
            <w:tcW w:w="12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7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95%</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6" w:hRule="atLeast"/>
        </w:trPr>
        <w:tc>
          <w:tcPr>
            <w:tcW w:w="1392"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76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总分</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6" w:hRule="atLeast"/>
        </w:trPr>
        <w:tc>
          <w:tcPr>
            <w:tcW w:w="139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r>
              <w:rPr>
                <w:rFonts w:ascii="Calibri" w:hAnsi="Calibri" w:eastAsia="宋体" w:cs="Calibri"/>
                <w:i w:val="0"/>
                <w:color w:val="000000"/>
                <w:kern w:val="0"/>
                <w:sz w:val="20"/>
                <w:szCs w:val="20"/>
                <w:u w:val="none"/>
                <w:lang w:val="en-US" w:eastAsia="zh-CN" w:bidi="ar"/>
              </w:rPr>
              <w:t xml:space="preserve"> </w:t>
            </w:r>
            <w:r>
              <w:rPr>
                <w:rFonts w:hint="eastAsia" w:ascii="宋体" w:hAnsi="宋体" w:eastAsia="宋体" w:cs="宋体"/>
                <w:i w:val="0"/>
                <w:color w:val="000000"/>
                <w:kern w:val="0"/>
                <w:sz w:val="20"/>
                <w:szCs w:val="20"/>
                <w:u w:val="none"/>
                <w:lang w:val="en-US" w:eastAsia="zh-CN" w:bidi="ar"/>
              </w:rPr>
              <w:t>存在问题、原因及下一步整改措施</w:t>
            </w:r>
          </w:p>
        </w:tc>
        <w:tc>
          <w:tcPr>
            <w:tcW w:w="9348"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4" w:hRule="atLeast"/>
        </w:trPr>
        <w:tc>
          <w:tcPr>
            <w:tcW w:w="1392"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填报人：王爱华</w:t>
            </w:r>
          </w:p>
        </w:tc>
        <w:tc>
          <w:tcPr>
            <w:tcW w:w="112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91"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67"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8"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04"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4"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联系电话：82181404</w:t>
            </w:r>
          </w:p>
        </w:tc>
        <w:tc>
          <w:tcPr>
            <w:tcW w:w="1579"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rPr>
          <w:rFonts w:hint="eastAsia" w:ascii="Times New Roman" w:hAnsi="Times New Roman" w:eastAsia="仿宋_GB2312"/>
          <w:kern w:val="2"/>
          <w:sz w:val="32"/>
          <w:szCs w:val="32"/>
          <w:lang w:val="zh-CN"/>
        </w:rPr>
      </w:pPr>
    </w:p>
    <w:p>
      <w:pPr>
        <w:numPr>
          <w:ilvl w:val="0"/>
          <w:numId w:val="3"/>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1.资金到位，使用合规。资金拨付程序从申请、审核、审查、审批到最后发放都按照中央、省、市相关财政政策实施，使用符合财务管理规定。从评价情况来看，项目总体评价为优，各费用均按时支付，保证了各项工作顺利进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jc w:val="left"/>
        <w:textAlignment w:val="auto"/>
        <w:rPr>
          <w:rFonts w:hint="eastAsia" w:ascii="仿宋_GB2312" w:hAnsi="Times New Roman" w:eastAsia="仿宋_GB2312" w:cs="仿宋_GB2312"/>
          <w:sz w:val="32"/>
          <w:szCs w:val="32"/>
          <w:lang w:val="en-US" w:eastAsia="zh-CN"/>
        </w:rPr>
      </w:pPr>
      <w:r>
        <w:rPr>
          <w:rFonts w:hint="eastAsia" w:ascii="仿宋_GB2312" w:hAnsi="Times New Roman" w:eastAsia="仿宋_GB2312" w:cs="仿宋_GB2312"/>
          <w:sz w:val="32"/>
          <w:szCs w:val="32"/>
          <w:lang w:val="en-US" w:eastAsia="zh-CN"/>
        </w:rPr>
        <w:t>2.管理规范，监督有效。为进一步规范财务管理，我部门严格资金使用程序，健全资金管理制度，定期对资金使用情况进行检查，严格确保项目质量。</w:t>
      </w:r>
    </w:p>
    <w:p>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eastAsia" w:ascii="仿宋_GB2312" w:hAnsi="仿宋_GB2312" w:eastAsia="仿宋_GB2312" w:cs="仿宋_GB2312"/>
          <w:sz w:val="32"/>
          <w:szCs w:val="32"/>
          <w:highlight w:val="none"/>
        </w:rPr>
      </w:pPr>
      <w:r>
        <w:rPr>
          <w:rFonts w:ascii="Times New Roman" w:hAnsi="Times New Roman" w:eastAsia="仿宋_GB2312" w:cs="Times New Roman"/>
          <w:sz w:val="32"/>
          <w:szCs w:val="32"/>
        </w:rPr>
        <w:t xml:space="preserve">1. </w:t>
      </w:r>
      <w:r>
        <w:rPr>
          <w:rFonts w:hint="eastAsia" w:ascii="仿宋_GB2312" w:hAnsi="仿宋_GB2312" w:eastAsia="仿宋_GB2312" w:cs="仿宋_GB2312"/>
          <w:sz w:val="32"/>
          <w:szCs w:val="32"/>
          <w:highlight w:val="none"/>
          <w:lang w:eastAsia="zh-CN"/>
        </w:rPr>
        <w:t>本部门</w:t>
      </w:r>
      <w:r>
        <w:rPr>
          <w:rFonts w:hint="eastAsia"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年度未发生政府性基金预算、国有资金经营预算收支及结转结余情况，故政府性基金预算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07表）</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highlight w:val="none"/>
          <w:lang w:val="en-US" w:eastAsia="zh-CN"/>
        </w:rPr>
        <w:t>支出表（08表）两张</w:t>
      </w:r>
      <w:r>
        <w:rPr>
          <w:rFonts w:hint="eastAsia" w:ascii="仿宋_GB2312" w:hAnsi="仿宋_GB2312" w:eastAsia="仿宋_GB2312" w:cs="仿宋_GB2312"/>
          <w:sz w:val="32"/>
          <w:szCs w:val="32"/>
          <w:highlight w:val="none"/>
        </w:rPr>
        <w:t>表以空表列示。</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adjustRightInd w:val="0"/>
        <w:snapToGrid w:val="0"/>
        <w:spacing w:line="580" w:lineRule="exact"/>
        <w:ind w:firstLine="640" w:firstLineChars="200"/>
        <w:rPr>
          <w:rFonts w:ascii="Times New Roman" w:hAnsi="Times New Roman" w:eastAsia="仿宋_GB2312" w:cs="Times New Roman"/>
          <w:sz w:val="32"/>
          <w:szCs w:val="32"/>
        </w:rPr>
      </w:pPr>
    </w:p>
    <w:p>
      <w:pPr>
        <w:widowControl/>
        <w:spacing w:line="580" w:lineRule="exact"/>
        <w:ind w:firstLine="883" w:firstLineChars="200"/>
        <w:jc w:val="left"/>
        <w:rPr>
          <w:rFonts w:ascii="Times New Roman" w:hAnsi="Times New Roman" w:eastAsia="宋体" w:cs="Times New Roman"/>
          <w:b/>
          <w:bCs/>
          <w:sz w:val="44"/>
          <w:szCs w:val="44"/>
        </w:rPr>
      </w:pPr>
    </w:p>
    <w:p>
      <w:pPr>
        <w:rPr>
          <w:rFonts w:ascii="Times New Roman" w:hAnsi="Times New Roman" w:eastAsia="仿宋_GB2312" w:cs="Times New Roman"/>
          <w:sz w:val="32"/>
          <w:szCs w:val="32"/>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w:t>
      </w:r>
      <w:bookmarkStart w:id="0" w:name="_GoBack"/>
      <w:r>
        <w:rPr>
          <w:rFonts w:ascii="Times New Roman" w:hAnsi="Times New Roman" w:eastAsia="仿宋_GB2312" w:cs="Times New Roman"/>
          <w:bCs/>
          <w:color w:val="000000"/>
          <w:sz w:val="32"/>
          <w:szCs w:val="32"/>
        </w:rPr>
        <w:t>主要</w:t>
      </w:r>
      <w:bookmarkEnd w:id="0"/>
      <w:r>
        <w:rPr>
          <w:rFonts w:ascii="Times New Roman" w:hAnsi="Times New Roman" w:eastAsia="仿宋_GB2312" w:cs="Times New Roman"/>
          <w:bCs/>
          <w:color w:val="000000"/>
          <w:sz w:val="32"/>
          <w:szCs w:val="32"/>
        </w:rPr>
        <w:t>是事业单位固定资产出租收入、存款利息收入等。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pPr>
        <w:rPr>
          <w:rFonts w:ascii="Times New Roman" w:hAnsi="Times New Roman" w:cs="Times New Roman"/>
        </w:rPr>
      </w:pPr>
    </w:p>
    <w:p>
      <w:pPr>
        <w:pStyle w:val="10"/>
        <w:widowControl/>
        <w:spacing w:beforeAutospacing="0" w:afterAutospacing="0"/>
        <w:rPr>
          <w:rFonts w:ascii="Times New Roman" w:hAnsi="Times New Roman" w:eastAsia="仿宋_GB2312"/>
          <w:color w:val="333333"/>
          <w:sz w:val="33"/>
          <w:szCs w:val="33"/>
          <w:shd w:val="clear" w:color="auto" w:fill="FFFFFF"/>
        </w:rPr>
      </w:pPr>
    </w:p>
    <w:p>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051C90-2096-4E3D-B69A-98C1E8314F33}"/>
  </w:font>
  <w:font w:name="Arial">
    <w:panose1 w:val="020B0604020202020204"/>
    <w:charset w:val="01"/>
    <w:family w:val="swiss"/>
    <w:pitch w:val="default"/>
    <w:sig w:usb0="E0002EFF" w:usb1="C000785B" w:usb2="00000009" w:usb3="00000000" w:csb0="400001FF" w:csb1="FFFF0000"/>
    <w:embedRegular r:id="rId2" w:fontKey="{C7903E02-4D02-4F79-83A8-7BA6DD01CA35}"/>
  </w:font>
  <w:font w:name="黑体">
    <w:panose1 w:val="02010600030101010101"/>
    <w:charset w:val="86"/>
    <w:family w:val="auto"/>
    <w:pitch w:val="default"/>
    <w:sig w:usb0="800002BF" w:usb1="38CF7CFA" w:usb2="00000016" w:usb3="00000000" w:csb0="00040001" w:csb1="00000000"/>
    <w:embedRegular r:id="rId3" w:fontKey="{870FDA07-4198-4492-82C7-AF0EA5B7E9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4" w:fontKey="{70B35EC8-C30C-49C5-881B-0DC2A348131E}"/>
  </w:font>
  <w:font w:name="仿宋">
    <w:panose1 w:val="02010609060101010101"/>
    <w:charset w:val="86"/>
    <w:family w:val="modern"/>
    <w:pitch w:val="default"/>
    <w:sig w:usb0="800002BF" w:usb1="38CF7CFA" w:usb2="00000016" w:usb3="00000000" w:csb0="00040001" w:csb1="00000000"/>
    <w:embedRegular r:id="rId5" w:fontKey="{60D836B8-B26E-4B8B-9223-9F8B79AA6C3A}"/>
  </w:font>
  <w:font w:name="Calibri Light">
    <w:panose1 w:val="020F0302020204030204"/>
    <w:charset w:val="00"/>
    <w:family w:val="swiss"/>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方正魏碑简体">
    <w:altName w:val="微软雅黑"/>
    <w:panose1 w:val="00000000000000000000"/>
    <w:charset w:val="86"/>
    <w:family w:val="auto"/>
    <w:pitch w:val="default"/>
    <w:sig w:usb0="00000000" w:usb1="00000000" w:usb2="00000010" w:usb3="00000000" w:csb0="00040000" w:csb1="00000000"/>
    <w:embedRegular r:id="rId6" w:fontKey="{48B77E1C-D753-4F81-B73B-65335DBE61C5}"/>
  </w:font>
  <w:font w:name="思源黑体 CN Heavy">
    <w:altName w:val="黑体"/>
    <w:panose1 w:val="00000000000000000000"/>
    <w:charset w:val="86"/>
    <w:family w:val="swiss"/>
    <w:pitch w:val="default"/>
    <w:sig w:usb0="00000000" w:usb1="00000000" w:usb2="00000016" w:usb3="00000000" w:csb0="00060107" w:csb1="00000000"/>
    <w:embedRegular r:id="rId7" w:fontKey="{F8A8E2B9-AE82-4CB0-9E8C-A1D3E3C76026}"/>
  </w:font>
  <w:font w:name="楷体_GB2312">
    <w:panose1 w:val="02010609030101010101"/>
    <w:charset w:val="86"/>
    <w:family w:val="auto"/>
    <w:pitch w:val="default"/>
    <w:sig w:usb0="00000001" w:usb1="080E0000" w:usb2="00000000" w:usb3="00000000" w:csb0="00040000" w:csb1="00000000"/>
    <w:embedRegular r:id="rId8" w:fontKey="{6CE71A69-9CC8-4384-9D2B-88B6646403BE}"/>
  </w:font>
  <w:font w:name="仿宋_GB2312">
    <w:panose1 w:val="02010609030101010101"/>
    <w:charset w:val="86"/>
    <w:family w:val="auto"/>
    <w:pitch w:val="default"/>
    <w:sig w:usb0="00000001" w:usb1="080E0000" w:usb2="00000000" w:usb3="00000000" w:csb0="00040000" w:csb1="00000000"/>
    <w:embedRegular r:id="rId9" w:fontKey="{0382DBB5-7BB9-4582-9EBD-DA53D66E9E15}"/>
  </w:font>
  <w:font w:name="ArialUnicodeMS">
    <w:altName w:val="Malgun Gothic"/>
    <w:panose1 w:val="00000000000000000000"/>
    <w:charset w:val="81"/>
    <w:family w:val="auto"/>
    <w:pitch w:val="default"/>
    <w:sig w:usb0="00000000" w:usb1="00000000" w:usb2="00000010" w:usb3="00000000" w:csb0="00080001" w:csb1="00000000"/>
    <w:embedRegular r:id="rId10" w:fontKey="{6F33D185-ECC7-42A1-B797-D71CB3B81E26}"/>
  </w:font>
  <w:font w:name="方正仿宋_GB2312">
    <w:altName w:val="仿宋"/>
    <w:panose1 w:val="00000000000000000000"/>
    <w:charset w:val="86"/>
    <w:family w:val="auto"/>
    <w:pitch w:val="default"/>
    <w:sig w:usb0="00000000" w:usb1="00000000" w:usb2="00000000" w:usb3="00000000" w:csb0="00000000" w:csb1="00000000"/>
    <w:embedRegular r:id="rId11" w:fontKey="{95921D61-CAAB-403B-A504-3591023DFAC0}"/>
  </w:font>
  <w:font w:name="DengXian-Regular">
    <w:altName w:val="宋体"/>
    <w:panose1 w:val="00000000000000000000"/>
    <w:charset w:val="86"/>
    <w:family w:val="auto"/>
    <w:pitch w:val="default"/>
    <w:sig w:usb0="00000000" w:usb1="00000000" w:usb2="00000010" w:usb3="00000000" w:csb0="00040001" w:csb1="00000000"/>
    <w:embedRegular r:id="rId12" w:fontKey="{A94EB75F-BDA9-4C0C-A62E-7F6720358E58}"/>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780192"/>
    <w:multiLevelType w:val="singleLevel"/>
    <w:tmpl w:val="DD780192"/>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7B4BF8"/>
    <w:rsid w:val="00086151"/>
    <w:rsid w:val="0012436D"/>
    <w:rsid w:val="00236F8C"/>
    <w:rsid w:val="00585AE6"/>
    <w:rsid w:val="007B4BF8"/>
    <w:rsid w:val="008E12CF"/>
    <w:rsid w:val="0096690D"/>
    <w:rsid w:val="00C65689"/>
    <w:rsid w:val="00CC2C8E"/>
    <w:rsid w:val="00F27B04"/>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0D71BB"/>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BE3DC8"/>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5D2437"/>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141FF1"/>
    <w:rsid w:val="38222D85"/>
    <w:rsid w:val="38803721"/>
    <w:rsid w:val="38925A62"/>
    <w:rsid w:val="389F5F4F"/>
    <w:rsid w:val="38C36BA2"/>
    <w:rsid w:val="38C94777"/>
    <w:rsid w:val="38F6595C"/>
    <w:rsid w:val="391702A7"/>
    <w:rsid w:val="39286EB6"/>
    <w:rsid w:val="39601DF4"/>
    <w:rsid w:val="39623052"/>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B07010"/>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DD485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1953CD7"/>
    <w:rsid w:val="622D1522"/>
    <w:rsid w:val="622E0574"/>
    <w:rsid w:val="62683B6B"/>
    <w:rsid w:val="62861AA8"/>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A06F2"/>
    <w:rsid w:val="6A8F43F7"/>
    <w:rsid w:val="6ABF79B7"/>
    <w:rsid w:val="6AD625F3"/>
    <w:rsid w:val="6B2878C6"/>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21"/>
    <w:basedOn w:val="13"/>
    <w:qFormat/>
    <w:uiPriority w:val="0"/>
    <w:rPr>
      <w:rFonts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1004.8</c:v>
                </c:pt>
                <c:pt idx="1">
                  <c:v>859.16</c:v>
                </c:pt>
              </c:numCache>
            </c:numRef>
          </c:val>
        </c:ser>
        <c:dLbls>
          <c:showLegendKey val="0"/>
          <c:showVal val="1"/>
          <c:showCatName val="0"/>
          <c:showSerName val="0"/>
          <c:showPercent val="0"/>
          <c:showBubbleSize val="0"/>
        </c:dLbls>
        <c:gapWidth val="246"/>
        <c:overlap val="-28"/>
        <c:axId val="125841408"/>
        <c:axId val="125844096"/>
      </c:barChart>
      <c:catAx>
        <c:axId val="1258414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844096"/>
        <c:crosses val="autoZero"/>
        <c:auto val="1"/>
        <c:lblAlgn val="ctr"/>
        <c:lblOffset val="100"/>
        <c:noMultiLvlLbl val="0"/>
      </c:catAx>
      <c:valAx>
        <c:axId val="12584409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84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1004.8</c:v>
                </c:pt>
                <c:pt idx="1">
                  <c:v>1004.8</c:v>
                </c:pt>
                <c:pt idx="2">
                  <c:v>1004.8</c:v>
                </c:pt>
                <c:pt idx="3">
                  <c:v>1004.8</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859.16</c:v>
                </c:pt>
                <c:pt idx="1">
                  <c:v>859.16</c:v>
                </c:pt>
                <c:pt idx="2">
                  <c:v>859.16</c:v>
                </c:pt>
                <c:pt idx="3">
                  <c:v>859.16</c:v>
                </c:pt>
                <c:pt idx="4">
                  <c:v>0</c:v>
                </c:pt>
                <c:pt idx="5">
                  <c:v>0</c:v>
                </c:pt>
                <c:pt idx="6">
                  <c:v>0</c:v>
                </c:pt>
                <c:pt idx="7">
                  <c:v>0</c:v>
                </c:pt>
              </c:numCache>
            </c:numRef>
          </c:val>
        </c:ser>
        <c:dLbls>
          <c:showLegendKey val="0"/>
          <c:showVal val="1"/>
          <c:showCatName val="0"/>
          <c:showSerName val="0"/>
          <c:showPercent val="0"/>
          <c:showBubbleSize val="0"/>
        </c:dLbls>
        <c:gapWidth val="246"/>
        <c:overlap val="-28"/>
        <c:axId val="127612416"/>
        <c:axId val="127613952"/>
      </c:barChart>
      <c:catAx>
        <c:axId val="127612416"/>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7613952"/>
        <c:crosses val="autoZero"/>
        <c:auto val="1"/>
        <c:lblAlgn val="ctr"/>
        <c:lblOffset val="100"/>
        <c:noMultiLvlLbl val="0"/>
      </c:catAx>
      <c:valAx>
        <c:axId val="12761395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761241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874.17</c:v>
                </c:pt>
                <c:pt idx="1">
                  <c:v>874.17</c:v>
                </c:pt>
                <c:pt idx="2">
                  <c:v>874.17</c:v>
                </c:pt>
                <c:pt idx="3">
                  <c:v>874.17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859.16</c:v>
                </c:pt>
                <c:pt idx="1">
                  <c:v>859.16</c:v>
                </c:pt>
                <c:pt idx="2">
                  <c:v>859.16</c:v>
                </c:pt>
                <c:pt idx="3">
                  <c:v>859.16</c:v>
                </c:pt>
                <c:pt idx="4">
                  <c:v>0</c:v>
                </c:pt>
                <c:pt idx="5">
                  <c:v>0</c:v>
                </c:pt>
                <c:pt idx="6">
                  <c:v>0</c:v>
                </c:pt>
                <c:pt idx="7">
                  <c:v>0</c:v>
                </c:pt>
              </c:numCache>
            </c:numRef>
          </c:val>
        </c:ser>
        <c:dLbls>
          <c:showLegendKey val="0"/>
          <c:showVal val="1"/>
          <c:showCatName val="0"/>
          <c:showSerName val="0"/>
          <c:showPercent val="0"/>
          <c:showBubbleSize val="0"/>
        </c:dLbls>
        <c:gapWidth val="150"/>
        <c:axId val="127650048"/>
        <c:axId val="127651840"/>
      </c:barChart>
      <c:catAx>
        <c:axId val="1276500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7651840"/>
        <c:crosses val="autoZero"/>
        <c:auto val="1"/>
        <c:lblAlgn val="ctr"/>
        <c:lblOffset val="100"/>
        <c:noMultiLvlLbl val="0"/>
      </c:catAx>
      <c:valAx>
        <c:axId val="12765184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765004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562.23</c:v>
                </c:pt>
                <c:pt idx="1">
                  <c:v>0</c:v>
                </c:pt>
                <c:pt idx="2">
                  <c:v>0</c:v>
                </c:pt>
                <c:pt idx="3">
                  <c:v>0</c:v>
                </c:pt>
                <c:pt idx="4">
                  <c:v>0</c:v>
                </c:pt>
                <c:pt idx="5">
                  <c:v>0</c:v>
                </c:pt>
                <c:pt idx="6">
                  <c:v>228.33</c:v>
                </c:pt>
                <c:pt idx="7">
                  <c:v>28.69</c:v>
                </c:pt>
                <c:pt idx="8">
                  <c:v>0</c:v>
                </c:pt>
                <c:pt idx="9">
                  <c:v>0</c:v>
                </c:pt>
                <c:pt idx="10">
                  <c:v>0</c:v>
                </c:pt>
                <c:pt idx="11">
                  <c:v>0</c:v>
                </c:pt>
                <c:pt idx="12">
                  <c:v>0</c:v>
                </c:pt>
                <c:pt idx="13">
                  <c:v>0</c:v>
                </c:pt>
                <c:pt idx="14">
                  <c:v>0</c:v>
                </c:pt>
                <c:pt idx="15">
                  <c:v>0</c:v>
                </c:pt>
                <c:pt idx="16">
                  <c:v>39.91</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2223</Words>
  <Characters>12676</Characters>
  <Lines>105</Lines>
  <Paragraphs>29</Paragraphs>
  <TotalTime>2</TotalTime>
  <ScaleCrop>false</ScaleCrop>
  <LinksUpToDate>false</LinksUpToDate>
  <CharactersWithSpaces>14870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2024-09-23T01:01:00Z</dcterms:created>
  <dc:creator>王明新TIAD</dc:creator>
  <cp:lastModifiedBy>Administrator</cp:lastModifiedBy>
  <cp:lastPrinted>2023-08-04T01:00:00Z</cp:lastPrinted>
  <dcterms:modified xsi:type="dcterms:W3CDTF">2024-10-08T08:54:41Z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