
<file path=[Content_Types].xml><?xml version="1.0" encoding="utf-8"?>
<Types xmlns="http://schemas.openxmlformats.org/package/2006/content-types">
  <Default Extension="xml" ContentType="application/xml"/>
  <Default Extension="xlsx" ContentType="application/vnd.openxmlformats-officedocument.spreadsheetml.sheet"/>
  <Default Extension="jpeg" ContentType="image/jpeg"/>
  <Default Extension="JPG" ContentType="image/.jpg"/>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10.odttf" ContentType="application/vnd.openxmlformats-officedocument.obfuscatedFont"/>
  <Override PartName="/word/fonts/font11.odttf" ContentType="application/vnd.openxmlformats-officedocument.obfuscatedFont"/>
  <Override PartName="/word/fonts/font12.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nts/font8.odttf" ContentType="application/vnd.openxmlformats-officedocument.obfuscatedFont"/>
  <Override PartName="/word/fonts/font9.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media/image1.svg" ContentType="image/svg+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left"/>
      </w:pPr>
      <w:r>
        <w:drawing>
          <wp:anchor distT="0" distB="0" distL="114300" distR="114300" simplePos="0" relativeHeight="251665408" behindDoc="0" locked="0" layoutInCell="1" allowOverlap="1">
            <wp:simplePos x="0" y="0"/>
            <wp:positionH relativeFrom="column">
              <wp:posOffset>-406400</wp:posOffset>
            </wp:positionH>
            <wp:positionV relativeFrom="paragraph">
              <wp:posOffset>2153920</wp:posOffset>
            </wp:positionV>
            <wp:extent cx="2159000" cy="1310640"/>
            <wp:effectExtent l="0" t="0" r="12700" b="3810"/>
            <wp:wrapNone/>
            <wp:docPr id="12" name="https://photo-static-api.fotomore.com/creative/vcg/400/new/VCG211393708916.jpg" descr="templates\picture_hover\&amp;pky00203123560_sjzg_VCG211393708916&amp;2&amp;src_toppic_droprecent&a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https://photo-static-api.fotomore.com/creative/vcg/400/new/VCG211393708916.jpg" descr="templates\picture_hover\&amp;pky00203123560_sjzg_VCG211393708916&amp;2&amp;src_toppic_droprecent&amp;"/>
                    <pic:cNvPicPr>
                      <a:picLocks noChangeAspect="1"/>
                    </pic:cNvPicPr>
                  </pic:nvPicPr>
                  <pic:blipFill>
                    <a:blip r:embed="rId9"/>
                    <a:stretch>
                      <a:fillRect/>
                    </a:stretch>
                  </pic:blipFill>
                  <pic:spPr>
                    <a:xfrm>
                      <a:off x="0" y="0"/>
                      <a:ext cx="2159000" cy="1310640"/>
                    </a:xfrm>
                    <a:prstGeom prst="rect">
                      <a:avLst/>
                    </a:prstGeom>
                  </pic:spPr>
                </pic:pic>
              </a:graphicData>
            </a:graphic>
          </wp:anchor>
        </w:drawing>
      </w:r>
      <w:r>
        <w:drawing>
          <wp:anchor distT="0" distB="0" distL="114300" distR="114300" simplePos="0" relativeHeight="251666432" behindDoc="0" locked="0" layoutInCell="1" allowOverlap="1">
            <wp:simplePos x="0" y="0"/>
            <wp:positionH relativeFrom="column">
              <wp:posOffset>1800860</wp:posOffset>
            </wp:positionH>
            <wp:positionV relativeFrom="paragraph">
              <wp:posOffset>2153920</wp:posOffset>
            </wp:positionV>
            <wp:extent cx="2160270" cy="1310640"/>
            <wp:effectExtent l="0" t="0" r="11430" b="3810"/>
            <wp:wrapNone/>
            <wp:docPr id="14" name="https://photo-static-api.fotomore.com/creative/vcg/400/version23/VCG41520173064.jpg" descr="templates\picture_hover\&amp;pky94109459339_sjzg_VCG41520173064&amp;2&amp;src_toppic_droprecent&amp;"/>
            <wp:cNvGraphicFramePr/>
            <a:graphic xmlns:a="http://schemas.openxmlformats.org/drawingml/2006/main">
              <a:graphicData uri="http://schemas.openxmlformats.org/drawingml/2006/picture">
                <pic:pic xmlns:pic="http://schemas.openxmlformats.org/drawingml/2006/picture">
                  <pic:nvPicPr>
                    <pic:cNvPr id="14" name="https://photo-static-api.fotomore.com/creative/vcg/400/version23/VCG41520173064.jpg" descr="templates\picture_hover\&amp;pky94109459339_sjzg_VCG41520173064&amp;2&amp;src_toppic_droprecent&amp;"/>
                    <pic:cNvPicPr/>
                  </pic:nvPicPr>
                  <pic:blipFill>
                    <a:blip r:embed="rId10"/>
                    <a:stretch>
                      <a:fillRect/>
                    </a:stretch>
                  </pic:blipFill>
                  <pic:spPr>
                    <a:xfrm>
                      <a:off x="0" y="0"/>
                      <a:ext cx="2160270" cy="1310640"/>
                    </a:xfrm>
                    <a:prstGeom prst="rect">
                      <a:avLst/>
                    </a:prstGeom>
                  </pic:spPr>
                </pic:pic>
              </a:graphicData>
            </a:graphic>
          </wp:anchor>
        </w:drawing>
      </w:r>
      <w:r>
        <w:drawing>
          <wp:anchor distT="0" distB="0" distL="114300" distR="114300" simplePos="0" relativeHeight="251664384" behindDoc="0" locked="0" layoutInCell="1" allowOverlap="1">
            <wp:simplePos x="0" y="0"/>
            <wp:positionH relativeFrom="column">
              <wp:posOffset>4027805</wp:posOffset>
            </wp:positionH>
            <wp:positionV relativeFrom="paragraph">
              <wp:posOffset>2141220</wp:posOffset>
            </wp:positionV>
            <wp:extent cx="2162810" cy="1310640"/>
            <wp:effectExtent l="0" t="0" r="8890" b="3810"/>
            <wp:wrapNone/>
            <wp:docPr id="8" name="https://photo-static-api.fotomore.com/creative/vcg/400/new/VCG41N1489769134.jpg?uid=386&amp;timestamp=1686554386&amp;sign=5f45ccbb5851510551cea00294a903df" descr="templates\picture_hover\&amp;pky17209834312_sjzg_VCG41N1489769134&amp;2&amp;src_toppic_droprecent&a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https://photo-static-api.fotomore.com/creative/vcg/400/new/VCG41N1489769134.jpg?uid=386&amp;timestamp=1686554386&amp;sign=5f45ccbb5851510551cea00294a903df" descr="templates\picture_hover\&amp;pky17209834312_sjzg_VCG41N1489769134&amp;2&amp;src_toppic_droprecent&amp;"/>
                    <pic:cNvPicPr>
                      <a:picLocks noChangeAspect="1"/>
                    </pic:cNvPicPr>
                  </pic:nvPicPr>
                  <pic:blipFill>
                    <a:blip r:embed="rId11"/>
                    <a:stretch>
                      <a:fillRect/>
                    </a:stretch>
                  </pic:blipFill>
                  <pic:spPr>
                    <a:xfrm>
                      <a:off x="0" y="0"/>
                      <a:ext cx="2162810" cy="1310640"/>
                    </a:xfrm>
                    <a:prstGeom prst="rect">
                      <a:avLst/>
                    </a:prstGeom>
                  </pic:spPr>
                </pic:pic>
              </a:graphicData>
            </a:graphic>
          </wp:anchor>
        </w:drawing>
      </w:r>
      <w:r>
        <mc:AlternateContent>
          <mc:Choice Requires="wpg">
            <w:drawing>
              <wp:anchor distT="0" distB="0" distL="114300" distR="114300" simplePos="0" relativeHeight="251662336" behindDoc="0" locked="0" layoutInCell="1" allowOverlap="1">
                <wp:simplePos x="0" y="0"/>
                <wp:positionH relativeFrom="column">
                  <wp:posOffset>-2783205</wp:posOffset>
                </wp:positionH>
                <wp:positionV relativeFrom="paragraph">
                  <wp:posOffset>2138680</wp:posOffset>
                </wp:positionV>
                <wp:extent cx="9053195" cy="1447165"/>
                <wp:effectExtent l="0" t="0" r="14605" b="635"/>
                <wp:wrapNone/>
                <wp:docPr id="2" name="组合 2"/>
                <wp:cNvGraphicFramePr/>
                <a:graphic xmlns:a="http://schemas.openxmlformats.org/drawingml/2006/main">
                  <a:graphicData uri="http://schemas.microsoft.com/office/word/2010/wordprocessingGroup">
                    <wpg:wgp>
                      <wpg:cNvGrpSpPr/>
                      <wpg:grpSpPr>
                        <a:xfrm>
                          <a:off x="0" y="0"/>
                          <a:ext cx="9053195" cy="1447017"/>
                          <a:chOff x="-3504" y="4387"/>
                          <a:chExt cx="19200" cy="2716"/>
                        </a:xfrm>
                      </wpg:grpSpPr>
                      <wps:wsp>
                        <wps:cNvPr id="3075" name="矩形 19"/>
                        <wps:cNvSpPr/>
                        <wps:spPr>
                          <a:xfrm>
                            <a:off x="-381" y="4387"/>
                            <a:ext cx="1834" cy="2457"/>
                          </a:xfrm>
                          <a:prstGeom prst="rect">
                            <a:avLst/>
                          </a:prstGeom>
                          <a:solidFill>
                            <a:srgbClr val="0176AB"/>
                          </a:solidFill>
                          <a:ln w="9525">
                            <a:noFill/>
                          </a:ln>
                        </wps:spPr>
                        <wps:bodyPr anchor="ctr" anchorCtr="0"/>
                      </wps:wsp>
                      <wps:wsp>
                        <wps:cNvPr id="3079" name="矩形 24"/>
                        <wps:cNvSpPr/>
                        <wps:spPr>
                          <a:xfrm>
                            <a:off x="-3504" y="6953"/>
                            <a:ext cx="11815" cy="150"/>
                          </a:xfrm>
                          <a:custGeom>
                            <a:avLst/>
                            <a:gdLst/>
                            <a:ahLst/>
                            <a:cxnLst>
                              <a:cxn ang="0">
                                <a:pos x="0" y="0"/>
                              </a:cxn>
                              <a:cxn ang="0">
                                <a:pos x="7463453" y="6619"/>
                              </a:cxn>
                              <a:cxn ang="0">
                                <a:pos x="7506490" y="98604"/>
                              </a:cxn>
                              <a:cxn ang="0">
                                <a:pos x="0" y="98604"/>
                              </a:cxn>
                              <a:cxn ang="0">
                                <a:pos x="0" y="0"/>
                              </a:cxn>
                            </a:cxnLst>
                            <a:rect l="0" t="0" r="0" b="0"/>
                            <a:pathLst>
                              <a:path w="7501732" h="94593">
                                <a:moveTo>
                                  <a:pt x="0" y="0"/>
                                </a:moveTo>
                                <a:lnTo>
                                  <a:pt x="7458720" y="6350"/>
                                </a:lnTo>
                                <a:lnTo>
                                  <a:pt x="7501732" y="94593"/>
                                </a:lnTo>
                                <a:lnTo>
                                  <a:pt x="0" y="94593"/>
                                </a:lnTo>
                                <a:lnTo>
                                  <a:pt x="0" y="0"/>
                                </a:lnTo>
                                <a:close/>
                              </a:path>
                            </a:pathLst>
                          </a:custGeom>
                          <a:solidFill>
                            <a:srgbClr val="E5AA57">
                              <a:alpha val="100000"/>
                            </a:srgbClr>
                          </a:solidFill>
                          <a:ln w="9525">
                            <a:noFill/>
                          </a:ln>
                        </wps:spPr>
                        <wps:bodyPr/>
                      </wps:wsp>
                      <wps:wsp>
                        <wps:cNvPr id="3080" name="矩形 25"/>
                        <wps:cNvSpPr/>
                        <wps:spPr>
                          <a:xfrm>
                            <a:off x="8331" y="6953"/>
                            <a:ext cx="7365" cy="150"/>
                          </a:xfrm>
                          <a:custGeom>
                            <a:avLst/>
                            <a:gdLst/>
                            <a:ahLst/>
                            <a:cxnLst>
                              <a:cxn ang="0">
                                <a:pos x="0" y="0"/>
                              </a:cxn>
                              <a:cxn ang="0">
                                <a:pos x="4679715" y="0"/>
                              </a:cxn>
                              <a:cxn ang="0">
                                <a:pos x="4679715" y="98599"/>
                              </a:cxn>
                              <a:cxn ang="0">
                                <a:pos x="57552" y="98599"/>
                              </a:cxn>
                              <a:cxn ang="0">
                                <a:pos x="0" y="0"/>
                              </a:cxn>
                            </a:cxnLst>
                            <a:rect l="0" t="0" r="0" b="0"/>
                            <a:pathLst>
                              <a:path w="4676187" h="94594">
                                <a:moveTo>
                                  <a:pt x="0" y="0"/>
                                </a:moveTo>
                                <a:lnTo>
                                  <a:pt x="4676187" y="0"/>
                                </a:lnTo>
                                <a:lnTo>
                                  <a:pt x="4676187" y="94594"/>
                                </a:lnTo>
                                <a:lnTo>
                                  <a:pt x="57510" y="94594"/>
                                </a:lnTo>
                                <a:lnTo>
                                  <a:pt x="0" y="0"/>
                                </a:lnTo>
                                <a:close/>
                              </a:path>
                            </a:pathLst>
                          </a:custGeom>
                          <a:solidFill>
                            <a:srgbClr val="0176AB">
                              <a:alpha val="100000"/>
                            </a:srgbClr>
                          </a:solidFill>
                          <a:ln w="9525">
                            <a:noFill/>
                          </a:ln>
                        </wps:spPr>
                        <wps:bodyPr/>
                      </wps:wsp>
                    </wpg:wgp>
                  </a:graphicData>
                </a:graphic>
              </wp:anchor>
            </w:drawing>
          </mc:Choice>
          <mc:Fallback>
            <w:pict>
              <v:group id="_x0000_s1026" o:spid="_x0000_s1026" o:spt="203" style="position:absolute;left:0pt;margin-left:-219.15pt;margin-top:168.4pt;height:113.95pt;width:712.85pt;z-index:251662336;mso-width-relative:page;mso-height-relative:page;" coordorigin="-3504,4387" coordsize="19200,2716" o:gfxdata="UEsDBAoAAAAAAIdO4kAAAAAAAAAAAAAAAAAEAAAAZHJzL1BLAwQUAAAACACHTuJA6dSH190AAAAM&#10;AQAADwAAAGRycy9kb3ducmV2LnhtbE2PwU7DMBBE70j8g7VI3FonOE1DiFOhCjhVSLRIVW/beJtE&#10;je0odpP27zEnOK72aeZNsbrqjo00uNYaCfE8Akamsqo1tYTv3fssA+Y8GoWdNSThRg5W5f1dgbmy&#10;k/micetrFkKMy1FC432fc+6qhjS6ue3JhN/JDhp9OIeaqwGnEK47/hRFKdfYmtDQYE/rhqrz9qIl&#10;fEw4vYr4bdycT+vbYbf43G9ikvLxIY5egHm6+j8YfvWDOpTB6WgvRjnWSZglIhOBlSBEGkYE5Dlb&#10;JsCOEhZpsgReFvz/iPIHUEsDBBQAAAAIAIdO4kCAzGhNmgMAADMMAAAOAAAAZHJzL2Uyb0RvYy54&#10;bWzNVs1u3DYQvhfoOxC62/ql/uB14ObHl6IJkPQBaIlaCZBEgpR31/ceeuwbFOgtzxD0cYK+RmdI&#10;Ud5dJ3ZqF0n2IP7NDGe+mW+WZ892Q082XOlOjCsvPA08wsdK1N24Xnm/vnt1kntET2ysWS9GvvJu&#10;uPaenf/4w9lWljwSrehrrggYGXW5lSuvnSZZ+r6uWj4wfSokH+GwEWpgEyzV2q8V24L1ofejIEj9&#10;rVC1VKLiWsPuC3vonRv7TcOr6XXTaD6RfuWBb5P5KvO9wq9/fsbKtWKy7arZDfYILwbWjXDpYuoF&#10;mxi5Vt0dU0NXKaFFM51WYvBF03QVNzFANGFwFM2lEtfSxLIut2u5wATQHuH0aLPVL5s3inT1yos8&#10;MrIBUvTPh98+/vE7iRCbrVyXIHKp5Fv5Rs0ba7vCcHeNGnCEQMjOoHqzoMp3E6lgswhoHBbUIxWc&#10;hUmSBWFmca9aSA7qncQ0SDwC50mcL4cvZwNhAZm26lEWpqjru6t99HBxaCuhivQtUPppQL1tmeQG&#10;f40ozEDFQQbBzFj9+f7j33+RsLBgGbEFKV1qAO0TMJ3EeXgUrQMrzGMAApGKEmqQWEJlpVR6uuRi&#10;IDhZeQqq2xQd2/ysJ4uKE8Fbtei7+lXX92ah1lfPe0U2DJkQZunFTzOQB2L9SLaQMhpRY3kUqG9N&#10;9yPgjgjbqHB2JeobQIWNVSuAVNWkvHnxfDIkQ805KVhMXyc7xVF2ouQ/ZscVY1rQGFVZuaQnzENX&#10;ydR0j730VNc2PajgUgIdobbJgb3WzardCFOUgxkgBoQODN5S6CMegX2Q+bxolqRxAm4iedLUFuKD&#10;OjRIkwIoBTpFngL1bIbvvehR4g4iY9m6NQeOxXtvU5ZsQrwwcpxiWWYUCjeGRtWC3wktYoPZIDb8&#10;nTBy013wbk/7cV8qS2ieRTaoFNrPDIETcqM0JpeLETBzsQXMSbnRSs9IfaHc8c1VLzS35jFu0+sW&#10;LBDCvSo7oK7eZ/hLenEB/QNRYb1smeV9GOBvDnWWNxccGHpMD0CHvzbRcwD6oA1D0wI/0A3o1g+3&#10;4TyObRu+y/MsTr8vmidpVmTYeqACXQLvpeu+QpHTwvxDPdQYaEYp0Mu0hS9UscV+4NKTeQ6+pyG8&#10;AxzPkyfwfLG1B5yjqxstbfclkeSuKzopN1ppgCq8Jfr9socYOTv/D9Hnv/JvQ3Tz+oKXqekh8ysa&#10;n777a9MYbt/65/8C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EAYAAFtDb250ZW50X1R5cGVzXS54bWxQSwECFAAKAAAAAACHTuJAAAAAAAAAAAAA&#10;AAAABgAAAAAAAAAAABAAAADyBAAAX3JlbHMvUEsBAhQAFAAAAAgAh07iQIoUZjzRAAAAlAEAAAsA&#10;AAAAAAAAAQAgAAAAFgUAAF9yZWxzLy5yZWxzUEsBAhQACgAAAAAAh07iQAAAAAAAAAAAAAAAAAQA&#10;AAAAAAAAAAAQAAAAAAAAAGRycy9QSwECFAAUAAAACACHTuJA6dSH190AAAAMAQAADwAAAAAAAAAB&#10;ACAAAAAiAAAAZHJzL2Rvd25yZXYueG1sUEsBAhQAFAAAAAgAh07iQIDMaE2aAwAAMwwAAA4AAAAA&#10;AAAAAQAgAAAALAEAAGRycy9lMm9Eb2MueG1sUEsFBgAAAAAGAAYAWQEAADgHAAAAAA==&#10;">
                <o:lock v:ext="edit" aspectratio="f"/>
                <v:rect id="矩形 19" o:spid="_x0000_s1026" o:spt="1" style="position:absolute;left:-381;top:4387;height:2457;width:1834;v-text-anchor:middle;" fillcolor="#0176AB" filled="t" stroked="f" coordsize="21600,21600" o:gfxdata="UEsDBAoAAAAAAIdO4kAAAAAAAAAAAAAAAAAEAAAAZHJzL1BLAwQUAAAACACHTuJA3/j978AAAADd&#10;AAAADwAAAGRycy9kb3ducmV2LnhtbEWPQWvCQBSE70L/w/IKvelutFWJbjxYpBXswZiDx0f2NUmb&#10;fRuyW7X+elco9DjMzDfMcnWxrThR7xvHGpKRAkFcOtNwpaE4bIZzED4gG2wdk4Zf8rDKHgZLTI07&#10;855OeahEhLBPUUMdQpdK6cuaLPqR64ij9+l6iyHKvpKmx3OE21aOlZpKiw3HhRo7WtdUfuc/VsNu&#10;Ov6g/LU4hq/12xYL3F35udT66TFRCxCBLuE//Nd+NxomavYC9zfxCcjsBl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Df+P3v&#10;wAAAAN0AAAAPAAAAAAAAAAEAIAAAACIAAABkcnMvZG93bnJldi54bWxQSwECFAAUAAAACACHTuJA&#10;My8FnjsAAAA5AAAAEAAAAAAAAAABACAAAAAPAQAAZHJzL3NoYXBleG1sLnhtbFBLBQYAAAAABgAG&#10;AFsBAAC5AwAAAAA=&#10;">
                  <v:fill on="t" focussize="0,0"/>
                  <v:stroke on="f"/>
                  <v:imagedata o:title=""/>
                  <o:lock v:ext="edit" aspectratio="f"/>
                </v:rect>
                <v:shape id="矩形 24" o:spid="_x0000_s1026" o:spt="100" style="position:absolute;left:-3504;top:6953;height:150;width:11815;" fillcolor="#E5AA57" filled="t" stroked="f" coordsize="7501732,94593" o:gfxdata="UEsDBAoAAAAAAIdO4kAAAAAAAAAAAAAAAAAEAAAAZHJzL1BLAwQUAAAACACHTuJAfHV+jsAAAADd&#10;AAAADwAAAGRycy9kb3ducmV2LnhtbEWPQWsCMRSE70L/Q3iFXkQTq1i7NUopKOJFtCL09tw8N0s3&#10;L9tNquu/N0Khx2FmvmGm89ZV4kxNKD1rGPQVCOLcm5ILDfvPRW8CIkRkg5Vn0nClAPPZQ2eKmfEX&#10;3tJ5FwuRIBwy1GBjrDMpQ27JYej7mjh5J984jEk2hTQNXhLcVfJZqbF0WHJasFjTh6X8e/frNBy6&#10;dtMuVscT2+Vo+z6+rr+O6kfrp8eBegMRqY3/4b/2ymgYqpdXuL9JT0DObl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B8dX6O&#10;wAAAAN0AAAAPAAAAAAAAAAEAIAAAACIAAABkcnMvZG93bnJldi54bWxQSwECFAAUAAAACACHTuJA&#10;My8FnjsAAAA5AAAAEAAAAAAAAAABACAAAAAPAQAAZHJzL3NoYXBleG1sLnhtbFBLBQYAAAAABgAG&#10;AFsBAAC5AwAAAAA=&#10;" path="m0,0l7458720,6350,7501732,94593,0,94593,0,0xe">
                  <v:path o:connectlocs="0,0;7463453,6619;7506490,98604;0,98604;0,0" o:connectangles="0,0,0,0,0"/>
                  <v:fill on="t" focussize="0,0"/>
                  <v:stroke on="f"/>
                  <v:imagedata o:title=""/>
                  <o:lock v:ext="edit" aspectratio="f"/>
                </v:shape>
                <v:shape id="矩形 25" o:spid="_x0000_s1026" o:spt="100" style="position:absolute;left:8331;top:6953;height:150;width:7365;" fillcolor="#0176AB" filled="t" stroked="f" coordsize="4676187,94594" o:gfxdata="UEsDBAoAAAAAAIdO4kAAAAAAAAAAAAAAAAAEAAAAZHJzL1BLAwQUAAAACACHTuJAX0aEHbkAAADd&#10;AAAADwAAAGRycy9kb3ducmV2LnhtbEVPTYvCMBC9L+x/CLPgZdFEhUWqUdgV0Wur4HVoxrbaTEoS&#10;bf335iDs8fG+V5vBtuJBPjSONUwnCgRx6UzDlYbTcTdegAgR2WDrmDQ8KcBm/fmxwsy4nnN6FLES&#10;KYRDhhrqGLtMylDWZDFMXEecuIvzFmOCvpLGY5/CbStnSv1Iiw2nhho7+qupvBV3qwG/T4Xti/xa&#10;7rbSn4ff/HjdD1qPvqZqCSLSEP/Fb/fBaJirRdqf3qQnINcv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F9GhB25AAAA3QAA&#10;AA8AAAAAAAAAAQAgAAAAIgAAAGRycy9kb3ducmV2LnhtbFBLAQIUABQAAAAIAIdO4kAzLwWeOwAA&#10;ADkAAAAQAAAAAAAAAAEAIAAAAAgBAABkcnMvc2hhcGV4bWwueG1sUEsFBgAAAAAGAAYAWwEAALID&#10;AAAAAA==&#10;" path="m0,0l4676187,0,4676187,94594,57510,94594,0,0xe">
                  <v:path o:connectlocs="0,0;4679715,0;4679715,98599;57552,98599;0,0" o:connectangles="0,0,0,0,0"/>
                  <v:fill on="t" focussize="0,0"/>
                  <v:stroke on="f"/>
                  <v:imagedata o:title=""/>
                  <o:lock v:ext="edit" aspectratio="f"/>
                </v:shape>
              </v:group>
            </w:pict>
          </mc:Fallback>
        </mc:AlternateContent>
      </w:r>
      <w:r>
        <w:drawing>
          <wp:anchor distT="0" distB="0" distL="114300" distR="114300" simplePos="0" relativeHeight="251659264" behindDoc="1" locked="0" layoutInCell="1" allowOverlap="1">
            <wp:simplePos x="0" y="0"/>
            <wp:positionH relativeFrom="margin">
              <wp:posOffset>-2950210</wp:posOffset>
            </wp:positionH>
            <wp:positionV relativeFrom="margin">
              <wp:posOffset>653415</wp:posOffset>
            </wp:positionV>
            <wp:extent cx="11083290" cy="7844790"/>
            <wp:effectExtent l="0" t="0" r="3810" b="3810"/>
            <wp:wrapNone/>
            <wp:docPr id="73" name="背景 耗崽"/>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3" name="背景 耗崽"/>
                    <pic:cNvPicPr>
                      <a:picLocks noChangeAspect="1"/>
                    </pic:cNvPicPr>
                  </pic:nvPicPr>
                  <pic:blipFill>
                    <a:blip r:embed="rId12">
                      <a:extLst>
                        <a:ext uri="{28A0092B-C50C-407E-A947-70E740481C1C}">
                          <a14:useLocalDpi xmlns:a14="http://schemas.microsoft.com/office/drawing/2010/main" val="0"/>
                        </a:ext>
                      </a:extLst>
                    </a:blip>
                    <a:stretch>
                      <a:fillRect/>
                    </a:stretch>
                  </pic:blipFill>
                  <pic:spPr>
                    <a:xfrm rot="16200000">
                      <a:off x="0" y="0"/>
                      <a:ext cx="11083290" cy="7844790"/>
                    </a:xfrm>
                    <a:prstGeom prst="rect">
                      <a:avLst/>
                    </a:prstGeom>
                  </pic:spPr>
                </pic:pic>
              </a:graphicData>
            </a:graphic>
          </wp:anchor>
        </w:drawing>
      </w:r>
      <w:r>
        <mc:AlternateContent>
          <mc:Choice Requires="wpg">
            <w:drawing>
              <wp:anchor distT="0" distB="0" distL="114300" distR="114300" simplePos="0" relativeHeight="251661312" behindDoc="0" locked="0" layoutInCell="1" allowOverlap="1">
                <wp:simplePos x="0" y="0"/>
                <wp:positionH relativeFrom="column">
                  <wp:posOffset>-280670</wp:posOffset>
                </wp:positionH>
                <wp:positionV relativeFrom="paragraph">
                  <wp:posOffset>-313055</wp:posOffset>
                </wp:positionV>
                <wp:extent cx="5954395" cy="1885315"/>
                <wp:effectExtent l="0" t="0" r="0" b="14605"/>
                <wp:wrapNone/>
                <wp:docPr id="1" name="组合 1"/>
                <wp:cNvGraphicFramePr/>
                <a:graphic xmlns:a="http://schemas.openxmlformats.org/drawingml/2006/main">
                  <a:graphicData uri="http://schemas.microsoft.com/office/word/2010/wordprocessingGroup">
                    <wpg:wgp>
                      <wpg:cNvGrpSpPr/>
                      <wpg:grpSpPr>
                        <a:xfrm>
                          <a:off x="0" y="0"/>
                          <a:ext cx="5954395" cy="1885315"/>
                          <a:chOff x="12098" y="1831"/>
                          <a:chExt cx="9377" cy="2969"/>
                        </a:xfrm>
                      </wpg:grpSpPr>
                      <wps:wsp>
                        <wps:cNvPr id="89" name="文本框 32"/>
                        <wps:cNvSpPr txBox="1"/>
                        <wps:spPr>
                          <a:xfrm>
                            <a:off x="13325" y="1831"/>
                            <a:ext cx="4462" cy="1348"/>
                          </a:xfrm>
                          <a:prstGeom prst="rect">
                            <a:avLst/>
                          </a:prstGeom>
                          <a:noFill/>
                        </wps:spPr>
                        <wps:txbx>
                          <w:txbxContent>
                            <w:p>
                              <w:pPr>
                                <w:jc w:val="distribute"/>
                                <w:rPr>
                                  <w:rFonts w:ascii="方正魏碑简体" w:hAnsi="Arial" w:eastAsia="方正魏碑简体" w:cs="Arial"/>
                                  <w:color w:val="000000" w:themeColor="text1"/>
                                  <w:sz w:val="2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方正魏碑简体" w:hAnsi="Arial" w:eastAsia="方正魏碑简体" w:cs="Arial"/>
                                  <w:color w:val="000000" w:themeColor="text1"/>
                                  <w:spacing w:val="60"/>
                                  <w:kern w:val="24"/>
                                  <w:sz w:val="72"/>
                                  <w:szCs w:val="7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2023年度</w:t>
                              </w:r>
                            </w:p>
                          </w:txbxContent>
                        </wps:txbx>
                        <wps:bodyPr wrap="square" rtlCol="0">
                          <a:noAutofit/>
                        </wps:bodyPr>
                      </wps:wsp>
                      <wpg:grpSp>
                        <wpg:cNvPr id="6" name="组合 6"/>
                        <wpg:cNvGrpSpPr/>
                        <wpg:grpSpPr>
                          <a:xfrm>
                            <a:off x="12098" y="3193"/>
                            <a:ext cx="9377" cy="1607"/>
                            <a:chOff x="6119" y="2843"/>
                            <a:chExt cx="9377" cy="1607"/>
                          </a:xfrm>
                        </wpg:grpSpPr>
                        <wps:wsp>
                          <wps:cNvPr id="91" name="文本框 32"/>
                          <wps:cNvSpPr txBox="1"/>
                          <wps:spPr>
                            <a:xfrm>
                              <a:off x="6119" y="2843"/>
                              <a:ext cx="9377" cy="1421"/>
                            </a:xfrm>
                            <a:prstGeom prst="rect">
                              <a:avLst/>
                            </a:prstGeom>
                            <a:noFill/>
                          </wps:spPr>
                          <wps:txbx>
                            <w:txbxContent>
                              <w:p>
                                <w:pPr>
                                  <w:jc w:val="left"/>
                                  <w:rPr>
                                    <w:rFonts w:ascii="黑体" w:hAnsi="黑体" w:eastAsia="黑体" w:cs="黑体"/>
                                    <w:color w:val="000000" w:themeColor="text1"/>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黑体" w:hAnsi="黑体" w:eastAsia="黑体" w:cs="黑体"/>
                                    <w:color w:val="000000" w:themeColor="text1"/>
                                    <w:spacing w:val="60"/>
                                    <w:kern w:val="24"/>
                                    <w:sz w:val="96"/>
                                    <w:szCs w:val="96"/>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部门决算公开文本</w:t>
                                </w:r>
                              </w:p>
                            </w:txbxContent>
                          </wps:txbx>
                          <wps:bodyPr wrap="square" rtlCol="0">
                            <a:noAutofit/>
                          </wps:bodyPr>
                        </wps:wsp>
                        <wps:wsp>
                          <wps:cNvPr id="4" name="直接连接符 4"/>
                          <wps:cNvCnPr/>
                          <wps:spPr>
                            <a:xfrm>
                              <a:off x="6226" y="4450"/>
                              <a:ext cx="8700" cy="0"/>
                            </a:xfrm>
                            <a:prstGeom prst="line">
                              <a:avLst/>
                            </a:prstGeom>
                            <a:ln w="28575" cmpd="sng">
                              <a:solidFill>
                                <a:schemeClr val="accent1">
                                  <a:shade val="50000"/>
                                </a:schemeClr>
                              </a:solidFill>
                              <a:prstDash val="sysDot"/>
                            </a:ln>
                          </wps:spPr>
                          <wps:style>
                            <a:lnRef idx="1">
                              <a:schemeClr val="accent1"/>
                            </a:lnRef>
                            <a:fillRef idx="0">
                              <a:schemeClr val="accent1"/>
                            </a:fillRef>
                            <a:effectRef idx="0">
                              <a:schemeClr val="accent1"/>
                            </a:effectRef>
                            <a:fontRef idx="minor">
                              <a:schemeClr val="tx1"/>
                            </a:fontRef>
                          </wps:style>
                          <wps:bodyPr/>
                        </wps:wsp>
                      </wpg:grpSp>
                    </wpg:wgp>
                  </a:graphicData>
                </a:graphic>
              </wp:anchor>
            </w:drawing>
          </mc:Choice>
          <mc:Fallback>
            <w:pict>
              <v:group id="_x0000_s1026" o:spid="_x0000_s1026" o:spt="203" style="position:absolute;left:0pt;margin-left:-22.1pt;margin-top:-24.65pt;height:148.45pt;width:468.85pt;z-index:251661312;mso-width-relative:page;mso-height-relative:page;" coordorigin="12098,1831" coordsize="9377,2969" o:gfxdata="UEsDBAoAAAAAAIdO4kAAAAAAAAAAAAAAAAAEAAAAZHJzL1BLAwQUAAAACACHTuJAlQcLxdsAAAAL&#10;AQAADwAAAGRycy9kb3ducmV2LnhtbE2PTWvCQBCG74X+h2UKvenmS6tpNlKk7UkKVUF6G5MxCWZn&#10;Q3ZN9N93PbW3GebhnefNVlfdioF62xhWEE4DEMSFKRuuFOx3H5MFCOuQS2wNk4IbWVjljw8ZpqUZ&#10;+ZuGrauED2GbooLauS6V0hY1abRT0xH728n0Gp1f+0qWPY4+XLcyCoK51Niw/1BjR+uaivP2ohV8&#10;jji+xeH7sDmf1ref3ezrsAlJqeenMHgF4ejq/mC463t1yL3T0Vy4tKJVMEmSyKP3YRmD8MRiGc9A&#10;HBVEycscZJ7J/x3yX1BLAwQUAAAACACHTuJAaoBhVSUDAAD2CAAADgAAAGRycy9lMm9Eb2MueG1s&#10;zVbLjtMwFN0j8Q9W9kyaZ5No2hFMmdkgGGngA9zEeUhJHGy36ewRsEKs2ICQWMBqluxY8DV0+Ayu&#10;7SSdRxFieHbhOte+1/ceHx97d29VlWhJGC9oPTGsnZGBSB3TpKizifHo4cGtwEBc4DrBJa3JxDgh&#10;3Nib3ryx2zYRsWlOy4QwBEFqHrXNxMiFaCLT5HFOKsx3aENqGEwpq7CAT5aZCcMtRK9K0x6NfLOl&#10;LGkYjQnnYJ3pQWOq4qcpicWDNOVEoHJiQG5CtUy1c9ma010cZQw3eRF3aeBrZFHhooZFh1AzLDBa&#10;sOJKqKqIGeU0FTsxrUyapkVMVA1QjTW6VM0ho4tG1ZJFbdYMMAG0l3C6dtj4/vKIoSKBvTNQjSvY&#10;orNPT768fI4siU3bZBFMOWTNcXPEOkOmv2S5q5RV8h8KQSuF6smAKlkJFIPRCz3XCT0DxTBmBYHn&#10;WJ7GPc5hc6SfZY9CIIoad9TCOIrzu12A0BmPtbcd+qF0NfuVTZngkE/bAIn4Bif+azgd57ghCn4u&#10;QehwCsIeqPWrZ+s3p+t3T5Fja7DUPIkUEqs7VBbW2zkYtwBmOY4NyFwovMfNdX27A81xgwtl46hh&#10;XBwSWiHZmRgMiK74h5f3uNAI9VPksjU9KMpS2iVGOhnZE6v5Su0qj+Y0OYHEWzgLE4M/XmBGDMRE&#10;uU/V0dFRbi8ETQu1gHTXPl1UQF4TRu3HnyWr3+9BR1Zf4/xTZN2QzrFCRwbAUY/9hnKWPxrrsYGt&#10;vmUBB2DP7MDt/LaRtff8l2QNh1P9G8i6pe4teLm2Iv1Q9f/M1b8gF+7A1Ncf1y/ef/38Ftqz0w/I&#10;1ZRVkrFfd+Lan81e3wZl9W0bOA+cc12vu7V67IPxCG42Ka5q4PvAl0Ut5QxHPxIJHJU1aiW/vbHU&#10;bakIaYkFdKsGrgpeZwbCZQY3fiyYCslpWSRSY2R8zrL5fsnQEoN0gMBJ9Vf2HCdEW70R/CQCkG43&#10;XffPx5EKNsM81y78hM+o0GexKgQ8G8qimhiBjNSHKusrEqc1qpc+JVKbW0PNVperWr17CMjb+/y3&#10;mrV5rky/AV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JkFAABbQ29udGVudF9UeXBlc10ueG1sUEsBAhQACgAAAAAAh07iQAAAAAAAAAAAAAAAAAYA&#10;AAAAAAAAAAAQAAAAewQAAF9yZWxzL1BLAQIUABQAAAAIAIdO4kCKFGY80QAAAJQBAAALAAAAAAAA&#10;AAEAIAAAAJ8EAABfcmVscy8ucmVsc1BLAQIUAAoAAAAAAIdO4kAAAAAAAAAAAAAAAAAEAAAAAAAA&#10;AAAAEAAAAAAAAABkcnMvUEsBAhQAFAAAAAgAh07iQJUHC8XbAAAACwEAAA8AAAAAAAAAAQAgAAAA&#10;IgAAAGRycy9kb3ducmV2LnhtbFBLAQIUABQAAAAIAIdO4kBqgGFVJQMAAPYIAAAOAAAAAAAAAAEA&#10;IAAAACoBAABkcnMvZTJvRG9jLnhtbFBLBQYAAAAABgAGAFkBAADBBgAAAAA=&#10;">
                <o:lock v:ext="edit" aspectratio="f"/>
                <v:shape id="文本框 32" o:spid="_x0000_s1026" o:spt="202" type="#_x0000_t202" style="position:absolute;left:13325;top:1831;height:1348;width:4462;" filled="f" stroked="f" coordsize="21600,21600" o:gfxdata="UEsDBAoAAAAAAIdO4kAAAAAAAAAAAAAAAAAEAAAAZHJzL1BLAwQUAAAACACHTuJAOoO67LsAAADb&#10;AAAADwAAAGRycy9kb3ducmV2LnhtbEWPT4vCMBTE74LfITxhb5q4rKLV6EFZ8OTiX/D2aJ5tsXkp&#10;TbT1228EweMwM79h5svWluJBtS8caxgOFAji1JmCMw3Hw29/AsIHZIOlY9LwJA/LRbczx8S4hnf0&#10;2IdMRAj7BDXkIVSJlD7NyaIfuIo4eldXWwxR1pk0NTYRbkv5rdRYWiw4LuRY0Sqn9La/Ww2n7fVy&#10;/lF/2dqOqsa1SrKdSq2/ekM1AxGoDZ/wu70xGiZTeH2JP0Au/g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OoO67LsAAADb&#10;AAAADwAAAAAAAAABACAAAAAiAAAAZHJzL2Rvd25yZXYueG1sUEsBAhQAFAAAAAgAh07iQDMvBZ47&#10;AAAAOQAAABAAAAAAAAAAAQAgAAAACgEAAGRycy9zaGFwZXhtbC54bWxQSwUGAAAAAAYABgBbAQAA&#10;tAMAAAAA&#10;">
                  <v:fill on="f" focussize="0,0"/>
                  <v:stroke on="f"/>
                  <v:imagedata o:title=""/>
                  <o:lock v:ext="edit" aspectratio="f"/>
                  <v:textbox>
                    <w:txbxContent>
                      <w:p>
                        <w:pPr>
                          <w:jc w:val="distribute"/>
                          <w:rPr>
                            <w:rFonts w:ascii="方正魏碑简体" w:hAnsi="Arial" w:eastAsia="方正魏碑简体" w:cs="Arial"/>
                            <w:color w:val="000000" w:themeColor="text1"/>
                            <w:sz w:val="2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方正魏碑简体" w:hAnsi="Arial" w:eastAsia="方正魏碑简体" w:cs="Arial"/>
                            <w:color w:val="000000" w:themeColor="text1"/>
                            <w:spacing w:val="60"/>
                            <w:kern w:val="24"/>
                            <w:sz w:val="72"/>
                            <w:szCs w:val="7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2023年度</w:t>
                        </w:r>
                      </w:p>
                    </w:txbxContent>
                  </v:textbox>
                </v:shape>
                <v:group id="_x0000_s1026" o:spid="_x0000_s1026" o:spt="203" style="position:absolute;left:12098;top:3193;height:1607;width:9377;" coordorigin="6119,2843" coordsize="9377,1607" o:gfxdata="UEsDBAoAAAAAAIdO4kAAAAAAAAAAAAAAAAAEAAAAZHJzL1BLAwQUAAAACACHTuJAhCDXDL0AAADa&#10;AAAADwAAAGRycy9kb3ducmV2LnhtbEWPQWvCQBSE7wX/w/IEb3WTSkWiaxCxxUMoVAXx9sg+k5Ds&#10;25DdJubfu4VCj8PMfMNs0odpRE+dqywriOcRCOLc6ooLBZfzx+sKhPPIGhvLpGAkB+l28rLBRNuB&#10;v6k/+UIECLsEFZTet4mULi/JoJvbljh4d9sZ9EF2hdQdDgFuGvkWRUtpsOKwUGJL+5Ly+vRjFHwO&#10;OOwW8aHP6vt+vJ3fv65ZTErNpnG0BuHp4f/Df+2jVrCE3yvhBsjtE1BLAwQUAAAACACHTuJAMy8F&#10;njsAAAA5AAAAFQAAAGRycy9ncm91cHNoYXBleG1sLnhtbLOxr8jNUShLLSrOzM+zVTLUM1BSSM1L&#10;zk/JzEu3VQoNcdO1UFIoLknMS0nMyc9LtVWqTC1Wsrfj5QIAUEsDBAoAAAAAAIdO4kAAAAAAAAAA&#10;AAAAAAAGAAAAX3JlbHMvUEsDBBQAAAAIAIdO4kAJLbcE0wAAAJkBAAALAAAAX3JlbHMvLnJlbHOl&#10;kEFLAzEQhe+C/yHM3c22BxFptjeh11rBa0hms8FNJszE1f57U0RwpTcPc5h5zPceb7f/TLNakCVS&#10;NrDpelCYHfmYg4GX09PdAyipNns7U0YDZxTYD7c3uyPOtrYnmWIR1ShZDEy1lketxU2YrHRUMDdl&#10;JE62tpWDLta92YB62/f3mn8zYFgx1cEb4IPfgjqdS3P+w07RMQmNtXOUNI1jdNeoOjC9l+fJFnxN&#10;c2NZDlgNeJZvSS5SC9m1AX09w+afGTx95CMua/fLkXH58dWrQocvUEsDBBQAAAAIAIdO4kBUfegn&#10;/gAAAOwBAAATAAAAW0NvbnRlbnRfVHlwZXNdLnhtbJWRy07DMBBF90j8g+UtShxYIISadEGAHSAo&#10;HzCyJ4lFYlseN7R/z7iPDaJIXdoz954je7HcTKOYMZL1rpbXZSUFOu2NdX0tP1dPxZ0UlMAZGL3D&#10;Wm6R5LK5vFistgFJcNpRLYeUwr1SpAecgEof0PGk83GCxMfYqwD6C3pUN1V1q7R3CV0qUu6QzaLF&#10;DtZjEo8bvt6bRBxJiof9YmbVEkIYrYbEpmp25helOBBKTu52aLCBrlhDqj8JeXIacMi98tNEa1C8&#10;QUwvMLGGMpGU8d8u4lz+X5ItJyp811mNZRup5dg7zkerU+199OtAAwTk/nMZzzn8kcNHjNr9VfMD&#10;UEsBAhQAFAAAAAgAh07iQFR96Cf+AAAA7AEAABMAAAAAAAAAAQAgAAAAmgIAAFtDb250ZW50X1R5&#10;cGVzXS54bWxQSwECFAAKAAAAAACHTuJAAAAAAAAAAAAAAAAABgAAAAAAAAAAABAAAAB6AQAAX3Jl&#10;bHMvUEsBAhQAFAAAAAgAh07iQAkttwTTAAAAmQEAAAsAAAAAAAAAAQAgAAAAngEAAF9yZWxzLy5y&#10;ZWxzUEsBAhQACgAAAAAAh07iQAAAAAAAAAAAAAAAAAQAAAAAAAAAAAAQAAAAAAAAAGRycy9QSwEC&#10;FAAUAAAACACHTuJAhCDXDL0AAADaAAAADwAAAAAAAAABACAAAAAiAAAAZHJzL2Rvd25yZXYueG1s&#10;UEsBAhQAFAAAAAgAh07iQDMvBZ47AAAAOQAAABUAAAAAAAAAAQAgAAAADAEAAGRycy9ncm91cHNo&#10;YXBleG1sLnhtbFBLBQYAAAAABgAGAGABAADJAwAAAAA=&#10;">
                  <o:lock v:ext="edit" aspectratio="f"/>
                  <v:shape id="文本框 32" o:spid="_x0000_s1026" o:spt="202" type="#_x0000_t202" style="position:absolute;left:6119;top:2843;height:1421;width:9377;" filled="f" stroked="f" coordsize="21600,21600" o:gfxdata="UEsDBAoAAAAAAIdO4kAAAAAAAAAAAAAAAAAEAAAAZHJzL1BLAwQUAAAACACHTuJAQSwgN7sAAADb&#10;AAAADwAAAGRycy9kb3ducmV2LnhtbEWPT4vCMBTE74LfITxhb5p0WRetRg/KgicX/4K3R/Nsi81L&#10;aaKt334jCHscZuY3zHzZ2Uo8qPGlYw3JSIEgzpwpOddwPPwMJyB8QDZYOSYNT/KwXPR7c0yNa3lH&#10;j33IRYSwT1FDEUKdSumzgiz6kauJo3d1jcUQZZNL02Ab4baSn0p9S4slx4UCa1oVlN32d6vhtL1e&#10;zl/qN1/bcd26Tkm2U6n1xyBRMxCBuvAffrc3RsM0gdeX+APk4g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QSwgN7sAAADb&#10;AAAADwAAAAAAAAABACAAAAAiAAAAZHJzL2Rvd25yZXYueG1sUEsBAhQAFAAAAAgAh07iQDMvBZ47&#10;AAAAOQAAABAAAAAAAAAAAQAgAAAACgEAAGRycy9zaGFwZXhtbC54bWxQSwUGAAAAAAYABgBbAQAA&#10;tAMAAAAA&#10;">
                    <v:fill on="f" focussize="0,0"/>
                    <v:stroke on="f"/>
                    <v:imagedata o:title=""/>
                    <o:lock v:ext="edit" aspectratio="f"/>
                    <v:textbox>
                      <w:txbxContent>
                        <w:p>
                          <w:pPr>
                            <w:jc w:val="left"/>
                            <w:rPr>
                              <w:rFonts w:ascii="黑体" w:hAnsi="黑体" w:eastAsia="黑体" w:cs="黑体"/>
                              <w:color w:val="000000" w:themeColor="text1"/>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黑体" w:hAnsi="黑体" w:eastAsia="黑体" w:cs="黑体"/>
                              <w:color w:val="000000" w:themeColor="text1"/>
                              <w:spacing w:val="60"/>
                              <w:kern w:val="24"/>
                              <w:sz w:val="96"/>
                              <w:szCs w:val="96"/>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部门决算公开文本</w:t>
                          </w:r>
                        </w:p>
                      </w:txbxContent>
                    </v:textbox>
                  </v:shape>
                  <v:line id="_x0000_s1026" o:spid="_x0000_s1026" o:spt="20" style="position:absolute;left:6226;top:4450;height:0;width:8700;" filled="f" stroked="t" coordsize="21600,21600" o:gfxdata="UEsDBAoAAAAAAIdO4kAAAAAAAAAAAAAAAAAEAAAAZHJzL1BLAwQUAAAACACHTuJA+0+M574AAADa&#10;AAAADwAAAGRycy9kb3ducmV2LnhtbEWPQWvCQBSE70L/w/IK3nRXLVJSVylSxR560Ar2+Mw+k7TZ&#10;tzG7TeK/dwXB4zAz3zCzRWdL0VDtC8caRkMFgjh1puBMw/57NXgF4QOywdIxabiQh8X8qTfDxLiW&#10;t9TsQiYihH2CGvIQqkRKn+Zk0Q9dRRy9k6sthijrTJoa2wi3pRwrNZUWC44LOVa0zCn92/1bDevP&#10;9ut4/n2npuzUdDm5bD4O7Y/W/eeRegMRqAuP8L29MRpe4HYl3gA5vwJ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0+M574A&#10;AADaAAAADwAAAAAAAAABACAAAAAiAAAAZHJzL2Rvd25yZXYueG1sUEsBAhQAFAAAAAgAh07iQDMv&#10;BZ47AAAAOQAAABAAAAAAAAAAAQAgAAAADQEAAGRycy9zaGFwZXhtbC54bWxQSwUGAAAAAAYABgBb&#10;AQAAtwMAAAAA&#10;">
                    <v:fill on="f" focussize="0,0"/>
                    <v:stroke weight="2.25pt" color="#325395 [3204]" miterlimit="8" joinstyle="miter" dashstyle="1 1"/>
                    <v:imagedata o:title=""/>
                    <o:lock v:ext="edit" aspectratio="f"/>
                  </v:line>
                </v:group>
              </v:group>
            </w:pict>
          </mc:Fallback>
        </mc:AlternateContent>
      </w:r>
      <w:r>
        <w:drawing>
          <wp:anchor distT="0" distB="0" distL="114300" distR="114300" simplePos="0" relativeHeight="251663360" behindDoc="0" locked="0" layoutInCell="1" allowOverlap="1">
            <wp:simplePos x="0" y="0"/>
            <wp:positionH relativeFrom="column">
              <wp:posOffset>-95250</wp:posOffset>
            </wp:positionH>
            <wp:positionV relativeFrom="margin">
              <wp:posOffset>-27305</wp:posOffset>
            </wp:positionV>
            <wp:extent cx="506095" cy="506095"/>
            <wp:effectExtent l="0" t="0" r="8255" b="8255"/>
            <wp:wrapNone/>
            <wp:docPr id="3" name="图片 3" descr="32313539313538323b32313539313537353bb5e7c4d4b0ecb9a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3" descr="32313539313538323b32313539313537353bb5e7c4d4b0ecb9ab"/>
                    <pic:cNvPicPr>
                      <a:picLocks noChangeAspect="1"/>
                    </pic:cNvPicPr>
                  </pic:nvPicPr>
                  <pic:blipFill>
                    <a:blip r:embed="rId13">
                      <a:extLst>
                        <a:ext uri="{96DAC541-7B7A-43D3-8B79-37D633B846F1}">
                          <asvg:svgBlip xmlns:asvg="http://schemas.microsoft.com/office/drawing/2016/SVG/main" r:embed="rId14"/>
                        </a:ext>
                      </a:extLst>
                    </a:blip>
                    <a:stretch>
                      <a:fillRect/>
                    </a:stretch>
                  </pic:blipFill>
                  <pic:spPr>
                    <a:xfrm>
                      <a:off x="0" y="0"/>
                      <a:ext cx="506095" cy="506095"/>
                    </a:xfrm>
                    <a:prstGeom prst="rect">
                      <a:avLst/>
                    </a:prstGeom>
                  </pic:spPr>
                </pic:pic>
              </a:graphicData>
            </a:graphic>
          </wp:anchor>
        </w:drawing>
      </w:r>
      <w:r>
        <mc:AlternateContent>
          <mc:Choice Requires="wps">
            <w:drawing>
              <wp:anchor distT="0" distB="0" distL="114300" distR="114300" simplePos="0" relativeHeight="251660288" behindDoc="0" locked="0" layoutInCell="1" allowOverlap="1">
                <wp:simplePos x="0" y="0"/>
                <wp:positionH relativeFrom="column">
                  <wp:posOffset>-253365</wp:posOffset>
                </wp:positionH>
                <wp:positionV relativeFrom="paragraph">
                  <wp:posOffset>1611630</wp:posOffset>
                </wp:positionV>
                <wp:extent cx="5494020" cy="570230"/>
                <wp:effectExtent l="0" t="0" r="0" b="0"/>
                <wp:wrapNone/>
                <wp:docPr id="98" name="文本框 33"/>
                <wp:cNvGraphicFramePr/>
                <a:graphic xmlns:a="http://schemas.openxmlformats.org/drawingml/2006/main">
                  <a:graphicData uri="http://schemas.microsoft.com/office/word/2010/wordprocessingShape">
                    <wps:wsp>
                      <wps:cNvSpPr txBox="1"/>
                      <wps:spPr>
                        <a:xfrm>
                          <a:off x="0" y="0"/>
                          <a:ext cx="5494020" cy="570230"/>
                        </a:xfrm>
                        <a:prstGeom prst="rect">
                          <a:avLst/>
                        </a:prstGeom>
                        <a:noFill/>
                      </wps:spPr>
                      <wps:txbx>
                        <w:txbxContent>
                          <w:p>
                            <w:pPr>
                              <w:jc w:val="distribute"/>
                              <w:rPr>
                                <w:rFonts w:ascii="思源黑体 CN Heavy" w:hAnsi="思源黑体 CN Heavy" w:eastAsia="思源黑体 CN Heavy"/>
                                <w:color w:val="A6A6A6" w:themeColor="background1" w:themeShade="A6"/>
                                <w:sz w:val="40"/>
                                <w:szCs w:val="40"/>
                              </w:rPr>
                            </w:pPr>
                          </w:p>
                        </w:txbxContent>
                      </wps:txbx>
                      <wps:bodyPr wrap="square" rtlCol="0">
                        <a:noAutofit/>
                      </wps:bodyPr>
                    </wps:wsp>
                  </a:graphicData>
                </a:graphic>
              </wp:anchor>
            </w:drawing>
          </mc:Choice>
          <mc:Fallback>
            <w:pict>
              <v:shape id="文本框 33" o:spid="_x0000_s1026" o:spt="202" type="#_x0000_t202" style="position:absolute;left:0pt;margin-left:-19.95pt;margin-top:126.9pt;height:44.9pt;width:432.6pt;z-index:251660288;mso-width-relative:page;mso-height-relative:page;" filled="f" stroked="f" coordsize="21600,21600" o:gfxdata="UEsDBAoAAAAAAIdO4kAAAAAAAAAAAAAAAAAEAAAAZHJzL1BLAwQUAAAACACHTuJAWallr9gAAAAL&#10;AQAADwAAAGRycy9kb3ducmV2LnhtbE2PTU/DMAyG70j8h8hI3LZk6zatXd0dQFxBjA9pt6z12orG&#10;qZpsLf8ec4KbLT96/bz5fnKdutIQWs8Ii7kBRVz6quUa4f3tabYFFaLlynaeCeGbAuyL25vcZpUf&#10;+ZWuh1grCeGQWYQmxj7TOpQNORvmvieW29kPzkZZh1pXgx0l3HV6acxGO9uyfGhsTw8NlV+Hi0P4&#10;eD4fP1fmpX506370k9HsUo14f7cwO1CRpvgHw6++qEMhTid/4SqoDmGWpKmgCMt1Ih2E2MoE6oSQ&#10;rJIN6CLX/zsUP1BLAwQUAAAACACHTuJA5W10YaABAAARAwAADgAAAGRycy9lMm9Eb2MueG1srVLN&#10;ThsxEL5X4h0s35tdEmhhlQ0qILhULRLwAI7Xzlpae8zYyW5egL5BT730znPlORg7ISC4Vb2M7fn5&#10;5ptvPD0bbMdWCoMBV/PDUcmZchIa4xY1v7+7+nzCWYjCNaIDp2q+VoGfzQ4+TXtfqTG00DUKGYG4&#10;UPW+5m2MviqKIFtlRRiBV46CGtCKSE9cFA2KntBtV4zL8kvRAzYeQaoQyHu5DfJZxtdayfhT66Ai&#10;62pO3GK2mO082WI2FdUChW+N3NEQ/8DCCuOo6R7qUkTBlmg+QFkjEQLoOJJgC9DaSJVnoGkOy3fT&#10;3LbCqzwLiRP8Xqbw/2Dlj9UNMtPU/JQ25YSlHW1+/9r8edr8fWSTSRKo96GivFtPmXE4h4EW/eIP&#10;5ExzDxptOmkiRnGSer2XVw2RSXIeH50elWMKSYodfy3Hk6x/8VrtMcRrBZalS82R1pdVFavvIRIT&#10;Sn1JSc0cXJmuS/5EcUsl3eIwH3a859CsiXZPG655eFgKVJxh7C4gf4gtyrdlBG1yg1S+rdmhku65&#10;7+6PpMW+fees1588ewZQSwMECgAAAAAAh07iQAAAAAAAAAAAAAAAAAYAAABfcmVscy9QSwMEFAAA&#10;AAgAh07iQIoUZjzRAAAAlAEAAAsAAABfcmVscy8ucmVsc6WQwWrDMAyG74O9g9F9cZrDGKNOL6PQ&#10;a+kewNiKYxpbRjLZ+vbzDoNl9LajfqHvE//+8JkWtSJLpGxg1/WgMDvyMQcD75fj0wsoqTZ7u1BG&#10;AzcUOIyPD/szLra2I5ljEdUoWQzMtZZXrcXNmKx0VDC3zUScbG0jB12su9qAeuj7Z82/GTBumOrk&#10;DfDJD6Aut9LMf9gpOiahqXaOkqZpiu4eVQe2ZY7uyDbhG7lGsxywGvAsGgdqWdd+BH1fv/un3tNH&#10;PuO61X6HjOuPV2+6HL8AUEsDBBQAAAAIAIdO4kB+5uUg9wAAAOEBAAATAAAAW0NvbnRlbnRfVHlw&#10;ZXNdLnhtbJWRQU7DMBBF90jcwfIWJU67QAgl6YK0S0CoHGBkTxKLZGx5TGhvj5O2G0SRWNoz/78n&#10;u9wcxkFMGNg6quQqL6RA0s5Y6ir5vt9lD1JwBDIwOMJKHpHlpr69KfdHjyxSmriSfYz+USnWPY7A&#10;ufNIadK6MEJMx9ApD/oDOlTrorhX2lFEilmcO2RdNtjC5xDF9pCuTyYBB5bi6bQ4syoJ3g9WQ0ym&#10;aiLzg5KdCXlKLjvcW893SUOqXwnz5DrgnHtJTxOsQfEKIT7DmDSUCayM+6KAU/53yWw5cuba1mrM&#10;m8BNir3hdLG61o5r1zj93/Ltkrp0q+WD6m9QSwECFAAUAAAACACHTuJAfublIPcAAADhAQAAEwAA&#10;AAAAAAABACAAAAARBAAAW0NvbnRlbnRfVHlwZXNdLnhtbFBLAQIUAAoAAAAAAIdO4kAAAAAAAAAA&#10;AAAAAAAGAAAAAAAAAAAAEAAAAPMCAABfcmVscy9QSwECFAAUAAAACACHTuJAihRmPNEAAACUAQAA&#10;CwAAAAAAAAABACAAAAAXAwAAX3JlbHMvLnJlbHNQSwECFAAKAAAAAACHTuJAAAAAAAAAAAAAAAAA&#10;BAAAAAAAAAAAABAAAAAAAAAAZHJzL1BLAQIUABQAAAAIAIdO4kBZqWWv2AAAAAsBAAAPAAAAAAAA&#10;AAEAIAAAACIAAABkcnMvZG93bnJldi54bWxQSwECFAAUAAAACACHTuJA5W10YaABAAARAwAADgAA&#10;AAAAAAABACAAAAAnAQAAZHJzL2Uyb0RvYy54bWxQSwUGAAAAAAYABgBZAQAAOQUAAAAA&#10;">
                <v:fill on="f" focussize="0,0"/>
                <v:stroke on="f"/>
                <v:imagedata o:title=""/>
                <o:lock v:ext="edit" aspectratio="f"/>
                <v:textbox>
                  <w:txbxContent>
                    <w:p>
                      <w:pPr>
                        <w:jc w:val="distribute"/>
                        <w:rPr>
                          <w:rFonts w:ascii="思源黑体 CN Heavy" w:hAnsi="思源黑体 CN Heavy" w:eastAsia="思源黑体 CN Heavy"/>
                          <w:color w:val="A6A6A6" w:themeColor="background1" w:themeShade="A6"/>
                          <w:sz w:val="40"/>
                          <w:szCs w:val="40"/>
                        </w:rPr>
                      </w:pPr>
                    </w:p>
                  </w:txbxContent>
                </v:textbox>
              </v:shape>
            </w:pict>
          </mc:Fallback>
        </mc:AlternateContent>
      </w:r>
    </w:p>
    <w:p>
      <w:pPr>
        <w:widowControl/>
        <w:jc w:val="left"/>
      </w:pPr>
    </w:p>
    <w:p>
      <w:pPr>
        <w:widowControl/>
        <w:jc w:val="left"/>
      </w:pPr>
    </w:p>
    <w:p>
      <w:pPr>
        <w:widowControl/>
        <w:jc w:val="left"/>
      </w:pPr>
    </w:p>
    <w:p>
      <w:pPr>
        <w:widowControl/>
        <w:jc w:val="left"/>
      </w:pPr>
    </w:p>
    <w:p>
      <w:pPr>
        <w:widowControl/>
        <w:jc w:val="left"/>
      </w:pPr>
    </w:p>
    <w:p>
      <w:pPr>
        <w:widowControl/>
        <w:jc w:val="left"/>
      </w:pPr>
    </w:p>
    <w:p>
      <w:pPr>
        <w:widowControl/>
        <w:jc w:val="left"/>
      </w:pPr>
    </w:p>
    <w:p>
      <w:pPr>
        <w:widowControl/>
        <w:jc w:val="left"/>
      </w:pPr>
    </w:p>
    <w:p>
      <w:pPr>
        <w:widowControl/>
        <w:jc w:val="left"/>
      </w:pPr>
    </w:p>
    <w:p>
      <w:pPr>
        <w:widowControl/>
        <w:jc w:val="left"/>
      </w:pPr>
    </w:p>
    <w:p>
      <w:pPr>
        <w:widowControl/>
        <w:jc w:val="left"/>
      </w:pPr>
    </w:p>
    <w:p>
      <w:pPr>
        <w:widowControl/>
        <w:jc w:val="left"/>
      </w:pPr>
    </w:p>
    <w:p>
      <w:pPr>
        <w:widowControl/>
        <w:jc w:val="left"/>
      </w:pPr>
    </w:p>
    <w:p>
      <w:pPr>
        <w:widowControl/>
        <w:jc w:val="left"/>
      </w:pPr>
    </w:p>
    <w:p>
      <w:pPr>
        <w:widowControl/>
        <w:jc w:val="left"/>
      </w:pPr>
    </w:p>
    <w:p>
      <w:pPr>
        <w:widowControl/>
        <w:jc w:val="left"/>
      </w:pPr>
    </w:p>
    <w:p>
      <w:pPr>
        <w:widowControl/>
        <w:jc w:val="left"/>
      </w:pPr>
    </w:p>
    <w:p>
      <w:pPr>
        <w:widowControl/>
        <w:jc w:val="left"/>
      </w:pPr>
    </w:p>
    <w:p>
      <w:pPr>
        <w:widowControl/>
        <w:jc w:val="left"/>
      </w:pPr>
    </w:p>
    <w:p>
      <w:pPr>
        <w:widowControl/>
        <w:jc w:val="left"/>
      </w:pPr>
    </w:p>
    <w:p>
      <w:pPr>
        <w:spacing w:line="600" w:lineRule="auto"/>
        <w:jc w:val="left"/>
        <w:rPr>
          <w:rFonts w:ascii="楷体_GB2312" w:hAnsi="楷体_GB2312" w:eastAsia="楷体_GB2312" w:cs="楷体_GB2312"/>
          <w:color w:val="000000"/>
          <w:sz w:val="40"/>
          <w:szCs w:val="40"/>
        </w:rPr>
      </w:pPr>
      <w:r>
        <w:rPr>
          <w:rFonts w:hint="eastAsia" w:ascii="黑体" w:hAnsi="黑体" w:eastAsia="黑体" w:cs="黑体"/>
          <w:color w:val="000000"/>
          <w:sz w:val="40"/>
          <w:szCs w:val="40"/>
        </w:rPr>
        <w:t>预算代码</w:t>
      </w:r>
      <w:r>
        <w:rPr>
          <w:rFonts w:hint="eastAsia" w:ascii="楷体_GB2312" w:hAnsi="楷体_GB2312" w:eastAsia="楷体_GB2312" w:cs="楷体_GB2312"/>
          <w:color w:val="000000"/>
          <w:sz w:val="40"/>
          <w:szCs w:val="40"/>
        </w:rPr>
        <w:t>：131001</w:t>
      </w:r>
    </w:p>
    <w:p>
      <w:pPr>
        <w:spacing w:line="600" w:lineRule="auto"/>
        <w:jc w:val="left"/>
        <w:rPr>
          <w:rFonts w:ascii="楷体_GB2312" w:hAnsi="楷体_GB2312" w:eastAsia="楷体_GB2312" w:cs="楷体_GB2312"/>
          <w:color w:val="000000"/>
          <w:sz w:val="40"/>
          <w:szCs w:val="40"/>
        </w:rPr>
      </w:pPr>
      <w:r>
        <w:rPr>
          <w:rFonts w:hint="eastAsia" w:ascii="黑体" w:hAnsi="黑体" w:eastAsia="黑体" w:cs="黑体"/>
          <w:color w:val="000000"/>
          <w:sz w:val="40"/>
          <w:szCs w:val="40"/>
        </w:rPr>
        <w:t>单位名称</w:t>
      </w:r>
      <w:r>
        <w:rPr>
          <w:rFonts w:hint="eastAsia" w:ascii="楷体_GB2312" w:hAnsi="楷体_GB2312" w:eastAsia="楷体_GB2312" w:cs="楷体_GB2312"/>
          <w:color w:val="000000"/>
          <w:sz w:val="40"/>
          <w:szCs w:val="40"/>
        </w:rPr>
        <w:t>：中国人民政治协商会议河北省石家庄市鹿泉区委员会(本级)</w:t>
      </w:r>
    </w:p>
    <w:p>
      <w:pPr>
        <w:spacing w:line="600" w:lineRule="auto"/>
        <w:jc w:val="left"/>
        <w:rPr>
          <w:rFonts w:ascii="楷体_GB2312" w:hAnsi="楷体_GB2312" w:eastAsia="楷体_GB2312" w:cs="楷体_GB2312"/>
          <w:color w:val="000000"/>
          <w:sz w:val="40"/>
          <w:szCs w:val="40"/>
        </w:rPr>
      </w:pPr>
    </w:p>
    <w:p>
      <w:pPr>
        <w:spacing w:line="600" w:lineRule="auto"/>
        <w:jc w:val="center"/>
        <w:rPr>
          <w:rFonts w:ascii="楷体_GB2312" w:hAnsi="楷体_GB2312" w:eastAsia="楷体_GB2312" w:cs="楷体_GB2312"/>
          <w:color w:val="000000"/>
          <w:sz w:val="40"/>
          <w:szCs w:val="40"/>
        </w:rPr>
      </w:pPr>
    </w:p>
    <w:p>
      <w:pPr>
        <w:spacing w:line="600" w:lineRule="auto"/>
        <w:jc w:val="center"/>
        <w:rPr>
          <w:rFonts w:ascii="楷体_GB2312" w:hAnsi="楷体_GB2312" w:eastAsia="楷体_GB2312" w:cs="楷体_GB2312"/>
          <w:color w:val="000000"/>
          <w:sz w:val="40"/>
          <w:szCs w:val="40"/>
        </w:rPr>
      </w:pPr>
    </w:p>
    <w:p>
      <w:pPr>
        <w:spacing w:line="600" w:lineRule="auto"/>
        <w:rPr>
          <w:rFonts w:ascii="楷体_GB2312" w:hAnsi="楷体_GB2312" w:eastAsia="楷体_GB2312" w:cs="楷体_GB2312"/>
          <w:color w:val="000000"/>
          <w:sz w:val="40"/>
          <w:szCs w:val="40"/>
        </w:rPr>
      </w:pPr>
    </w:p>
    <w:p>
      <w:pPr>
        <w:spacing w:line="600" w:lineRule="auto"/>
        <w:jc w:val="center"/>
        <w:rPr>
          <w:rFonts w:ascii="楷体_GB2312" w:hAnsi="楷体_GB2312" w:eastAsia="楷体_GB2312" w:cs="楷体_GB2312"/>
          <w:color w:val="000000"/>
          <w:sz w:val="40"/>
          <w:szCs w:val="40"/>
        </w:rPr>
      </w:pPr>
      <w:r>
        <w:rPr>
          <w:rFonts w:hint="eastAsia" w:ascii="楷体_GB2312" w:hAnsi="楷体_GB2312" w:eastAsia="楷体_GB2312" w:cs="楷体_GB2312"/>
          <w:color w:val="000000"/>
          <w:sz w:val="40"/>
          <w:szCs w:val="40"/>
        </w:rPr>
        <w:t>二〇二四年八月</w:t>
      </w:r>
    </w:p>
    <w:p>
      <w:pPr>
        <w:rPr>
          <w:rFonts w:ascii="黑体" w:hAnsi="黑体" w:eastAsia="黑体" w:cs="黑体"/>
          <w:b/>
          <w:bCs/>
          <w:sz w:val="72"/>
          <w:szCs w:val="96"/>
        </w:rPr>
      </w:pPr>
      <w:r>
        <w:rPr>
          <w:rFonts w:hint="eastAsia" w:ascii="楷体_GB2312" w:hAnsi="楷体_GB2312" w:eastAsia="楷体_GB2312" w:cs="楷体_GB2312"/>
          <w:color w:val="000000"/>
          <w:sz w:val="40"/>
          <w:szCs w:val="40"/>
        </w:rPr>
        <w:br w:type="page"/>
      </w:r>
    </w:p>
    <w:p>
      <w:pPr>
        <w:tabs>
          <w:tab w:val="left" w:pos="2728"/>
        </w:tabs>
        <w:jc w:val="center"/>
        <w:rPr>
          <w:rFonts w:ascii="黑体" w:hAnsi="Times New Roman" w:eastAsia="黑体" w:cs="Times New Roman"/>
          <w:sz w:val="44"/>
          <w:szCs w:val="44"/>
        </w:rPr>
      </w:pPr>
      <w:r>
        <w:rPr>
          <w:rFonts w:hint="eastAsia" w:ascii="黑体" w:hAnsi="Times New Roman" w:eastAsia="黑体" w:cs="Times New Roman"/>
          <w:sz w:val="44"/>
          <w:szCs w:val="44"/>
        </w:rPr>
        <w:t>目    录</w:t>
      </w:r>
    </w:p>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1273" w:firstLineChars="398"/>
        <w:rPr>
          <w:rFonts w:ascii="Times New Roman" w:hAnsi="Times New Roman" w:eastAsia="仿宋_GB2312" w:cs="Times New Roman"/>
          <w:sz w:val="32"/>
          <w:szCs w:val="32"/>
        </w:rPr>
      </w:pPr>
      <w:r>
        <w:rPr>
          <w:rFonts w:ascii="Times New Roman" w:hAnsi="Times New Roman" w:eastAsia="黑体" w:cs="Times New Roman"/>
          <w:sz w:val="32"/>
          <w:szCs w:val="32"/>
        </w:rPr>
        <w:t xml:space="preserve">第一部分   </w:t>
      </w:r>
      <w:r>
        <w:rPr>
          <w:rFonts w:hint="eastAsia" w:ascii="Times New Roman" w:hAnsi="Times New Roman" w:eastAsia="黑体" w:cs="Times New Roman"/>
          <w:sz w:val="32"/>
          <w:szCs w:val="32"/>
        </w:rPr>
        <w:t>单位概况</w:t>
      </w:r>
    </w:p>
    <w:p>
      <w:pPr>
        <w:widowControl/>
        <w:spacing w:after="160" w:line="580" w:lineRule="exact"/>
        <w:ind w:firstLine="1273" w:firstLineChars="398"/>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一、单位职责</w:t>
      </w:r>
    </w:p>
    <w:p>
      <w:pPr>
        <w:widowControl/>
        <w:spacing w:after="160" w:line="58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二、</w:t>
      </w:r>
      <w:r>
        <w:rPr>
          <w:rFonts w:hint="eastAsia" w:ascii="Times New Roman" w:hAnsi="Times New Roman" w:eastAsia="仿宋_GB2312" w:cs="Times New Roman"/>
          <w:sz w:val="32"/>
          <w:szCs w:val="32"/>
        </w:rPr>
        <w:t>机构设置</w:t>
      </w:r>
    </w:p>
    <w:p>
      <w:pPr>
        <w:widowControl/>
        <w:spacing w:after="160"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第二部分</w:t>
      </w:r>
      <w:r>
        <w:rPr>
          <w:rFonts w:hint="eastAsia" w:ascii="Times New Roman" w:hAnsi="Times New Roman" w:eastAsia="黑体" w:cs="Times New Roman"/>
          <w:sz w:val="32"/>
          <w:szCs w:val="32"/>
        </w:rPr>
        <w:t xml:space="preserve">   2023年</w:t>
      </w:r>
      <w:r>
        <w:rPr>
          <w:rFonts w:ascii="Times New Roman" w:hAnsi="Times New Roman" w:eastAsia="黑体" w:cs="Times New Roman"/>
          <w:sz w:val="32"/>
          <w:szCs w:val="32"/>
        </w:rPr>
        <w:t>度部门决算报表</w:t>
      </w:r>
    </w:p>
    <w:p>
      <w:pPr>
        <w:widowControl/>
        <w:spacing w:after="160" w:line="580" w:lineRule="exact"/>
        <w:ind w:firstLine="1280" w:firstLineChars="400"/>
        <w:rPr>
          <w:rFonts w:ascii="Times New Roman" w:hAnsi="Times New Roman" w:eastAsia="仿宋_GB2312" w:cs="Times New Roman"/>
          <w:sz w:val="32"/>
          <w:szCs w:val="32"/>
        </w:rPr>
      </w:pPr>
      <w:r>
        <w:rPr>
          <w:rFonts w:ascii="Times New Roman" w:hAnsi="Times New Roman" w:eastAsia="仿宋_GB2312" w:cs="Times New Roman"/>
          <w:sz w:val="32"/>
          <w:szCs w:val="32"/>
        </w:rPr>
        <w:t>一、</w:t>
      </w:r>
      <w:r>
        <w:rPr>
          <w:rFonts w:hint="eastAsia" w:ascii="Times New Roman" w:hAnsi="Times New Roman" w:eastAsia="仿宋_GB2312" w:cs="Times New Roman"/>
          <w:sz w:val="32"/>
          <w:szCs w:val="32"/>
        </w:rPr>
        <w:t>收入支出决算总表</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二、收入决算</w:t>
      </w:r>
      <w:r>
        <w:rPr>
          <w:rFonts w:hint="eastAsia" w:ascii="Times New Roman" w:hAnsi="Times New Roman" w:eastAsia="仿宋_GB2312" w:cs="Times New Roman"/>
          <w:sz w:val="32"/>
          <w:szCs w:val="32"/>
        </w:rPr>
        <w:t>表</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三、支出决算</w:t>
      </w:r>
      <w:r>
        <w:rPr>
          <w:rFonts w:hint="eastAsia" w:ascii="Times New Roman" w:hAnsi="Times New Roman" w:eastAsia="仿宋_GB2312" w:cs="Times New Roman"/>
          <w:sz w:val="32"/>
          <w:szCs w:val="32"/>
        </w:rPr>
        <w:t>表</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w:t>
      </w:r>
      <w:r>
        <w:rPr>
          <w:rFonts w:hint="eastAsia" w:ascii="Times New Roman" w:hAnsi="Times New Roman" w:eastAsia="仿宋_GB2312" w:cs="Times New Roman"/>
          <w:sz w:val="32"/>
          <w:szCs w:val="32"/>
        </w:rPr>
        <w:t>财政拨款收入支出决算总表</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五、一般公共预算财政拨款支出决算表</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六、一般公共预算财政拨款基本支出决算明细表</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七、政府性基金预算财政拨款收入支出决算表</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八</w:t>
      </w:r>
      <w:r>
        <w:rPr>
          <w:rFonts w:ascii="Times New Roman" w:hAnsi="Times New Roman" w:eastAsia="仿宋_GB2312" w:cs="Times New Roman"/>
          <w:sz w:val="32"/>
          <w:szCs w:val="32"/>
        </w:rPr>
        <w:t>、</w:t>
      </w:r>
      <w:r>
        <w:rPr>
          <w:rFonts w:hint="eastAsia" w:ascii="Times New Roman" w:hAnsi="Times New Roman" w:eastAsia="仿宋_GB2312" w:cs="Times New Roman"/>
          <w:sz w:val="32"/>
          <w:szCs w:val="32"/>
        </w:rPr>
        <w:t>国有资本经营预算财政拨款支出决算表</w:t>
      </w:r>
    </w:p>
    <w:p>
      <w:pPr>
        <w:widowControl/>
        <w:spacing w:after="160" w:line="580" w:lineRule="exact"/>
        <w:ind w:left="640" w:firstLine="640" w:firstLineChars="200"/>
        <w:rPr>
          <w:rFonts w:ascii="Times New Roman" w:hAnsi="Times New Roman" w:eastAsia="仿宋_GB2312" w:cs="Times New Roman"/>
          <w:sz w:val="20"/>
          <w:szCs w:val="32"/>
        </w:rPr>
      </w:pPr>
      <w:r>
        <w:rPr>
          <w:rFonts w:hint="eastAsia" w:ascii="Times New Roman" w:hAnsi="Times New Roman" w:eastAsia="仿宋_GB2312" w:cs="Times New Roman"/>
          <w:sz w:val="32"/>
          <w:szCs w:val="32"/>
        </w:rPr>
        <w:t>九、财政拨款“三公”经费支出决算表</w:t>
      </w:r>
    </w:p>
    <w:p>
      <w:pPr>
        <w:widowControl/>
        <w:spacing w:after="160"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 xml:space="preserve">第三部分   </w:t>
      </w:r>
      <w:r>
        <w:rPr>
          <w:rFonts w:hint="eastAsia" w:ascii="Times New Roman" w:hAnsi="Times New Roman" w:eastAsia="黑体" w:cs="Times New Roman"/>
          <w:sz w:val="32"/>
          <w:szCs w:val="32"/>
        </w:rPr>
        <w:t>2023年度</w:t>
      </w:r>
      <w:r>
        <w:rPr>
          <w:rFonts w:ascii="Times New Roman" w:hAnsi="Times New Roman" w:eastAsia="黑体" w:cs="Times New Roman"/>
          <w:sz w:val="32"/>
          <w:szCs w:val="32"/>
        </w:rPr>
        <w:t>部门决算情况说明</w:t>
      </w:r>
    </w:p>
    <w:p>
      <w:pPr>
        <w:widowControl/>
        <w:spacing w:after="160" w:line="580" w:lineRule="exact"/>
        <w:ind w:firstLine="1280" w:firstLineChars="400"/>
        <w:rPr>
          <w:rFonts w:ascii="Times New Roman" w:hAnsi="Times New Roman" w:eastAsia="仿宋_GB2312" w:cs="Times New Roman"/>
          <w:sz w:val="32"/>
          <w:szCs w:val="32"/>
        </w:rPr>
      </w:pPr>
      <w:r>
        <w:rPr>
          <w:rFonts w:ascii="Times New Roman" w:hAnsi="Times New Roman" w:eastAsia="仿宋_GB2312" w:cs="Times New Roman"/>
          <w:sz w:val="32"/>
          <w:szCs w:val="32"/>
        </w:rPr>
        <w:t>一、</w:t>
      </w:r>
      <w:r>
        <w:rPr>
          <w:rFonts w:hint="eastAsia" w:ascii="Times New Roman" w:hAnsi="Times New Roman" w:eastAsia="仿宋_GB2312" w:cs="Times New Roman"/>
          <w:sz w:val="32"/>
          <w:szCs w:val="32"/>
        </w:rPr>
        <w:t>收入支出决算总体情况说明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二、收入决算情况说明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三、支出决算情况说明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四、财政拨款收入支出决算总体情况说明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五、财政拨款“三公” 经费支出决算情况说明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六、机关运行经费支出说明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七、政府采购支出说明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八、国有资产占用情况说明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九、预算绩效情况说明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十、其他需要说明的情况</w:t>
      </w:r>
    </w:p>
    <w:p>
      <w:pPr>
        <w:widowControl/>
        <w:spacing w:after="160" w:line="580" w:lineRule="exact"/>
        <w:ind w:firstLine="640" w:firstLineChars="200"/>
        <w:rPr>
          <w:rFonts w:ascii="Times New Roman" w:hAnsi="Times New Roman" w:eastAsia="黑体" w:cs="Times New Roman"/>
          <w:sz w:val="32"/>
          <w:szCs w:val="32"/>
        </w:rPr>
        <w:sectPr>
          <w:headerReference r:id="rId4" w:type="first"/>
          <w:footerReference r:id="rId6" w:type="first"/>
          <w:headerReference r:id="rId3" w:type="default"/>
          <w:footerReference r:id="rId5" w:type="default"/>
          <w:pgSz w:w="11906" w:h="16838"/>
          <w:pgMar w:top="1474" w:right="1531" w:bottom="1474" w:left="1531" w:header="851" w:footer="992" w:gutter="0"/>
          <w:cols w:space="0" w:num="1"/>
          <w:titlePg/>
          <w:docGrid w:type="lines" w:linePitch="312" w:charSpace="0"/>
        </w:sectPr>
      </w:pPr>
      <w:r>
        <w:rPr>
          <w:rFonts w:ascii="Times New Roman" w:hAnsi="Times New Roman" w:eastAsia="黑体" w:cs="Times New Roman"/>
          <w:sz w:val="32"/>
          <w:szCs w:val="32"/>
        </w:rPr>
        <w:t>第</w:t>
      </w:r>
      <w:r>
        <w:rPr>
          <w:rFonts w:hint="eastAsia" w:ascii="Times New Roman" w:hAnsi="Times New Roman" w:eastAsia="黑体" w:cs="Times New Roman"/>
          <w:sz w:val="32"/>
          <w:szCs w:val="32"/>
        </w:rPr>
        <w:t>四</w:t>
      </w:r>
      <w:r>
        <w:rPr>
          <w:rFonts w:ascii="Times New Roman" w:hAnsi="Times New Roman" w:eastAsia="黑体" w:cs="Times New Roman"/>
          <w:sz w:val="32"/>
          <w:szCs w:val="32"/>
        </w:rPr>
        <w:t>部分</w:t>
      </w:r>
      <w:r>
        <w:rPr>
          <w:rFonts w:hint="eastAsia" w:ascii="Times New Roman" w:hAnsi="Times New Roman" w:eastAsia="黑体" w:cs="Times New Roman"/>
          <w:sz w:val="32"/>
          <w:szCs w:val="32"/>
        </w:rPr>
        <w:t xml:space="preserve">  </w:t>
      </w:r>
      <w:r>
        <w:rPr>
          <w:rFonts w:ascii="Times New Roman" w:hAnsi="Times New Roman" w:eastAsia="黑体" w:cs="Times New Roman"/>
          <w:sz w:val="32"/>
          <w:szCs w:val="32"/>
        </w:rPr>
        <w:t>名词解释</w:t>
      </w:r>
    </w:p>
    <w:p>
      <w:pPr>
        <w:rPr>
          <w:rFonts w:ascii="Arial" w:hAnsi="Arial" w:eastAsia="Arial" w:cs="Arial"/>
          <w:color w:val="000000"/>
          <w:sz w:val="18"/>
          <w:szCs w:val="18"/>
          <w:shd w:val="clear" w:color="auto" w:fill="FFFFFF"/>
        </w:rPr>
      </w:pPr>
    </w:p>
    <w:p>
      <w:pPr>
        <w:pStyle w:val="10"/>
        <w:widowControl/>
        <w:shd w:val="clear" w:color="auto" w:fill="FFFFFF"/>
        <w:spacing w:beforeAutospacing="0" w:afterAutospacing="0"/>
        <w:jc w:val="center"/>
        <w:rPr>
          <w:rFonts w:ascii="Arial" w:hAnsi="Arial" w:eastAsia="Arial" w:cs="Arial"/>
          <w:color w:val="000000"/>
          <w:sz w:val="18"/>
          <w:szCs w:val="18"/>
        </w:rPr>
      </w:pPr>
      <w:r>
        <w:rPr>
          <w:rFonts w:ascii="Arial" w:hAnsi="Arial" w:eastAsia="Arial" w:cs="Arial"/>
          <w:color w:val="000000"/>
          <w:sz w:val="18"/>
          <w:szCs w:val="18"/>
          <w:shd w:val="clear" w:color="auto" w:fill="FFFFFF"/>
        </w:rPr>
        <w:t> </w:t>
      </w:r>
    </w:p>
    <w:p>
      <w:pPr>
        <w:pStyle w:val="10"/>
        <w:widowControl/>
        <w:shd w:val="clear" w:color="auto" w:fill="FFFFFF"/>
        <w:spacing w:beforeAutospacing="0" w:afterAutospacing="0"/>
        <w:rPr>
          <w:rFonts w:ascii="Arial" w:hAnsi="Arial" w:eastAsia="Arial" w:cs="Arial"/>
          <w:color w:val="000000"/>
          <w:sz w:val="18"/>
          <w:szCs w:val="18"/>
          <w:shd w:val="clear" w:color="auto" w:fill="FFFFFF"/>
        </w:rPr>
      </w:pPr>
    </w:p>
    <w:p>
      <w:pPr>
        <w:pStyle w:val="10"/>
        <w:widowControl/>
        <w:shd w:val="clear" w:color="auto" w:fill="FFFFFF"/>
        <w:spacing w:beforeAutospacing="0" w:afterAutospacing="0"/>
        <w:jc w:val="center"/>
        <w:rPr>
          <w:rFonts w:ascii="黑体" w:hAnsi="宋体" w:eastAsia="黑体" w:cs="黑体"/>
          <w:color w:val="000000"/>
          <w:sz w:val="72"/>
          <w:szCs w:val="72"/>
          <w:shd w:val="clear" w:color="auto" w:fill="FFFFFF"/>
        </w:rPr>
      </w:pPr>
    </w:p>
    <w:p>
      <w:pPr>
        <w:pStyle w:val="10"/>
        <w:widowControl/>
        <w:shd w:val="clear" w:color="auto" w:fill="FFFFFF"/>
        <w:spacing w:beforeAutospacing="0" w:afterAutospacing="0"/>
        <w:jc w:val="center"/>
        <w:rPr>
          <w:rFonts w:ascii="黑体" w:hAnsi="宋体" w:eastAsia="黑体" w:cs="黑体"/>
          <w:color w:val="000000"/>
          <w:sz w:val="72"/>
          <w:szCs w:val="72"/>
          <w:shd w:val="clear" w:color="auto" w:fill="FFFFFF"/>
        </w:rPr>
      </w:pPr>
    </w:p>
    <w:p>
      <w:pPr>
        <w:pStyle w:val="10"/>
        <w:widowControl/>
        <w:shd w:val="clear" w:color="auto" w:fill="FFFFFF"/>
        <w:spacing w:beforeAutospacing="0" w:afterAutospacing="0"/>
        <w:jc w:val="center"/>
        <w:rPr>
          <w:rFonts w:ascii="黑体" w:hAnsi="宋体" w:eastAsia="黑体" w:cs="黑体"/>
          <w:color w:val="000000"/>
          <w:sz w:val="72"/>
          <w:szCs w:val="72"/>
          <w:shd w:val="clear" w:color="auto" w:fill="FFFFFF"/>
        </w:rPr>
      </w:pPr>
    </w:p>
    <w:p>
      <w:pPr>
        <w:pStyle w:val="10"/>
        <w:widowControl/>
        <w:shd w:val="clear" w:color="auto" w:fill="FFFFFF"/>
        <w:spacing w:beforeAutospacing="0" w:afterAutospacing="0"/>
        <w:jc w:val="center"/>
        <w:rPr>
          <w:rFonts w:ascii="Arial" w:hAnsi="Arial" w:eastAsia="Arial" w:cs="Arial"/>
          <w:color w:val="000000"/>
          <w:sz w:val="18"/>
          <w:szCs w:val="18"/>
        </w:rPr>
      </w:pPr>
      <w:r>
        <w:rPr>
          <w:rFonts w:hint="eastAsia" w:ascii="黑体" w:hAnsi="宋体" w:eastAsia="黑体" w:cs="黑体"/>
          <w:color w:val="000000"/>
          <w:sz w:val="72"/>
          <w:szCs w:val="72"/>
          <w:shd w:val="clear" w:color="auto" w:fill="FFFFFF"/>
        </w:rPr>
        <w:t>第一部分  单位概况</w:t>
      </w:r>
    </w:p>
    <w:p>
      <w:pPr>
        <w:pStyle w:val="10"/>
        <w:widowControl/>
        <w:shd w:val="clear" w:color="auto" w:fill="FFFFFF"/>
        <w:spacing w:beforeAutospacing="0" w:afterAutospacing="0"/>
        <w:jc w:val="center"/>
        <w:rPr>
          <w:rFonts w:ascii="Arial" w:hAnsi="Arial" w:eastAsia="Arial" w:cs="Arial"/>
          <w:color w:val="000000"/>
          <w:sz w:val="18"/>
          <w:szCs w:val="18"/>
        </w:rPr>
      </w:pPr>
      <w:r>
        <w:rPr>
          <w:rFonts w:ascii="Arial" w:hAnsi="Arial" w:eastAsia="Arial" w:cs="Arial"/>
          <w:color w:val="000000"/>
          <w:sz w:val="18"/>
          <w:szCs w:val="18"/>
          <w:shd w:val="clear" w:color="auto" w:fill="FFFFFF"/>
        </w:rPr>
        <w:t> </w:t>
      </w:r>
    </w:p>
    <w:p>
      <w:pPr>
        <w:pStyle w:val="10"/>
        <w:widowControl/>
        <w:shd w:val="clear" w:color="auto" w:fill="FFFFFF"/>
        <w:spacing w:beforeAutospacing="0" w:afterAutospacing="0"/>
        <w:jc w:val="center"/>
        <w:rPr>
          <w:rFonts w:ascii="Arial" w:hAnsi="Arial" w:eastAsia="Arial" w:cs="Arial"/>
          <w:color w:val="000000"/>
          <w:sz w:val="18"/>
          <w:szCs w:val="18"/>
        </w:rPr>
      </w:pPr>
      <w:r>
        <w:rPr>
          <w:rFonts w:ascii="Arial" w:hAnsi="Arial" w:eastAsia="Arial" w:cs="Arial"/>
          <w:color w:val="000000"/>
          <w:sz w:val="18"/>
          <w:szCs w:val="18"/>
          <w:shd w:val="clear" w:color="auto" w:fill="FFFFFF"/>
        </w:rPr>
        <w:t> </w:t>
      </w:r>
    </w:p>
    <w:p>
      <w:pPr>
        <w:pStyle w:val="10"/>
        <w:widowControl/>
        <w:shd w:val="clear" w:color="auto" w:fill="FFFFFF"/>
        <w:spacing w:beforeAutospacing="0" w:afterAutospacing="0"/>
        <w:jc w:val="center"/>
        <w:rPr>
          <w:rFonts w:ascii="Arial" w:hAnsi="Arial" w:eastAsia="Arial" w:cs="Arial"/>
          <w:color w:val="000000"/>
          <w:sz w:val="18"/>
          <w:szCs w:val="18"/>
        </w:rPr>
      </w:pPr>
      <w:r>
        <w:rPr>
          <w:rFonts w:ascii="Arial" w:hAnsi="Arial" w:eastAsia="Arial" w:cs="Arial"/>
          <w:color w:val="000000"/>
          <w:sz w:val="18"/>
          <w:szCs w:val="18"/>
          <w:shd w:val="clear" w:color="auto" w:fill="FFFFFF"/>
        </w:rPr>
        <w:t> </w:t>
      </w:r>
    </w:p>
    <w:p>
      <w:pPr>
        <w:pStyle w:val="10"/>
        <w:widowControl/>
        <w:shd w:val="clear" w:color="auto" w:fill="FFFFFF"/>
        <w:spacing w:beforeAutospacing="0" w:afterAutospacing="0"/>
        <w:jc w:val="center"/>
        <w:rPr>
          <w:rFonts w:ascii="Arial" w:hAnsi="Arial" w:eastAsia="Arial" w:cs="Arial"/>
          <w:color w:val="000000"/>
          <w:sz w:val="18"/>
          <w:szCs w:val="18"/>
        </w:rPr>
      </w:pPr>
      <w:r>
        <w:rPr>
          <w:rFonts w:ascii="Arial" w:hAnsi="Arial" w:eastAsia="Arial" w:cs="Arial"/>
          <w:color w:val="000000"/>
          <w:sz w:val="18"/>
          <w:szCs w:val="18"/>
          <w:shd w:val="clear" w:color="auto" w:fill="FFFFFF"/>
        </w:rPr>
        <w:t> </w:t>
      </w:r>
    </w:p>
    <w:p>
      <w:pPr>
        <w:pStyle w:val="10"/>
        <w:widowControl/>
        <w:shd w:val="clear" w:color="auto" w:fill="FFFFFF"/>
        <w:spacing w:beforeAutospacing="0" w:afterAutospacing="0"/>
        <w:jc w:val="center"/>
        <w:rPr>
          <w:rFonts w:ascii="Arial" w:hAnsi="Arial" w:eastAsia="Arial" w:cs="Arial"/>
          <w:color w:val="000000"/>
          <w:sz w:val="18"/>
          <w:szCs w:val="18"/>
        </w:rPr>
      </w:pPr>
      <w:r>
        <w:rPr>
          <w:rFonts w:ascii="Arial" w:hAnsi="Arial" w:eastAsia="Arial" w:cs="Arial"/>
          <w:color w:val="000000"/>
          <w:sz w:val="18"/>
          <w:szCs w:val="18"/>
          <w:shd w:val="clear" w:color="auto" w:fill="FFFFFF"/>
        </w:rPr>
        <w:t> </w:t>
      </w:r>
    </w:p>
    <w:p>
      <w:pPr>
        <w:pStyle w:val="10"/>
        <w:widowControl/>
        <w:shd w:val="clear" w:color="auto" w:fill="FFFFFF"/>
        <w:spacing w:beforeAutospacing="0" w:afterAutospacing="0"/>
        <w:jc w:val="center"/>
        <w:rPr>
          <w:rFonts w:ascii="Arial" w:hAnsi="Arial" w:eastAsia="Arial" w:cs="Arial"/>
          <w:color w:val="000000"/>
          <w:sz w:val="18"/>
          <w:szCs w:val="18"/>
        </w:rPr>
      </w:pPr>
      <w:r>
        <w:rPr>
          <w:rFonts w:ascii="Arial" w:hAnsi="Arial" w:eastAsia="Arial" w:cs="Arial"/>
          <w:color w:val="000000"/>
          <w:sz w:val="18"/>
          <w:szCs w:val="18"/>
          <w:shd w:val="clear" w:color="auto" w:fill="FFFFFF"/>
        </w:rPr>
        <w:t> </w:t>
      </w:r>
    </w:p>
    <w:p>
      <w:pPr>
        <w:pStyle w:val="10"/>
        <w:widowControl/>
        <w:shd w:val="clear" w:color="auto" w:fill="FFFFFF"/>
        <w:spacing w:beforeAutospacing="0" w:afterAutospacing="0"/>
        <w:jc w:val="center"/>
        <w:rPr>
          <w:rFonts w:ascii="Arial" w:hAnsi="Arial" w:eastAsia="Arial" w:cs="Arial"/>
          <w:color w:val="000000"/>
          <w:sz w:val="18"/>
          <w:szCs w:val="18"/>
        </w:rPr>
      </w:pPr>
      <w:r>
        <w:rPr>
          <w:rFonts w:ascii="Arial" w:hAnsi="Arial" w:eastAsia="Arial" w:cs="Arial"/>
          <w:color w:val="000000"/>
          <w:sz w:val="18"/>
          <w:szCs w:val="18"/>
          <w:shd w:val="clear" w:color="auto" w:fill="FFFFFF"/>
        </w:rPr>
        <w:t> </w:t>
      </w:r>
    </w:p>
    <w:p>
      <w:pPr>
        <w:pStyle w:val="10"/>
        <w:widowControl/>
        <w:shd w:val="clear" w:color="auto" w:fill="FFFFFF"/>
        <w:spacing w:beforeAutospacing="0" w:afterAutospacing="0"/>
        <w:jc w:val="center"/>
        <w:rPr>
          <w:rFonts w:ascii="Arial" w:hAnsi="Arial" w:eastAsia="Arial" w:cs="Arial"/>
          <w:color w:val="000000"/>
          <w:sz w:val="18"/>
          <w:szCs w:val="18"/>
        </w:rPr>
      </w:pPr>
      <w:r>
        <w:rPr>
          <w:rFonts w:ascii="Arial" w:hAnsi="Arial" w:eastAsia="Arial" w:cs="Arial"/>
          <w:color w:val="000000"/>
          <w:sz w:val="18"/>
          <w:szCs w:val="18"/>
          <w:shd w:val="clear" w:color="auto" w:fill="FFFFFF"/>
        </w:rPr>
        <w:t> </w:t>
      </w:r>
    </w:p>
    <w:p>
      <w:pPr>
        <w:pStyle w:val="10"/>
        <w:widowControl/>
        <w:shd w:val="clear" w:color="auto" w:fill="FFFFFF"/>
        <w:spacing w:beforeAutospacing="0" w:afterAutospacing="0"/>
        <w:jc w:val="center"/>
        <w:rPr>
          <w:rFonts w:ascii="Arial" w:hAnsi="Arial" w:eastAsia="Arial" w:cs="Arial"/>
          <w:color w:val="000000"/>
          <w:sz w:val="18"/>
          <w:szCs w:val="18"/>
        </w:rPr>
      </w:pPr>
      <w:r>
        <w:rPr>
          <w:rFonts w:ascii="Arial" w:hAnsi="Arial" w:eastAsia="Arial" w:cs="Arial"/>
          <w:color w:val="000000"/>
          <w:sz w:val="18"/>
          <w:szCs w:val="18"/>
          <w:shd w:val="clear" w:color="auto" w:fill="FFFFFF"/>
        </w:rPr>
        <w:t> </w:t>
      </w:r>
    </w:p>
    <w:p>
      <w:pPr>
        <w:pStyle w:val="10"/>
        <w:widowControl/>
        <w:shd w:val="clear" w:color="auto" w:fill="FFFFFF"/>
        <w:spacing w:beforeAutospacing="0" w:afterAutospacing="0"/>
        <w:jc w:val="center"/>
        <w:rPr>
          <w:rFonts w:ascii="Arial" w:hAnsi="Arial" w:eastAsia="Arial" w:cs="Arial"/>
          <w:color w:val="000000"/>
          <w:sz w:val="18"/>
          <w:szCs w:val="18"/>
        </w:rPr>
      </w:pPr>
      <w:r>
        <w:rPr>
          <w:rFonts w:ascii="Arial" w:hAnsi="Arial" w:eastAsia="Arial" w:cs="Arial"/>
          <w:color w:val="000000"/>
          <w:sz w:val="18"/>
          <w:szCs w:val="18"/>
          <w:shd w:val="clear" w:color="auto" w:fill="FFFFFF"/>
        </w:rPr>
        <w:t> </w:t>
      </w:r>
    </w:p>
    <w:p>
      <w:pPr>
        <w:pStyle w:val="10"/>
        <w:widowControl/>
        <w:shd w:val="clear" w:color="auto" w:fill="FFFFFF"/>
        <w:spacing w:beforeAutospacing="0" w:afterAutospacing="0"/>
        <w:jc w:val="center"/>
        <w:rPr>
          <w:rFonts w:ascii="Arial" w:hAnsi="Arial" w:eastAsia="Arial" w:cs="Arial"/>
          <w:color w:val="000000"/>
          <w:sz w:val="18"/>
          <w:szCs w:val="18"/>
        </w:rPr>
      </w:pPr>
      <w:r>
        <w:rPr>
          <w:rFonts w:ascii="Arial" w:hAnsi="Arial" w:eastAsia="Arial" w:cs="Arial"/>
          <w:color w:val="000000"/>
          <w:sz w:val="18"/>
          <w:szCs w:val="18"/>
          <w:shd w:val="clear" w:color="auto" w:fill="FFFFFF"/>
        </w:rPr>
        <w:t> </w:t>
      </w:r>
    </w:p>
    <w:p>
      <w:pPr>
        <w:pStyle w:val="10"/>
        <w:widowControl/>
        <w:shd w:val="clear" w:color="auto" w:fill="FFFFFF"/>
        <w:spacing w:beforeAutospacing="0" w:afterAutospacing="0"/>
        <w:jc w:val="center"/>
        <w:rPr>
          <w:rFonts w:ascii="Arial" w:hAnsi="Arial" w:eastAsia="Arial" w:cs="Arial"/>
          <w:color w:val="000000"/>
          <w:sz w:val="18"/>
          <w:szCs w:val="18"/>
        </w:rPr>
      </w:pPr>
      <w:r>
        <w:rPr>
          <w:rFonts w:ascii="Arial" w:hAnsi="Arial" w:eastAsia="Arial" w:cs="Arial"/>
          <w:color w:val="000000"/>
          <w:sz w:val="18"/>
          <w:szCs w:val="18"/>
          <w:shd w:val="clear" w:color="auto" w:fill="FFFFFF"/>
        </w:rPr>
        <w:t> </w:t>
      </w:r>
    </w:p>
    <w:p>
      <w:pPr>
        <w:pStyle w:val="10"/>
        <w:widowControl/>
        <w:shd w:val="clear" w:color="auto" w:fill="FFFFFF"/>
        <w:spacing w:beforeAutospacing="0" w:afterAutospacing="0"/>
        <w:rPr>
          <w:rFonts w:ascii="Arial" w:hAnsi="Arial" w:eastAsia="Arial" w:cs="Arial"/>
          <w:color w:val="000000"/>
          <w:sz w:val="18"/>
          <w:szCs w:val="18"/>
        </w:rPr>
      </w:pPr>
      <w:r>
        <w:rPr>
          <w:rFonts w:ascii="Arial" w:hAnsi="Arial" w:eastAsia="Arial" w:cs="Arial"/>
          <w:color w:val="000000"/>
          <w:sz w:val="18"/>
          <w:szCs w:val="18"/>
          <w:shd w:val="clear" w:color="auto" w:fill="FFFFFF"/>
        </w:rPr>
        <w:t> </w:t>
      </w:r>
    </w:p>
    <w:p>
      <w:pPr>
        <w:rPr>
          <w:rFonts w:ascii="黑体" w:hAnsi="宋体" w:eastAsia="黑体" w:cs="黑体"/>
          <w:color w:val="000000"/>
          <w:sz w:val="33"/>
          <w:szCs w:val="33"/>
          <w:shd w:val="clear" w:color="auto" w:fill="FFFFFF"/>
        </w:rPr>
      </w:pPr>
      <w:r>
        <w:rPr>
          <w:rFonts w:hint="eastAsia" w:ascii="黑体" w:hAnsi="宋体" w:eastAsia="黑体" w:cs="黑体"/>
          <w:color w:val="000000"/>
          <w:sz w:val="33"/>
          <w:szCs w:val="33"/>
          <w:shd w:val="clear" w:color="auto" w:fill="FFFFFF"/>
        </w:rPr>
        <w:br w:type="page"/>
      </w:r>
    </w:p>
    <w:p>
      <w:pPr>
        <w:pStyle w:val="10"/>
        <w:widowControl/>
        <w:shd w:val="clear" w:color="auto" w:fill="FFFFFF"/>
        <w:spacing w:beforeAutospacing="0" w:afterAutospacing="0"/>
        <w:outlineLvl w:val="1"/>
        <w:rPr>
          <w:rFonts w:ascii="Arial" w:hAnsi="Arial" w:eastAsia="Arial" w:cs="Arial"/>
          <w:color w:val="000000"/>
          <w:sz w:val="32"/>
          <w:szCs w:val="32"/>
        </w:rPr>
      </w:pPr>
      <w:r>
        <w:rPr>
          <w:rFonts w:hint="eastAsia" w:ascii="黑体" w:hAnsi="宋体" w:eastAsia="黑体" w:cs="黑体"/>
          <w:color w:val="000000"/>
          <w:sz w:val="32"/>
          <w:szCs w:val="32"/>
          <w:shd w:val="clear" w:color="auto" w:fill="FFFFFF"/>
        </w:rPr>
        <w:t>一、单位职责</w:t>
      </w:r>
    </w:p>
    <w:p>
      <w:pPr>
        <w:pStyle w:val="10"/>
        <w:widowControl/>
        <w:shd w:val="clear" w:color="auto" w:fill="FFFFFF"/>
        <w:spacing w:beforeAutospacing="0" w:afterAutospacing="0"/>
        <w:rPr>
          <w:rFonts w:hint="eastAsia" w:ascii="仿宋_GB2312" w:hAnsi="仿宋_GB2312" w:eastAsia="仿宋_GB2312" w:cs="仿宋_GB2312"/>
          <w:color w:val="000000"/>
          <w:sz w:val="32"/>
          <w:szCs w:val="32"/>
          <w:shd w:val="clear" w:color="auto" w:fill="FFFFFF"/>
        </w:rPr>
      </w:pPr>
      <w:r>
        <w:rPr>
          <w:rFonts w:ascii="Arial" w:hAnsi="Arial" w:eastAsia="Arial" w:cs="Arial"/>
          <w:color w:val="000000"/>
          <w:sz w:val="18"/>
          <w:szCs w:val="18"/>
          <w:shd w:val="clear" w:color="auto" w:fill="FFFFFF"/>
        </w:rPr>
        <w:t> </w:t>
      </w:r>
      <w:r>
        <w:rPr>
          <w:rFonts w:hint="eastAsia" w:ascii="仿宋_GB2312" w:hAnsi="仿宋_GB2312" w:eastAsia="仿宋_GB2312" w:cs="仿宋_GB2312"/>
          <w:color w:val="000000"/>
          <w:sz w:val="32"/>
          <w:szCs w:val="32"/>
          <w:shd w:val="clear" w:color="auto" w:fill="FFFFFF"/>
        </w:rPr>
        <w:t>（一）政治协商</w:t>
      </w:r>
    </w:p>
    <w:p>
      <w:pPr>
        <w:pStyle w:val="10"/>
        <w:widowControl/>
        <w:shd w:val="clear" w:color="auto" w:fill="FFFFFF"/>
        <w:spacing w:beforeAutospacing="0" w:afterAutospacing="0"/>
        <w:rPr>
          <w:rFonts w:hint="eastAsia" w:ascii="仿宋_GB2312" w:hAnsi="仿宋_GB2312" w:eastAsia="仿宋_GB2312" w:cs="仿宋_GB2312"/>
          <w:color w:val="000000"/>
          <w:sz w:val="32"/>
          <w:szCs w:val="32"/>
          <w:shd w:val="clear" w:color="auto" w:fill="FFFFFF"/>
        </w:rPr>
      </w:pPr>
      <w:r>
        <w:rPr>
          <w:rFonts w:hint="eastAsia" w:ascii="仿宋_GB2312" w:hAnsi="仿宋_GB2312" w:eastAsia="仿宋_GB2312" w:cs="仿宋_GB2312"/>
          <w:color w:val="000000"/>
          <w:sz w:val="32"/>
          <w:szCs w:val="32"/>
          <w:shd w:val="clear" w:color="auto" w:fill="FFFFFF"/>
        </w:rPr>
        <w:t>政协各类会议是政协履行职能的主要形式，是开展工作的主体，是委员履行自身职责的主要途径，完善各项会议制度，规范会议程序，提高会议质量，提高政治协商水平。根据形势、任务和党委政府统一部署，安排协商活动，召开专题座谈会等，增强开展政治协商的自觉性和主动性，规范协商内容，丰富协商形式和层次，把政治协商纳入决策程序。</w:t>
      </w:r>
    </w:p>
    <w:p>
      <w:pPr>
        <w:pStyle w:val="10"/>
        <w:widowControl/>
        <w:shd w:val="clear" w:color="auto" w:fill="FFFFFF"/>
        <w:spacing w:beforeAutospacing="0" w:afterAutospacing="0"/>
        <w:rPr>
          <w:rFonts w:hint="eastAsia" w:ascii="仿宋_GB2312" w:hAnsi="仿宋_GB2312" w:eastAsia="仿宋_GB2312" w:cs="仿宋_GB2312"/>
          <w:color w:val="000000"/>
          <w:sz w:val="32"/>
          <w:szCs w:val="32"/>
          <w:shd w:val="clear" w:color="auto" w:fill="FFFFFF"/>
        </w:rPr>
      </w:pPr>
      <w:r>
        <w:rPr>
          <w:rFonts w:hint="eastAsia" w:ascii="仿宋_GB2312" w:hAnsi="仿宋_GB2312" w:eastAsia="仿宋_GB2312" w:cs="仿宋_GB2312"/>
          <w:color w:val="000000"/>
          <w:sz w:val="32"/>
          <w:szCs w:val="32"/>
          <w:shd w:val="clear" w:color="auto" w:fill="FFFFFF"/>
        </w:rPr>
        <w:t>（一）民主监督</w:t>
      </w:r>
    </w:p>
    <w:p>
      <w:pPr>
        <w:pStyle w:val="10"/>
        <w:widowControl/>
        <w:shd w:val="clear" w:color="auto" w:fill="FFFFFF"/>
        <w:spacing w:beforeAutospacing="0" w:afterAutospacing="0"/>
        <w:rPr>
          <w:rFonts w:hint="eastAsia" w:ascii="仿宋_GB2312" w:hAnsi="仿宋_GB2312" w:eastAsia="仿宋_GB2312" w:cs="仿宋_GB2312"/>
          <w:color w:val="000000"/>
          <w:sz w:val="32"/>
          <w:szCs w:val="32"/>
          <w:shd w:val="clear" w:color="auto" w:fill="FFFFFF"/>
        </w:rPr>
      </w:pPr>
      <w:r>
        <w:rPr>
          <w:rFonts w:hint="eastAsia" w:ascii="仿宋_GB2312" w:hAnsi="仿宋_GB2312" w:eastAsia="仿宋_GB2312" w:cs="仿宋_GB2312"/>
          <w:color w:val="000000"/>
          <w:sz w:val="32"/>
          <w:szCs w:val="32"/>
          <w:shd w:val="clear" w:color="auto" w:fill="FFFFFF"/>
        </w:rPr>
        <w:t>有效履行民主监督职责。通过意见、建议的方式对国家法律法规的实施、重大方针政策的贯彻执行、完善民主监督机制，畅通民主监督渠道，建立健全知情、沟通制度，将民主监督寓于委员提案、进行视察、参与工作检查等活动中，提高民主监督质量和成效，对区委、区政府的工作进行政治监督，组织、鼓励和引导委员深入实际，通过建议案、提案等形式进行监督。</w:t>
      </w:r>
    </w:p>
    <w:p>
      <w:pPr>
        <w:pStyle w:val="10"/>
        <w:widowControl/>
        <w:shd w:val="clear" w:color="auto" w:fill="FFFFFF"/>
        <w:spacing w:beforeAutospacing="0" w:afterAutospacing="0"/>
        <w:rPr>
          <w:rFonts w:hint="eastAsia" w:ascii="仿宋_GB2312" w:hAnsi="仿宋_GB2312" w:eastAsia="仿宋_GB2312" w:cs="仿宋_GB2312"/>
          <w:color w:val="000000"/>
          <w:sz w:val="32"/>
          <w:szCs w:val="32"/>
          <w:shd w:val="clear" w:color="auto" w:fill="FFFFFF"/>
        </w:rPr>
      </w:pPr>
      <w:r>
        <w:rPr>
          <w:rFonts w:hint="eastAsia" w:ascii="仿宋_GB2312" w:hAnsi="仿宋_GB2312" w:eastAsia="仿宋_GB2312" w:cs="仿宋_GB2312"/>
          <w:color w:val="000000"/>
          <w:sz w:val="32"/>
          <w:szCs w:val="32"/>
          <w:shd w:val="clear" w:color="auto" w:fill="FFFFFF"/>
        </w:rPr>
        <w:t>通过参加党委政府组织的调查和检查活动实施监督。对政协委员和参加政协的各党派团体以及各专委会（提案者）的提案进行审查立案，立案后交承办单位办理，适时督办。</w:t>
      </w:r>
    </w:p>
    <w:p>
      <w:pPr>
        <w:pStyle w:val="10"/>
        <w:widowControl/>
        <w:shd w:val="clear" w:color="auto" w:fill="FFFFFF"/>
        <w:spacing w:beforeAutospacing="0" w:afterAutospacing="0"/>
        <w:rPr>
          <w:rFonts w:hint="eastAsia" w:ascii="仿宋_GB2312" w:hAnsi="仿宋_GB2312" w:eastAsia="仿宋_GB2312" w:cs="仿宋_GB2312"/>
          <w:color w:val="000000"/>
          <w:sz w:val="32"/>
          <w:szCs w:val="32"/>
          <w:shd w:val="clear" w:color="auto" w:fill="FFFFFF"/>
        </w:rPr>
      </w:pPr>
      <w:r>
        <w:rPr>
          <w:rFonts w:hint="eastAsia" w:ascii="仿宋_GB2312" w:hAnsi="仿宋_GB2312" w:eastAsia="仿宋_GB2312" w:cs="仿宋_GB2312"/>
          <w:color w:val="000000"/>
          <w:sz w:val="32"/>
          <w:szCs w:val="32"/>
          <w:shd w:val="clear" w:color="auto" w:fill="FFFFFF"/>
        </w:rPr>
        <w:t>完善民主监督机制，畅通民主监督渠道，建立健全知情、沟通制度，加强工作协调配合，提高民主监督的质量和成效。</w:t>
      </w:r>
    </w:p>
    <w:p>
      <w:pPr>
        <w:pStyle w:val="10"/>
        <w:widowControl/>
        <w:shd w:val="clear" w:color="auto" w:fill="FFFFFF"/>
        <w:spacing w:beforeAutospacing="0" w:afterAutospacing="0"/>
        <w:rPr>
          <w:rFonts w:hint="eastAsia" w:ascii="仿宋_GB2312" w:hAnsi="仿宋_GB2312" w:eastAsia="仿宋_GB2312" w:cs="仿宋_GB2312"/>
          <w:color w:val="000000"/>
          <w:sz w:val="32"/>
          <w:szCs w:val="32"/>
          <w:shd w:val="clear" w:color="auto" w:fill="FFFFFF"/>
        </w:rPr>
      </w:pPr>
      <w:r>
        <w:rPr>
          <w:rFonts w:hint="eastAsia" w:ascii="仿宋_GB2312" w:hAnsi="仿宋_GB2312" w:eastAsia="仿宋_GB2312" w:cs="仿宋_GB2312"/>
          <w:color w:val="000000"/>
          <w:sz w:val="32"/>
          <w:szCs w:val="32"/>
          <w:shd w:val="clear" w:color="auto" w:fill="FFFFFF"/>
        </w:rPr>
        <w:t>完善提案审查、办理和反馈机制，做到提案程序更加规范，制度更加完善，提案质量和办理质量不断提高，政协履职作用更加突出。</w:t>
      </w:r>
    </w:p>
    <w:p>
      <w:pPr>
        <w:pStyle w:val="10"/>
        <w:widowControl/>
        <w:shd w:val="clear" w:color="auto" w:fill="FFFFFF"/>
        <w:spacing w:beforeAutospacing="0" w:afterAutospacing="0"/>
        <w:rPr>
          <w:rFonts w:hint="eastAsia" w:ascii="仿宋_GB2312" w:hAnsi="仿宋_GB2312" w:eastAsia="仿宋_GB2312" w:cs="仿宋_GB2312"/>
          <w:color w:val="000000"/>
          <w:sz w:val="32"/>
          <w:szCs w:val="32"/>
          <w:shd w:val="clear" w:color="auto" w:fill="FFFFFF"/>
        </w:rPr>
      </w:pPr>
      <w:r>
        <w:rPr>
          <w:rFonts w:hint="eastAsia" w:ascii="仿宋_GB2312" w:hAnsi="仿宋_GB2312" w:eastAsia="仿宋_GB2312" w:cs="仿宋_GB2312"/>
          <w:color w:val="000000"/>
          <w:sz w:val="32"/>
          <w:szCs w:val="32"/>
          <w:shd w:val="clear" w:color="auto" w:fill="FFFFFF"/>
        </w:rPr>
        <w:t>（三）参政议政</w:t>
      </w:r>
    </w:p>
    <w:p>
      <w:pPr>
        <w:pStyle w:val="10"/>
        <w:widowControl/>
        <w:shd w:val="clear" w:color="auto" w:fill="FFFFFF"/>
        <w:spacing w:beforeAutospacing="0" w:afterAutospacing="0"/>
        <w:rPr>
          <w:rFonts w:hint="eastAsia" w:ascii="仿宋_GB2312" w:hAnsi="仿宋_GB2312" w:eastAsia="仿宋_GB2312" w:cs="仿宋_GB2312"/>
          <w:color w:val="000000"/>
          <w:sz w:val="32"/>
          <w:szCs w:val="32"/>
          <w:shd w:val="clear" w:color="auto" w:fill="FFFFFF"/>
        </w:rPr>
      </w:pPr>
      <w:r>
        <w:rPr>
          <w:rFonts w:hint="eastAsia" w:ascii="仿宋_GB2312" w:hAnsi="仿宋_GB2312" w:eastAsia="仿宋_GB2312" w:cs="仿宋_GB2312"/>
          <w:color w:val="000000"/>
          <w:sz w:val="32"/>
          <w:szCs w:val="32"/>
          <w:shd w:val="clear" w:color="auto" w:fill="FFFFFF"/>
        </w:rPr>
        <w:t>通过对重大问题以及人民群众普遍关心的问题，开展调查研究，向区委、区政府提出意见和建议，发挥政协作为扩大社会各界有序参与的重要渠道作用，探索开展活动的新方法新途径，充分调动委员参政议政积极，向区委、区政府提出高质量的建议案。</w:t>
      </w:r>
    </w:p>
    <w:p>
      <w:pPr>
        <w:pStyle w:val="10"/>
        <w:widowControl/>
        <w:shd w:val="clear" w:color="auto" w:fill="FFFFFF"/>
        <w:spacing w:beforeAutospacing="0" w:afterAutospacing="0"/>
        <w:rPr>
          <w:rFonts w:hint="eastAsia" w:ascii="仿宋_GB2312" w:hAnsi="仿宋_GB2312" w:eastAsia="仿宋_GB2312" w:cs="仿宋_GB2312"/>
          <w:color w:val="000000"/>
          <w:sz w:val="32"/>
          <w:szCs w:val="32"/>
          <w:shd w:val="clear" w:color="auto" w:fill="FFFFFF"/>
        </w:rPr>
      </w:pPr>
      <w:r>
        <w:rPr>
          <w:rFonts w:hint="eastAsia" w:ascii="仿宋_GB2312" w:hAnsi="仿宋_GB2312" w:eastAsia="仿宋_GB2312" w:cs="仿宋_GB2312"/>
          <w:color w:val="000000"/>
          <w:sz w:val="32"/>
          <w:szCs w:val="32"/>
          <w:shd w:val="clear" w:color="auto" w:fill="FFFFFF"/>
        </w:rPr>
        <w:t>通过界别渠道密切联系群众，反映社情民意，努力做到协调关系、化解矛盾、理顺情绪，增进社会各阶层不同利益群体的和谐和稳定。</w:t>
      </w:r>
    </w:p>
    <w:p>
      <w:pPr>
        <w:pStyle w:val="10"/>
        <w:widowControl/>
        <w:shd w:val="clear" w:color="auto" w:fill="FFFFFF"/>
        <w:spacing w:beforeAutospacing="0" w:afterAutospacing="0"/>
        <w:rPr>
          <w:rFonts w:hint="eastAsia" w:ascii="仿宋_GB2312" w:hAnsi="仿宋_GB2312" w:eastAsia="仿宋_GB2312" w:cs="仿宋_GB2312"/>
          <w:color w:val="000000"/>
          <w:sz w:val="32"/>
          <w:szCs w:val="32"/>
          <w:shd w:val="clear" w:color="auto" w:fill="FFFFFF"/>
        </w:rPr>
      </w:pPr>
      <w:r>
        <w:rPr>
          <w:rFonts w:hint="eastAsia" w:ascii="仿宋_GB2312" w:hAnsi="仿宋_GB2312" w:eastAsia="仿宋_GB2312" w:cs="仿宋_GB2312"/>
          <w:color w:val="000000"/>
          <w:sz w:val="32"/>
          <w:szCs w:val="32"/>
          <w:shd w:val="clear" w:color="auto" w:fill="FFFFFF"/>
        </w:rPr>
        <w:t>（四）政协事务管理</w:t>
      </w:r>
    </w:p>
    <w:p>
      <w:pPr>
        <w:pStyle w:val="10"/>
        <w:widowControl/>
        <w:shd w:val="clear" w:color="auto" w:fill="FFFFFF"/>
        <w:spacing w:beforeAutospacing="0" w:afterAutospacing="0"/>
        <w:rPr>
          <w:rFonts w:hint="eastAsia" w:ascii="仿宋_GB2312" w:hAnsi="仿宋_GB2312" w:eastAsia="仿宋_GB2312" w:cs="仿宋_GB2312"/>
          <w:color w:val="000000"/>
          <w:sz w:val="32"/>
          <w:szCs w:val="32"/>
          <w:shd w:val="clear" w:color="auto" w:fill="FFFFFF"/>
        </w:rPr>
      </w:pPr>
      <w:r>
        <w:rPr>
          <w:rFonts w:hint="eastAsia" w:ascii="仿宋_GB2312" w:hAnsi="仿宋_GB2312" w:eastAsia="仿宋_GB2312" w:cs="仿宋_GB2312"/>
          <w:color w:val="000000"/>
          <w:sz w:val="32"/>
          <w:szCs w:val="32"/>
          <w:shd w:val="clear" w:color="auto" w:fill="FFFFFF"/>
        </w:rPr>
        <w:t>加强区政协机关自身建设和宣传工作，扩大政协与区委、区人大常委会、区政府、各民主党派、工商联、人民团体、区直有关部门和市、县（区）政协的联系、协调工作。</w:t>
      </w:r>
    </w:p>
    <w:p>
      <w:pPr>
        <w:pStyle w:val="10"/>
        <w:widowControl/>
        <w:shd w:val="clear" w:color="auto" w:fill="FFFFFF"/>
        <w:spacing w:beforeAutospacing="0" w:afterAutospacing="0"/>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shd w:val="clear" w:color="auto" w:fill="FFFFFF"/>
        </w:rPr>
        <w:t>区政协机关的日常工作，机构编制、人事任免、调配及人员培训、考核奖惩、工资福利，后勤保障、机关经费管理、资产管理、基建和审计，机关接待、离退休人员服务，以及承办区政协主席、副主席、交办的其他事项，机关基本设施设备正常运转、信息化保障、老干部服务保障能力进一步提高。</w:t>
      </w:r>
    </w:p>
    <w:p>
      <w:pPr>
        <w:pStyle w:val="10"/>
        <w:widowControl/>
        <w:shd w:val="clear" w:color="auto" w:fill="FFFFFF"/>
        <w:spacing w:beforeAutospacing="0" w:afterAutospacing="0"/>
        <w:outlineLvl w:val="1"/>
        <w:rPr>
          <w:rFonts w:ascii="Arial" w:hAnsi="Arial" w:eastAsia="Arial" w:cs="Arial"/>
          <w:color w:val="000000"/>
          <w:sz w:val="32"/>
          <w:szCs w:val="32"/>
        </w:rPr>
      </w:pPr>
      <w:r>
        <w:rPr>
          <w:rFonts w:hint="eastAsia" w:ascii="黑体" w:hAnsi="宋体" w:eastAsia="黑体" w:cs="黑体"/>
          <w:color w:val="000000"/>
          <w:sz w:val="32"/>
          <w:szCs w:val="32"/>
          <w:shd w:val="clear" w:color="auto" w:fill="FFFFFF"/>
        </w:rPr>
        <w:t>二、机构设置</w:t>
      </w:r>
    </w:p>
    <w:p>
      <w:pPr>
        <w:pStyle w:val="10"/>
        <w:widowControl/>
        <w:shd w:val="clear" w:color="auto" w:fill="FFFFFF"/>
        <w:spacing w:beforeAutospacing="0" w:afterAutospacing="0"/>
        <w:ind w:firstLine="640" w:firstLineChars="200"/>
        <w:rPr>
          <w:rFonts w:ascii="仿宋_GB2312" w:hAnsi="仿宋_GB2312" w:eastAsia="仿宋_GB2312" w:cs="仿宋_GB2312"/>
          <w:sz w:val="32"/>
          <w:szCs w:val="32"/>
          <w:shd w:val="clear" w:color="auto" w:fill="FFFFFF"/>
        </w:rPr>
      </w:pPr>
      <w:r>
        <w:rPr>
          <w:rFonts w:ascii="仿宋_GB2312" w:hAnsi="仿宋_GB2312" w:eastAsia="仿宋_GB2312" w:cs="仿宋_GB2312"/>
          <w:sz w:val="32"/>
          <w:szCs w:val="32"/>
          <w:shd w:val="clear" w:color="auto" w:fill="FFFFFF"/>
        </w:rPr>
        <w:t>从决算编报</w:t>
      </w:r>
      <w:r>
        <w:rPr>
          <w:rFonts w:hint="eastAsia" w:ascii="仿宋_GB2312" w:hAnsi="仿宋_GB2312" w:eastAsia="仿宋_GB2312" w:cs="仿宋_GB2312"/>
          <w:sz w:val="32"/>
          <w:szCs w:val="32"/>
          <w:shd w:val="clear" w:color="auto" w:fill="FFFFFF"/>
        </w:rPr>
        <w:t>单位</w:t>
      </w:r>
      <w:r>
        <w:rPr>
          <w:rFonts w:ascii="仿宋_GB2312" w:hAnsi="仿宋_GB2312" w:eastAsia="仿宋_GB2312" w:cs="仿宋_GB2312"/>
          <w:sz w:val="32"/>
          <w:szCs w:val="32"/>
          <w:shd w:val="clear" w:color="auto" w:fill="FFFFFF"/>
        </w:rPr>
        <w:t>构成看，纳入</w:t>
      </w:r>
      <w:r>
        <w:rPr>
          <w:rFonts w:hint="eastAsia" w:ascii="仿宋_GB2312" w:hAnsi="仿宋_GB2312" w:eastAsia="仿宋_GB2312" w:cs="仿宋_GB2312"/>
          <w:sz w:val="32"/>
          <w:szCs w:val="32"/>
          <w:shd w:val="clear" w:color="auto" w:fill="FFFFFF"/>
        </w:rPr>
        <w:t>2023</w:t>
      </w:r>
      <w:r>
        <w:rPr>
          <w:rFonts w:ascii="仿宋_GB2312" w:hAnsi="仿宋_GB2312" w:eastAsia="仿宋_GB2312" w:cs="仿宋_GB2312"/>
          <w:sz w:val="32"/>
          <w:szCs w:val="32"/>
          <w:shd w:val="clear" w:color="auto" w:fill="FFFFFF"/>
        </w:rPr>
        <w:t>年度</w:t>
      </w:r>
      <w:r>
        <w:rPr>
          <w:rFonts w:hint="eastAsia" w:ascii="仿宋_GB2312" w:hAnsi="仿宋_GB2312" w:eastAsia="仿宋_GB2312" w:cs="仿宋_GB2312"/>
          <w:sz w:val="32"/>
          <w:szCs w:val="32"/>
          <w:shd w:val="clear" w:color="auto" w:fill="FFFFFF"/>
        </w:rPr>
        <w:t>本部门</w:t>
      </w:r>
      <w:r>
        <w:rPr>
          <w:rFonts w:ascii="仿宋_GB2312" w:hAnsi="仿宋_GB2312" w:eastAsia="仿宋_GB2312" w:cs="仿宋_GB2312"/>
          <w:sz w:val="32"/>
          <w:szCs w:val="32"/>
          <w:shd w:val="clear" w:color="auto" w:fill="FFFFFF"/>
        </w:rPr>
        <w:t>决算汇编范围的独立核算</w:t>
      </w:r>
      <w:r>
        <w:rPr>
          <w:rFonts w:hint="eastAsia" w:ascii="仿宋_GB2312" w:hAnsi="仿宋_GB2312" w:eastAsia="仿宋_GB2312" w:cs="仿宋_GB2312"/>
          <w:sz w:val="32"/>
          <w:szCs w:val="32"/>
          <w:shd w:val="clear" w:color="auto" w:fill="FFFFFF"/>
        </w:rPr>
        <w:t>单位</w:t>
      </w:r>
      <w:r>
        <w:rPr>
          <w:rFonts w:ascii="仿宋_GB2312" w:hAnsi="仿宋_GB2312" w:eastAsia="仿宋_GB2312" w:cs="仿宋_GB2312"/>
          <w:sz w:val="32"/>
          <w:szCs w:val="32"/>
          <w:shd w:val="clear" w:color="auto" w:fill="FFFFFF"/>
        </w:rPr>
        <w:t>（以下简称“</w:t>
      </w:r>
      <w:r>
        <w:rPr>
          <w:rFonts w:hint="eastAsia" w:ascii="仿宋_GB2312" w:hAnsi="仿宋_GB2312" w:eastAsia="仿宋_GB2312" w:cs="仿宋_GB2312"/>
          <w:sz w:val="32"/>
          <w:szCs w:val="32"/>
          <w:shd w:val="clear" w:color="auto" w:fill="FFFFFF"/>
        </w:rPr>
        <w:t>单位</w:t>
      </w:r>
      <w:r>
        <w:rPr>
          <w:rFonts w:ascii="仿宋_GB2312" w:hAnsi="仿宋_GB2312" w:eastAsia="仿宋_GB2312" w:cs="仿宋_GB2312"/>
          <w:sz w:val="32"/>
          <w:szCs w:val="32"/>
          <w:shd w:val="clear" w:color="auto" w:fill="FFFFFF"/>
        </w:rPr>
        <w:t xml:space="preserve">”）共 </w:t>
      </w:r>
      <w:r>
        <w:rPr>
          <w:rFonts w:hint="eastAsia" w:ascii="仿宋_GB2312" w:hAnsi="仿宋_GB2312" w:eastAsia="仿宋_GB2312" w:cs="仿宋_GB2312"/>
          <w:sz w:val="32"/>
          <w:szCs w:val="32"/>
          <w:shd w:val="clear" w:color="auto" w:fill="FFFFFF"/>
          <w:lang w:val="en-US" w:eastAsia="zh-CN"/>
        </w:rPr>
        <w:t>1</w:t>
      </w:r>
      <w:r>
        <w:rPr>
          <w:rFonts w:ascii="仿宋_GB2312" w:hAnsi="仿宋_GB2312" w:eastAsia="仿宋_GB2312" w:cs="仿宋_GB2312"/>
          <w:sz w:val="32"/>
          <w:szCs w:val="32"/>
          <w:shd w:val="clear" w:color="auto" w:fill="FFFFFF"/>
        </w:rPr>
        <w:t>个，</w:t>
      </w:r>
      <w:r>
        <w:rPr>
          <w:rFonts w:hint="eastAsia" w:ascii="仿宋_GB2312" w:hAnsi="仿宋_GB2312" w:eastAsia="仿宋_GB2312" w:cs="仿宋_GB2312"/>
          <w:sz w:val="32"/>
          <w:szCs w:val="32"/>
          <w:shd w:val="clear" w:color="auto" w:fill="FFFFFF"/>
        </w:rPr>
        <w:t>我部门无二级预算单位，因此，</w:t>
      </w:r>
      <w:r>
        <w:rPr>
          <w:rFonts w:hint="eastAsia" w:ascii="仿宋_GB2312" w:eastAsia="仿宋_GB2312" w:cs="仿宋_GB2312"/>
          <w:kern w:val="0"/>
          <w:sz w:val="28"/>
          <w:szCs w:val="28"/>
          <w:lang w:val="en-US" w:eastAsia="zh-CN"/>
        </w:rPr>
        <w:t>中国人民政治协商会议河北省石家庄市鹿泉区委员会</w:t>
      </w:r>
      <w:r>
        <w:rPr>
          <w:rFonts w:hint="eastAsia" w:ascii="仿宋_GB2312" w:hAnsi="仿宋_GB2312" w:eastAsia="仿宋_GB2312" w:cs="仿宋_GB2312"/>
          <w:sz w:val="32"/>
          <w:szCs w:val="32"/>
          <w:shd w:val="clear" w:color="auto" w:fill="FFFFFF"/>
        </w:rPr>
        <w:t>2023年度部门决算即</w:t>
      </w:r>
      <w:r>
        <w:rPr>
          <w:rFonts w:hint="eastAsia" w:ascii="仿宋_GB2312" w:eastAsia="仿宋_GB2312" w:cs="仿宋_GB2312"/>
          <w:kern w:val="0"/>
          <w:sz w:val="28"/>
          <w:szCs w:val="28"/>
          <w:lang w:val="en-US" w:eastAsia="zh-CN"/>
        </w:rPr>
        <w:t>中国人民政治协商会议河北省石家庄市鹿泉区委员会</w:t>
      </w:r>
      <w:r>
        <w:rPr>
          <w:rFonts w:hint="eastAsia" w:ascii="仿宋_GB2312" w:hAnsi="仿宋_GB2312" w:eastAsia="仿宋_GB2312" w:cs="仿宋_GB2312"/>
          <w:sz w:val="32"/>
          <w:szCs w:val="32"/>
          <w:shd w:val="clear" w:color="auto" w:fill="FFFFFF"/>
        </w:rPr>
        <w:t>本级2023年度决算。</w:t>
      </w:r>
      <w:r>
        <w:rPr>
          <w:rFonts w:ascii="仿宋_GB2312" w:hAnsi="仿宋_GB2312" w:eastAsia="仿宋_GB2312" w:cs="仿宋_GB2312"/>
          <w:sz w:val="32"/>
          <w:szCs w:val="32"/>
          <w:shd w:val="clear" w:color="auto" w:fill="FFFFFF"/>
        </w:rPr>
        <w:t>具体情况如下：</w:t>
      </w:r>
    </w:p>
    <w:tbl>
      <w:tblPr>
        <w:tblStyle w:val="11"/>
        <w:tblpPr w:leftFromText="180" w:rightFromText="180" w:vertAnchor="text" w:horzAnchor="page" w:tblpXSpec="center" w:tblpY="10"/>
        <w:tblOverlap w:val="never"/>
        <w:tblW w:w="95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3485"/>
        <w:gridCol w:w="2445"/>
        <w:gridCol w:w="266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985" w:type="dxa"/>
            <w:vAlign w:val="center"/>
          </w:tcPr>
          <w:p>
            <w:pPr>
              <w:spacing w:line="560" w:lineRule="exact"/>
              <w:jc w:val="center"/>
              <w:rPr>
                <w:rFonts w:ascii="仿宋_GB2312" w:hAnsi="Calibri" w:eastAsia="仿宋_GB2312" w:cs="ArialUnicodeMS"/>
                <w:b/>
                <w:bCs/>
                <w:sz w:val="28"/>
                <w:szCs w:val="28"/>
              </w:rPr>
            </w:pPr>
            <w:r>
              <w:rPr>
                <w:rFonts w:hint="eastAsia" w:ascii="仿宋_GB2312" w:hAnsi="Calibri" w:eastAsia="仿宋_GB2312" w:cs="ArialUnicodeMS"/>
                <w:b/>
                <w:bCs/>
                <w:sz w:val="28"/>
                <w:szCs w:val="28"/>
              </w:rPr>
              <w:t>序号</w:t>
            </w:r>
          </w:p>
        </w:tc>
        <w:tc>
          <w:tcPr>
            <w:tcW w:w="3485" w:type="dxa"/>
            <w:vAlign w:val="center"/>
          </w:tcPr>
          <w:p>
            <w:pPr>
              <w:spacing w:line="560" w:lineRule="exact"/>
              <w:jc w:val="center"/>
              <w:rPr>
                <w:rFonts w:ascii="仿宋_GB2312" w:hAnsi="Calibri" w:eastAsia="仿宋_GB2312" w:cs="ArialUnicodeMS"/>
                <w:b/>
                <w:bCs/>
                <w:sz w:val="28"/>
                <w:szCs w:val="28"/>
              </w:rPr>
            </w:pPr>
            <w:r>
              <w:rPr>
                <w:rFonts w:hint="eastAsia" w:ascii="仿宋_GB2312" w:hAnsi="Calibri" w:eastAsia="仿宋_GB2312" w:cs="ArialUnicodeMS"/>
                <w:b/>
                <w:bCs/>
                <w:sz w:val="28"/>
                <w:szCs w:val="28"/>
              </w:rPr>
              <w:t>单位名称</w:t>
            </w:r>
          </w:p>
        </w:tc>
        <w:tc>
          <w:tcPr>
            <w:tcW w:w="2445" w:type="dxa"/>
            <w:vAlign w:val="center"/>
          </w:tcPr>
          <w:p>
            <w:pPr>
              <w:spacing w:line="560" w:lineRule="exact"/>
              <w:jc w:val="center"/>
              <w:rPr>
                <w:rFonts w:ascii="仿宋_GB2312" w:hAnsi="Calibri" w:eastAsia="仿宋_GB2312" w:cs="ArialUnicodeMS"/>
                <w:b/>
                <w:bCs/>
                <w:sz w:val="28"/>
                <w:szCs w:val="28"/>
              </w:rPr>
            </w:pPr>
            <w:r>
              <w:rPr>
                <w:rFonts w:hint="eastAsia" w:ascii="仿宋_GB2312" w:hAnsi="Calibri" w:eastAsia="仿宋_GB2312" w:cs="ArialUnicodeMS"/>
                <w:b/>
                <w:bCs/>
                <w:sz w:val="28"/>
                <w:szCs w:val="28"/>
              </w:rPr>
              <w:t>单位基本性质</w:t>
            </w:r>
          </w:p>
        </w:tc>
        <w:tc>
          <w:tcPr>
            <w:tcW w:w="2665" w:type="dxa"/>
            <w:vAlign w:val="center"/>
          </w:tcPr>
          <w:p>
            <w:pPr>
              <w:spacing w:line="560" w:lineRule="exact"/>
              <w:jc w:val="center"/>
              <w:rPr>
                <w:rFonts w:ascii="仿宋_GB2312" w:hAnsi="Calibri" w:eastAsia="仿宋_GB2312" w:cs="ArialUnicodeMS"/>
                <w:b/>
                <w:bCs/>
                <w:sz w:val="28"/>
                <w:szCs w:val="28"/>
              </w:rPr>
            </w:pPr>
            <w:r>
              <w:rPr>
                <w:rFonts w:hint="eastAsia" w:ascii="仿宋_GB2312" w:hAnsi="Calibri" w:eastAsia="仿宋_GB2312" w:cs="ArialUnicodeMS"/>
                <w:b/>
                <w:bCs/>
                <w:sz w:val="28"/>
                <w:szCs w:val="28"/>
              </w:rPr>
              <w:t>经费形式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pPr>
              <w:spacing w:line="560" w:lineRule="exact"/>
              <w:jc w:val="center"/>
              <w:rPr>
                <w:rFonts w:ascii="仿宋_GB2312" w:hAnsi="Calibri" w:eastAsia="仿宋_GB2312" w:cs="ArialUnicodeMS"/>
                <w:sz w:val="28"/>
                <w:szCs w:val="28"/>
              </w:rPr>
            </w:pPr>
            <w:r>
              <w:rPr>
                <w:rFonts w:hint="eastAsia" w:ascii="仿宋_GB2312" w:hAnsi="Calibri" w:eastAsia="仿宋_GB2312" w:cs="ArialUnicodeMS"/>
                <w:sz w:val="28"/>
                <w:szCs w:val="28"/>
              </w:rPr>
              <w:t>1</w:t>
            </w:r>
          </w:p>
        </w:tc>
        <w:tc>
          <w:tcPr>
            <w:tcW w:w="3485" w:type="dxa"/>
          </w:tcPr>
          <w:p>
            <w:pPr>
              <w:spacing w:line="560" w:lineRule="exact"/>
              <w:rPr>
                <w:rFonts w:ascii="仿宋_GB2312" w:hAnsi="Calibri" w:eastAsia="仿宋_GB2312" w:cs="ArialUnicodeMS"/>
                <w:sz w:val="28"/>
                <w:szCs w:val="28"/>
              </w:rPr>
            </w:pPr>
            <w:r>
              <w:rPr>
                <w:rFonts w:hint="eastAsia" w:ascii="仿宋_GB2312" w:eastAsia="仿宋_GB2312" w:cs="仿宋_GB2312"/>
                <w:kern w:val="0"/>
                <w:sz w:val="28"/>
                <w:szCs w:val="28"/>
                <w:lang w:val="en-US" w:eastAsia="zh-CN"/>
              </w:rPr>
              <w:t>中国人民政治协商会议河北省石家庄市鹿泉区委员会</w:t>
            </w:r>
            <w:r>
              <w:rPr>
                <w:rFonts w:ascii="仿宋_GB2312" w:eastAsia="仿宋_GB2312" w:cs="仿宋_GB2312"/>
                <w:kern w:val="0"/>
                <w:sz w:val="28"/>
                <w:szCs w:val="28"/>
              </w:rPr>
              <w:t>(</w:t>
            </w:r>
            <w:r>
              <w:rPr>
                <w:rFonts w:hint="eastAsia" w:ascii="仿宋_GB2312" w:eastAsia="仿宋_GB2312" w:cs="仿宋_GB2312"/>
                <w:kern w:val="0"/>
                <w:sz w:val="28"/>
                <w:szCs w:val="28"/>
              </w:rPr>
              <w:t>本级</w:t>
            </w:r>
            <w:r>
              <w:rPr>
                <w:rFonts w:ascii="仿宋_GB2312" w:eastAsia="仿宋_GB2312" w:cs="仿宋_GB2312"/>
                <w:kern w:val="0"/>
                <w:sz w:val="28"/>
                <w:szCs w:val="28"/>
              </w:rPr>
              <w:t>)</w:t>
            </w:r>
          </w:p>
        </w:tc>
        <w:tc>
          <w:tcPr>
            <w:tcW w:w="2445" w:type="dxa"/>
          </w:tcPr>
          <w:p>
            <w:pPr>
              <w:spacing w:line="560" w:lineRule="exact"/>
              <w:jc w:val="center"/>
              <w:rPr>
                <w:rFonts w:ascii="仿宋_GB2312" w:hAnsi="Calibri" w:eastAsia="仿宋_GB2312" w:cs="ArialUnicodeMS"/>
                <w:sz w:val="28"/>
                <w:szCs w:val="28"/>
              </w:rPr>
            </w:pPr>
            <w:r>
              <w:rPr>
                <w:rFonts w:hint="eastAsia" w:ascii="仿宋_GB2312" w:eastAsia="仿宋_GB2312" w:cs="仿宋_GB2312"/>
                <w:kern w:val="0"/>
                <w:sz w:val="28"/>
                <w:szCs w:val="28"/>
                <w:highlight w:val="none"/>
                <w:shd w:val="clear" w:color="auto" w:fill="auto"/>
              </w:rPr>
              <w:t>行政</w:t>
            </w:r>
            <w:r>
              <w:rPr>
                <w:rFonts w:hint="eastAsia" w:ascii="仿宋_GB2312" w:eastAsia="仿宋_GB2312" w:cs="仿宋_GB2312"/>
                <w:kern w:val="0"/>
                <w:sz w:val="28"/>
                <w:szCs w:val="28"/>
                <w:highlight w:val="none"/>
                <w:shd w:val="clear" w:color="auto" w:fill="auto"/>
                <w:lang w:eastAsia="zh-CN"/>
              </w:rPr>
              <w:t>部门</w:t>
            </w:r>
          </w:p>
        </w:tc>
        <w:tc>
          <w:tcPr>
            <w:tcW w:w="2665" w:type="dxa"/>
          </w:tcPr>
          <w:p>
            <w:pPr>
              <w:spacing w:line="560" w:lineRule="exact"/>
              <w:jc w:val="center"/>
              <w:rPr>
                <w:rFonts w:ascii="仿宋_GB2312" w:hAnsi="Calibri" w:eastAsia="仿宋_GB2312" w:cs="ArialUnicodeMS"/>
                <w:sz w:val="28"/>
                <w:szCs w:val="28"/>
              </w:rPr>
            </w:pPr>
            <w:r>
              <w:rPr>
                <w:rFonts w:hint="eastAsia" w:ascii="仿宋_GB2312" w:eastAsia="仿宋_GB2312" w:cs="Times New Roman"/>
                <w:kern w:val="0"/>
                <w:sz w:val="28"/>
                <w:szCs w:val="28"/>
                <w:highlight w:val="none"/>
                <w:shd w:val="clear" w:color="auto" w:fill="auto"/>
                <w:lang w:eastAsia="zh-CN"/>
              </w:rPr>
              <w:t>财政拨款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6" w:hRule="atLeast"/>
          <w:jc w:val="center"/>
        </w:trPr>
        <w:tc>
          <w:tcPr>
            <w:tcW w:w="9580" w:type="dxa"/>
            <w:gridSpan w:val="4"/>
            <w:tcBorders>
              <w:top w:val="single" w:color="auto" w:sz="4" w:space="0"/>
              <w:left w:val="nil"/>
              <w:bottom w:val="nil"/>
              <w:right w:val="nil"/>
            </w:tcBorders>
          </w:tcPr>
          <w:p>
            <w:pPr>
              <w:spacing w:line="560" w:lineRule="exact"/>
              <w:jc w:val="left"/>
              <w:rPr>
                <w:rFonts w:ascii="仿宋_GB2312" w:hAnsi="Calibri" w:eastAsia="仿宋_GB2312" w:cs="ArialUnicodeMS"/>
                <w:sz w:val="28"/>
                <w:szCs w:val="28"/>
              </w:rPr>
            </w:pPr>
            <w:r>
              <w:rPr>
                <w:rFonts w:hint="eastAsia" w:ascii="仿宋_GB2312" w:hAnsi="Calibri" w:eastAsia="仿宋_GB2312" w:cs="ArialUnicodeMS"/>
                <w:sz w:val="28"/>
                <w:szCs w:val="28"/>
              </w:rPr>
              <w:t>注：1、单位基本性质分为行政单位、参公事业单位、财政补助事业单位、经费自理事业单位四类。</w:t>
            </w:r>
          </w:p>
          <w:p>
            <w:pPr>
              <w:spacing w:line="560" w:lineRule="exact"/>
              <w:ind w:firstLine="560" w:firstLineChars="200"/>
              <w:jc w:val="left"/>
              <w:rPr>
                <w:rFonts w:ascii="仿宋_GB2312" w:hAnsi="Calibri" w:eastAsia="仿宋_GB2312" w:cs="ArialUnicodeMS"/>
                <w:sz w:val="28"/>
                <w:szCs w:val="28"/>
              </w:rPr>
            </w:pPr>
            <w:r>
              <w:rPr>
                <w:rFonts w:hint="eastAsia" w:ascii="仿宋_GB2312" w:hAnsi="Calibri" w:eastAsia="仿宋_GB2312" w:cs="ArialUnicodeMS"/>
                <w:sz w:val="28"/>
                <w:szCs w:val="28"/>
              </w:rPr>
              <w:t>2、经费形式分为财政拨款、财政性资金基本保证、财政性资金定额或定项补助、财政性资金零补助四类。</w:t>
            </w:r>
          </w:p>
        </w:tc>
      </w:tr>
    </w:tbl>
    <w:p>
      <w:pPr>
        <w:pStyle w:val="10"/>
        <w:widowControl/>
        <w:shd w:val="clear" w:color="auto" w:fill="FFFFFF"/>
        <w:spacing w:beforeAutospacing="0" w:afterAutospacing="0"/>
        <w:rPr>
          <w:rFonts w:ascii="Arial" w:hAnsi="Arial" w:eastAsia="Arial" w:cs="Arial"/>
          <w:color w:val="000000"/>
          <w:sz w:val="18"/>
          <w:szCs w:val="18"/>
        </w:rPr>
      </w:pPr>
      <w:r>
        <w:rPr>
          <w:rFonts w:ascii="Arial" w:hAnsi="Arial" w:eastAsia="Arial" w:cs="Arial"/>
          <w:color w:val="000000"/>
          <w:sz w:val="18"/>
          <w:szCs w:val="18"/>
          <w:shd w:val="clear" w:color="auto" w:fill="FFFFFF"/>
        </w:rPr>
        <w:t> </w:t>
      </w:r>
    </w:p>
    <w:p>
      <w:pPr>
        <w:rPr>
          <w:rFonts w:ascii="Times New Roman" w:hAnsi="Times New Roman" w:eastAsia="黑体" w:cs="Times New Roman"/>
          <w:sz w:val="32"/>
          <w:szCs w:val="32"/>
          <w:highlight w:val="yellow"/>
        </w:rPr>
      </w:pPr>
      <w:r>
        <w:rPr>
          <w:rFonts w:hint="eastAsia" w:ascii="Times New Roman" w:hAnsi="Times New Roman" w:eastAsia="黑体" w:cs="Times New Roman"/>
          <w:sz w:val="32"/>
          <w:szCs w:val="32"/>
          <w:highlight w:val="yellow"/>
        </w:rPr>
        <w:br w:type="page"/>
      </w:r>
    </w:p>
    <w:p>
      <w:pPr>
        <w:widowControl/>
        <w:spacing w:after="160" w:line="580" w:lineRule="exact"/>
        <w:ind w:firstLine="640" w:firstLineChars="200"/>
        <w:rPr>
          <w:rFonts w:ascii="Times New Roman" w:hAnsi="Times New Roman" w:eastAsia="黑体" w:cs="Times New Roman"/>
          <w:sz w:val="32"/>
          <w:szCs w:val="32"/>
          <w:highlight w:val="yellow"/>
        </w:rPr>
      </w:pPr>
    </w:p>
    <w:p>
      <w:pPr>
        <w:pStyle w:val="10"/>
        <w:widowControl/>
        <w:shd w:val="clear" w:color="auto" w:fill="FFFFFF"/>
        <w:spacing w:beforeAutospacing="0" w:afterAutospacing="0"/>
        <w:rPr>
          <w:rFonts w:ascii="Arial" w:hAnsi="Arial" w:eastAsia="Arial" w:cs="Arial"/>
          <w:color w:val="000000"/>
          <w:sz w:val="18"/>
          <w:szCs w:val="18"/>
          <w:shd w:val="clear" w:color="auto" w:fill="FFFFFF"/>
          <w:lang w:bidi="ar"/>
        </w:rPr>
      </w:pPr>
    </w:p>
    <w:p>
      <w:pPr>
        <w:widowControl/>
        <w:shd w:val="clear" w:color="auto" w:fill="FFFFFF"/>
        <w:jc w:val="left"/>
        <w:rPr>
          <w:rFonts w:ascii="Arial" w:hAnsi="Arial" w:eastAsia="Arial" w:cs="Arial"/>
        </w:rPr>
      </w:pPr>
      <w:r>
        <w:rPr>
          <w:rFonts w:ascii="Arial" w:hAnsi="Arial" w:eastAsia="Arial" w:cs="Arial"/>
          <w:color w:val="000000"/>
          <w:sz w:val="18"/>
          <w:szCs w:val="18"/>
          <w:shd w:val="clear" w:color="auto" w:fill="FFFFFF"/>
          <w:lang w:bidi="ar"/>
        </w:rPr>
        <w:t> </w:t>
      </w:r>
      <w:r>
        <w:rPr>
          <w:rFonts w:ascii="Arial" w:hAnsi="Arial" w:eastAsia="Arial" w:cs="Arial"/>
          <w:color w:val="000000"/>
          <w:sz w:val="18"/>
          <w:szCs w:val="18"/>
          <w:shd w:val="clear" w:color="auto" w:fill="FFFFFF"/>
        </w:rPr>
        <w:t> </w:t>
      </w:r>
    </w:p>
    <w:p>
      <w:pPr>
        <w:pStyle w:val="10"/>
        <w:widowControl/>
        <w:spacing w:beforeAutospacing="0" w:afterAutospacing="0"/>
        <w:jc w:val="center"/>
        <w:rPr>
          <w:rFonts w:ascii="Arial" w:hAnsi="Arial" w:eastAsia="Arial" w:cs="Arial"/>
        </w:rPr>
      </w:pPr>
      <w:r>
        <w:rPr>
          <w:rFonts w:ascii="Arial" w:hAnsi="Arial" w:eastAsia="Arial" w:cs="Arial"/>
          <w:color w:val="000000"/>
          <w:sz w:val="18"/>
          <w:szCs w:val="18"/>
          <w:shd w:val="clear" w:color="auto" w:fill="FFFFFF"/>
        </w:rPr>
        <w:t> </w:t>
      </w:r>
    </w:p>
    <w:p>
      <w:pPr>
        <w:pStyle w:val="10"/>
        <w:widowControl/>
        <w:spacing w:beforeAutospacing="0" w:afterAutospacing="0"/>
        <w:jc w:val="center"/>
        <w:rPr>
          <w:rFonts w:ascii="Arial" w:hAnsi="Arial" w:eastAsia="Arial" w:cs="Arial"/>
        </w:rPr>
      </w:pPr>
      <w:r>
        <w:rPr>
          <w:rFonts w:ascii="Arial" w:hAnsi="Arial" w:eastAsia="Arial" w:cs="Arial"/>
          <w:color w:val="000000"/>
          <w:sz w:val="18"/>
          <w:szCs w:val="18"/>
          <w:shd w:val="clear" w:color="auto" w:fill="FFFFFF"/>
        </w:rPr>
        <w:t> </w:t>
      </w:r>
    </w:p>
    <w:p>
      <w:pPr>
        <w:pStyle w:val="10"/>
        <w:widowControl/>
        <w:spacing w:beforeAutospacing="0" w:afterAutospacing="0"/>
        <w:jc w:val="center"/>
        <w:rPr>
          <w:rFonts w:ascii="Arial" w:hAnsi="Arial" w:eastAsia="Arial" w:cs="Arial"/>
        </w:rPr>
      </w:pPr>
      <w:r>
        <w:rPr>
          <w:rFonts w:ascii="Arial" w:hAnsi="Arial" w:eastAsia="Arial" w:cs="Arial"/>
          <w:color w:val="000000"/>
          <w:sz w:val="18"/>
          <w:szCs w:val="18"/>
          <w:shd w:val="clear" w:color="auto" w:fill="FFFFFF"/>
        </w:rPr>
        <w:t> </w:t>
      </w:r>
    </w:p>
    <w:p>
      <w:pPr>
        <w:pStyle w:val="10"/>
        <w:widowControl/>
        <w:spacing w:beforeAutospacing="0" w:afterAutospacing="0"/>
        <w:jc w:val="center"/>
        <w:rPr>
          <w:rFonts w:ascii="Arial" w:hAnsi="Arial" w:eastAsia="Arial" w:cs="Arial"/>
        </w:rPr>
      </w:pPr>
      <w:r>
        <w:rPr>
          <w:rFonts w:ascii="Arial" w:hAnsi="Arial" w:eastAsia="Arial" w:cs="Arial"/>
          <w:color w:val="000000"/>
          <w:sz w:val="18"/>
          <w:szCs w:val="18"/>
          <w:shd w:val="clear" w:color="auto" w:fill="FFFFFF"/>
        </w:rPr>
        <w:t> </w:t>
      </w:r>
    </w:p>
    <w:p>
      <w:pPr>
        <w:pStyle w:val="10"/>
        <w:widowControl/>
        <w:spacing w:beforeAutospacing="0" w:afterAutospacing="0"/>
        <w:jc w:val="center"/>
        <w:outlineLvl w:val="0"/>
        <w:rPr>
          <w:rFonts w:ascii="Arial" w:hAnsi="Arial" w:eastAsia="Arial" w:cs="Arial"/>
        </w:rPr>
      </w:pPr>
      <w:r>
        <w:rPr>
          <w:rFonts w:hint="eastAsia" w:ascii="黑体" w:hAnsi="宋体" w:eastAsia="黑体" w:cs="黑体"/>
          <w:color w:val="000000"/>
          <w:sz w:val="72"/>
          <w:szCs w:val="72"/>
          <w:shd w:val="clear" w:color="auto" w:fill="FFFFFF"/>
        </w:rPr>
        <w:t>第二部分</w:t>
      </w:r>
    </w:p>
    <w:p>
      <w:pPr>
        <w:pStyle w:val="10"/>
        <w:widowControl/>
        <w:spacing w:beforeAutospacing="0" w:afterAutospacing="0"/>
        <w:jc w:val="center"/>
        <w:rPr>
          <w:rFonts w:ascii="Arial" w:hAnsi="Arial" w:eastAsia="Arial" w:cs="Arial"/>
        </w:rPr>
      </w:pPr>
      <w:r>
        <w:rPr>
          <w:rFonts w:ascii="Arial" w:hAnsi="Arial" w:eastAsia="Arial" w:cs="Arial"/>
          <w:color w:val="000000"/>
          <w:sz w:val="18"/>
          <w:szCs w:val="18"/>
          <w:shd w:val="clear" w:color="auto" w:fill="FFFFFF"/>
        </w:rPr>
        <w:t> </w:t>
      </w:r>
    </w:p>
    <w:p>
      <w:pPr>
        <w:pStyle w:val="10"/>
        <w:widowControl/>
        <w:spacing w:beforeAutospacing="0" w:afterAutospacing="0"/>
        <w:jc w:val="center"/>
        <w:rPr>
          <w:rFonts w:ascii="Arial" w:hAnsi="Arial" w:eastAsia="Arial" w:cs="Arial"/>
        </w:rPr>
      </w:pPr>
      <w:r>
        <w:rPr>
          <w:rFonts w:hint="eastAsia" w:ascii="黑体" w:hAnsi="宋体" w:eastAsia="黑体" w:cs="黑体"/>
          <w:color w:val="000000"/>
          <w:sz w:val="72"/>
          <w:szCs w:val="72"/>
          <w:shd w:val="clear" w:color="auto" w:fill="FFFFFF"/>
        </w:rPr>
        <w:t>2023年度部门决算报表</w:t>
      </w:r>
    </w:p>
    <w:p>
      <w:pPr>
        <w:pStyle w:val="10"/>
        <w:widowControl/>
        <w:spacing w:beforeAutospacing="0" w:afterAutospacing="0"/>
        <w:jc w:val="center"/>
        <w:rPr>
          <w:rFonts w:ascii="仿宋_GB2312" w:hAnsi="仿宋_GB2312" w:eastAsia="仿宋_GB2312" w:cs="仿宋_GB2312"/>
          <w:color w:val="FF0000"/>
          <w:sz w:val="33"/>
          <w:szCs w:val="33"/>
          <w:shd w:val="clear" w:color="auto" w:fill="FFFFFF"/>
        </w:rPr>
      </w:pPr>
    </w:p>
    <w:p>
      <w:pPr>
        <w:pStyle w:val="10"/>
        <w:widowControl/>
        <w:spacing w:beforeAutospacing="0" w:afterAutospacing="0"/>
        <w:jc w:val="center"/>
        <w:rPr>
          <w:rFonts w:ascii="仿宋_GB2312" w:hAnsi="仿宋_GB2312" w:eastAsia="仿宋_GB2312" w:cs="仿宋_GB2312"/>
          <w:color w:val="FF0000"/>
          <w:sz w:val="33"/>
          <w:szCs w:val="33"/>
          <w:shd w:val="clear" w:color="auto" w:fill="FFFFFF"/>
        </w:rPr>
        <w:sectPr>
          <w:headerReference r:id="rId7" w:type="default"/>
          <w:pgSz w:w="11906" w:h="16838"/>
          <w:pgMar w:top="1531" w:right="1984" w:bottom="1531" w:left="2098" w:header="851" w:footer="992" w:gutter="0"/>
          <w:cols w:space="720" w:num="1"/>
          <w:docGrid w:type="lines" w:linePitch="312" w:charSpace="0"/>
        </w:sectPr>
      </w:pPr>
    </w:p>
    <w:tbl>
      <w:tblPr>
        <w:tblStyle w:val="11"/>
        <w:tblW w:w="7250" w:type="pct"/>
        <w:tblInd w:w="-1817" w:type="dxa"/>
        <w:tblLayout w:type="fixed"/>
        <w:tblCellMar>
          <w:top w:w="0" w:type="dxa"/>
          <w:left w:w="108" w:type="dxa"/>
          <w:bottom w:w="0" w:type="dxa"/>
          <w:right w:w="108" w:type="dxa"/>
        </w:tblCellMar>
      </w:tblPr>
      <w:tblGrid>
        <w:gridCol w:w="3343"/>
        <w:gridCol w:w="623"/>
        <w:gridCol w:w="613"/>
        <w:gridCol w:w="1317"/>
        <w:gridCol w:w="1625"/>
        <w:gridCol w:w="1548"/>
        <w:gridCol w:w="623"/>
        <w:gridCol w:w="1931"/>
        <w:gridCol w:w="35"/>
      </w:tblGrid>
      <w:tr>
        <w:tblPrEx>
          <w:tblCellMar>
            <w:top w:w="0" w:type="dxa"/>
            <w:left w:w="108" w:type="dxa"/>
            <w:bottom w:w="0" w:type="dxa"/>
            <w:right w:w="108" w:type="dxa"/>
          </w:tblCellMar>
        </w:tblPrEx>
        <w:trPr>
          <w:gridAfter w:val="1"/>
          <w:wAfter w:w="14" w:type="pct"/>
          <w:trHeight w:val="361" w:hRule="atLeast"/>
        </w:trPr>
        <w:tc>
          <w:tcPr>
            <w:tcW w:w="4985" w:type="pct"/>
            <w:gridSpan w:val="8"/>
            <w:tcBorders>
              <w:top w:val="nil"/>
              <w:left w:val="nil"/>
              <w:bottom w:val="nil"/>
              <w:right w:val="nil"/>
            </w:tcBorders>
            <w:noWrap/>
            <w:vAlign w:val="bottom"/>
          </w:tcPr>
          <w:p>
            <w:pPr>
              <w:widowControl/>
              <w:jc w:val="center"/>
              <w:textAlignment w:val="bottom"/>
              <w:rPr>
                <w:rFonts w:ascii="宋体" w:hAnsi="宋体" w:eastAsia="宋体"/>
                <w:color w:val="000000"/>
                <w:sz w:val="20"/>
                <w:szCs w:val="20"/>
              </w:rPr>
            </w:pPr>
            <w:r>
              <w:rPr>
                <w:rFonts w:hint="eastAsia" w:ascii="方正仿宋_GB2312" w:hAnsi="方正仿宋_GB2312" w:eastAsia="方正仿宋_GB2312" w:cs="方正仿宋_GB2312"/>
                <w:bCs/>
                <w:sz w:val="32"/>
                <w:szCs w:val="32"/>
              </w:rPr>
              <w:t>收入支出决算总表</w:t>
            </w:r>
          </w:p>
        </w:tc>
      </w:tr>
      <w:tr>
        <w:tblPrEx>
          <w:tblCellMar>
            <w:top w:w="0" w:type="dxa"/>
            <w:left w:w="108" w:type="dxa"/>
            <w:bottom w:w="0" w:type="dxa"/>
            <w:right w:w="108" w:type="dxa"/>
          </w:tblCellMar>
        </w:tblPrEx>
        <w:trPr>
          <w:gridAfter w:val="1"/>
          <w:wAfter w:w="14" w:type="pct"/>
          <w:trHeight w:val="357" w:hRule="atLeast"/>
        </w:trPr>
        <w:tc>
          <w:tcPr>
            <w:tcW w:w="4985" w:type="pct"/>
            <w:gridSpan w:val="8"/>
            <w:tcBorders>
              <w:top w:val="nil"/>
              <w:left w:val="nil"/>
              <w:bottom w:val="nil"/>
              <w:right w:val="nil"/>
            </w:tcBorders>
            <w:noWrap/>
            <w:vAlign w:val="bottom"/>
          </w:tcPr>
          <w:p>
            <w:pPr>
              <w:widowControl/>
              <w:jc w:val="right"/>
              <w:textAlignment w:val="bottom"/>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lang w:bidi="ar"/>
              </w:rPr>
              <w:t xml:space="preserve"> 公开</w:t>
            </w:r>
            <w:r>
              <w:rPr>
                <w:rFonts w:hint="eastAsia" w:ascii="Times New Roman" w:hAnsi="Times New Roman" w:eastAsia="宋体" w:cs="Times New Roman"/>
                <w:color w:val="000000"/>
                <w:sz w:val="20"/>
                <w:szCs w:val="20"/>
              </w:rPr>
              <w:t>01</w:t>
            </w:r>
            <w:r>
              <w:rPr>
                <w:rFonts w:hint="eastAsia" w:ascii="方正仿宋_GB2312" w:hAnsi="方正仿宋_GB2312" w:eastAsia="方正仿宋_GB2312" w:cs="方正仿宋_GB2312"/>
                <w:color w:val="000000"/>
                <w:sz w:val="20"/>
                <w:szCs w:val="20"/>
                <w:lang w:bidi="ar"/>
              </w:rPr>
              <w:t>表</w:t>
            </w:r>
          </w:p>
        </w:tc>
      </w:tr>
      <w:tr>
        <w:tblPrEx>
          <w:tblCellMar>
            <w:top w:w="0" w:type="dxa"/>
            <w:left w:w="108" w:type="dxa"/>
            <w:bottom w:w="0" w:type="dxa"/>
            <w:right w:w="108" w:type="dxa"/>
          </w:tblCellMar>
        </w:tblPrEx>
        <w:trPr>
          <w:gridAfter w:val="1"/>
          <w:wAfter w:w="14" w:type="pct"/>
          <w:trHeight w:val="351" w:hRule="atLeast"/>
        </w:trPr>
        <w:tc>
          <w:tcPr>
            <w:tcW w:w="1964" w:type="pct"/>
            <w:gridSpan w:val="3"/>
            <w:tcBorders>
              <w:top w:val="nil"/>
              <w:left w:val="nil"/>
              <w:bottom w:val="single" w:color="auto" w:sz="4" w:space="0"/>
              <w:right w:val="nil"/>
            </w:tcBorders>
            <w:noWrap/>
            <w:vAlign w:val="bottom"/>
          </w:tcPr>
          <w:p>
            <w:pPr>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lang w:bidi="ar"/>
              </w:rPr>
              <w:t>编制部门（单位）：中国人民政治协商会议河北省石家庄市鹿泉区委员会(本级)</w:t>
            </w:r>
          </w:p>
        </w:tc>
        <w:tc>
          <w:tcPr>
            <w:tcW w:w="1262" w:type="pct"/>
            <w:gridSpan w:val="2"/>
            <w:tcBorders>
              <w:top w:val="nil"/>
              <w:left w:val="nil"/>
              <w:bottom w:val="single" w:color="auto" w:sz="4" w:space="0"/>
              <w:right w:val="nil"/>
            </w:tcBorders>
            <w:noWrap/>
            <w:vAlign w:val="bottom"/>
          </w:tcPr>
          <w:p>
            <w:pPr>
              <w:jc w:val="center"/>
              <w:rPr>
                <w:rFonts w:ascii="宋体" w:hAnsi="宋体" w:eastAsia="宋体"/>
                <w:color w:val="000000"/>
                <w:sz w:val="20"/>
                <w:szCs w:val="20"/>
                <w:lang w:bidi="ar"/>
              </w:rPr>
            </w:pPr>
            <w:r>
              <w:rPr>
                <w:rFonts w:hint="eastAsia" w:ascii="Times New Roman" w:hAnsi="Times New Roman" w:eastAsia="宋体" w:cs="Times New Roman"/>
                <w:color w:val="000000"/>
                <w:sz w:val="20"/>
                <w:szCs w:val="20"/>
              </w:rPr>
              <w:t>2023</w:t>
            </w:r>
            <w:r>
              <w:rPr>
                <w:rFonts w:hint="eastAsia" w:ascii="方正仿宋_GB2312" w:hAnsi="方正仿宋_GB2312" w:eastAsia="方正仿宋_GB2312" w:cs="方正仿宋_GB2312"/>
                <w:color w:val="000000"/>
                <w:sz w:val="20"/>
                <w:szCs w:val="20"/>
                <w:lang w:bidi="ar"/>
              </w:rPr>
              <w:t>年度</w:t>
            </w:r>
          </w:p>
        </w:tc>
        <w:tc>
          <w:tcPr>
            <w:tcW w:w="1757" w:type="pct"/>
            <w:gridSpan w:val="3"/>
            <w:tcBorders>
              <w:top w:val="nil"/>
              <w:left w:val="nil"/>
              <w:bottom w:val="single" w:color="auto" w:sz="4" w:space="0"/>
              <w:right w:val="nil"/>
            </w:tcBorders>
            <w:noWrap/>
            <w:vAlign w:val="bottom"/>
          </w:tcPr>
          <w:p>
            <w:pPr>
              <w:jc w:val="right"/>
              <w:rPr>
                <w:rFonts w:ascii="宋体" w:hAnsi="宋体" w:eastAsia="宋体"/>
                <w:color w:val="000000"/>
                <w:sz w:val="20"/>
                <w:szCs w:val="20"/>
                <w:lang w:bidi="ar"/>
              </w:rPr>
            </w:pPr>
            <w:r>
              <w:rPr>
                <w:rFonts w:hint="eastAsia" w:ascii="方正仿宋_GB2312" w:hAnsi="方正仿宋_GB2312" w:eastAsia="方正仿宋_GB2312" w:cs="方正仿宋_GB2312"/>
                <w:color w:val="000000"/>
                <w:sz w:val="20"/>
                <w:szCs w:val="20"/>
                <w:lang w:bidi="ar"/>
              </w:rPr>
              <w:t>金额单位：万元</w:t>
            </w:r>
          </w:p>
        </w:tc>
      </w:tr>
      <w:tr>
        <w:tblPrEx>
          <w:tblCellMar>
            <w:top w:w="0" w:type="dxa"/>
            <w:left w:w="108" w:type="dxa"/>
            <w:bottom w:w="0" w:type="dxa"/>
            <w:right w:w="108" w:type="dxa"/>
          </w:tblCellMar>
        </w:tblPrEx>
        <w:trPr>
          <w:gridAfter w:val="1"/>
          <w:wAfter w:w="14" w:type="pct"/>
          <w:trHeight w:val="544" w:hRule="atLeast"/>
        </w:trPr>
        <w:tc>
          <w:tcPr>
            <w:tcW w:w="2529" w:type="pct"/>
            <w:gridSpan w:val="4"/>
            <w:tcBorders>
              <w:top w:val="single" w:color="auto" w:sz="4" w:space="0"/>
              <w:left w:val="single" w:color="000000" w:sz="4" w:space="0"/>
              <w:bottom w:val="single" w:color="000000" w:sz="4" w:space="0"/>
              <w:right w:val="single" w:color="000000" w:sz="4" w:space="0"/>
            </w:tcBorders>
            <w:noWrap/>
            <w:vAlign w:val="center"/>
          </w:tcPr>
          <w:p>
            <w:pPr>
              <w:widowControl/>
              <w:jc w:val="center"/>
              <w:textAlignment w:val="center"/>
              <w:rPr>
                <w:rFonts w:ascii="宋体" w:hAnsi="宋体" w:eastAsia="宋体"/>
                <w:color w:val="000000"/>
                <w:sz w:val="20"/>
                <w:szCs w:val="20"/>
              </w:rPr>
            </w:pPr>
            <w:r>
              <w:rPr>
                <w:rFonts w:hint="eastAsia" w:ascii="宋体" w:hAnsi="宋体" w:eastAsia="宋体"/>
                <w:color w:val="000000"/>
                <w:sz w:val="20"/>
                <w:szCs w:val="20"/>
                <w:lang w:bidi="ar"/>
              </w:rPr>
              <w:t>收入</w:t>
            </w:r>
          </w:p>
        </w:tc>
        <w:tc>
          <w:tcPr>
            <w:tcW w:w="2456" w:type="pct"/>
            <w:gridSpan w:val="4"/>
            <w:tcBorders>
              <w:top w:val="single" w:color="auto" w:sz="4" w:space="0"/>
              <w:left w:val="nil"/>
              <w:bottom w:val="single" w:color="000000" w:sz="4" w:space="0"/>
              <w:right w:val="single" w:color="000000" w:sz="4" w:space="0"/>
            </w:tcBorders>
            <w:noWrap/>
            <w:vAlign w:val="center"/>
          </w:tcPr>
          <w:p>
            <w:pPr>
              <w:widowControl/>
              <w:jc w:val="center"/>
              <w:textAlignment w:val="center"/>
              <w:rPr>
                <w:rFonts w:ascii="宋体" w:hAnsi="宋体" w:eastAsia="宋体"/>
                <w:color w:val="000000"/>
                <w:sz w:val="20"/>
                <w:szCs w:val="20"/>
              </w:rPr>
            </w:pPr>
            <w:r>
              <w:rPr>
                <w:rFonts w:hint="eastAsia" w:ascii="宋体" w:hAnsi="宋体" w:eastAsia="宋体"/>
                <w:color w:val="000000"/>
                <w:sz w:val="20"/>
                <w:szCs w:val="20"/>
                <w:lang w:bidi="ar"/>
              </w:rPr>
              <w:t>支出</w:t>
            </w:r>
          </w:p>
        </w:tc>
      </w:tr>
      <w:tr>
        <w:tblPrEx>
          <w:tblCellMar>
            <w:top w:w="0" w:type="dxa"/>
            <w:left w:w="108" w:type="dxa"/>
            <w:bottom w:w="0" w:type="dxa"/>
            <w:right w:w="108" w:type="dxa"/>
          </w:tblCellMar>
        </w:tblPrEx>
        <w:trPr>
          <w:gridAfter w:val="1"/>
          <w:wAfter w:w="14" w:type="pct"/>
          <w:trHeight w:val="308" w:hRule="atLeast"/>
        </w:trPr>
        <w:tc>
          <w:tcPr>
            <w:tcW w:w="1434" w:type="pct"/>
            <w:tcBorders>
              <w:top w:val="nil"/>
              <w:left w:val="single" w:color="000000" w:sz="4" w:space="0"/>
              <w:bottom w:val="single" w:color="000000" w:sz="4" w:space="0"/>
              <w:right w:val="single" w:color="000000" w:sz="4" w:space="0"/>
            </w:tcBorders>
            <w:noWrap/>
            <w:vAlign w:val="center"/>
          </w:tcPr>
          <w:p>
            <w:pPr>
              <w:widowControl/>
              <w:jc w:val="center"/>
              <w:textAlignment w:val="center"/>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lang w:bidi="ar"/>
              </w:rPr>
              <w:t>项目</w:t>
            </w:r>
          </w:p>
        </w:tc>
        <w:tc>
          <w:tcPr>
            <w:tcW w:w="267" w:type="pct"/>
            <w:tcBorders>
              <w:top w:val="nil"/>
              <w:left w:val="nil"/>
              <w:bottom w:val="single" w:color="000000" w:sz="4" w:space="0"/>
              <w:right w:val="single" w:color="000000" w:sz="4" w:space="0"/>
            </w:tcBorders>
            <w:noWrap/>
            <w:vAlign w:val="center"/>
          </w:tcPr>
          <w:p>
            <w:pPr>
              <w:widowControl/>
              <w:jc w:val="center"/>
              <w:textAlignment w:val="center"/>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lang w:bidi="ar"/>
              </w:rPr>
              <w:t>行次</w:t>
            </w:r>
          </w:p>
        </w:tc>
        <w:tc>
          <w:tcPr>
            <w:tcW w:w="826" w:type="pct"/>
            <w:gridSpan w:val="2"/>
            <w:tcBorders>
              <w:top w:val="nil"/>
              <w:left w:val="nil"/>
              <w:bottom w:val="single" w:color="000000" w:sz="4" w:space="0"/>
              <w:right w:val="single" w:color="000000" w:sz="4" w:space="0"/>
            </w:tcBorders>
            <w:noWrap/>
            <w:vAlign w:val="center"/>
          </w:tcPr>
          <w:p>
            <w:pPr>
              <w:widowControl/>
              <w:jc w:val="center"/>
              <w:textAlignment w:val="center"/>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lang w:bidi="ar"/>
              </w:rPr>
              <w:t>决算数</w:t>
            </w:r>
          </w:p>
        </w:tc>
        <w:tc>
          <w:tcPr>
            <w:tcW w:w="1361" w:type="pct"/>
            <w:gridSpan w:val="2"/>
            <w:tcBorders>
              <w:top w:val="nil"/>
              <w:left w:val="nil"/>
              <w:bottom w:val="single" w:color="000000" w:sz="4" w:space="0"/>
              <w:right w:val="single" w:color="000000" w:sz="4" w:space="0"/>
            </w:tcBorders>
            <w:noWrap/>
            <w:vAlign w:val="center"/>
          </w:tcPr>
          <w:p>
            <w:pPr>
              <w:widowControl/>
              <w:jc w:val="center"/>
              <w:textAlignment w:val="center"/>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lang w:bidi="ar"/>
              </w:rPr>
              <w:t>项目</w:t>
            </w:r>
          </w:p>
        </w:tc>
        <w:tc>
          <w:tcPr>
            <w:tcW w:w="267" w:type="pct"/>
            <w:tcBorders>
              <w:top w:val="nil"/>
              <w:left w:val="nil"/>
              <w:bottom w:val="single" w:color="000000" w:sz="4" w:space="0"/>
              <w:right w:val="single" w:color="000000" w:sz="4" w:space="0"/>
            </w:tcBorders>
            <w:noWrap/>
            <w:vAlign w:val="center"/>
          </w:tcPr>
          <w:p>
            <w:pPr>
              <w:widowControl/>
              <w:jc w:val="center"/>
              <w:textAlignment w:val="center"/>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lang w:bidi="ar"/>
              </w:rPr>
              <w:t>行次</w:t>
            </w:r>
          </w:p>
        </w:tc>
        <w:tc>
          <w:tcPr>
            <w:tcW w:w="826" w:type="pct"/>
            <w:tcBorders>
              <w:top w:val="nil"/>
              <w:left w:val="nil"/>
              <w:bottom w:val="single" w:color="000000" w:sz="4" w:space="0"/>
              <w:right w:val="single" w:color="000000" w:sz="4" w:space="0"/>
            </w:tcBorders>
            <w:noWrap/>
            <w:vAlign w:val="center"/>
          </w:tcPr>
          <w:p>
            <w:pPr>
              <w:widowControl/>
              <w:jc w:val="center"/>
              <w:textAlignment w:val="center"/>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lang w:bidi="ar"/>
              </w:rPr>
              <w:t>决算数</w:t>
            </w:r>
          </w:p>
        </w:tc>
      </w:tr>
      <w:tr>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widowControl/>
              <w:jc w:val="center"/>
              <w:textAlignment w:val="center"/>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lang w:bidi="ar"/>
              </w:rPr>
              <w:t>栏次</w:t>
            </w:r>
          </w:p>
        </w:tc>
        <w:tc>
          <w:tcPr>
            <w:tcW w:w="267" w:type="pct"/>
            <w:tcBorders>
              <w:top w:val="nil"/>
              <w:left w:val="nil"/>
              <w:bottom w:val="single" w:color="000000" w:sz="4" w:space="0"/>
              <w:right w:val="single" w:color="000000" w:sz="4" w:space="0"/>
            </w:tcBorders>
            <w:noWrap/>
            <w:vAlign w:val="center"/>
          </w:tcPr>
          <w:p>
            <w:pPr>
              <w:jc w:val="center"/>
              <w:rPr>
                <w:rFonts w:ascii="宋体" w:hAnsi="宋体" w:eastAsia="宋体"/>
                <w:color w:val="000000"/>
                <w:sz w:val="20"/>
                <w:szCs w:val="20"/>
              </w:rPr>
            </w:pPr>
          </w:p>
        </w:tc>
        <w:tc>
          <w:tcPr>
            <w:tcW w:w="826" w:type="pct"/>
            <w:gridSpan w:val="2"/>
            <w:tcBorders>
              <w:top w:val="nil"/>
              <w:left w:val="nil"/>
              <w:bottom w:val="single" w:color="000000" w:sz="4" w:space="0"/>
              <w:right w:val="single" w:color="000000" w:sz="4" w:space="0"/>
            </w:tcBorders>
            <w:noWrap/>
            <w:vAlign w:val="center"/>
          </w:tcPr>
          <w:p>
            <w:pPr>
              <w:widowControl/>
              <w:jc w:val="center"/>
              <w:textAlignment w:val="center"/>
              <w:rPr>
                <w:rFonts w:ascii="宋体" w:hAnsi="宋体" w:eastAsia="宋体"/>
                <w:color w:val="000000"/>
                <w:sz w:val="20"/>
                <w:szCs w:val="20"/>
              </w:rPr>
            </w:pPr>
            <w:r>
              <w:rPr>
                <w:rFonts w:hint="eastAsia" w:ascii="Times New Roman" w:hAnsi="Times New Roman" w:eastAsia="宋体" w:cs="Times New Roman"/>
                <w:color w:val="000000"/>
                <w:sz w:val="20"/>
                <w:szCs w:val="20"/>
              </w:rPr>
              <w:t>1</w:t>
            </w:r>
          </w:p>
        </w:tc>
        <w:tc>
          <w:tcPr>
            <w:tcW w:w="1361" w:type="pct"/>
            <w:gridSpan w:val="2"/>
            <w:tcBorders>
              <w:top w:val="nil"/>
              <w:left w:val="nil"/>
              <w:bottom w:val="single" w:color="000000" w:sz="4" w:space="0"/>
              <w:right w:val="single" w:color="000000" w:sz="4" w:space="0"/>
            </w:tcBorders>
            <w:noWrap/>
            <w:vAlign w:val="center"/>
          </w:tcPr>
          <w:p>
            <w:pPr>
              <w:widowControl/>
              <w:jc w:val="center"/>
              <w:textAlignment w:val="center"/>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lang w:bidi="ar"/>
              </w:rPr>
              <w:t>栏次</w:t>
            </w:r>
          </w:p>
        </w:tc>
        <w:tc>
          <w:tcPr>
            <w:tcW w:w="267" w:type="pct"/>
            <w:tcBorders>
              <w:top w:val="nil"/>
              <w:left w:val="nil"/>
              <w:bottom w:val="single" w:color="000000" w:sz="4" w:space="0"/>
              <w:right w:val="single" w:color="000000" w:sz="4" w:space="0"/>
            </w:tcBorders>
            <w:noWrap/>
            <w:vAlign w:val="center"/>
          </w:tcPr>
          <w:p>
            <w:pPr>
              <w:jc w:val="center"/>
              <w:rPr>
                <w:rFonts w:ascii="宋体" w:hAnsi="宋体" w:eastAsia="宋体"/>
                <w:color w:val="000000"/>
                <w:sz w:val="20"/>
                <w:szCs w:val="20"/>
              </w:rPr>
            </w:pPr>
          </w:p>
        </w:tc>
        <w:tc>
          <w:tcPr>
            <w:tcW w:w="826" w:type="pct"/>
            <w:tcBorders>
              <w:top w:val="nil"/>
              <w:left w:val="nil"/>
              <w:bottom w:val="single" w:color="000000" w:sz="4" w:space="0"/>
              <w:right w:val="single" w:color="000000" w:sz="4" w:space="0"/>
            </w:tcBorders>
            <w:noWrap/>
            <w:vAlign w:val="center"/>
          </w:tcPr>
          <w:p>
            <w:pPr>
              <w:widowControl/>
              <w:jc w:val="center"/>
              <w:textAlignment w:val="center"/>
              <w:rPr>
                <w:rFonts w:ascii="宋体" w:hAnsi="宋体" w:eastAsia="宋体"/>
                <w:color w:val="000000"/>
                <w:sz w:val="20"/>
                <w:szCs w:val="20"/>
              </w:rPr>
            </w:pPr>
            <w:r>
              <w:rPr>
                <w:rFonts w:hint="eastAsia" w:ascii="Times New Roman" w:hAnsi="Times New Roman" w:eastAsia="宋体" w:cs="Times New Roman"/>
                <w:color w:val="000000"/>
                <w:sz w:val="20"/>
                <w:szCs w:val="20"/>
              </w:rPr>
              <w:t>2</w:t>
            </w:r>
          </w:p>
        </w:tc>
      </w:tr>
      <w:tr>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一、一般公共预算财政拨款收入</w:t>
            </w:r>
          </w:p>
        </w:tc>
        <w:tc>
          <w:tcPr>
            <w:tcW w:w="267"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宋体" w:hAnsi="宋体" w:eastAsia="宋体"/>
                <w:color w:val="000000"/>
                <w:sz w:val="20"/>
                <w:szCs w:val="20"/>
              </w:rPr>
              <w:t>1</w:t>
            </w:r>
          </w:p>
        </w:tc>
        <w:tc>
          <w:tcPr>
            <w:tcW w:w="826"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cs="Times New Roman"/>
                <w:sz w:val="20"/>
                <w:szCs w:val="20"/>
              </w:rPr>
              <w:t>859.16</w:t>
            </w:r>
          </w:p>
        </w:tc>
        <w:tc>
          <w:tcPr>
            <w:tcW w:w="1361" w:type="pct"/>
            <w:gridSpan w:val="2"/>
            <w:tcBorders>
              <w:top w:val="nil"/>
              <w:left w:val="nil"/>
              <w:bottom w:val="single" w:color="000000" w:sz="4" w:space="0"/>
              <w:right w:val="single" w:color="000000"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一、一般公共服务支出</w:t>
            </w:r>
          </w:p>
        </w:tc>
        <w:tc>
          <w:tcPr>
            <w:tcW w:w="267"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32</w:t>
            </w:r>
          </w:p>
        </w:tc>
        <w:tc>
          <w:tcPr>
            <w:tcW w:w="826"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cs="Times New Roman"/>
                <w:sz w:val="20"/>
                <w:szCs w:val="20"/>
              </w:rPr>
              <w:t>562.23</w:t>
            </w:r>
          </w:p>
        </w:tc>
      </w:tr>
      <w:tr>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二、政府性基金预算财政拨款收入</w:t>
            </w:r>
          </w:p>
        </w:tc>
        <w:tc>
          <w:tcPr>
            <w:tcW w:w="267"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2</w:t>
            </w:r>
          </w:p>
        </w:tc>
        <w:tc>
          <w:tcPr>
            <w:tcW w:w="826"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二、外交支出</w:t>
            </w:r>
          </w:p>
        </w:tc>
        <w:tc>
          <w:tcPr>
            <w:tcW w:w="267"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33</w:t>
            </w:r>
          </w:p>
        </w:tc>
        <w:tc>
          <w:tcPr>
            <w:tcW w:w="826"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三、国有资本经营预算财政拨款收入</w:t>
            </w:r>
          </w:p>
        </w:tc>
        <w:tc>
          <w:tcPr>
            <w:tcW w:w="267"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3</w:t>
            </w:r>
          </w:p>
        </w:tc>
        <w:tc>
          <w:tcPr>
            <w:tcW w:w="826"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三、国防支出</w:t>
            </w:r>
          </w:p>
        </w:tc>
        <w:tc>
          <w:tcPr>
            <w:tcW w:w="267"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34</w:t>
            </w:r>
          </w:p>
        </w:tc>
        <w:tc>
          <w:tcPr>
            <w:tcW w:w="826"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四、上级补助收入</w:t>
            </w:r>
          </w:p>
        </w:tc>
        <w:tc>
          <w:tcPr>
            <w:tcW w:w="267"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4</w:t>
            </w:r>
          </w:p>
        </w:tc>
        <w:tc>
          <w:tcPr>
            <w:tcW w:w="826"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四、公共安全支出</w:t>
            </w:r>
          </w:p>
        </w:tc>
        <w:tc>
          <w:tcPr>
            <w:tcW w:w="267"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35</w:t>
            </w:r>
          </w:p>
        </w:tc>
        <w:tc>
          <w:tcPr>
            <w:tcW w:w="826"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五、事业收入</w:t>
            </w:r>
          </w:p>
        </w:tc>
        <w:tc>
          <w:tcPr>
            <w:tcW w:w="267"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5</w:t>
            </w:r>
          </w:p>
        </w:tc>
        <w:tc>
          <w:tcPr>
            <w:tcW w:w="826"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五、教育支出</w:t>
            </w:r>
          </w:p>
        </w:tc>
        <w:tc>
          <w:tcPr>
            <w:tcW w:w="267"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36</w:t>
            </w:r>
          </w:p>
        </w:tc>
        <w:tc>
          <w:tcPr>
            <w:tcW w:w="826"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六、经营收入</w:t>
            </w:r>
          </w:p>
        </w:tc>
        <w:tc>
          <w:tcPr>
            <w:tcW w:w="267"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6</w:t>
            </w:r>
          </w:p>
        </w:tc>
        <w:tc>
          <w:tcPr>
            <w:tcW w:w="826"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六、科学技术支出</w:t>
            </w:r>
          </w:p>
        </w:tc>
        <w:tc>
          <w:tcPr>
            <w:tcW w:w="267"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37</w:t>
            </w:r>
          </w:p>
        </w:tc>
        <w:tc>
          <w:tcPr>
            <w:tcW w:w="826"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七、附属单位上缴收入</w:t>
            </w:r>
          </w:p>
        </w:tc>
        <w:tc>
          <w:tcPr>
            <w:tcW w:w="267"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7</w:t>
            </w:r>
          </w:p>
        </w:tc>
        <w:tc>
          <w:tcPr>
            <w:tcW w:w="826"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七、文化旅游体育与传媒支出</w:t>
            </w:r>
          </w:p>
        </w:tc>
        <w:tc>
          <w:tcPr>
            <w:tcW w:w="267"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38</w:t>
            </w:r>
          </w:p>
        </w:tc>
        <w:tc>
          <w:tcPr>
            <w:tcW w:w="826"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八、其他收入</w:t>
            </w:r>
          </w:p>
        </w:tc>
        <w:tc>
          <w:tcPr>
            <w:tcW w:w="267"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8</w:t>
            </w:r>
          </w:p>
        </w:tc>
        <w:tc>
          <w:tcPr>
            <w:tcW w:w="826"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八、社会保障和就业支出</w:t>
            </w:r>
          </w:p>
        </w:tc>
        <w:tc>
          <w:tcPr>
            <w:tcW w:w="267"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39</w:t>
            </w:r>
          </w:p>
        </w:tc>
        <w:tc>
          <w:tcPr>
            <w:tcW w:w="826"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cs="Times New Roman"/>
                <w:sz w:val="20"/>
                <w:szCs w:val="20"/>
              </w:rPr>
              <w:t>228.33</w:t>
            </w:r>
          </w:p>
        </w:tc>
      </w:tr>
      <w:tr>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jc w:val="left"/>
              <w:rPr>
                <w:rFonts w:ascii="宋体" w:hAnsi="宋体" w:eastAsia="宋体"/>
                <w:color w:val="000000"/>
                <w:sz w:val="20"/>
                <w:szCs w:val="20"/>
              </w:rPr>
            </w:pPr>
          </w:p>
        </w:tc>
        <w:tc>
          <w:tcPr>
            <w:tcW w:w="267"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9</w:t>
            </w:r>
          </w:p>
        </w:tc>
        <w:tc>
          <w:tcPr>
            <w:tcW w:w="826"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九、卫生健康支出</w:t>
            </w:r>
          </w:p>
        </w:tc>
        <w:tc>
          <w:tcPr>
            <w:tcW w:w="267"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40</w:t>
            </w:r>
          </w:p>
        </w:tc>
        <w:tc>
          <w:tcPr>
            <w:tcW w:w="826"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cs="Times New Roman"/>
                <w:sz w:val="20"/>
                <w:szCs w:val="20"/>
              </w:rPr>
              <w:t>28.69</w:t>
            </w:r>
          </w:p>
        </w:tc>
      </w:tr>
      <w:tr>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jc w:val="left"/>
              <w:rPr>
                <w:rFonts w:ascii="宋体" w:hAnsi="宋体" w:eastAsia="宋体"/>
                <w:color w:val="000000"/>
                <w:sz w:val="20"/>
                <w:szCs w:val="20"/>
              </w:rPr>
            </w:pPr>
          </w:p>
        </w:tc>
        <w:tc>
          <w:tcPr>
            <w:tcW w:w="267"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10</w:t>
            </w:r>
          </w:p>
        </w:tc>
        <w:tc>
          <w:tcPr>
            <w:tcW w:w="826"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十、节能环保支出</w:t>
            </w:r>
          </w:p>
        </w:tc>
        <w:tc>
          <w:tcPr>
            <w:tcW w:w="267"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41</w:t>
            </w:r>
          </w:p>
        </w:tc>
        <w:tc>
          <w:tcPr>
            <w:tcW w:w="826"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jc w:val="left"/>
              <w:rPr>
                <w:rFonts w:ascii="宋体" w:hAnsi="宋体" w:eastAsia="宋体"/>
                <w:color w:val="000000"/>
                <w:sz w:val="20"/>
                <w:szCs w:val="20"/>
              </w:rPr>
            </w:pPr>
          </w:p>
        </w:tc>
        <w:tc>
          <w:tcPr>
            <w:tcW w:w="267"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11</w:t>
            </w:r>
          </w:p>
        </w:tc>
        <w:tc>
          <w:tcPr>
            <w:tcW w:w="826"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十一、城乡社区支出</w:t>
            </w:r>
          </w:p>
        </w:tc>
        <w:tc>
          <w:tcPr>
            <w:tcW w:w="267"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42</w:t>
            </w:r>
          </w:p>
        </w:tc>
        <w:tc>
          <w:tcPr>
            <w:tcW w:w="826"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jc w:val="left"/>
              <w:rPr>
                <w:rFonts w:ascii="宋体" w:hAnsi="宋体" w:eastAsia="宋体"/>
                <w:color w:val="000000"/>
                <w:sz w:val="20"/>
                <w:szCs w:val="20"/>
              </w:rPr>
            </w:pPr>
          </w:p>
        </w:tc>
        <w:tc>
          <w:tcPr>
            <w:tcW w:w="267"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12</w:t>
            </w:r>
          </w:p>
        </w:tc>
        <w:tc>
          <w:tcPr>
            <w:tcW w:w="826"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十二、农林水支出</w:t>
            </w:r>
          </w:p>
        </w:tc>
        <w:tc>
          <w:tcPr>
            <w:tcW w:w="267"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43</w:t>
            </w:r>
          </w:p>
        </w:tc>
        <w:tc>
          <w:tcPr>
            <w:tcW w:w="826"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jc w:val="left"/>
              <w:rPr>
                <w:rFonts w:ascii="宋体" w:hAnsi="宋体" w:eastAsia="宋体"/>
                <w:color w:val="000000"/>
                <w:sz w:val="20"/>
                <w:szCs w:val="20"/>
              </w:rPr>
            </w:pPr>
          </w:p>
        </w:tc>
        <w:tc>
          <w:tcPr>
            <w:tcW w:w="267"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13</w:t>
            </w:r>
          </w:p>
        </w:tc>
        <w:tc>
          <w:tcPr>
            <w:tcW w:w="826"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十三、交通运输支出</w:t>
            </w:r>
          </w:p>
        </w:tc>
        <w:tc>
          <w:tcPr>
            <w:tcW w:w="267"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44</w:t>
            </w:r>
          </w:p>
        </w:tc>
        <w:tc>
          <w:tcPr>
            <w:tcW w:w="826"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auto" w:sz="4" w:space="0"/>
              <w:right w:val="single" w:color="000000" w:sz="4" w:space="0"/>
            </w:tcBorders>
            <w:noWrap/>
            <w:vAlign w:val="center"/>
          </w:tcPr>
          <w:p>
            <w:pPr>
              <w:jc w:val="left"/>
              <w:rPr>
                <w:rFonts w:ascii="宋体" w:hAnsi="宋体" w:eastAsia="宋体"/>
                <w:color w:val="000000"/>
                <w:sz w:val="20"/>
                <w:szCs w:val="20"/>
              </w:rPr>
            </w:pPr>
          </w:p>
        </w:tc>
        <w:tc>
          <w:tcPr>
            <w:tcW w:w="267" w:type="pct"/>
            <w:tcBorders>
              <w:top w:val="nil"/>
              <w:left w:val="nil"/>
              <w:bottom w:val="single" w:color="auto"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14</w:t>
            </w:r>
          </w:p>
        </w:tc>
        <w:tc>
          <w:tcPr>
            <w:tcW w:w="826" w:type="pct"/>
            <w:gridSpan w:val="2"/>
            <w:tcBorders>
              <w:top w:val="nil"/>
              <w:left w:val="nil"/>
              <w:bottom w:val="single" w:color="auto"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auto" w:sz="4" w:space="0"/>
              <w:right w:val="single" w:color="000000"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十四、资源勘探工业信息等支出</w:t>
            </w:r>
          </w:p>
        </w:tc>
        <w:tc>
          <w:tcPr>
            <w:tcW w:w="267" w:type="pct"/>
            <w:tcBorders>
              <w:top w:val="nil"/>
              <w:left w:val="nil"/>
              <w:bottom w:val="single" w:color="auto"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45</w:t>
            </w:r>
          </w:p>
        </w:tc>
        <w:tc>
          <w:tcPr>
            <w:tcW w:w="826" w:type="pct"/>
            <w:tcBorders>
              <w:top w:val="nil"/>
              <w:left w:val="nil"/>
              <w:bottom w:val="single" w:color="auto" w:sz="4" w:space="0"/>
              <w:right w:val="single" w:color="000000"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pPr>
              <w:jc w:val="left"/>
              <w:rPr>
                <w:rFonts w:ascii="宋体" w:hAnsi="宋体" w:eastAsia="宋体"/>
                <w:color w:val="000000"/>
                <w:sz w:val="20"/>
                <w:szCs w:val="20"/>
              </w:rPr>
            </w:pPr>
          </w:p>
        </w:tc>
        <w:tc>
          <w:tcPr>
            <w:tcW w:w="267"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15</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十五、商业服务业等支出</w:t>
            </w:r>
          </w:p>
        </w:tc>
        <w:tc>
          <w:tcPr>
            <w:tcW w:w="267"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46</w:t>
            </w:r>
          </w:p>
        </w:tc>
        <w:tc>
          <w:tcPr>
            <w:tcW w:w="826"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pPr>
              <w:jc w:val="left"/>
              <w:rPr>
                <w:rFonts w:ascii="宋体" w:hAnsi="宋体" w:eastAsia="宋体"/>
                <w:color w:val="000000"/>
                <w:sz w:val="20"/>
                <w:szCs w:val="20"/>
              </w:rPr>
            </w:pPr>
          </w:p>
        </w:tc>
        <w:tc>
          <w:tcPr>
            <w:tcW w:w="267"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16</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十六、金融支出</w:t>
            </w:r>
          </w:p>
        </w:tc>
        <w:tc>
          <w:tcPr>
            <w:tcW w:w="267"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47</w:t>
            </w:r>
          </w:p>
        </w:tc>
        <w:tc>
          <w:tcPr>
            <w:tcW w:w="826"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pPr>
              <w:jc w:val="left"/>
              <w:rPr>
                <w:rFonts w:ascii="宋体" w:hAnsi="宋体" w:eastAsia="宋体"/>
                <w:color w:val="000000"/>
                <w:sz w:val="20"/>
                <w:szCs w:val="20"/>
              </w:rPr>
            </w:pPr>
          </w:p>
        </w:tc>
        <w:tc>
          <w:tcPr>
            <w:tcW w:w="267"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17</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十七、援助其他地区支出</w:t>
            </w:r>
          </w:p>
        </w:tc>
        <w:tc>
          <w:tcPr>
            <w:tcW w:w="267"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48</w:t>
            </w:r>
          </w:p>
        </w:tc>
        <w:tc>
          <w:tcPr>
            <w:tcW w:w="826"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pPr>
              <w:jc w:val="left"/>
              <w:rPr>
                <w:rFonts w:ascii="宋体" w:hAnsi="宋体" w:eastAsia="宋体"/>
                <w:color w:val="000000"/>
                <w:sz w:val="20"/>
                <w:szCs w:val="20"/>
              </w:rPr>
            </w:pPr>
          </w:p>
        </w:tc>
        <w:tc>
          <w:tcPr>
            <w:tcW w:w="267"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18</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十八、自然资源海洋气象等支出</w:t>
            </w:r>
          </w:p>
        </w:tc>
        <w:tc>
          <w:tcPr>
            <w:tcW w:w="267"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49</w:t>
            </w:r>
          </w:p>
        </w:tc>
        <w:tc>
          <w:tcPr>
            <w:tcW w:w="826"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pPr>
              <w:jc w:val="left"/>
              <w:rPr>
                <w:rFonts w:ascii="宋体" w:hAnsi="宋体" w:eastAsia="宋体"/>
                <w:color w:val="000000"/>
                <w:sz w:val="20"/>
                <w:szCs w:val="20"/>
              </w:rPr>
            </w:pPr>
          </w:p>
        </w:tc>
        <w:tc>
          <w:tcPr>
            <w:tcW w:w="267"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19</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十九、住房保障支出</w:t>
            </w:r>
          </w:p>
        </w:tc>
        <w:tc>
          <w:tcPr>
            <w:tcW w:w="267"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50</w:t>
            </w:r>
          </w:p>
        </w:tc>
        <w:tc>
          <w:tcPr>
            <w:tcW w:w="826"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cs="Times New Roman"/>
                <w:sz w:val="20"/>
                <w:szCs w:val="20"/>
              </w:rPr>
              <w:t>39.91</w:t>
            </w:r>
          </w:p>
        </w:tc>
      </w:tr>
      <w:tr>
        <w:tblPrEx>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pPr>
              <w:jc w:val="left"/>
              <w:rPr>
                <w:rFonts w:ascii="宋体" w:hAnsi="宋体" w:eastAsia="宋体"/>
                <w:color w:val="000000"/>
                <w:sz w:val="20"/>
                <w:szCs w:val="20"/>
              </w:rPr>
            </w:pPr>
          </w:p>
        </w:tc>
        <w:tc>
          <w:tcPr>
            <w:tcW w:w="267"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20</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二十、粮油物资储备支出</w:t>
            </w:r>
          </w:p>
        </w:tc>
        <w:tc>
          <w:tcPr>
            <w:tcW w:w="267"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51</w:t>
            </w:r>
          </w:p>
        </w:tc>
        <w:tc>
          <w:tcPr>
            <w:tcW w:w="826"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000000" w:sz="4" w:space="0"/>
              <w:bottom w:val="single" w:color="000000" w:sz="4" w:space="0"/>
              <w:right w:val="single" w:color="000000" w:sz="4" w:space="0"/>
            </w:tcBorders>
            <w:noWrap/>
            <w:vAlign w:val="center"/>
          </w:tcPr>
          <w:p>
            <w:pPr>
              <w:jc w:val="left"/>
              <w:rPr>
                <w:rFonts w:ascii="宋体" w:hAnsi="宋体" w:eastAsia="宋体"/>
                <w:color w:val="000000"/>
                <w:sz w:val="20"/>
                <w:szCs w:val="20"/>
              </w:rPr>
            </w:pPr>
          </w:p>
        </w:tc>
        <w:tc>
          <w:tcPr>
            <w:tcW w:w="267" w:type="pct"/>
            <w:tcBorders>
              <w:top w:val="single" w:color="auto" w:sz="4" w:space="0"/>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21</w:t>
            </w:r>
          </w:p>
        </w:tc>
        <w:tc>
          <w:tcPr>
            <w:tcW w:w="826" w:type="pct"/>
            <w:gridSpan w:val="2"/>
            <w:tcBorders>
              <w:top w:val="single" w:color="auto" w:sz="4" w:space="0"/>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1361" w:type="pct"/>
            <w:gridSpan w:val="2"/>
            <w:tcBorders>
              <w:top w:val="single" w:color="auto" w:sz="4" w:space="0"/>
              <w:left w:val="nil"/>
              <w:bottom w:val="single" w:color="000000" w:sz="4" w:space="0"/>
              <w:right w:val="single" w:color="000000"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二十一、国有资本经营预算支出</w:t>
            </w:r>
          </w:p>
        </w:tc>
        <w:tc>
          <w:tcPr>
            <w:tcW w:w="267" w:type="pct"/>
            <w:tcBorders>
              <w:top w:val="single" w:color="auto" w:sz="4" w:space="0"/>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52</w:t>
            </w:r>
          </w:p>
        </w:tc>
        <w:tc>
          <w:tcPr>
            <w:tcW w:w="826" w:type="pct"/>
            <w:tcBorders>
              <w:top w:val="single" w:color="auto" w:sz="4" w:space="0"/>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jc w:val="left"/>
              <w:rPr>
                <w:rFonts w:ascii="宋体" w:hAnsi="宋体" w:eastAsia="宋体"/>
                <w:color w:val="000000"/>
                <w:sz w:val="20"/>
                <w:szCs w:val="20"/>
              </w:rPr>
            </w:pPr>
          </w:p>
        </w:tc>
        <w:tc>
          <w:tcPr>
            <w:tcW w:w="267"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22</w:t>
            </w:r>
          </w:p>
        </w:tc>
        <w:tc>
          <w:tcPr>
            <w:tcW w:w="826"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二十二、灾害防治及应急管理支出</w:t>
            </w:r>
          </w:p>
        </w:tc>
        <w:tc>
          <w:tcPr>
            <w:tcW w:w="267"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53</w:t>
            </w:r>
          </w:p>
        </w:tc>
        <w:tc>
          <w:tcPr>
            <w:tcW w:w="826"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jc w:val="left"/>
              <w:rPr>
                <w:rFonts w:ascii="宋体" w:hAnsi="宋体" w:eastAsia="宋体"/>
                <w:color w:val="000000"/>
                <w:sz w:val="20"/>
                <w:szCs w:val="20"/>
              </w:rPr>
            </w:pPr>
          </w:p>
        </w:tc>
        <w:tc>
          <w:tcPr>
            <w:tcW w:w="267"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23</w:t>
            </w:r>
          </w:p>
        </w:tc>
        <w:tc>
          <w:tcPr>
            <w:tcW w:w="826"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二十三、其他支出</w:t>
            </w:r>
          </w:p>
        </w:tc>
        <w:tc>
          <w:tcPr>
            <w:tcW w:w="267"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54</w:t>
            </w:r>
          </w:p>
        </w:tc>
        <w:tc>
          <w:tcPr>
            <w:tcW w:w="826"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jc w:val="left"/>
              <w:rPr>
                <w:rFonts w:ascii="宋体" w:hAnsi="宋体" w:eastAsia="宋体"/>
                <w:color w:val="000000"/>
                <w:sz w:val="20"/>
                <w:szCs w:val="20"/>
              </w:rPr>
            </w:pPr>
          </w:p>
        </w:tc>
        <w:tc>
          <w:tcPr>
            <w:tcW w:w="267"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24</w:t>
            </w:r>
          </w:p>
        </w:tc>
        <w:tc>
          <w:tcPr>
            <w:tcW w:w="826"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二十四、债务还本支出</w:t>
            </w:r>
          </w:p>
        </w:tc>
        <w:tc>
          <w:tcPr>
            <w:tcW w:w="267"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55</w:t>
            </w:r>
          </w:p>
        </w:tc>
        <w:tc>
          <w:tcPr>
            <w:tcW w:w="826"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jc w:val="left"/>
              <w:rPr>
                <w:rFonts w:ascii="宋体" w:hAnsi="宋体" w:eastAsia="宋体"/>
                <w:color w:val="000000"/>
                <w:sz w:val="20"/>
                <w:szCs w:val="20"/>
              </w:rPr>
            </w:pPr>
          </w:p>
        </w:tc>
        <w:tc>
          <w:tcPr>
            <w:tcW w:w="267"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25</w:t>
            </w:r>
          </w:p>
        </w:tc>
        <w:tc>
          <w:tcPr>
            <w:tcW w:w="826"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二十五、债务付息支出</w:t>
            </w:r>
          </w:p>
        </w:tc>
        <w:tc>
          <w:tcPr>
            <w:tcW w:w="267"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56</w:t>
            </w:r>
          </w:p>
        </w:tc>
        <w:tc>
          <w:tcPr>
            <w:tcW w:w="826"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jc w:val="left"/>
              <w:rPr>
                <w:rFonts w:ascii="宋体" w:hAnsi="宋体" w:eastAsia="宋体"/>
                <w:color w:val="000000"/>
                <w:sz w:val="20"/>
                <w:szCs w:val="20"/>
              </w:rPr>
            </w:pPr>
          </w:p>
        </w:tc>
        <w:tc>
          <w:tcPr>
            <w:tcW w:w="267"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26</w:t>
            </w:r>
          </w:p>
        </w:tc>
        <w:tc>
          <w:tcPr>
            <w:tcW w:w="826"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二十六、抗疫特别国债安排的支出</w:t>
            </w:r>
          </w:p>
        </w:tc>
        <w:tc>
          <w:tcPr>
            <w:tcW w:w="267"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57</w:t>
            </w:r>
          </w:p>
        </w:tc>
        <w:tc>
          <w:tcPr>
            <w:tcW w:w="826"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widowControl/>
              <w:jc w:val="center"/>
              <w:textAlignment w:val="center"/>
              <w:rPr>
                <w:rFonts w:ascii="方正仿宋_GB2312" w:hAnsi="方正仿宋_GB2312" w:eastAsia="方正仿宋_GB2312" w:cs="方正仿宋_GB2312"/>
                <w:b/>
                <w:bCs/>
                <w:color w:val="000000"/>
                <w:sz w:val="20"/>
                <w:szCs w:val="20"/>
              </w:rPr>
            </w:pPr>
            <w:r>
              <w:rPr>
                <w:rFonts w:hint="eastAsia" w:ascii="方正仿宋_GB2312" w:hAnsi="方正仿宋_GB2312" w:eastAsia="方正仿宋_GB2312" w:cs="方正仿宋_GB2312"/>
                <w:b/>
                <w:bCs/>
                <w:color w:val="000000"/>
                <w:sz w:val="20"/>
                <w:szCs w:val="20"/>
                <w:lang w:bidi="ar"/>
              </w:rPr>
              <w:t>本年收入合计</w:t>
            </w:r>
          </w:p>
        </w:tc>
        <w:tc>
          <w:tcPr>
            <w:tcW w:w="267"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27</w:t>
            </w:r>
          </w:p>
        </w:tc>
        <w:tc>
          <w:tcPr>
            <w:tcW w:w="826"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cs="Times New Roman"/>
                <w:sz w:val="20"/>
                <w:szCs w:val="20"/>
              </w:rPr>
              <w:t>859.16</w:t>
            </w:r>
          </w:p>
        </w:tc>
        <w:tc>
          <w:tcPr>
            <w:tcW w:w="1361" w:type="pct"/>
            <w:gridSpan w:val="2"/>
            <w:tcBorders>
              <w:top w:val="nil"/>
              <w:left w:val="nil"/>
              <w:bottom w:val="single" w:color="000000" w:sz="4" w:space="0"/>
              <w:right w:val="single" w:color="000000" w:sz="4" w:space="0"/>
            </w:tcBorders>
            <w:noWrap/>
            <w:vAlign w:val="center"/>
          </w:tcPr>
          <w:p>
            <w:pPr>
              <w:widowControl/>
              <w:jc w:val="center"/>
              <w:textAlignment w:val="center"/>
              <w:rPr>
                <w:rFonts w:ascii="方正仿宋_GB2312" w:hAnsi="方正仿宋_GB2312" w:eastAsia="方正仿宋_GB2312" w:cs="方正仿宋_GB2312"/>
                <w:b/>
                <w:bCs/>
                <w:color w:val="000000"/>
                <w:sz w:val="20"/>
                <w:szCs w:val="20"/>
              </w:rPr>
            </w:pPr>
            <w:r>
              <w:rPr>
                <w:rFonts w:hint="eastAsia" w:ascii="方正仿宋_GB2312" w:hAnsi="方正仿宋_GB2312" w:eastAsia="方正仿宋_GB2312" w:cs="方正仿宋_GB2312"/>
                <w:b/>
                <w:bCs/>
                <w:color w:val="000000"/>
                <w:sz w:val="20"/>
                <w:szCs w:val="20"/>
                <w:lang w:bidi="ar"/>
              </w:rPr>
              <w:t>本年支出合计</w:t>
            </w:r>
          </w:p>
        </w:tc>
        <w:tc>
          <w:tcPr>
            <w:tcW w:w="267"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58</w:t>
            </w:r>
          </w:p>
        </w:tc>
        <w:tc>
          <w:tcPr>
            <w:tcW w:w="826"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cs="Times New Roman"/>
                <w:sz w:val="20"/>
                <w:szCs w:val="20"/>
              </w:rPr>
              <w:t>859.16</w:t>
            </w:r>
          </w:p>
        </w:tc>
      </w:tr>
      <w:tr>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使用非财政拨款结余（含专用结余）</w:t>
            </w:r>
          </w:p>
        </w:tc>
        <w:tc>
          <w:tcPr>
            <w:tcW w:w="267"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28</w:t>
            </w:r>
          </w:p>
        </w:tc>
        <w:tc>
          <w:tcPr>
            <w:tcW w:w="826"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结余分配</w:t>
            </w:r>
          </w:p>
        </w:tc>
        <w:tc>
          <w:tcPr>
            <w:tcW w:w="267"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59</w:t>
            </w:r>
          </w:p>
        </w:tc>
        <w:tc>
          <w:tcPr>
            <w:tcW w:w="826"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年初结转和结余</w:t>
            </w:r>
          </w:p>
        </w:tc>
        <w:tc>
          <w:tcPr>
            <w:tcW w:w="267"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29</w:t>
            </w:r>
          </w:p>
        </w:tc>
        <w:tc>
          <w:tcPr>
            <w:tcW w:w="826"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年末结转和结余</w:t>
            </w:r>
          </w:p>
        </w:tc>
        <w:tc>
          <w:tcPr>
            <w:tcW w:w="267"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60</w:t>
            </w:r>
          </w:p>
        </w:tc>
        <w:tc>
          <w:tcPr>
            <w:tcW w:w="826"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widowControl/>
              <w:jc w:val="center"/>
              <w:textAlignment w:val="center"/>
              <w:rPr>
                <w:rFonts w:ascii="方正仿宋_GB2312" w:hAnsi="方正仿宋_GB2312" w:eastAsia="方正仿宋_GB2312" w:cs="方正仿宋_GB2312"/>
                <w:b/>
                <w:bCs/>
                <w:color w:val="000000"/>
                <w:sz w:val="20"/>
                <w:szCs w:val="20"/>
                <w:lang w:bidi="ar"/>
              </w:rPr>
            </w:pPr>
          </w:p>
        </w:tc>
        <w:tc>
          <w:tcPr>
            <w:tcW w:w="267"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lang w:bidi="ar"/>
              </w:rPr>
            </w:pPr>
            <w:r>
              <w:rPr>
                <w:rFonts w:ascii="Times New Roman" w:hAnsi="Times New Roman" w:eastAsia="宋体" w:cs="Times New Roman"/>
                <w:color w:val="000000"/>
                <w:sz w:val="20"/>
                <w:szCs w:val="20"/>
                <w:lang w:bidi="ar"/>
              </w:rPr>
              <w:t>30</w:t>
            </w:r>
          </w:p>
        </w:tc>
        <w:tc>
          <w:tcPr>
            <w:tcW w:w="826"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pPr>
              <w:widowControl/>
              <w:jc w:val="center"/>
              <w:textAlignment w:val="center"/>
              <w:rPr>
                <w:rFonts w:ascii="方正仿宋_GB2312" w:hAnsi="方正仿宋_GB2312" w:eastAsia="方正仿宋_GB2312" w:cs="方正仿宋_GB2312"/>
                <w:b/>
                <w:bCs/>
                <w:color w:val="000000"/>
                <w:sz w:val="20"/>
                <w:szCs w:val="20"/>
                <w:lang w:bidi="ar"/>
              </w:rPr>
            </w:pPr>
          </w:p>
        </w:tc>
        <w:tc>
          <w:tcPr>
            <w:tcW w:w="267"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lang w:bidi="ar"/>
              </w:rPr>
            </w:pPr>
            <w:r>
              <w:rPr>
                <w:rFonts w:ascii="Times New Roman" w:hAnsi="Times New Roman" w:eastAsia="宋体" w:cs="Times New Roman"/>
                <w:color w:val="000000"/>
                <w:sz w:val="20"/>
                <w:szCs w:val="20"/>
                <w:lang w:bidi="ar"/>
              </w:rPr>
              <w:t>61</w:t>
            </w:r>
          </w:p>
        </w:tc>
        <w:tc>
          <w:tcPr>
            <w:tcW w:w="826"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gridAfter w:val="1"/>
          <w:wAfter w:w="14" w:type="pct"/>
          <w:trHeight w:val="308" w:hRule="atLeast"/>
        </w:trPr>
        <w:tc>
          <w:tcPr>
            <w:tcW w:w="1434" w:type="pct"/>
            <w:tcBorders>
              <w:top w:val="nil"/>
              <w:left w:val="single" w:color="000000" w:sz="4" w:space="0"/>
              <w:bottom w:val="single" w:color="000000" w:sz="4" w:space="0"/>
              <w:right w:val="single" w:color="000000" w:sz="4" w:space="0"/>
            </w:tcBorders>
            <w:noWrap/>
            <w:vAlign w:val="center"/>
          </w:tcPr>
          <w:p>
            <w:pPr>
              <w:widowControl/>
              <w:jc w:val="center"/>
              <w:textAlignment w:val="center"/>
              <w:rPr>
                <w:rFonts w:ascii="方正仿宋_GB2312" w:hAnsi="方正仿宋_GB2312" w:eastAsia="方正仿宋_GB2312" w:cs="方正仿宋_GB2312"/>
                <w:b/>
                <w:bCs/>
                <w:color w:val="000000"/>
                <w:sz w:val="20"/>
                <w:szCs w:val="20"/>
              </w:rPr>
            </w:pPr>
            <w:r>
              <w:rPr>
                <w:rFonts w:hint="eastAsia" w:ascii="方正仿宋_GB2312" w:hAnsi="方正仿宋_GB2312" w:eastAsia="方正仿宋_GB2312" w:cs="方正仿宋_GB2312"/>
                <w:b/>
                <w:bCs/>
                <w:color w:val="000000"/>
                <w:sz w:val="20"/>
                <w:szCs w:val="20"/>
                <w:lang w:bidi="ar"/>
              </w:rPr>
              <w:t>总计</w:t>
            </w:r>
          </w:p>
        </w:tc>
        <w:tc>
          <w:tcPr>
            <w:tcW w:w="267"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31</w:t>
            </w:r>
          </w:p>
        </w:tc>
        <w:tc>
          <w:tcPr>
            <w:tcW w:w="826"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cs="Times New Roman"/>
                <w:sz w:val="20"/>
                <w:szCs w:val="20"/>
              </w:rPr>
              <w:t>859.16</w:t>
            </w:r>
          </w:p>
        </w:tc>
        <w:tc>
          <w:tcPr>
            <w:tcW w:w="1361" w:type="pct"/>
            <w:gridSpan w:val="2"/>
            <w:tcBorders>
              <w:top w:val="nil"/>
              <w:left w:val="nil"/>
              <w:bottom w:val="single" w:color="000000" w:sz="4" w:space="0"/>
              <w:right w:val="single" w:color="000000" w:sz="4" w:space="0"/>
            </w:tcBorders>
            <w:noWrap/>
            <w:vAlign w:val="center"/>
          </w:tcPr>
          <w:p>
            <w:pPr>
              <w:widowControl/>
              <w:jc w:val="center"/>
              <w:textAlignment w:val="center"/>
              <w:rPr>
                <w:rFonts w:ascii="方正仿宋_GB2312" w:hAnsi="方正仿宋_GB2312" w:eastAsia="方正仿宋_GB2312" w:cs="方正仿宋_GB2312"/>
                <w:b/>
                <w:bCs/>
                <w:color w:val="000000"/>
                <w:sz w:val="20"/>
                <w:szCs w:val="20"/>
              </w:rPr>
            </w:pPr>
            <w:r>
              <w:rPr>
                <w:rFonts w:hint="eastAsia" w:ascii="方正仿宋_GB2312" w:hAnsi="方正仿宋_GB2312" w:eastAsia="方正仿宋_GB2312" w:cs="方正仿宋_GB2312"/>
                <w:b/>
                <w:bCs/>
                <w:color w:val="000000"/>
                <w:sz w:val="20"/>
                <w:szCs w:val="20"/>
                <w:lang w:bidi="ar"/>
              </w:rPr>
              <w:t>总计</w:t>
            </w:r>
          </w:p>
        </w:tc>
        <w:tc>
          <w:tcPr>
            <w:tcW w:w="267"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62</w:t>
            </w:r>
          </w:p>
        </w:tc>
        <w:tc>
          <w:tcPr>
            <w:tcW w:w="826"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cs="Times New Roman"/>
                <w:sz w:val="20"/>
                <w:szCs w:val="20"/>
              </w:rPr>
              <w:t>859.16</w:t>
            </w:r>
          </w:p>
        </w:tc>
      </w:tr>
      <w:tr>
        <w:tblPrEx>
          <w:tblCellMar>
            <w:top w:w="0" w:type="dxa"/>
            <w:left w:w="108" w:type="dxa"/>
            <w:bottom w:w="0" w:type="dxa"/>
            <w:right w:w="108" w:type="dxa"/>
          </w:tblCellMar>
        </w:tblPrEx>
        <w:trPr>
          <w:trHeight w:val="308" w:hRule="atLeast"/>
        </w:trPr>
        <w:tc>
          <w:tcPr>
            <w:tcW w:w="5000" w:type="pct"/>
            <w:gridSpan w:val="9"/>
            <w:tcBorders>
              <w:top w:val="nil"/>
              <w:left w:val="nil"/>
              <w:bottom w:val="nil"/>
              <w:right w:val="nil"/>
            </w:tcBorders>
            <w:noWrap/>
            <w:vAlign w:val="center"/>
          </w:tcPr>
          <w:p>
            <w:pPr>
              <w:widowControl/>
              <w:jc w:val="left"/>
              <w:textAlignment w:val="center"/>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lang w:bidi="ar"/>
              </w:rPr>
              <w:t>注：1.本表反映部门本年度的总收支和年末结转结余情况。2.本套报表金额转换时可能存在尾数误差。</w:t>
            </w:r>
          </w:p>
        </w:tc>
      </w:tr>
    </w:tbl>
    <w:p>
      <w:pPr>
        <w:rPr>
          <w:rFonts w:ascii="仿宋_GB2312" w:hAnsi="宋体" w:eastAsia="仿宋_GB2312"/>
          <w:b/>
          <w:sz w:val="32"/>
          <w:szCs w:val="32"/>
        </w:rPr>
      </w:pPr>
      <w:r>
        <w:rPr>
          <w:rFonts w:hint="eastAsia" w:ascii="仿宋_GB2312" w:hAnsi="宋体" w:eastAsia="仿宋_GB2312"/>
          <w:b/>
          <w:sz w:val="32"/>
          <w:szCs w:val="32"/>
        </w:rPr>
        <w:br w:type="page"/>
      </w:r>
    </w:p>
    <w:p>
      <w:pPr>
        <w:widowControl/>
        <w:jc w:val="center"/>
        <w:textAlignment w:val="bottom"/>
        <w:rPr>
          <w:rFonts w:ascii="黑体" w:hAnsi="黑体" w:eastAsia="黑体"/>
          <w:bCs/>
          <w:sz w:val="32"/>
          <w:szCs w:val="32"/>
        </w:rPr>
      </w:pPr>
    </w:p>
    <w:tbl>
      <w:tblPr>
        <w:tblStyle w:val="11"/>
        <w:tblW w:w="9230" w:type="dxa"/>
        <w:jc w:val="center"/>
        <w:tblLayout w:type="fixed"/>
        <w:tblCellMar>
          <w:top w:w="0" w:type="dxa"/>
          <w:left w:w="108" w:type="dxa"/>
          <w:bottom w:w="0" w:type="dxa"/>
          <w:right w:w="108" w:type="dxa"/>
        </w:tblCellMar>
      </w:tblPr>
      <w:tblGrid>
        <w:gridCol w:w="1040"/>
        <w:gridCol w:w="1160"/>
        <w:gridCol w:w="1037"/>
        <w:gridCol w:w="1037"/>
        <w:gridCol w:w="1037"/>
        <w:gridCol w:w="964"/>
        <w:gridCol w:w="367"/>
        <w:gridCol w:w="597"/>
        <w:gridCol w:w="1027"/>
        <w:gridCol w:w="964"/>
      </w:tblGrid>
      <w:tr>
        <w:tblPrEx>
          <w:tblCellMar>
            <w:top w:w="0" w:type="dxa"/>
            <w:left w:w="108" w:type="dxa"/>
            <w:bottom w:w="0" w:type="dxa"/>
            <w:right w:w="108" w:type="dxa"/>
          </w:tblCellMar>
        </w:tblPrEx>
        <w:trPr>
          <w:trHeight w:val="550" w:hRule="atLeast"/>
          <w:jc w:val="center"/>
        </w:trPr>
        <w:tc>
          <w:tcPr>
            <w:tcW w:w="9230" w:type="dxa"/>
            <w:gridSpan w:val="10"/>
            <w:tcBorders>
              <w:top w:val="nil"/>
              <w:left w:val="nil"/>
              <w:bottom w:val="nil"/>
              <w:right w:val="nil"/>
            </w:tcBorders>
            <w:noWrap/>
            <w:vAlign w:val="bottom"/>
          </w:tcPr>
          <w:p>
            <w:pPr>
              <w:widowControl/>
              <w:jc w:val="center"/>
              <w:textAlignment w:val="bottom"/>
              <w:rPr>
                <w:rFonts w:ascii="宋体" w:hAnsi="宋体" w:eastAsia="宋体"/>
                <w:color w:val="000000"/>
                <w:sz w:val="20"/>
                <w:szCs w:val="20"/>
              </w:rPr>
            </w:pPr>
            <w:r>
              <w:rPr>
                <w:rFonts w:hint="eastAsia" w:ascii="方正仿宋_GB2312" w:hAnsi="方正仿宋_GB2312" w:eastAsia="方正仿宋_GB2312" w:cs="方正仿宋_GB2312"/>
                <w:bCs/>
                <w:sz w:val="32"/>
                <w:szCs w:val="32"/>
              </w:rPr>
              <w:t>收入决算表</w:t>
            </w:r>
          </w:p>
        </w:tc>
      </w:tr>
      <w:tr>
        <w:tblPrEx>
          <w:tblCellMar>
            <w:top w:w="0" w:type="dxa"/>
            <w:left w:w="108" w:type="dxa"/>
            <w:bottom w:w="0" w:type="dxa"/>
            <w:right w:w="108" w:type="dxa"/>
          </w:tblCellMar>
        </w:tblPrEx>
        <w:trPr>
          <w:trHeight w:val="300" w:hRule="atLeast"/>
          <w:jc w:val="center"/>
        </w:trPr>
        <w:tc>
          <w:tcPr>
            <w:tcW w:w="9230" w:type="dxa"/>
            <w:gridSpan w:val="10"/>
            <w:tcBorders>
              <w:top w:val="nil"/>
              <w:left w:val="nil"/>
              <w:bottom w:val="nil"/>
              <w:right w:val="nil"/>
            </w:tcBorders>
            <w:noWrap/>
            <w:vAlign w:val="bottom"/>
          </w:tcPr>
          <w:p>
            <w:pPr>
              <w:widowControl/>
              <w:jc w:val="right"/>
              <w:textAlignment w:val="bottom"/>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lang w:bidi="ar"/>
              </w:rPr>
              <w:t>公开</w:t>
            </w:r>
            <w:r>
              <w:rPr>
                <w:rFonts w:hint="eastAsia" w:ascii="Times New Roman" w:hAnsi="Times New Roman" w:eastAsia="宋体" w:cs="Times New Roman"/>
                <w:color w:val="000000"/>
                <w:sz w:val="20"/>
                <w:szCs w:val="20"/>
              </w:rPr>
              <w:t>02</w:t>
            </w:r>
            <w:r>
              <w:rPr>
                <w:rFonts w:hint="eastAsia" w:ascii="方正仿宋_GB2312" w:hAnsi="方正仿宋_GB2312" w:eastAsia="方正仿宋_GB2312" w:cs="方正仿宋_GB2312"/>
                <w:color w:val="000000"/>
                <w:sz w:val="20"/>
                <w:szCs w:val="20"/>
                <w:lang w:bidi="ar"/>
              </w:rPr>
              <w:t>表</w:t>
            </w:r>
          </w:p>
        </w:tc>
      </w:tr>
      <w:tr>
        <w:tblPrEx>
          <w:tblCellMar>
            <w:top w:w="0" w:type="dxa"/>
            <w:left w:w="108" w:type="dxa"/>
            <w:bottom w:w="0" w:type="dxa"/>
            <w:right w:w="108" w:type="dxa"/>
          </w:tblCellMar>
        </w:tblPrEx>
        <w:trPr>
          <w:trHeight w:val="300" w:hRule="atLeast"/>
          <w:jc w:val="center"/>
        </w:trPr>
        <w:tc>
          <w:tcPr>
            <w:tcW w:w="3237" w:type="dxa"/>
            <w:gridSpan w:val="3"/>
            <w:tcBorders>
              <w:top w:val="nil"/>
              <w:left w:val="nil"/>
              <w:bottom w:val="single" w:color="auto" w:sz="4" w:space="0"/>
              <w:right w:val="nil"/>
            </w:tcBorders>
            <w:noWrap/>
            <w:vAlign w:val="bottom"/>
          </w:tcPr>
          <w:p>
            <w:pP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 xml:space="preserve">编制部门（单位）：中国人民政治协商会议河北省石家庄市鹿泉区委员会(本级)                                                                                                         </w:t>
            </w:r>
          </w:p>
        </w:tc>
        <w:tc>
          <w:tcPr>
            <w:tcW w:w="3405" w:type="dxa"/>
            <w:gridSpan w:val="4"/>
            <w:tcBorders>
              <w:top w:val="nil"/>
              <w:left w:val="nil"/>
              <w:bottom w:val="single" w:color="auto" w:sz="4" w:space="0"/>
              <w:right w:val="nil"/>
            </w:tcBorders>
            <w:noWrap/>
            <w:vAlign w:val="bottom"/>
          </w:tcPr>
          <w:p>
            <w:pPr>
              <w:jc w:val="center"/>
              <w:rPr>
                <w:rFonts w:ascii="方正仿宋_GB2312" w:hAnsi="方正仿宋_GB2312" w:eastAsia="方正仿宋_GB2312" w:cs="方正仿宋_GB2312"/>
                <w:color w:val="000000"/>
                <w:sz w:val="20"/>
                <w:szCs w:val="20"/>
                <w:lang w:bidi="ar"/>
              </w:rPr>
            </w:pPr>
            <w:r>
              <w:rPr>
                <w:rFonts w:ascii="Times New Roman" w:hAnsi="Times New Roman" w:eastAsia="方正仿宋_GB2312" w:cs="Times New Roman"/>
                <w:color w:val="000000"/>
                <w:sz w:val="20"/>
                <w:szCs w:val="20"/>
              </w:rPr>
              <w:t>2023</w:t>
            </w:r>
            <w:r>
              <w:rPr>
                <w:rFonts w:hint="eastAsia" w:ascii="方正仿宋_GB2312" w:hAnsi="方正仿宋_GB2312" w:eastAsia="方正仿宋_GB2312" w:cs="方正仿宋_GB2312"/>
                <w:color w:val="000000"/>
                <w:sz w:val="20"/>
                <w:szCs w:val="20"/>
                <w:lang w:bidi="ar"/>
              </w:rPr>
              <w:t>年度</w:t>
            </w:r>
          </w:p>
        </w:tc>
        <w:tc>
          <w:tcPr>
            <w:tcW w:w="2588" w:type="dxa"/>
            <w:gridSpan w:val="3"/>
            <w:tcBorders>
              <w:top w:val="nil"/>
              <w:left w:val="nil"/>
              <w:bottom w:val="single" w:color="auto" w:sz="4" w:space="0"/>
              <w:right w:val="nil"/>
            </w:tcBorders>
            <w:noWrap/>
            <w:vAlign w:val="bottom"/>
          </w:tcPr>
          <w:p>
            <w:pPr>
              <w:jc w:val="right"/>
              <w:rPr>
                <w:rFonts w:ascii="方正仿宋_GB2312" w:hAnsi="方正仿宋_GB2312" w:eastAsia="方正仿宋_GB2312" w:cs="方正仿宋_GB2312"/>
                <w:color w:val="000000"/>
                <w:sz w:val="20"/>
                <w:szCs w:val="20"/>
                <w:lang w:bidi="ar"/>
              </w:rPr>
            </w:pPr>
            <w:r>
              <w:rPr>
                <w:rFonts w:hint="eastAsia" w:ascii="方正仿宋_GB2312" w:hAnsi="方正仿宋_GB2312" w:eastAsia="方正仿宋_GB2312" w:cs="方正仿宋_GB2312"/>
                <w:color w:val="000000"/>
                <w:sz w:val="20"/>
                <w:szCs w:val="20"/>
                <w:lang w:bidi="ar"/>
              </w:rPr>
              <w:t>金额单位：万元</w:t>
            </w:r>
          </w:p>
        </w:tc>
      </w:tr>
      <w:tr>
        <w:tblPrEx>
          <w:tblCellMar>
            <w:top w:w="0" w:type="dxa"/>
            <w:left w:w="108" w:type="dxa"/>
            <w:bottom w:w="0" w:type="dxa"/>
            <w:right w:w="108" w:type="dxa"/>
          </w:tblCellMar>
        </w:tblPrEx>
        <w:trPr>
          <w:trHeight w:val="510" w:hRule="atLeast"/>
          <w:jc w:val="center"/>
        </w:trPr>
        <w:tc>
          <w:tcPr>
            <w:tcW w:w="2200" w:type="dxa"/>
            <w:gridSpan w:val="2"/>
            <w:tcBorders>
              <w:top w:val="single" w:color="auto" w:sz="4" w:space="0"/>
              <w:left w:val="single" w:color="000000" w:sz="4" w:space="0"/>
              <w:bottom w:val="single" w:color="000000" w:sz="4" w:space="0"/>
              <w:right w:val="single" w:color="000000" w:sz="4" w:space="0"/>
            </w:tcBorders>
            <w:noWrap/>
            <w:vAlign w:val="center"/>
          </w:tcPr>
          <w:p>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项目</w:t>
            </w:r>
          </w:p>
        </w:tc>
        <w:tc>
          <w:tcPr>
            <w:tcW w:w="1037" w:type="dxa"/>
            <w:vMerge w:val="restart"/>
            <w:tcBorders>
              <w:top w:val="single" w:color="auto" w:sz="4" w:space="0"/>
              <w:left w:val="nil"/>
              <w:bottom w:val="single" w:color="000000" w:sz="4" w:space="0"/>
              <w:right w:val="single" w:color="000000" w:sz="4" w:space="0"/>
            </w:tcBorders>
            <w:vAlign w:val="center"/>
          </w:tcPr>
          <w:p>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本年收入合计</w:t>
            </w:r>
          </w:p>
        </w:tc>
        <w:tc>
          <w:tcPr>
            <w:tcW w:w="1037" w:type="dxa"/>
            <w:vMerge w:val="restart"/>
            <w:tcBorders>
              <w:top w:val="single" w:color="auto" w:sz="4" w:space="0"/>
              <w:left w:val="nil"/>
              <w:bottom w:val="single" w:color="000000" w:sz="4" w:space="0"/>
              <w:right w:val="single" w:color="000000" w:sz="4" w:space="0"/>
            </w:tcBorders>
            <w:vAlign w:val="center"/>
          </w:tcPr>
          <w:p>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财政拨款收入</w:t>
            </w:r>
          </w:p>
        </w:tc>
        <w:tc>
          <w:tcPr>
            <w:tcW w:w="1037" w:type="dxa"/>
            <w:vMerge w:val="restart"/>
            <w:tcBorders>
              <w:top w:val="single" w:color="auto" w:sz="4" w:space="0"/>
              <w:left w:val="nil"/>
              <w:bottom w:val="single" w:color="000000" w:sz="4" w:space="0"/>
              <w:right w:val="single" w:color="000000" w:sz="4" w:space="0"/>
            </w:tcBorders>
            <w:vAlign w:val="center"/>
          </w:tcPr>
          <w:p>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上级补助收入</w:t>
            </w:r>
          </w:p>
        </w:tc>
        <w:tc>
          <w:tcPr>
            <w:tcW w:w="964" w:type="dxa"/>
            <w:vMerge w:val="restart"/>
            <w:tcBorders>
              <w:top w:val="single" w:color="auto" w:sz="4" w:space="0"/>
              <w:left w:val="nil"/>
              <w:right w:val="single" w:color="000000" w:sz="4" w:space="0"/>
            </w:tcBorders>
            <w:vAlign w:val="center"/>
          </w:tcPr>
          <w:p>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事业收入</w:t>
            </w:r>
          </w:p>
        </w:tc>
        <w:tc>
          <w:tcPr>
            <w:tcW w:w="964" w:type="dxa"/>
            <w:gridSpan w:val="2"/>
            <w:vMerge w:val="restart"/>
            <w:tcBorders>
              <w:top w:val="single" w:color="auto" w:sz="4" w:space="0"/>
              <w:left w:val="nil"/>
              <w:bottom w:val="single" w:color="000000" w:sz="4" w:space="0"/>
              <w:right w:val="single" w:color="000000" w:sz="4" w:space="0"/>
            </w:tcBorders>
            <w:vAlign w:val="center"/>
          </w:tcPr>
          <w:p>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经营收入</w:t>
            </w:r>
          </w:p>
        </w:tc>
        <w:tc>
          <w:tcPr>
            <w:tcW w:w="1027" w:type="dxa"/>
            <w:vMerge w:val="restart"/>
            <w:tcBorders>
              <w:top w:val="single" w:color="auto" w:sz="4" w:space="0"/>
              <w:left w:val="nil"/>
              <w:bottom w:val="single" w:color="000000" w:sz="4" w:space="0"/>
              <w:right w:val="single" w:color="000000" w:sz="4" w:space="0"/>
            </w:tcBorders>
            <w:vAlign w:val="center"/>
          </w:tcPr>
          <w:p>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附属单位上缴收入</w:t>
            </w:r>
          </w:p>
        </w:tc>
        <w:tc>
          <w:tcPr>
            <w:tcW w:w="964" w:type="dxa"/>
            <w:vMerge w:val="restart"/>
            <w:tcBorders>
              <w:top w:val="single" w:color="auto" w:sz="4" w:space="0"/>
              <w:left w:val="nil"/>
              <w:bottom w:val="single" w:color="000000" w:sz="4" w:space="0"/>
              <w:right w:val="single" w:color="000000" w:sz="4" w:space="0"/>
            </w:tcBorders>
            <w:vAlign w:val="center"/>
          </w:tcPr>
          <w:p>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其他收入</w:t>
            </w:r>
          </w:p>
        </w:tc>
      </w:tr>
      <w:tr>
        <w:tblPrEx>
          <w:tblCellMar>
            <w:top w:w="0" w:type="dxa"/>
            <w:left w:w="108" w:type="dxa"/>
            <w:bottom w:w="0" w:type="dxa"/>
            <w:right w:w="108" w:type="dxa"/>
          </w:tblCellMar>
        </w:tblPrEx>
        <w:trPr>
          <w:trHeight w:val="312" w:hRule="atLeast"/>
          <w:jc w:val="center"/>
        </w:trPr>
        <w:tc>
          <w:tcPr>
            <w:tcW w:w="1040" w:type="dxa"/>
            <w:vMerge w:val="restart"/>
            <w:tcBorders>
              <w:top w:val="nil"/>
              <w:left w:val="single" w:color="000000" w:sz="4" w:space="0"/>
              <w:bottom w:val="single" w:color="000000" w:sz="4" w:space="0"/>
              <w:right w:val="single" w:color="000000" w:sz="4" w:space="0"/>
            </w:tcBorders>
            <w:vAlign w:val="center"/>
          </w:tcPr>
          <w:p>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科目代码</w:t>
            </w:r>
          </w:p>
        </w:tc>
        <w:tc>
          <w:tcPr>
            <w:tcW w:w="1160" w:type="dxa"/>
            <w:vMerge w:val="restart"/>
            <w:tcBorders>
              <w:top w:val="nil"/>
              <w:left w:val="nil"/>
              <w:bottom w:val="single" w:color="000000" w:sz="4" w:space="0"/>
              <w:right w:val="single" w:color="000000" w:sz="4" w:space="0"/>
            </w:tcBorders>
            <w:noWrap/>
            <w:vAlign w:val="center"/>
          </w:tcPr>
          <w:p>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科目名称</w:t>
            </w:r>
          </w:p>
        </w:tc>
        <w:tc>
          <w:tcPr>
            <w:tcW w:w="1037" w:type="dxa"/>
            <w:vMerge w:val="continue"/>
            <w:tcBorders>
              <w:top w:val="single" w:color="000000" w:sz="4" w:space="0"/>
              <w:left w:val="nil"/>
              <w:bottom w:val="single" w:color="000000" w:sz="4" w:space="0"/>
              <w:right w:val="single" w:color="000000" w:sz="4" w:space="0"/>
            </w:tcBorders>
            <w:vAlign w:val="center"/>
          </w:tcPr>
          <w:p>
            <w:pPr>
              <w:jc w:val="center"/>
              <w:rPr>
                <w:rFonts w:ascii="宋体" w:hAnsi="宋体" w:eastAsia="宋体"/>
                <w:color w:val="000000"/>
                <w:sz w:val="20"/>
                <w:szCs w:val="20"/>
              </w:rPr>
            </w:pPr>
          </w:p>
        </w:tc>
        <w:tc>
          <w:tcPr>
            <w:tcW w:w="1037" w:type="dxa"/>
            <w:vMerge w:val="continue"/>
            <w:tcBorders>
              <w:top w:val="single" w:color="000000" w:sz="4" w:space="0"/>
              <w:left w:val="nil"/>
              <w:bottom w:val="single" w:color="000000" w:sz="4" w:space="0"/>
              <w:right w:val="single" w:color="000000" w:sz="4" w:space="0"/>
            </w:tcBorders>
            <w:vAlign w:val="center"/>
          </w:tcPr>
          <w:p>
            <w:pPr>
              <w:jc w:val="center"/>
              <w:rPr>
                <w:rFonts w:ascii="宋体" w:hAnsi="宋体" w:eastAsia="宋体"/>
                <w:color w:val="000000"/>
                <w:sz w:val="20"/>
                <w:szCs w:val="20"/>
              </w:rPr>
            </w:pPr>
          </w:p>
        </w:tc>
        <w:tc>
          <w:tcPr>
            <w:tcW w:w="1037" w:type="dxa"/>
            <w:vMerge w:val="continue"/>
            <w:tcBorders>
              <w:top w:val="single" w:color="000000" w:sz="4" w:space="0"/>
              <w:left w:val="nil"/>
              <w:bottom w:val="single" w:color="000000" w:sz="4" w:space="0"/>
              <w:right w:val="single" w:color="000000" w:sz="4" w:space="0"/>
            </w:tcBorders>
            <w:vAlign w:val="center"/>
          </w:tcPr>
          <w:p>
            <w:pPr>
              <w:jc w:val="center"/>
              <w:rPr>
                <w:rFonts w:ascii="宋体" w:hAnsi="宋体" w:eastAsia="宋体"/>
                <w:color w:val="000000"/>
                <w:sz w:val="20"/>
                <w:szCs w:val="20"/>
              </w:rPr>
            </w:pPr>
          </w:p>
        </w:tc>
        <w:tc>
          <w:tcPr>
            <w:tcW w:w="964" w:type="dxa"/>
            <w:vMerge w:val="continue"/>
            <w:tcBorders>
              <w:left w:val="nil"/>
              <w:right w:val="single" w:color="000000" w:sz="4" w:space="0"/>
            </w:tcBorders>
            <w:vAlign w:val="center"/>
          </w:tcPr>
          <w:p>
            <w:pPr>
              <w:widowControl/>
              <w:jc w:val="center"/>
              <w:textAlignment w:val="center"/>
              <w:rPr>
                <w:rFonts w:ascii="宋体" w:hAnsi="宋体" w:eastAsia="宋体"/>
                <w:color w:val="000000"/>
                <w:sz w:val="20"/>
                <w:szCs w:val="20"/>
              </w:rPr>
            </w:pPr>
          </w:p>
        </w:tc>
        <w:tc>
          <w:tcPr>
            <w:tcW w:w="964" w:type="dxa"/>
            <w:gridSpan w:val="2"/>
            <w:vMerge w:val="continue"/>
            <w:tcBorders>
              <w:top w:val="single" w:color="000000" w:sz="4" w:space="0"/>
              <w:left w:val="nil"/>
              <w:bottom w:val="single" w:color="000000" w:sz="4" w:space="0"/>
              <w:right w:val="single" w:color="000000" w:sz="4" w:space="0"/>
            </w:tcBorders>
            <w:vAlign w:val="center"/>
          </w:tcPr>
          <w:p>
            <w:pPr>
              <w:jc w:val="center"/>
              <w:rPr>
                <w:rFonts w:ascii="宋体" w:hAnsi="宋体" w:eastAsia="宋体"/>
                <w:color w:val="000000"/>
                <w:sz w:val="20"/>
                <w:szCs w:val="20"/>
              </w:rPr>
            </w:pPr>
          </w:p>
        </w:tc>
        <w:tc>
          <w:tcPr>
            <w:tcW w:w="1027" w:type="dxa"/>
            <w:vMerge w:val="continue"/>
            <w:tcBorders>
              <w:top w:val="single" w:color="000000" w:sz="4" w:space="0"/>
              <w:left w:val="nil"/>
              <w:bottom w:val="single" w:color="000000" w:sz="4" w:space="0"/>
              <w:right w:val="single" w:color="000000" w:sz="4" w:space="0"/>
            </w:tcBorders>
            <w:vAlign w:val="center"/>
          </w:tcPr>
          <w:p>
            <w:pPr>
              <w:jc w:val="center"/>
              <w:rPr>
                <w:rFonts w:ascii="宋体" w:hAnsi="宋体" w:eastAsia="宋体"/>
                <w:color w:val="000000"/>
                <w:sz w:val="20"/>
                <w:szCs w:val="20"/>
              </w:rPr>
            </w:pPr>
          </w:p>
        </w:tc>
        <w:tc>
          <w:tcPr>
            <w:tcW w:w="964" w:type="dxa"/>
            <w:vMerge w:val="continue"/>
            <w:tcBorders>
              <w:top w:val="single" w:color="000000" w:sz="4" w:space="0"/>
              <w:left w:val="nil"/>
              <w:bottom w:val="single" w:color="000000" w:sz="4" w:space="0"/>
              <w:right w:val="single" w:color="000000" w:sz="4" w:space="0"/>
            </w:tcBorders>
            <w:vAlign w:val="center"/>
          </w:tcPr>
          <w:p>
            <w:pPr>
              <w:jc w:val="center"/>
              <w:rPr>
                <w:rFonts w:ascii="宋体" w:hAnsi="宋体" w:eastAsia="宋体"/>
                <w:color w:val="000000"/>
                <w:sz w:val="20"/>
                <w:szCs w:val="20"/>
              </w:rPr>
            </w:pPr>
          </w:p>
        </w:tc>
      </w:tr>
      <w:tr>
        <w:tblPrEx>
          <w:tblCellMar>
            <w:top w:w="0" w:type="dxa"/>
            <w:left w:w="108" w:type="dxa"/>
            <w:bottom w:w="0" w:type="dxa"/>
            <w:right w:w="108" w:type="dxa"/>
          </w:tblCellMar>
        </w:tblPrEx>
        <w:trPr>
          <w:trHeight w:val="312" w:hRule="atLeast"/>
          <w:jc w:val="center"/>
        </w:trPr>
        <w:tc>
          <w:tcPr>
            <w:tcW w:w="1040" w:type="dxa"/>
            <w:vMerge w:val="continue"/>
            <w:tcBorders>
              <w:top w:val="nil"/>
              <w:left w:val="single" w:color="000000" w:sz="4" w:space="0"/>
              <w:bottom w:val="single" w:color="000000" w:sz="4" w:space="0"/>
              <w:right w:val="single" w:color="000000" w:sz="4" w:space="0"/>
            </w:tcBorders>
            <w:vAlign w:val="center"/>
          </w:tcPr>
          <w:p>
            <w:pPr>
              <w:jc w:val="center"/>
              <w:rPr>
                <w:rFonts w:ascii="方正仿宋_GB2312" w:hAnsi="方正仿宋_GB2312" w:eastAsia="方正仿宋_GB2312" w:cs="方正仿宋_GB2312"/>
                <w:color w:val="000000"/>
                <w:sz w:val="20"/>
                <w:szCs w:val="20"/>
              </w:rPr>
            </w:pPr>
          </w:p>
        </w:tc>
        <w:tc>
          <w:tcPr>
            <w:tcW w:w="1160" w:type="dxa"/>
            <w:vMerge w:val="continue"/>
            <w:tcBorders>
              <w:top w:val="nil"/>
              <w:left w:val="nil"/>
              <w:bottom w:val="single" w:color="000000" w:sz="4" w:space="0"/>
              <w:right w:val="single" w:color="000000" w:sz="4" w:space="0"/>
            </w:tcBorders>
            <w:noWrap/>
            <w:vAlign w:val="center"/>
          </w:tcPr>
          <w:p>
            <w:pPr>
              <w:jc w:val="center"/>
              <w:rPr>
                <w:rFonts w:ascii="方正仿宋_GB2312" w:hAnsi="方正仿宋_GB2312" w:eastAsia="方正仿宋_GB2312" w:cs="方正仿宋_GB2312"/>
                <w:color w:val="000000"/>
                <w:sz w:val="20"/>
                <w:szCs w:val="20"/>
              </w:rPr>
            </w:pPr>
          </w:p>
        </w:tc>
        <w:tc>
          <w:tcPr>
            <w:tcW w:w="1037" w:type="dxa"/>
            <w:vMerge w:val="continue"/>
            <w:tcBorders>
              <w:top w:val="single" w:color="000000" w:sz="4" w:space="0"/>
              <w:left w:val="nil"/>
              <w:bottom w:val="single" w:color="000000" w:sz="4" w:space="0"/>
              <w:right w:val="single" w:color="000000" w:sz="4" w:space="0"/>
            </w:tcBorders>
            <w:vAlign w:val="center"/>
          </w:tcPr>
          <w:p>
            <w:pPr>
              <w:jc w:val="center"/>
              <w:rPr>
                <w:rFonts w:ascii="宋体" w:hAnsi="宋体" w:eastAsia="宋体"/>
                <w:color w:val="000000"/>
                <w:sz w:val="20"/>
                <w:szCs w:val="20"/>
              </w:rPr>
            </w:pPr>
          </w:p>
        </w:tc>
        <w:tc>
          <w:tcPr>
            <w:tcW w:w="1037" w:type="dxa"/>
            <w:vMerge w:val="continue"/>
            <w:tcBorders>
              <w:top w:val="single" w:color="000000" w:sz="4" w:space="0"/>
              <w:left w:val="nil"/>
              <w:bottom w:val="single" w:color="000000" w:sz="4" w:space="0"/>
              <w:right w:val="single" w:color="000000" w:sz="4" w:space="0"/>
            </w:tcBorders>
            <w:vAlign w:val="center"/>
          </w:tcPr>
          <w:p>
            <w:pPr>
              <w:jc w:val="center"/>
              <w:rPr>
                <w:rFonts w:ascii="宋体" w:hAnsi="宋体" w:eastAsia="宋体"/>
                <w:color w:val="000000"/>
                <w:sz w:val="20"/>
                <w:szCs w:val="20"/>
              </w:rPr>
            </w:pPr>
          </w:p>
        </w:tc>
        <w:tc>
          <w:tcPr>
            <w:tcW w:w="1037" w:type="dxa"/>
            <w:vMerge w:val="continue"/>
            <w:tcBorders>
              <w:top w:val="single" w:color="000000" w:sz="4" w:space="0"/>
              <w:left w:val="nil"/>
              <w:bottom w:val="single" w:color="000000" w:sz="4" w:space="0"/>
              <w:right w:val="single" w:color="000000" w:sz="4" w:space="0"/>
            </w:tcBorders>
            <w:vAlign w:val="center"/>
          </w:tcPr>
          <w:p>
            <w:pPr>
              <w:jc w:val="center"/>
              <w:rPr>
                <w:rFonts w:ascii="宋体" w:hAnsi="宋体" w:eastAsia="宋体"/>
                <w:color w:val="000000"/>
                <w:sz w:val="20"/>
                <w:szCs w:val="20"/>
              </w:rPr>
            </w:pPr>
          </w:p>
        </w:tc>
        <w:tc>
          <w:tcPr>
            <w:tcW w:w="964" w:type="dxa"/>
            <w:vMerge w:val="continue"/>
            <w:tcBorders>
              <w:left w:val="nil"/>
              <w:right w:val="single" w:color="000000" w:sz="4" w:space="0"/>
            </w:tcBorders>
            <w:vAlign w:val="center"/>
          </w:tcPr>
          <w:p>
            <w:pPr>
              <w:jc w:val="center"/>
              <w:rPr>
                <w:rFonts w:ascii="宋体" w:hAnsi="宋体" w:eastAsia="宋体"/>
                <w:color w:val="000000"/>
                <w:sz w:val="20"/>
                <w:szCs w:val="20"/>
              </w:rPr>
            </w:pPr>
          </w:p>
        </w:tc>
        <w:tc>
          <w:tcPr>
            <w:tcW w:w="964" w:type="dxa"/>
            <w:gridSpan w:val="2"/>
            <w:vMerge w:val="continue"/>
            <w:tcBorders>
              <w:top w:val="single" w:color="000000" w:sz="4" w:space="0"/>
              <w:left w:val="nil"/>
              <w:bottom w:val="single" w:color="000000" w:sz="4" w:space="0"/>
              <w:right w:val="single" w:color="000000" w:sz="4" w:space="0"/>
            </w:tcBorders>
            <w:vAlign w:val="center"/>
          </w:tcPr>
          <w:p>
            <w:pPr>
              <w:jc w:val="center"/>
              <w:rPr>
                <w:rFonts w:ascii="宋体" w:hAnsi="宋体" w:eastAsia="宋体"/>
                <w:color w:val="000000"/>
                <w:sz w:val="20"/>
                <w:szCs w:val="20"/>
              </w:rPr>
            </w:pPr>
          </w:p>
        </w:tc>
        <w:tc>
          <w:tcPr>
            <w:tcW w:w="1027" w:type="dxa"/>
            <w:vMerge w:val="continue"/>
            <w:tcBorders>
              <w:top w:val="single" w:color="000000" w:sz="4" w:space="0"/>
              <w:left w:val="nil"/>
              <w:bottom w:val="single" w:color="000000" w:sz="4" w:space="0"/>
              <w:right w:val="single" w:color="000000" w:sz="4" w:space="0"/>
            </w:tcBorders>
            <w:vAlign w:val="center"/>
          </w:tcPr>
          <w:p>
            <w:pPr>
              <w:jc w:val="center"/>
              <w:rPr>
                <w:rFonts w:ascii="宋体" w:hAnsi="宋体" w:eastAsia="宋体"/>
                <w:color w:val="000000"/>
                <w:sz w:val="20"/>
                <w:szCs w:val="20"/>
              </w:rPr>
            </w:pPr>
          </w:p>
        </w:tc>
        <w:tc>
          <w:tcPr>
            <w:tcW w:w="964" w:type="dxa"/>
            <w:vMerge w:val="continue"/>
            <w:tcBorders>
              <w:top w:val="single" w:color="000000" w:sz="4" w:space="0"/>
              <w:left w:val="nil"/>
              <w:bottom w:val="single" w:color="000000" w:sz="4" w:space="0"/>
              <w:right w:val="single" w:color="000000" w:sz="4" w:space="0"/>
            </w:tcBorders>
            <w:vAlign w:val="center"/>
          </w:tcPr>
          <w:p>
            <w:pPr>
              <w:jc w:val="center"/>
              <w:rPr>
                <w:rFonts w:ascii="宋体" w:hAnsi="宋体" w:eastAsia="宋体"/>
                <w:color w:val="000000"/>
                <w:sz w:val="20"/>
                <w:szCs w:val="20"/>
              </w:rPr>
            </w:pPr>
          </w:p>
        </w:tc>
      </w:tr>
      <w:tr>
        <w:tblPrEx>
          <w:tblCellMar>
            <w:top w:w="0" w:type="dxa"/>
            <w:left w:w="108" w:type="dxa"/>
            <w:bottom w:w="0" w:type="dxa"/>
            <w:right w:w="108" w:type="dxa"/>
          </w:tblCellMar>
        </w:tblPrEx>
        <w:trPr>
          <w:trHeight w:val="312" w:hRule="atLeast"/>
          <w:jc w:val="center"/>
        </w:trPr>
        <w:tc>
          <w:tcPr>
            <w:tcW w:w="1040" w:type="dxa"/>
            <w:vMerge w:val="continue"/>
            <w:tcBorders>
              <w:top w:val="nil"/>
              <w:left w:val="single" w:color="000000" w:sz="4" w:space="0"/>
              <w:bottom w:val="single" w:color="000000" w:sz="4" w:space="0"/>
              <w:right w:val="single" w:color="000000" w:sz="4" w:space="0"/>
            </w:tcBorders>
            <w:vAlign w:val="center"/>
          </w:tcPr>
          <w:p>
            <w:pPr>
              <w:jc w:val="center"/>
              <w:rPr>
                <w:rFonts w:ascii="方正仿宋_GB2312" w:hAnsi="方正仿宋_GB2312" w:eastAsia="方正仿宋_GB2312" w:cs="方正仿宋_GB2312"/>
                <w:color w:val="000000"/>
                <w:sz w:val="20"/>
                <w:szCs w:val="20"/>
              </w:rPr>
            </w:pPr>
          </w:p>
        </w:tc>
        <w:tc>
          <w:tcPr>
            <w:tcW w:w="1160" w:type="dxa"/>
            <w:vMerge w:val="continue"/>
            <w:tcBorders>
              <w:top w:val="nil"/>
              <w:left w:val="nil"/>
              <w:bottom w:val="single" w:color="000000" w:sz="4" w:space="0"/>
              <w:right w:val="single" w:color="000000" w:sz="4" w:space="0"/>
            </w:tcBorders>
            <w:noWrap/>
            <w:vAlign w:val="center"/>
          </w:tcPr>
          <w:p>
            <w:pPr>
              <w:jc w:val="center"/>
              <w:rPr>
                <w:rFonts w:ascii="方正仿宋_GB2312" w:hAnsi="方正仿宋_GB2312" w:eastAsia="方正仿宋_GB2312" w:cs="方正仿宋_GB2312"/>
                <w:color w:val="000000"/>
                <w:sz w:val="20"/>
                <w:szCs w:val="20"/>
              </w:rPr>
            </w:pPr>
          </w:p>
        </w:tc>
        <w:tc>
          <w:tcPr>
            <w:tcW w:w="1037" w:type="dxa"/>
            <w:vMerge w:val="continue"/>
            <w:tcBorders>
              <w:top w:val="single" w:color="000000" w:sz="4" w:space="0"/>
              <w:left w:val="nil"/>
              <w:bottom w:val="single" w:color="000000" w:sz="4" w:space="0"/>
              <w:right w:val="single" w:color="000000" w:sz="4" w:space="0"/>
            </w:tcBorders>
            <w:vAlign w:val="center"/>
          </w:tcPr>
          <w:p>
            <w:pPr>
              <w:jc w:val="center"/>
              <w:rPr>
                <w:rFonts w:ascii="宋体" w:hAnsi="宋体" w:eastAsia="宋体"/>
                <w:color w:val="000000"/>
                <w:sz w:val="20"/>
                <w:szCs w:val="20"/>
              </w:rPr>
            </w:pPr>
          </w:p>
        </w:tc>
        <w:tc>
          <w:tcPr>
            <w:tcW w:w="1037" w:type="dxa"/>
            <w:vMerge w:val="continue"/>
            <w:tcBorders>
              <w:top w:val="single" w:color="000000" w:sz="4" w:space="0"/>
              <w:left w:val="nil"/>
              <w:bottom w:val="single" w:color="000000" w:sz="4" w:space="0"/>
              <w:right w:val="single" w:color="000000" w:sz="4" w:space="0"/>
            </w:tcBorders>
            <w:vAlign w:val="center"/>
          </w:tcPr>
          <w:p>
            <w:pPr>
              <w:jc w:val="center"/>
              <w:rPr>
                <w:rFonts w:ascii="宋体" w:hAnsi="宋体" w:eastAsia="宋体"/>
                <w:color w:val="000000"/>
                <w:sz w:val="20"/>
                <w:szCs w:val="20"/>
              </w:rPr>
            </w:pPr>
          </w:p>
        </w:tc>
        <w:tc>
          <w:tcPr>
            <w:tcW w:w="1037" w:type="dxa"/>
            <w:vMerge w:val="continue"/>
            <w:tcBorders>
              <w:top w:val="single" w:color="000000" w:sz="4" w:space="0"/>
              <w:left w:val="nil"/>
              <w:bottom w:val="single" w:color="000000" w:sz="4" w:space="0"/>
              <w:right w:val="single" w:color="000000" w:sz="4" w:space="0"/>
            </w:tcBorders>
            <w:vAlign w:val="center"/>
          </w:tcPr>
          <w:p>
            <w:pPr>
              <w:jc w:val="center"/>
              <w:rPr>
                <w:rFonts w:ascii="宋体" w:hAnsi="宋体" w:eastAsia="宋体"/>
                <w:color w:val="000000"/>
                <w:sz w:val="20"/>
                <w:szCs w:val="20"/>
              </w:rPr>
            </w:pPr>
          </w:p>
        </w:tc>
        <w:tc>
          <w:tcPr>
            <w:tcW w:w="964" w:type="dxa"/>
            <w:vMerge w:val="continue"/>
            <w:tcBorders>
              <w:left w:val="nil"/>
              <w:bottom w:val="single" w:color="000000" w:sz="4" w:space="0"/>
              <w:right w:val="single" w:color="000000" w:sz="4" w:space="0"/>
            </w:tcBorders>
            <w:vAlign w:val="center"/>
          </w:tcPr>
          <w:p>
            <w:pPr>
              <w:jc w:val="center"/>
              <w:rPr>
                <w:rFonts w:ascii="宋体" w:hAnsi="宋体" w:eastAsia="宋体"/>
                <w:color w:val="000000"/>
                <w:sz w:val="20"/>
                <w:szCs w:val="20"/>
              </w:rPr>
            </w:pPr>
          </w:p>
        </w:tc>
        <w:tc>
          <w:tcPr>
            <w:tcW w:w="964" w:type="dxa"/>
            <w:gridSpan w:val="2"/>
            <w:vMerge w:val="continue"/>
            <w:tcBorders>
              <w:top w:val="single" w:color="000000" w:sz="4" w:space="0"/>
              <w:left w:val="nil"/>
              <w:bottom w:val="single" w:color="000000" w:sz="4" w:space="0"/>
              <w:right w:val="single" w:color="000000" w:sz="4" w:space="0"/>
            </w:tcBorders>
            <w:vAlign w:val="center"/>
          </w:tcPr>
          <w:p>
            <w:pPr>
              <w:jc w:val="center"/>
              <w:rPr>
                <w:rFonts w:ascii="宋体" w:hAnsi="宋体" w:eastAsia="宋体"/>
                <w:color w:val="000000"/>
                <w:sz w:val="20"/>
                <w:szCs w:val="20"/>
              </w:rPr>
            </w:pPr>
          </w:p>
        </w:tc>
        <w:tc>
          <w:tcPr>
            <w:tcW w:w="1027" w:type="dxa"/>
            <w:vMerge w:val="continue"/>
            <w:tcBorders>
              <w:top w:val="single" w:color="000000" w:sz="4" w:space="0"/>
              <w:left w:val="nil"/>
              <w:bottom w:val="single" w:color="000000" w:sz="4" w:space="0"/>
              <w:right w:val="single" w:color="000000" w:sz="4" w:space="0"/>
            </w:tcBorders>
            <w:vAlign w:val="center"/>
          </w:tcPr>
          <w:p>
            <w:pPr>
              <w:jc w:val="center"/>
              <w:rPr>
                <w:rFonts w:ascii="宋体" w:hAnsi="宋体" w:eastAsia="宋体"/>
                <w:color w:val="000000"/>
                <w:sz w:val="20"/>
                <w:szCs w:val="20"/>
              </w:rPr>
            </w:pPr>
          </w:p>
        </w:tc>
        <w:tc>
          <w:tcPr>
            <w:tcW w:w="964" w:type="dxa"/>
            <w:vMerge w:val="continue"/>
            <w:tcBorders>
              <w:top w:val="single" w:color="000000" w:sz="4" w:space="0"/>
              <w:left w:val="nil"/>
              <w:bottom w:val="single" w:color="000000" w:sz="4" w:space="0"/>
              <w:right w:val="single" w:color="000000" w:sz="4" w:space="0"/>
            </w:tcBorders>
            <w:vAlign w:val="center"/>
          </w:tcPr>
          <w:p>
            <w:pPr>
              <w:jc w:val="center"/>
              <w:rPr>
                <w:rFonts w:ascii="宋体" w:hAnsi="宋体" w:eastAsia="宋体"/>
                <w:color w:val="000000"/>
                <w:sz w:val="20"/>
                <w:szCs w:val="20"/>
              </w:rPr>
            </w:pPr>
          </w:p>
        </w:tc>
      </w:tr>
      <w:tr>
        <w:tblPrEx>
          <w:tblCellMar>
            <w:top w:w="0" w:type="dxa"/>
            <w:left w:w="108" w:type="dxa"/>
            <w:bottom w:w="0" w:type="dxa"/>
            <w:right w:w="108" w:type="dxa"/>
          </w:tblCellMar>
        </w:tblPrEx>
        <w:trPr>
          <w:trHeight w:val="454" w:hRule="atLeast"/>
          <w:jc w:val="center"/>
        </w:trPr>
        <w:tc>
          <w:tcPr>
            <w:tcW w:w="2200" w:type="dxa"/>
            <w:gridSpan w:val="2"/>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栏次</w:t>
            </w:r>
          </w:p>
        </w:tc>
        <w:tc>
          <w:tcPr>
            <w:tcW w:w="1037" w:type="dxa"/>
            <w:tcBorders>
              <w:top w:val="nil"/>
              <w:left w:val="nil"/>
              <w:bottom w:val="single" w:color="000000" w:sz="4" w:space="0"/>
              <w:right w:val="single" w:color="000000" w:sz="4" w:space="0"/>
            </w:tcBorders>
            <w:vAlign w:val="center"/>
          </w:tcPr>
          <w:p>
            <w:pPr>
              <w:widowControl/>
              <w:jc w:val="center"/>
              <w:textAlignment w:val="center"/>
              <w:rPr>
                <w:rFonts w:ascii="宋体" w:hAnsi="宋体" w:eastAsia="宋体"/>
                <w:color w:val="000000"/>
                <w:sz w:val="20"/>
                <w:szCs w:val="20"/>
              </w:rPr>
            </w:pPr>
            <w:r>
              <w:rPr>
                <w:rFonts w:hint="eastAsia" w:ascii="宋体" w:hAnsi="宋体" w:eastAsia="宋体"/>
                <w:color w:val="000000"/>
                <w:sz w:val="20"/>
                <w:szCs w:val="20"/>
                <w:lang w:bidi="ar"/>
              </w:rPr>
              <w:t>1</w:t>
            </w:r>
          </w:p>
        </w:tc>
        <w:tc>
          <w:tcPr>
            <w:tcW w:w="1037" w:type="dxa"/>
            <w:tcBorders>
              <w:top w:val="nil"/>
              <w:left w:val="nil"/>
              <w:bottom w:val="single" w:color="000000" w:sz="4" w:space="0"/>
              <w:right w:val="single" w:color="000000" w:sz="4" w:space="0"/>
            </w:tcBorders>
            <w:vAlign w:val="center"/>
          </w:tcPr>
          <w:p>
            <w:pPr>
              <w:widowControl/>
              <w:jc w:val="center"/>
              <w:textAlignment w:val="center"/>
              <w:rPr>
                <w:rFonts w:ascii="宋体" w:hAnsi="宋体" w:eastAsia="宋体"/>
                <w:color w:val="000000"/>
                <w:sz w:val="20"/>
                <w:szCs w:val="20"/>
              </w:rPr>
            </w:pPr>
            <w:r>
              <w:rPr>
                <w:rFonts w:hint="eastAsia" w:ascii="宋体" w:hAnsi="宋体" w:eastAsia="宋体"/>
                <w:color w:val="000000"/>
                <w:sz w:val="20"/>
                <w:szCs w:val="20"/>
                <w:lang w:bidi="ar"/>
              </w:rPr>
              <w:t>2</w:t>
            </w:r>
          </w:p>
        </w:tc>
        <w:tc>
          <w:tcPr>
            <w:tcW w:w="1037" w:type="dxa"/>
            <w:tcBorders>
              <w:top w:val="nil"/>
              <w:left w:val="nil"/>
              <w:bottom w:val="single" w:color="000000" w:sz="4" w:space="0"/>
              <w:right w:val="single" w:color="000000" w:sz="4" w:space="0"/>
            </w:tcBorders>
            <w:vAlign w:val="center"/>
          </w:tcPr>
          <w:p>
            <w:pPr>
              <w:widowControl/>
              <w:jc w:val="center"/>
              <w:textAlignment w:val="center"/>
              <w:rPr>
                <w:rFonts w:ascii="宋体" w:hAnsi="宋体" w:eastAsia="宋体"/>
                <w:color w:val="000000"/>
                <w:sz w:val="20"/>
                <w:szCs w:val="20"/>
              </w:rPr>
            </w:pPr>
            <w:r>
              <w:rPr>
                <w:rFonts w:hint="eastAsia" w:ascii="宋体" w:hAnsi="宋体" w:eastAsia="宋体"/>
                <w:color w:val="000000"/>
                <w:sz w:val="20"/>
                <w:szCs w:val="20"/>
                <w:lang w:bidi="ar"/>
              </w:rPr>
              <w:t>3</w:t>
            </w:r>
          </w:p>
        </w:tc>
        <w:tc>
          <w:tcPr>
            <w:tcW w:w="964" w:type="dxa"/>
            <w:tcBorders>
              <w:top w:val="nil"/>
              <w:left w:val="nil"/>
              <w:bottom w:val="single" w:color="000000" w:sz="4" w:space="0"/>
              <w:right w:val="single" w:color="000000" w:sz="4" w:space="0"/>
            </w:tcBorders>
            <w:vAlign w:val="center"/>
          </w:tcPr>
          <w:p>
            <w:pPr>
              <w:widowControl/>
              <w:jc w:val="center"/>
              <w:textAlignment w:val="center"/>
              <w:rPr>
                <w:rFonts w:ascii="宋体" w:hAnsi="宋体" w:eastAsia="宋体"/>
                <w:color w:val="000000"/>
                <w:sz w:val="20"/>
                <w:szCs w:val="20"/>
              </w:rPr>
            </w:pPr>
            <w:r>
              <w:rPr>
                <w:rFonts w:hint="eastAsia" w:ascii="宋体" w:hAnsi="宋体" w:eastAsia="宋体"/>
                <w:color w:val="000000"/>
                <w:sz w:val="20"/>
                <w:szCs w:val="20"/>
              </w:rPr>
              <w:t>4</w:t>
            </w:r>
          </w:p>
        </w:tc>
        <w:tc>
          <w:tcPr>
            <w:tcW w:w="964" w:type="dxa"/>
            <w:gridSpan w:val="2"/>
            <w:tcBorders>
              <w:top w:val="nil"/>
              <w:left w:val="nil"/>
              <w:bottom w:val="single" w:color="000000" w:sz="4" w:space="0"/>
              <w:right w:val="single" w:color="000000" w:sz="4" w:space="0"/>
            </w:tcBorders>
            <w:vAlign w:val="center"/>
          </w:tcPr>
          <w:p>
            <w:pPr>
              <w:widowControl/>
              <w:jc w:val="center"/>
              <w:textAlignment w:val="center"/>
              <w:rPr>
                <w:rFonts w:ascii="宋体" w:hAnsi="宋体" w:eastAsia="宋体"/>
                <w:color w:val="000000"/>
                <w:sz w:val="20"/>
                <w:szCs w:val="20"/>
              </w:rPr>
            </w:pPr>
            <w:r>
              <w:rPr>
                <w:rFonts w:hint="eastAsia" w:ascii="宋体" w:hAnsi="宋体" w:eastAsia="宋体"/>
                <w:color w:val="000000"/>
                <w:sz w:val="20"/>
                <w:szCs w:val="20"/>
                <w:lang w:bidi="ar"/>
              </w:rPr>
              <w:t>5</w:t>
            </w:r>
          </w:p>
        </w:tc>
        <w:tc>
          <w:tcPr>
            <w:tcW w:w="1027" w:type="dxa"/>
            <w:tcBorders>
              <w:top w:val="nil"/>
              <w:left w:val="nil"/>
              <w:bottom w:val="single" w:color="000000" w:sz="4" w:space="0"/>
              <w:right w:val="single" w:color="000000" w:sz="4" w:space="0"/>
            </w:tcBorders>
            <w:vAlign w:val="center"/>
          </w:tcPr>
          <w:p>
            <w:pPr>
              <w:widowControl/>
              <w:jc w:val="center"/>
              <w:textAlignment w:val="center"/>
              <w:rPr>
                <w:rFonts w:ascii="宋体" w:hAnsi="宋体" w:eastAsia="宋体"/>
                <w:color w:val="000000"/>
                <w:sz w:val="20"/>
                <w:szCs w:val="20"/>
              </w:rPr>
            </w:pPr>
            <w:r>
              <w:rPr>
                <w:rFonts w:hint="eastAsia" w:ascii="宋体" w:hAnsi="宋体" w:eastAsia="宋体"/>
                <w:color w:val="000000"/>
                <w:sz w:val="20"/>
                <w:szCs w:val="20"/>
                <w:lang w:bidi="ar"/>
              </w:rPr>
              <w:t>6</w:t>
            </w:r>
          </w:p>
        </w:tc>
        <w:tc>
          <w:tcPr>
            <w:tcW w:w="964" w:type="dxa"/>
            <w:tcBorders>
              <w:top w:val="nil"/>
              <w:left w:val="nil"/>
              <w:bottom w:val="single" w:color="000000" w:sz="4" w:space="0"/>
              <w:right w:val="single" w:color="000000" w:sz="4" w:space="0"/>
            </w:tcBorders>
            <w:vAlign w:val="center"/>
          </w:tcPr>
          <w:p>
            <w:pPr>
              <w:widowControl/>
              <w:jc w:val="center"/>
              <w:textAlignment w:val="center"/>
              <w:rPr>
                <w:rFonts w:ascii="宋体" w:hAnsi="宋体" w:eastAsia="宋体"/>
                <w:color w:val="000000"/>
                <w:sz w:val="20"/>
                <w:szCs w:val="20"/>
              </w:rPr>
            </w:pPr>
            <w:r>
              <w:rPr>
                <w:rFonts w:hint="eastAsia" w:ascii="宋体" w:hAnsi="宋体" w:eastAsia="宋体"/>
                <w:color w:val="000000"/>
                <w:sz w:val="20"/>
                <w:szCs w:val="20"/>
                <w:lang w:bidi="ar"/>
              </w:rPr>
              <w:t>7</w:t>
            </w:r>
          </w:p>
        </w:tc>
      </w:tr>
      <w:tr>
        <w:tblPrEx>
          <w:tblCellMar>
            <w:top w:w="0" w:type="dxa"/>
            <w:left w:w="108" w:type="dxa"/>
            <w:bottom w:w="0" w:type="dxa"/>
            <w:right w:w="108" w:type="dxa"/>
          </w:tblCellMar>
        </w:tblPrEx>
        <w:trPr>
          <w:trHeight w:val="567" w:hRule="atLeast"/>
          <w:jc w:val="center"/>
        </w:trPr>
        <w:tc>
          <w:tcPr>
            <w:tcW w:w="2200" w:type="dxa"/>
            <w:gridSpan w:val="2"/>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合计</w:t>
            </w:r>
          </w:p>
        </w:tc>
        <w:tc>
          <w:tcPr>
            <w:tcW w:w="103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859.16</w:t>
            </w:r>
          </w:p>
        </w:tc>
        <w:tc>
          <w:tcPr>
            <w:tcW w:w="103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859.16</w:t>
            </w:r>
          </w:p>
        </w:tc>
        <w:tc>
          <w:tcPr>
            <w:tcW w:w="103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201</w:t>
            </w:r>
          </w:p>
        </w:tc>
        <w:tc>
          <w:tcPr>
            <w:tcW w:w="1160" w:type="dxa"/>
            <w:tcBorders>
              <w:top w:val="nil"/>
              <w:left w:val="nil"/>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一般公共服务支出</w:t>
            </w:r>
          </w:p>
        </w:tc>
        <w:tc>
          <w:tcPr>
            <w:tcW w:w="103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562.23</w:t>
            </w:r>
          </w:p>
        </w:tc>
        <w:tc>
          <w:tcPr>
            <w:tcW w:w="103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562.23</w:t>
            </w:r>
          </w:p>
        </w:tc>
        <w:tc>
          <w:tcPr>
            <w:tcW w:w="103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20102</w:t>
            </w:r>
          </w:p>
        </w:tc>
        <w:tc>
          <w:tcPr>
            <w:tcW w:w="1160" w:type="dxa"/>
            <w:tcBorders>
              <w:top w:val="nil"/>
              <w:left w:val="nil"/>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政协事务</w:t>
            </w:r>
          </w:p>
        </w:tc>
        <w:tc>
          <w:tcPr>
            <w:tcW w:w="103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562.23</w:t>
            </w:r>
          </w:p>
        </w:tc>
        <w:tc>
          <w:tcPr>
            <w:tcW w:w="103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562.23</w:t>
            </w:r>
          </w:p>
        </w:tc>
        <w:tc>
          <w:tcPr>
            <w:tcW w:w="103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2010201</w:t>
            </w:r>
          </w:p>
        </w:tc>
        <w:tc>
          <w:tcPr>
            <w:tcW w:w="1160" w:type="dxa"/>
            <w:tcBorders>
              <w:top w:val="nil"/>
              <w:left w:val="nil"/>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行政运行</w:t>
            </w:r>
          </w:p>
        </w:tc>
        <w:tc>
          <w:tcPr>
            <w:tcW w:w="103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465.37</w:t>
            </w:r>
          </w:p>
        </w:tc>
        <w:tc>
          <w:tcPr>
            <w:tcW w:w="103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465.37</w:t>
            </w:r>
          </w:p>
        </w:tc>
        <w:tc>
          <w:tcPr>
            <w:tcW w:w="103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2010202</w:t>
            </w:r>
          </w:p>
        </w:tc>
        <w:tc>
          <w:tcPr>
            <w:tcW w:w="1160" w:type="dxa"/>
            <w:tcBorders>
              <w:top w:val="nil"/>
              <w:left w:val="nil"/>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一般行政管理事务</w:t>
            </w:r>
          </w:p>
        </w:tc>
        <w:tc>
          <w:tcPr>
            <w:tcW w:w="103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96.87</w:t>
            </w:r>
          </w:p>
        </w:tc>
        <w:tc>
          <w:tcPr>
            <w:tcW w:w="103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96.87</w:t>
            </w:r>
          </w:p>
        </w:tc>
        <w:tc>
          <w:tcPr>
            <w:tcW w:w="103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208</w:t>
            </w:r>
          </w:p>
        </w:tc>
        <w:tc>
          <w:tcPr>
            <w:tcW w:w="1160" w:type="dxa"/>
            <w:tcBorders>
              <w:top w:val="nil"/>
              <w:left w:val="nil"/>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社会保障和就业支出</w:t>
            </w:r>
          </w:p>
        </w:tc>
        <w:tc>
          <w:tcPr>
            <w:tcW w:w="103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228.33</w:t>
            </w:r>
          </w:p>
        </w:tc>
        <w:tc>
          <w:tcPr>
            <w:tcW w:w="103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228.33</w:t>
            </w:r>
          </w:p>
        </w:tc>
        <w:tc>
          <w:tcPr>
            <w:tcW w:w="103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20805</w:t>
            </w:r>
          </w:p>
        </w:tc>
        <w:tc>
          <w:tcPr>
            <w:tcW w:w="1160" w:type="dxa"/>
            <w:tcBorders>
              <w:top w:val="nil"/>
              <w:left w:val="nil"/>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行政事业单位养老支出</w:t>
            </w:r>
          </w:p>
        </w:tc>
        <w:tc>
          <w:tcPr>
            <w:tcW w:w="103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219.86</w:t>
            </w:r>
          </w:p>
        </w:tc>
        <w:tc>
          <w:tcPr>
            <w:tcW w:w="103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219.86</w:t>
            </w:r>
          </w:p>
        </w:tc>
        <w:tc>
          <w:tcPr>
            <w:tcW w:w="103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2080501</w:t>
            </w:r>
          </w:p>
        </w:tc>
        <w:tc>
          <w:tcPr>
            <w:tcW w:w="1160" w:type="dxa"/>
            <w:tcBorders>
              <w:top w:val="nil"/>
              <w:left w:val="nil"/>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行政单位离退休</w:t>
            </w:r>
          </w:p>
        </w:tc>
        <w:tc>
          <w:tcPr>
            <w:tcW w:w="103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180.93</w:t>
            </w:r>
          </w:p>
        </w:tc>
        <w:tc>
          <w:tcPr>
            <w:tcW w:w="103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180.93</w:t>
            </w:r>
          </w:p>
        </w:tc>
        <w:tc>
          <w:tcPr>
            <w:tcW w:w="103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2080505</w:t>
            </w:r>
          </w:p>
        </w:tc>
        <w:tc>
          <w:tcPr>
            <w:tcW w:w="1160" w:type="dxa"/>
            <w:tcBorders>
              <w:top w:val="nil"/>
              <w:left w:val="nil"/>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机关事业单位基本养老保险缴费支出</w:t>
            </w:r>
          </w:p>
        </w:tc>
        <w:tc>
          <w:tcPr>
            <w:tcW w:w="103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38.94</w:t>
            </w:r>
          </w:p>
        </w:tc>
        <w:tc>
          <w:tcPr>
            <w:tcW w:w="103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38.94</w:t>
            </w:r>
          </w:p>
        </w:tc>
        <w:tc>
          <w:tcPr>
            <w:tcW w:w="103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20809</w:t>
            </w:r>
          </w:p>
        </w:tc>
        <w:tc>
          <w:tcPr>
            <w:tcW w:w="1160" w:type="dxa"/>
            <w:tcBorders>
              <w:top w:val="nil"/>
              <w:left w:val="nil"/>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退役安置</w:t>
            </w:r>
          </w:p>
        </w:tc>
        <w:tc>
          <w:tcPr>
            <w:tcW w:w="103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8.46</w:t>
            </w:r>
          </w:p>
        </w:tc>
        <w:tc>
          <w:tcPr>
            <w:tcW w:w="103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8.46</w:t>
            </w:r>
          </w:p>
        </w:tc>
        <w:tc>
          <w:tcPr>
            <w:tcW w:w="103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2080901</w:t>
            </w:r>
          </w:p>
        </w:tc>
        <w:tc>
          <w:tcPr>
            <w:tcW w:w="1160" w:type="dxa"/>
            <w:tcBorders>
              <w:top w:val="nil"/>
              <w:left w:val="nil"/>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退役士兵安置</w:t>
            </w:r>
          </w:p>
        </w:tc>
        <w:tc>
          <w:tcPr>
            <w:tcW w:w="103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8.46</w:t>
            </w:r>
          </w:p>
        </w:tc>
        <w:tc>
          <w:tcPr>
            <w:tcW w:w="103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8.46</w:t>
            </w:r>
          </w:p>
        </w:tc>
        <w:tc>
          <w:tcPr>
            <w:tcW w:w="103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210</w:t>
            </w:r>
          </w:p>
        </w:tc>
        <w:tc>
          <w:tcPr>
            <w:tcW w:w="1160" w:type="dxa"/>
            <w:tcBorders>
              <w:top w:val="nil"/>
              <w:left w:val="nil"/>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卫生健康支出</w:t>
            </w:r>
          </w:p>
        </w:tc>
        <w:tc>
          <w:tcPr>
            <w:tcW w:w="103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28.69</w:t>
            </w:r>
          </w:p>
        </w:tc>
        <w:tc>
          <w:tcPr>
            <w:tcW w:w="103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28.69</w:t>
            </w:r>
          </w:p>
        </w:tc>
        <w:tc>
          <w:tcPr>
            <w:tcW w:w="103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21011</w:t>
            </w:r>
          </w:p>
        </w:tc>
        <w:tc>
          <w:tcPr>
            <w:tcW w:w="1160" w:type="dxa"/>
            <w:tcBorders>
              <w:top w:val="nil"/>
              <w:left w:val="nil"/>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行政事业单位医疗</w:t>
            </w:r>
          </w:p>
        </w:tc>
        <w:tc>
          <w:tcPr>
            <w:tcW w:w="103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28.69</w:t>
            </w:r>
          </w:p>
        </w:tc>
        <w:tc>
          <w:tcPr>
            <w:tcW w:w="103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28.69</w:t>
            </w:r>
          </w:p>
        </w:tc>
        <w:tc>
          <w:tcPr>
            <w:tcW w:w="103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2101101</w:t>
            </w:r>
          </w:p>
        </w:tc>
        <w:tc>
          <w:tcPr>
            <w:tcW w:w="1160" w:type="dxa"/>
            <w:tcBorders>
              <w:top w:val="nil"/>
              <w:left w:val="nil"/>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行政单位医疗</w:t>
            </w:r>
          </w:p>
        </w:tc>
        <w:tc>
          <w:tcPr>
            <w:tcW w:w="103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28.69</w:t>
            </w:r>
          </w:p>
        </w:tc>
        <w:tc>
          <w:tcPr>
            <w:tcW w:w="103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28.69</w:t>
            </w:r>
          </w:p>
        </w:tc>
        <w:tc>
          <w:tcPr>
            <w:tcW w:w="103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221</w:t>
            </w:r>
          </w:p>
        </w:tc>
        <w:tc>
          <w:tcPr>
            <w:tcW w:w="1160" w:type="dxa"/>
            <w:tcBorders>
              <w:top w:val="nil"/>
              <w:left w:val="nil"/>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住房保障支出</w:t>
            </w:r>
          </w:p>
        </w:tc>
        <w:tc>
          <w:tcPr>
            <w:tcW w:w="103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39.91</w:t>
            </w:r>
          </w:p>
        </w:tc>
        <w:tc>
          <w:tcPr>
            <w:tcW w:w="103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39.91</w:t>
            </w:r>
          </w:p>
        </w:tc>
        <w:tc>
          <w:tcPr>
            <w:tcW w:w="103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22102</w:t>
            </w:r>
          </w:p>
        </w:tc>
        <w:tc>
          <w:tcPr>
            <w:tcW w:w="1160" w:type="dxa"/>
            <w:tcBorders>
              <w:top w:val="nil"/>
              <w:left w:val="nil"/>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住房改革支出</w:t>
            </w:r>
          </w:p>
        </w:tc>
        <w:tc>
          <w:tcPr>
            <w:tcW w:w="103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39.91</w:t>
            </w:r>
          </w:p>
        </w:tc>
        <w:tc>
          <w:tcPr>
            <w:tcW w:w="103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39.91</w:t>
            </w:r>
          </w:p>
        </w:tc>
        <w:tc>
          <w:tcPr>
            <w:tcW w:w="103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2210201</w:t>
            </w:r>
          </w:p>
        </w:tc>
        <w:tc>
          <w:tcPr>
            <w:tcW w:w="1160" w:type="dxa"/>
            <w:tcBorders>
              <w:top w:val="nil"/>
              <w:left w:val="nil"/>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住房公积金</w:t>
            </w:r>
          </w:p>
        </w:tc>
        <w:tc>
          <w:tcPr>
            <w:tcW w:w="103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39.91</w:t>
            </w:r>
          </w:p>
        </w:tc>
        <w:tc>
          <w:tcPr>
            <w:tcW w:w="103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39.91</w:t>
            </w:r>
          </w:p>
        </w:tc>
        <w:tc>
          <w:tcPr>
            <w:tcW w:w="103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308" w:hRule="atLeast"/>
          <w:jc w:val="center"/>
        </w:trPr>
        <w:tc>
          <w:tcPr>
            <w:tcW w:w="9230" w:type="dxa"/>
            <w:gridSpan w:val="10"/>
            <w:tcBorders>
              <w:top w:val="nil"/>
              <w:left w:val="nil"/>
              <w:bottom w:val="nil"/>
              <w:right w:val="nil"/>
            </w:tcBorders>
            <w:noWrap/>
            <w:vAlign w:val="center"/>
          </w:tcPr>
          <w:p>
            <w:pPr>
              <w:widowControl/>
              <w:jc w:val="left"/>
              <w:textAlignment w:val="center"/>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lang w:bidi="ar"/>
              </w:rPr>
              <w:t>注：本表反映部门本年度取得的各项收入情况。</w:t>
            </w:r>
          </w:p>
        </w:tc>
      </w:tr>
    </w:tbl>
    <w:p>
      <w:pPr>
        <w:rPr>
          <w:rFonts w:ascii="黑体" w:hAnsi="黑体" w:eastAsia="黑体"/>
          <w:bCs/>
          <w:sz w:val="32"/>
          <w:szCs w:val="32"/>
        </w:rPr>
      </w:pPr>
      <w:r>
        <w:rPr>
          <w:rFonts w:hint="eastAsia" w:ascii="仿宋_GB2312" w:hAnsi="宋体" w:eastAsia="仿宋_GB2312"/>
          <w:b/>
          <w:sz w:val="32"/>
          <w:szCs w:val="32"/>
        </w:rPr>
        <w:br w:type="page"/>
      </w:r>
    </w:p>
    <w:p>
      <w:pPr>
        <w:widowControl/>
        <w:jc w:val="center"/>
        <w:textAlignment w:val="bottom"/>
        <w:rPr>
          <w:rFonts w:ascii="宋体" w:hAnsi="宋体" w:eastAsia="宋体"/>
          <w:spacing w:val="-2"/>
          <w:sz w:val="20"/>
        </w:rPr>
      </w:pPr>
    </w:p>
    <w:tbl>
      <w:tblPr>
        <w:tblStyle w:val="11"/>
        <w:tblW w:w="5812" w:type="pct"/>
        <w:jc w:val="center"/>
        <w:tblLayout w:type="fixed"/>
        <w:tblCellMar>
          <w:top w:w="0" w:type="dxa"/>
          <w:left w:w="108" w:type="dxa"/>
          <w:bottom w:w="0" w:type="dxa"/>
          <w:right w:w="108" w:type="dxa"/>
        </w:tblCellMar>
      </w:tblPr>
      <w:tblGrid>
        <w:gridCol w:w="1040"/>
        <w:gridCol w:w="1187"/>
        <w:gridCol w:w="1127"/>
        <w:gridCol w:w="127"/>
        <w:gridCol w:w="998"/>
        <w:gridCol w:w="1125"/>
        <w:gridCol w:w="499"/>
        <w:gridCol w:w="626"/>
        <w:gridCol w:w="1125"/>
        <w:gridCol w:w="1492"/>
      </w:tblGrid>
      <w:tr>
        <w:tblPrEx>
          <w:tblCellMar>
            <w:top w:w="0" w:type="dxa"/>
            <w:left w:w="108" w:type="dxa"/>
            <w:bottom w:w="0" w:type="dxa"/>
            <w:right w:w="108" w:type="dxa"/>
          </w:tblCellMar>
        </w:tblPrEx>
        <w:trPr>
          <w:trHeight w:val="550" w:hRule="atLeast"/>
          <w:jc w:val="center"/>
        </w:trPr>
        <w:tc>
          <w:tcPr>
            <w:tcW w:w="5000" w:type="pct"/>
            <w:gridSpan w:val="10"/>
            <w:tcBorders>
              <w:top w:val="nil"/>
              <w:left w:val="nil"/>
              <w:bottom w:val="nil"/>
              <w:right w:val="nil"/>
            </w:tcBorders>
            <w:noWrap/>
            <w:vAlign w:val="bottom"/>
          </w:tcPr>
          <w:p>
            <w:pPr>
              <w:jc w:val="center"/>
              <w:outlineLvl w:val="1"/>
              <w:rPr>
                <w:rFonts w:ascii="宋体" w:hAnsi="宋体" w:eastAsia="宋体"/>
                <w:color w:val="000000"/>
                <w:sz w:val="20"/>
                <w:szCs w:val="20"/>
              </w:rPr>
            </w:pPr>
            <w:r>
              <w:rPr>
                <w:rFonts w:hint="eastAsia" w:ascii="方正仿宋_GB2312" w:hAnsi="方正仿宋_GB2312" w:eastAsia="方正仿宋_GB2312" w:cs="方正仿宋_GB2312"/>
                <w:bCs/>
                <w:sz w:val="32"/>
                <w:szCs w:val="32"/>
              </w:rPr>
              <w:br w:type="page"/>
            </w:r>
            <w:r>
              <w:rPr>
                <w:rFonts w:hint="eastAsia" w:ascii="方正仿宋_GB2312" w:hAnsi="方正仿宋_GB2312" w:eastAsia="方正仿宋_GB2312" w:cs="方正仿宋_GB2312"/>
                <w:bCs/>
                <w:sz w:val="32"/>
                <w:szCs w:val="32"/>
              </w:rPr>
              <w:t>支出决算表</w:t>
            </w:r>
          </w:p>
        </w:tc>
      </w:tr>
      <w:tr>
        <w:tblPrEx>
          <w:tblCellMar>
            <w:top w:w="0" w:type="dxa"/>
            <w:left w:w="108" w:type="dxa"/>
            <w:bottom w:w="0" w:type="dxa"/>
            <w:right w:w="108" w:type="dxa"/>
          </w:tblCellMar>
        </w:tblPrEx>
        <w:trPr>
          <w:trHeight w:val="300" w:hRule="atLeast"/>
          <w:jc w:val="center"/>
        </w:trPr>
        <w:tc>
          <w:tcPr>
            <w:tcW w:w="5000" w:type="pct"/>
            <w:gridSpan w:val="10"/>
            <w:tcBorders>
              <w:top w:val="nil"/>
              <w:left w:val="nil"/>
              <w:bottom w:val="nil"/>
              <w:right w:val="nil"/>
            </w:tcBorders>
            <w:noWrap/>
            <w:vAlign w:val="bottom"/>
          </w:tcPr>
          <w:p>
            <w:pPr>
              <w:widowControl/>
              <w:jc w:val="right"/>
              <w:textAlignment w:val="bottom"/>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lang w:bidi="ar"/>
              </w:rPr>
              <w:t>公开</w:t>
            </w:r>
            <w:r>
              <w:rPr>
                <w:rFonts w:ascii="Times New Roman" w:hAnsi="Times New Roman" w:eastAsia="宋体" w:cs="Times New Roman"/>
                <w:color w:val="000000"/>
                <w:sz w:val="20"/>
                <w:szCs w:val="20"/>
                <w:lang w:bidi="ar"/>
              </w:rPr>
              <w:t>03</w:t>
            </w:r>
            <w:r>
              <w:rPr>
                <w:rFonts w:hint="eastAsia" w:ascii="方正仿宋_GB2312" w:hAnsi="方正仿宋_GB2312" w:eastAsia="方正仿宋_GB2312" w:cs="方正仿宋_GB2312"/>
                <w:color w:val="000000"/>
                <w:sz w:val="20"/>
                <w:szCs w:val="20"/>
                <w:lang w:bidi="ar"/>
              </w:rPr>
              <w:t>表</w:t>
            </w:r>
          </w:p>
        </w:tc>
      </w:tr>
      <w:tr>
        <w:tblPrEx>
          <w:tblCellMar>
            <w:top w:w="0" w:type="dxa"/>
            <w:left w:w="108" w:type="dxa"/>
            <w:bottom w:w="0" w:type="dxa"/>
            <w:right w:w="108" w:type="dxa"/>
          </w:tblCellMar>
        </w:tblPrEx>
        <w:trPr>
          <w:trHeight w:val="300" w:hRule="atLeast"/>
          <w:jc w:val="center"/>
        </w:trPr>
        <w:tc>
          <w:tcPr>
            <w:tcW w:w="1862" w:type="pct"/>
            <w:gridSpan w:val="4"/>
            <w:tcBorders>
              <w:top w:val="nil"/>
              <w:left w:val="nil"/>
              <w:bottom w:val="single" w:color="auto" w:sz="4" w:space="0"/>
              <w:right w:val="nil"/>
            </w:tcBorders>
            <w:noWrap/>
            <w:vAlign w:val="bottom"/>
          </w:tcPr>
          <w:p>
            <w:pPr>
              <w:widowControl/>
              <w:jc w:val="left"/>
              <w:textAlignment w:val="bottom"/>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lang w:bidi="ar"/>
              </w:rPr>
              <w:t xml:space="preserve">编制部门（单位）：中国人民政治协商会议河北省石家庄市鹿泉区委员会(本级) </w:t>
            </w:r>
            <w:r>
              <w:rPr>
                <w:rFonts w:hint="eastAsia" w:asciiTheme="minorEastAsia" w:hAnsiTheme="minorEastAsia" w:cstheme="minorEastAsia"/>
                <w:color w:val="000000"/>
                <w:sz w:val="20"/>
                <w:szCs w:val="20"/>
                <w:lang w:bidi="ar"/>
              </w:rPr>
              <w:t xml:space="preserve">                                                                                                         </w:t>
            </w:r>
          </w:p>
        </w:tc>
        <w:tc>
          <w:tcPr>
            <w:tcW w:w="1403" w:type="pct"/>
            <w:gridSpan w:val="3"/>
            <w:tcBorders>
              <w:top w:val="nil"/>
              <w:left w:val="nil"/>
              <w:bottom w:val="single" w:color="auto" w:sz="4" w:space="0"/>
              <w:right w:val="nil"/>
            </w:tcBorders>
            <w:noWrap/>
            <w:vAlign w:val="bottom"/>
          </w:tcPr>
          <w:p>
            <w:pPr>
              <w:widowControl/>
              <w:jc w:val="center"/>
              <w:textAlignment w:val="bottom"/>
              <w:rPr>
                <w:rFonts w:asciiTheme="minorEastAsia" w:hAnsiTheme="minorEastAsia" w:cstheme="minorEastAsia"/>
                <w:color w:val="000000"/>
                <w:sz w:val="20"/>
                <w:szCs w:val="20"/>
                <w:lang w:bidi="ar"/>
              </w:rPr>
            </w:pPr>
            <w:r>
              <w:rPr>
                <w:rFonts w:ascii="Times New Roman" w:hAnsi="Times New Roman" w:cs="Times New Roman"/>
                <w:color w:val="000000"/>
                <w:sz w:val="20"/>
                <w:szCs w:val="20"/>
                <w:lang w:bidi="ar"/>
              </w:rPr>
              <w:t>2023</w:t>
            </w:r>
            <w:r>
              <w:rPr>
                <w:rFonts w:hint="eastAsia" w:ascii="方正仿宋_GB2312" w:hAnsi="方正仿宋_GB2312" w:eastAsia="方正仿宋_GB2312" w:cs="方正仿宋_GB2312"/>
                <w:color w:val="000000"/>
                <w:sz w:val="20"/>
                <w:szCs w:val="20"/>
                <w:lang w:bidi="ar"/>
              </w:rPr>
              <w:t>年度</w:t>
            </w:r>
          </w:p>
        </w:tc>
        <w:tc>
          <w:tcPr>
            <w:tcW w:w="1734" w:type="pct"/>
            <w:gridSpan w:val="3"/>
            <w:tcBorders>
              <w:top w:val="nil"/>
              <w:left w:val="nil"/>
              <w:bottom w:val="single" w:color="auto" w:sz="4" w:space="0"/>
              <w:right w:val="nil"/>
            </w:tcBorders>
            <w:noWrap/>
            <w:vAlign w:val="bottom"/>
          </w:tcPr>
          <w:p>
            <w:pPr>
              <w:widowControl/>
              <w:jc w:val="right"/>
              <w:textAlignment w:val="bottom"/>
              <w:rPr>
                <w:rFonts w:asciiTheme="minorEastAsia" w:hAnsiTheme="minorEastAsia" w:cstheme="minorEastAsia"/>
                <w:color w:val="000000"/>
                <w:sz w:val="20"/>
                <w:szCs w:val="20"/>
                <w:lang w:bidi="ar"/>
              </w:rPr>
            </w:pPr>
            <w:r>
              <w:rPr>
                <w:rFonts w:hint="eastAsia" w:ascii="方正仿宋_GB2312" w:hAnsi="方正仿宋_GB2312" w:eastAsia="方正仿宋_GB2312" w:cs="方正仿宋_GB2312"/>
                <w:color w:val="000000"/>
                <w:sz w:val="20"/>
                <w:szCs w:val="20"/>
                <w:lang w:bidi="ar"/>
              </w:rPr>
              <w:t xml:space="preserve"> 金额单位：万元</w:t>
            </w:r>
          </w:p>
        </w:tc>
      </w:tr>
      <w:tr>
        <w:tblPrEx>
          <w:tblCellMar>
            <w:top w:w="0" w:type="dxa"/>
            <w:left w:w="108" w:type="dxa"/>
            <w:bottom w:w="0" w:type="dxa"/>
            <w:right w:w="108" w:type="dxa"/>
          </w:tblCellMar>
        </w:tblPrEx>
        <w:trPr>
          <w:trHeight w:val="510" w:hRule="atLeast"/>
          <w:jc w:val="center"/>
        </w:trPr>
        <w:tc>
          <w:tcPr>
            <w:tcW w:w="1191" w:type="pct"/>
            <w:gridSpan w:val="2"/>
            <w:tcBorders>
              <w:top w:val="single" w:color="auto" w:sz="4" w:space="0"/>
              <w:left w:val="single" w:color="000000" w:sz="4" w:space="0"/>
              <w:bottom w:val="single" w:color="000000" w:sz="4" w:space="0"/>
              <w:right w:val="single" w:color="000000" w:sz="4" w:space="0"/>
            </w:tcBorders>
            <w:noWrap/>
            <w:vAlign w:val="center"/>
          </w:tcPr>
          <w:p>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项目</w:t>
            </w:r>
          </w:p>
        </w:tc>
        <w:tc>
          <w:tcPr>
            <w:tcW w:w="603" w:type="pct"/>
            <w:vMerge w:val="restart"/>
            <w:tcBorders>
              <w:top w:val="single" w:color="auto" w:sz="4" w:space="0"/>
              <w:left w:val="nil"/>
              <w:bottom w:val="single" w:color="000000" w:sz="4" w:space="0"/>
              <w:right w:val="single" w:color="000000" w:sz="4" w:space="0"/>
            </w:tcBorders>
            <w:vAlign w:val="center"/>
          </w:tcPr>
          <w:p>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本年支出合计</w:t>
            </w:r>
          </w:p>
        </w:tc>
        <w:tc>
          <w:tcPr>
            <w:tcW w:w="602" w:type="pct"/>
            <w:gridSpan w:val="2"/>
            <w:vMerge w:val="restart"/>
            <w:tcBorders>
              <w:top w:val="single" w:color="auto" w:sz="4" w:space="0"/>
              <w:left w:val="nil"/>
              <w:bottom w:val="single" w:color="000000" w:sz="4" w:space="0"/>
              <w:right w:val="single" w:color="000000" w:sz="4" w:space="0"/>
            </w:tcBorders>
            <w:vAlign w:val="center"/>
          </w:tcPr>
          <w:p>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基本支出</w:t>
            </w:r>
          </w:p>
        </w:tc>
        <w:tc>
          <w:tcPr>
            <w:tcW w:w="602" w:type="pct"/>
            <w:vMerge w:val="restart"/>
            <w:tcBorders>
              <w:top w:val="single" w:color="auto" w:sz="4" w:space="0"/>
              <w:left w:val="nil"/>
              <w:bottom w:val="single" w:color="000000" w:sz="4" w:space="0"/>
              <w:right w:val="single" w:color="000000" w:sz="4" w:space="0"/>
            </w:tcBorders>
            <w:vAlign w:val="center"/>
          </w:tcPr>
          <w:p>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项目支出</w:t>
            </w:r>
          </w:p>
        </w:tc>
        <w:tc>
          <w:tcPr>
            <w:tcW w:w="602" w:type="pct"/>
            <w:gridSpan w:val="2"/>
            <w:vMerge w:val="restart"/>
            <w:tcBorders>
              <w:top w:val="single" w:color="auto" w:sz="4" w:space="0"/>
              <w:left w:val="nil"/>
              <w:bottom w:val="single" w:color="000000" w:sz="4" w:space="0"/>
              <w:right w:val="single" w:color="000000" w:sz="4" w:space="0"/>
            </w:tcBorders>
            <w:vAlign w:val="center"/>
          </w:tcPr>
          <w:p>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上缴上级支出</w:t>
            </w:r>
          </w:p>
        </w:tc>
        <w:tc>
          <w:tcPr>
            <w:tcW w:w="602" w:type="pct"/>
            <w:vMerge w:val="restart"/>
            <w:tcBorders>
              <w:top w:val="single" w:color="auto" w:sz="4" w:space="0"/>
              <w:left w:val="nil"/>
              <w:bottom w:val="single" w:color="000000" w:sz="4" w:space="0"/>
              <w:right w:val="single" w:color="000000" w:sz="4" w:space="0"/>
            </w:tcBorders>
            <w:vAlign w:val="center"/>
          </w:tcPr>
          <w:p>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经营支出</w:t>
            </w:r>
          </w:p>
        </w:tc>
        <w:tc>
          <w:tcPr>
            <w:tcW w:w="795" w:type="pct"/>
            <w:vMerge w:val="restart"/>
            <w:tcBorders>
              <w:top w:val="single" w:color="auto" w:sz="4" w:space="0"/>
              <w:left w:val="nil"/>
              <w:bottom w:val="single" w:color="000000" w:sz="4" w:space="0"/>
              <w:right w:val="single" w:color="000000" w:sz="4" w:space="0"/>
            </w:tcBorders>
            <w:vAlign w:val="center"/>
          </w:tcPr>
          <w:p>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对附属单位补助支出</w:t>
            </w:r>
          </w:p>
        </w:tc>
      </w:tr>
      <w:tr>
        <w:tblPrEx>
          <w:tblCellMar>
            <w:top w:w="0" w:type="dxa"/>
            <w:left w:w="108" w:type="dxa"/>
            <w:bottom w:w="0" w:type="dxa"/>
            <w:right w:w="108" w:type="dxa"/>
          </w:tblCellMar>
        </w:tblPrEx>
        <w:trPr>
          <w:trHeight w:val="312" w:hRule="atLeast"/>
          <w:jc w:val="center"/>
        </w:trPr>
        <w:tc>
          <w:tcPr>
            <w:tcW w:w="556" w:type="pct"/>
            <w:vMerge w:val="restart"/>
            <w:tcBorders>
              <w:top w:val="nil"/>
              <w:left w:val="single" w:color="000000" w:sz="4" w:space="0"/>
              <w:bottom w:val="single" w:color="000000" w:sz="4" w:space="0"/>
              <w:right w:val="single" w:color="000000" w:sz="4" w:space="0"/>
            </w:tcBorders>
            <w:vAlign w:val="center"/>
          </w:tcPr>
          <w:p>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科目代码</w:t>
            </w:r>
          </w:p>
        </w:tc>
        <w:tc>
          <w:tcPr>
            <w:tcW w:w="635" w:type="pct"/>
            <w:vMerge w:val="restart"/>
            <w:tcBorders>
              <w:top w:val="nil"/>
              <w:left w:val="nil"/>
              <w:bottom w:val="single" w:color="000000" w:sz="4" w:space="0"/>
              <w:right w:val="single" w:color="000000" w:sz="4" w:space="0"/>
            </w:tcBorders>
            <w:noWrap/>
            <w:vAlign w:val="center"/>
          </w:tcPr>
          <w:p>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科目名称</w:t>
            </w:r>
          </w:p>
        </w:tc>
        <w:tc>
          <w:tcPr>
            <w:tcW w:w="603" w:type="pct"/>
            <w:vMerge w:val="continue"/>
            <w:tcBorders>
              <w:top w:val="single" w:color="000000" w:sz="4" w:space="0"/>
              <w:left w:val="nil"/>
              <w:bottom w:val="single" w:color="000000" w:sz="4" w:space="0"/>
              <w:right w:val="single" w:color="000000" w:sz="4" w:space="0"/>
            </w:tcBorders>
            <w:vAlign w:val="center"/>
          </w:tcPr>
          <w:p>
            <w:pPr>
              <w:jc w:val="center"/>
              <w:rPr>
                <w:rFonts w:ascii="宋体" w:hAnsi="宋体" w:eastAsia="宋体"/>
                <w:color w:val="000000"/>
                <w:sz w:val="20"/>
                <w:szCs w:val="20"/>
              </w:rPr>
            </w:pPr>
          </w:p>
        </w:tc>
        <w:tc>
          <w:tcPr>
            <w:tcW w:w="602" w:type="pct"/>
            <w:gridSpan w:val="2"/>
            <w:vMerge w:val="continue"/>
            <w:tcBorders>
              <w:top w:val="single" w:color="000000" w:sz="4" w:space="0"/>
              <w:left w:val="nil"/>
              <w:bottom w:val="single" w:color="000000" w:sz="4" w:space="0"/>
              <w:right w:val="single" w:color="000000" w:sz="4" w:space="0"/>
            </w:tcBorders>
            <w:vAlign w:val="center"/>
          </w:tcPr>
          <w:p>
            <w:pPr>
              <w:jc w:val="center"/>
              <w:rPr>
                <w:rFonts w:ascii="宋体" w:hAnsi="宋体" w:eastAsia="宋体"/>
                <w:color w:val="000000"/>
                <w:sz w:val="20"/>
                <w:szCs w:val="20"/>
              </w:rPr>
            </w:pPr>
          </w:p>
        </w:tc>
        <w:tc>
          <w:tcPr>
            <w:tcW w:w="602" w:type="pct"/>
            <w:vMerge w:val="continue"/>
            <w:tcBorders>
              <w:top w:val="single" w:color="000000" w:sz="4" w:space="0"/>
              <w:left w:val="nil"/>
              <w:bottom w:val="single" w:color="000000" w:sz="4" w:space="0"/>
              <w:right w:val="single" w:color="000000" w:sz="4" w:space="0"/>
            </w:tcBorders>
            <w:vAlign w:val="center"/>
          </w:tcPr>
          <w:p>
            <w:pPr>
              <w:jc w:val="center"/>
              <w:rPr>
                <w:rFonts w:ascii="宋体" w:hAnsi="宋体" w:eastAsia="宋体"/>
                <w:color w:val="000000"/>
                <w:sz w:val="20"/>
                <w:szCs w:val="20"/>
              </w:rPr>
            </w:pPr>
          </w:p>
        </w:tc>
        <w:tc>
          <w:tcPr>
            <w:tcW w:w="602" w:type="pct"/>
            <w:gridSpan w:val="2"/>
            <w:vMerge w:val="continue"/>
            <w:tcBorders>
              <w:top w:val="single" w:color="000000" w:sz="4" w:space="0"/>
              <w:left w:val="nil"/>
              <w:bottom w:val="single" w:color="000000" w:sz="4" w:space="0"/>
              <w:right w:val="single" w:color="000000" w:sz="4" w:space="0"/>
            </w:tcBorders>
            <w:vAlign w:val="center"/>
          </w:tcPr>
          <w:p>
            <w:pPr>
              <w:jc w:val="center"/>
              <w:rPr>
                <w:rFonts w:ascii="宋体" w:hAnsi="宋体" w:eastAsia="宋体"/>
                <w:color w:val="000000"/>
                <w:sz w:val="20"/>
                <w:szCs w:val="20"/>
              </w:rPr>
            </w:pPr>
          </w:p>
        </w:tc>
        <w:tc>
          <w:tcPr>
            <w:tcW w:w="602" w:type="pct"/>
            <w:vMerge w:val="continue"/>
            <w:tcBorders>
              <w:top w:val="single" w:color="000000" w:sz="4" w:space="0"/>
              <w:left w:val="nil"/>
              <w:bottom w:val="single" w:color="000000" w:sz="4" w:space="0"/>
              <w:right w:val="single" w:color="000000" w:sz="4" w:space="0"/>
            </w:tcBorders>
            <w:vAlign w:val="center"/>
          </w:tcPr>
          <w:p>
            <w:pPr>
              <w:jc w:val="center"/>
              <w:rPr>
                <w:rFonts w:ascii="宋体" w:hAnsi="宋体" w:eastAsia="宋体"/>
                <w:color w:val="000000"/>
                <w:sz w:val="20"/>
                <w:szCs w:val="20"/>
              </w:rPr>
            </w:pPr>
          </w:p>
        </w:tc>
        <w:tc>
          <w:tcPr>
            <w:tcW w:w="795" w:type="pct"/>
            <w:vMerge w:val="continue"/>
            <w:tcBorders>
              <w:top w:val="single" w:color="000000" w:sz="4" w:space="0"/>
              <w:left w:val="nil"/>
              <w:bottom w:val="single" w:color="000000" w:sz="4" w:space="0"/>
              <w:right w:val="single" w:color="000000" w:sz="4" w:space="0"/>
            </w:tcBorders>
            <w:vAlign w:val="center"/>
          </w:tcPr>
          <w:p>
            <w:pPr>
              <w:jc w:val="center"/>
              <w:rPr>
                <w:rFonts w:ascii="宋体" w:hAnsi="宋体" w:eastAsia="宋体"/>
                <w:color w:val="000000"/>
                <w:sz w:val="20"/>
                <w:szCs w:val="20"/>
              </w:rPr>
            </w:pPr>
          </w:p>
        </w:tc>
      </w:tr>
      <w:tr>
        <w:tblPrEx>
          <w:tblCellMar>
            <w:top w:w="0" w:type="dxa"/>
            <w:left w:w="108" w:type="dxa"/>
            <w:bottom w:w="0" w:type="dxa"/>
            <w:right w:w="108" w:type="dxa"/>
          </w:tblCellMar>
        </w:tblPrEx>
        <w:trPr>
          <w:trHeight w:val="312" w:hRule="atLeast"/>
          <w:jc w:val="center"/>
        </w:trPr>
        <w:tc>
          <w:tcPr>
            <w:tcW w:w="556" w:type="pct"/>
            <w:vMerge w:val="continue"/>
            <w:tcBorders>
              <w:top w:val="nil"/>
              <w:left w:val="single" w:color="000000" w:sz="4" w:space="0"/>
              <w:bottom w:val="single" w:color="000000" w:sz="4" w:space="0"/>
              <w:right w:val="single" w:color="000000" w:sz="4" w:space="0"/>
            </w:tcBorders>
            <w:vAlign w:val="center"/>
          </w:tcPr>
          <w:p>
            <w:pPr>
              <w:jc w:val="center"/>
              <w:rPr>
                <w:rFonts w:ascii="宋体" w:hAnsi="宋体" w:eastAsia="宋体"/>
                <w:color w:val="000000"/>
                <w:sz w:val="20"/>
                <w:szCs w:val="20"/>
              </w:rPr>
            </w:pPr>
          </w:p>
        </w:tc>
        <w:tc>
          <w:tcPr>
            <w:tcW w:w="635" w:type="pct"/>
            <w:vMerge w:val="continue"/>
            <w:tcBorders>
              <w:top w:val="nil"/>
              <w:left w:val="nil"/>
              <w:bottom w:val="single" w:color="000000" w:sz="4" w:space="0"/>
              <w:right w:val="single" w:color="000000" w:sz="4" w:space="0"/>
            </w:tcBorders>
            <w:noWrap/>
            <w:vAlign w:val="center"/>
          </w:tcPr>
          <w:p>
            <w:pPr>
              <w:jc w:val="center"/>
              <w:rPr>
                <w:rFonts w:ascii="宋体" w:hAnsi="宋体" w:eastAsia="宋体"/>
                <w:color w:val="000000"/>
                <w:sz w:val="20"/>
                <w:szCs w:val="20"/>
              </w:rPr>
            </w:pPr>
          </w:p>
        </w:tc>
        <w:tc>
          <w:tcPr>
            <w:tcW w:w="603" w:type="pct"/>
            <w:vMerge w:val="continue"/>
            <w:tcBorders>
              <w:top w:val="single" w:color="000000" w:sz="4" w:space="0"/>
              <w:left w:val="nil"/>
              <w:bottom w:val="single" w:color="000000" w:sz="4" w:space="0"/>
              <w:right w:val="single" w:color="000000" w:sz="4" w:space="0"/>
            </w:tcBorders>
            <w:vAlign w:val="center"/>
          </w:tcPr>
          <w:p>
            <w:pPr>
              <w:jc w:val="center"/>
              <w:rPr>
                <w:rFonts w:ascii="宋体" w:hAnsi="宋体" w:eastAsia="宋体"/>
                <w:color w:val="000000"/>
                <w:sz w:val="20"/>
                <w:szCs w:val="20"/>
              </w:rPr>
            </w:pPr>
          </w:p>
        </w:tc>
        <w:tc>
          <w:tcPr>
            <w:tcW w:w="602" w:type="pct"/>
            <w:gridSpan w:val="2"/>
            <w:vMerge w:val="continue"/>
            <w:tcBorders>
              <w:top w:val="single" w:color="000000" w:sz="4" w:space="0"/>
              <w:left w:val="nil"/>
              <w:bottom w:val="single" w:color="000000" w:sz="4" w:space="0"/>
              <w:right w:val="single" w:color="000000" w:sz="4" w:space="0"/>
            </w:tcBorders>
            <w:vAlign w:val="center"/>
          </w:tcPr>
          <w:p>
            <w:pPr>
              <w:jc w:val="center"/>
              <w:rPr>
                <w:rFonts w:ascii="宋体" w:hAnsi="宋体" w:eastAsia="宋体"/>
                <w:color w:val="000000"/>
                <w:sz w:val="20"/>
                <w:szCs w:val="20"/>
              </w:rPr>
            </w:pPr>
          </w:p>
        </w:tc>
        <w:tc>
          <w:tcPr>
            <w:tcW w:w="602" w:type="pct"/>
            <w:vMerge w:val="continue"/>
            <w:tcBorders>
              <w:top w:val="single" w:color="000000" w:sz="4" w:space="0"/>
              <w:left w:val="nil"/>
              <w:bottom w:val="single" w:color="000000" w:sz="4" w:space="0"/>
              <w:right w:val="single" w:color="000000" w:sz="4" w:space="0"/>
            </w:tcBorders>
            <w:vAlign w:val="center"/>
          </w:tcPr>
          <w:p>
            <w:pPr>
              <w:jc w:val="center"/>
              <w:rPr>
                <w:rFonts w:ascii="宋体" w:hAnsi="宋体" w:eastAsia="宋体"/>
                <w:color w:val="000000"/>
                <w:sz w:val="20"/>
                <w:szCs w:val="20"/>
              </w:rPr>
            </w:pPr>
          </w:p>
        </w:tc>
        <w:tc>
          <w:tcPr>
            <w:tcW w:w="602" w:type="pct"/>
            <w:gridSpan w:val="2"/>
            <w:vMerge w:val="continue"/>
            <w:tcBorders>
              <w:top w:val="single" w:color="000000" w:sz="4" w:space="0"/>
              <w:left w:val="nil"/>
              <w:bottom w:val="single" w:color="000000" w:sz="4" w:space="0"/>
              <w:right w:val="single" w:color="000000" w:sz="4" w:space="0"/>
            </w:tcBorders>
            <w:vAlign w:val="center"/>
          </w:tcPr>
          <w:p>
            <w:pPr>
              <w:jc w:val="center"/>
              <w:rPr>
                <w:rFonts w:ascii="宋体" w:hAnsi="宋体" w:eastAsia="宋体"/>
                <w:color w:val="000000"/>
                <w:sz w:val="20"/>
                <w:szCs w:val="20"/>
              </w:rPr>
            </w:pPr>
          </w:p>
        </w:tc>
        <w:tc>
          <w:tcPr>
            <w:tcW w:w="602" w:type="pct"/>
            <w:vMerge w:val="continue"/>
            <w:tcBorders>
              <w:top w:val="single" w:color="000000" w:sz="4" w:space="0"/>
              <w:left w:val="nil"/>
              <w:bottom w:val="single" w:color="000000" w:sz="4" w:space="0"/>
              <w:right w:val="single" w:color="000000" w:sz="4" w:space="0"/>
            </w:tcBorders>
            <w:vAlign w:val="center"/>
          </w:tcPr>
          <w:p>
            <w:pPr>
              <w:jc w:val="center"/>
              <w:rPr>
                <w:rFonts w:ascii="宋体" w:hAnsi="宋体" w:eastAsia="宋体"/>
                <w:color w:val="000000"/>
                <w:sz w:val="20"/>
                <w:szCs w:val="20"/>
              </w:rPr>
            </w:pPr>
          </w:p>
        </w:tc>
        <w:tc>
          <w:tcPr>
            <w:tcW w:w="795" w:type="pct"/>
            <w:vMerge w:val="continue"/>
            <w:tcBorders>
              <w:top w:val="single" w:color="000000" w:sz="4" w:space="0"/>
              <w:left w:val="nil"/>
              <w:bottom w:val="single" w:color="000000" w:sz="4" w:space="0"/>
              <w:right w:val="single" w:color="000000" w:sz="4" w:space="0"/>
            </w:tcBorders>
            <w:vAlign w:val="center"/>
          </w:tcPr>
          <w:p>
            <w:pPr>
              <w:jc w:val="center"/>
              <w:rPr>
                <w:rFonts w:ascii="宋体" w:hAnsi="宋体" w:eastAsia="宋体"/>
                <w:color w:val="000000"/>
                <w:sz w:val="20"/>
                <w:szCs w:val="20"/>
              </w:rPr>
            </w:pPr>
          </w:p>
        </w:tc>
      </w:tr>
      <w:tr>
        <w:tblPrEx>
          <w:tblCellMar>
            <w:top w:w="0" w:type="dxa"/>
            <w:left w:w="108" w:type="dxa"/>
            <w:bottom w:w="0" w:type="dxa"/>
            <w:right w:w="108" w:type="dxa"/>
          </w:tblCellMar>
        </w:tblPrEx>
        <w:trPr>
          <w:trHeight w:val="312" w:hRule="atLeast"/>
          <w:jc w:val="center"/>
        </w:trPr>
        <w:tc>
          <w:tcPr>
            <w:tcW w:w="556" w:type="pct"/>
            <w:vMerge w:val="continue"/>
            <w:tcBorders>
              <w:top w:val="nil"/>
              <w:left w:val="single" w:color="000000" w:sz="4" w:space="0"/>
              <w:bottom w:val="single" w:color="000000" w:sz="4" w:space="0"/>
              <w:right w:val="single" w:color="000000" w:sz="4" w:space="0"/>
            </w:tcBorders>
            <w:vAlign w:val="center"/>
          </w:tcPr>
          <w:p>
            <w:pPr>
              <w:jc w:val="center"/>
              <w:rPr>
                <w:rFonts w:ascii="宋体" w:hAnsi="宋体" w:eastAsia="宋体"/>
                <w:color w:val="000000"/>
                <w:sz w:val="20"/>
                <w:szCs w:val="20"/>
              </w:rPr>
            </w:pPr>
          </w:p>
        </w:tc>
        <w:tc>
          <w:tcPr>
            <w:tcW w:w="635" w:type="pct"/>
            <w:vMerge w:val="continue"/>
            <w:tcBorders>
              <w:top w:val="nil"/>
              <w:left w:val="nil"/>
              <w:bottom w:val="single" w:color="000000" w:sz="4" w:space="0"/>
              <w:right w:val="single" w:color="000000" w:sz="4" w:space="0"/>
            </w:tcBorders>
            <w:noWrap/>
            <w:vAlign w:val="center"/>
          </w:tcPr>
          <w:p>
            <w:pPr>
              <w:jc w:val="center"/>
              <w:rPr>
                <w:rFonts w:ascii="宋体" w:hAnsi="宋体" w:eastAsia="宋体"/>
                <w:color w:val="000000"/>
                <w:sz w:val="20"/>
                <w:szCs w:val="20"/>
              </w:rPr>
            </w:pPr>
          </w:p>
        </w:tc>
        <w:tc>
          <w:tcPr>
            <w:tcW w:w="603" w:type="pct"/>
            <w:vMerge w:val="continue"/>
            <w:tcBorders>
              <w:top w:val="single" w:color="000000" w:sz="4" w:space="0"/>
              <w:left w:val="nil"/>
              <w:bottom w:val="single" w:color="000000" w:sz="4" w:space="0"/>
              <w:right w:val="single" w:color="000000" w:sz="4" w:space="0"/>
            </w:tcBorders>
            <w:vAlign w:val="center"/>
          </w:tcPr>
          <w:p>
            <w:pPr>
              <w:jc w:val="center"/>
              <w:rPr>
                <w:rFonts w:ascii="宋体" w:hAnsi="宋体" w:eastAsia="宋体"/>
                <w:color w:val="000000"/>
                <w:sz w:val="20"/>
                <w:szCs w:val="20"/>
              </w:rPr>
            </w:pPr>
          </w:p>
        </w:tc>
        <w:tc>
          <w:tcPr>
            <w:tcW w:w="602" w:type="pct"/>
            <w:gridSpan w:val="2"/>
            <w:vMerge w:val="continue"/>
            <w:tcBorders>
              <w:top w:val="single" w:color="000000" w:sz="4" w:space="0"/>
              <w:left w:val="nil"/>
              <w:bottom w:val="single" w:color="000000" w:sz="4" w:space="0"/>
              <w:right w:val="single" w:color="000000" w:sz="4" w:space="0"/>
            </w:tcBorders>
            <w:vAlign w:val="center"/>
          </w:tcPr>
          <w:p>
            <w:pPr>
              <w:jc w:val="center"/>
              <w:rPr>
                <w:rFonts w:ascii="宋体" w:hAnsi="宋体" w:eastAsia="宋体"/>
                <w:color w:val="000000"/>
                <w:sz w:val="20"/>
                <w:szCs w:val="20"/>
              </w:rPr>
            </w:pPr>
          </w:p>
        </w:tc>
        <w:tc>
          <w:tcPr>
            <w:tcW w:w="602" w:type="pct"/>
            <w:vMerge w:val="continue"/>
            <w:tcBorders>
              <w:top w:val="single" w:color="000000" w:sz="4" w:space="0"/>
              <w:left w:val="nil"/>
              <w:bottom w:val="single" w:color="000000" w:sz="4" w:space="0"/>
              <w:right w:val="single" w:color="000000" w:sz="4" w:space="0"/>
            </w:tcBorders>
            <w:vAlign w:val="center"/>
          </w:tcPr>
          <w:p>
            <w:pPr>
              <w:jc w:val="center"/>
              <w:rPr>
                <w:rFonts w:ascii="宋体" w:hAnsi="宋体" w:eastAsia="宋体"/>
                <w:color w:val="000000"/>
                <w:sz w:val="20"/>
                <w:szCs w:val="20"/>
              </w:rPr>
            </w:pPr>
          </w:p>
        </w:tc>
        <w:tc>
          <w:tcPr>
            <w:tcW w:w="602" w:type="pct"/>
            <w:gridSpan w:val="2"/>
            <w:vMerge w:val="continue"/>
            <w:tcBorders>
              <w:top w:val="single" w:color="000000" w:sz="4" w:space="0"/>
              <w:left w:val="nil"/>
              <w:bottom w:val="single" w:color="000000" w:sz="4" w:space="0"/>
              <w:right w:val="single" w:color="000000" w:sz="4" w:space="0"/>
            </w:tcBorders>
            <w:vAlign w:val="center"/>
          </w:tcPr>
          <w:p>
            <w:pPr>
              <w:jc w:val="center"/>
              <w:rPr>
                <w:rFonts w:ascii="宋体" w:hAnsi="宋体" w:eastAsia="宋体"/>
                <w:color w:val="000000"/>
                <w:sz w:val="20"/>
                <w:szCs w:val="20"/>
              </w:rPr>
            </w:pPr>
          </w:p>
        </w:tc>
        <w:tc>
          <w:tcPr>
            <w:tcW w:w="602" w:type="pct"/>
            <w:vMerge w:val="continue"/>
            <w:tcBorders>
              <w:top w:val="single" w:color="000000" w:sz="4" w:space="0"/>
              <w:left w:val="nil"/>
              <w:bottom w:val="single" w:color="000000" w:sz="4" w:space="0"/>
              <w:right w:val="single" w:color="000000" w:sz="4" w:space="0"/>
            </w:tcBorders>
            <w:vAlign w:val="center"/>
          </w:tcPr>
          <w:p>
            <w:pPr>
              <w:jc w:val="center"/>
              <w:rPr>
                <w:rFonts w:ascii="宋体" w:hAnsi="宋体" w:eastAsia="宋体"/>
                <w:color w:val="000000"/>
                <w:sz w:val="20"/>
                <w:szCs w:val="20"/>
              </w:rPr>
            </w:pPr>
          </w:p>
        </w:tc>
        <w:tc>
          <w:tcPr>
            <w:tcW w:w="795" w:type="pct"/>
            <w:vMerge w:val="continue"/>
            <w:tcBorders>
              <w:top w:val="single" w:color="000000" w:sz="4" w:space="0"/>
              <w:left w:val="nil"/>
              <w:bottom w:val="single" w:color="000000" w:sz="4" w:space="0"/>
              <w:right w:val="single" w:color="000000" w:sz="4" w:space="0"/>
            </w:tcBorders>
            <w:vAlign w:val="center"/>
          </w:tcPr>
          <w:p>
            <w:pPr>
              <w:jc w:val="center"/>
              <w:rPr>
                <w:rFonts w:ascii="宋体" w:hAnsi="宋体" w:eastAsia="宋体"/>
                <w:color w:val="000000"/>
                <w:sz w:val="20"/>
                <w:szCs w:val="20"/>
              </w:rPr>
            </w:pPr>
          </w:p>
        </w:tc>
      </w:tr>
      <w:tr>
        <w:tblPrEx>
          <w:tblCellMar>
            <w:top w:w="0" w:type="dxa"/>
            <w:left w:w="108" w:type="dxa"/>
            <w:bottom w:w="0" w:type="dxa"/>
            <w:right w:w="108" w:type="dxa"/>
          </w:tblCellMar>
        </w:tblPrEx>
        <w:trPr>
          <w:trHeight w:val="454" w:hRule="atLeast"/>
          <w:jc w:val="center"/>
        </w:trPr>
        <w:tc>
          <w:tcPr>
            <w:tcW w:w="1191" w:type="pct"/>
            <w:gridSpan w:val="2"/>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栏次</w:t>
            </w:r>
          </w:p>
        </w:tc>
        <w:tc>
          <w:tcPr>
            <w:tcW w:w="603" w:type="pct"/>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1</w:t>
            </w:r>
          </w:p>
        </w:tc>
        <w:tc>
          <w:tcPr>
            <w:tcW w:w="602" w:type="pct"/>
            <w:gridSpan w:val="2"/>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2</w:t>
            </w:r>
          </w:p>
        </w:tc>
        <w:tc>
          <w:tcPr>
            <w:tcW w:w="602" w:type="pct"/>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3</w:t>
            </w:r>
          </w:p>
        </w:tc>
        <w:tc>
          <w:tcPr>
            <w:tcW w:w="602" w:type="pct"/>
            <w:gridSpan w:val="2"/>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4</w:t>
            </w:r>
          </w:p>
        </w:tc>
        <w:tc>
          <w:tcPr>
            <w:tcW w:w="602" w:type="pct"/>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5</w:t>
            </w:r>
          </w:p>
        </w:tc>
        <w:tc>
          <w:tcPr>
            <w:tcW w:w="795" w:type="pct"/>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6</w:t>
            </w:r>
          </w:p>
        </w:tc>
      </w:tr>
      <w:tr>
        <w:tblPrEx>
          <w:tblCellMar>
            <w:top w:w="0" w:type="dxa"/>
            <w:left w:w="108" w:type="dxa"/>
            <w:bottom w:w="0" w:type="dxa"/>
            <w:right w:w="108" w:type="dxa"/>
          </w:tblCellMar>
        </w:tblPrEx>
        <w:trPr>
          <w:trHeight w:val="308" w:hRule="atLeast"/>
          <w:jc w:val="center"/>
        </w:trPr>
        <w:tc>
          <w:tcPr>
            <w:tcW w:w="1191" w:type="pct"/>
            <w:gridSpan w:val="2"/>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合计</w:t>
            </w:r>
          </w:p>
        </w:tc>
        <w:tc>
          <w:tcPr>
            <w:tcW w:w="603"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cs="Times New Roman"/>
                <w:sz w:val="20"/>
                <w:szCs w:val="20"/>
              </w:rPr>
              <w:t>859.16</w:t>
            </w:r>
          </w:p>
        </w:tc>
        <w:tc>
          <w:tcPr>
            <w:tcW w:w="602"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cs="Times New Roman"/>
                <w:sz w:val="20"/>
                <w:szCs w:val="20"/>
              </w:rPr>
              <w:t>753.83</w:t>
            </w:r>
          </w:p>
        </w:tc>
        <w:tc>
          <w:tcPr>
            <w:tcW w:w="602"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cs="Times New Roman"/>
                <w:sz w:val="20"/>
                <w:szCs w:val="20"/>
              </w:rPr>
              <w:t>105.33</w:t>
            </w:r>
          </w:p>
        </w:tc>
        <w:tc>
          <w:tcPr>
            <w:tcW w:w="602"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795"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201</w:t>
            </w:r>
          </w:p>
        </w:tc>
        <w:tc>
          <w:tcPr>
            <w:tcW w:w="635" w:type="pct"/>
            <w:tcBorders>
              <w:top w:val="nil"/>
              <w:left w:val="nil"/>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一般公共服务支出</w:t>
            </w:r>
          </w:p>
        </w:tc>
        <w:tc>
          <w:tcPr>
            <w:tcW w:w="603"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562.23</w:t>
            </w:r>
          </w:p>
        </w:tc>
        <w:tc>
          <w:tcPr>
            <w:tcW w:w="602"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465.37</w:t>
            </w:r>
          </w:p>
        </w:tc>
        <w:tc>
          <w:tcPr>
            <w:tcW w:w="602"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96.87</w:t>
            </w:r>
          </w:p>
        </w:tc>
        <w:tc>
          <w:tcPr>
            <w:tcW w:w="602"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795"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20102</w:t>
            </w:r>
          </w:p>
        </w:tc>
        <w:tc>
          <w:tcPr>
            <w:tcW w:w="635" w:type="pct"/>
            <w:tcBorders>
              <w:top w:val="nil"/>
              <w:left w:val="nil"/>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政协事务</w:t>
            </w:r>
          </w:p>
        </w:tc>
        <w:tc>
          <w:tcPr>
            <w:tcW w:w="603"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562.23</w:t>
            </w:r>
          </w:p>
        </w:tc>
        <w:tc>
          <w:tcPr>
            <w:tcW w:w="602"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465.37</w:t>
            </w:r>
          </w:p>
        </w:tc>
        <w:tc>
          <w:tcPr>
            <w:tcW w:w="602"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96.87</w:t>
            </w:r>
          </w:p>
        </w:tc>
        <w:tc>
          <w:tcPr>
            <w:tcW w:w="602"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795"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2010201</w:t>
            </w:r>
          </w:p>
        </w:tc>
        <w:tc>
          <w:tcPr>
            <w:tcW w:w="635" w:type="pct"/>
            <w:tcBorders>
              <w:top w:val="nil"/>
              <w:left w:val="nil"/>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行政运行</w:t>
            </w:r>
          </w:p>
        </w:tc>
        <w:tc>
          <w:tcPr>
            <w:tcW w:w="603"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465.37</w:t>
            </w:r>
          </w:p>
        </w:tc>
        <w:tc>
          <w:tcPr>
            <w:tcW w:w="602"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465.37</w:t>
            </w:r>
          </w:p>
        </w:tc>
        <w:tc>
          <w:tcPr>
            <w:tcW w:w="602"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602"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795"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2010202</w:t>
            </w:r>
          </w:p>
        </w:tc>
        <w:tc>
          <w:tcPr>
            <w:tcW w:w="635" w:type="pct"/>
            <w:tcBorders>
              <w:top w:val="nil"/>
              <w:left w:val="nil"/>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一般行政管理事务</w:t>
            </w:r>
          </w:p>
        </w:tc>
        <w:tc>
          <w:tcPr>
            <w:tcW w:w="603"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96.87</w:t>
            </w:r>
          </w:p>
        </w:tc>
        <w:tc>
          <w:tcPr>
            <w:tcW w:w="602"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96.87</w:t>
            </w:r>
          </w:p>
        </w:tc>
        <w:tc>
          <w:tcPr>
            <w:tcW w:w="602"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795"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208</w:t>
            </w:r>
          </w:p>
        </w:tc>
        <w:tc>
          <w:tcPr>
            <w:tcW w:w="635" w:type="pct"/>
            <w:tcBorders>
              <w:top w:val="nil"/>
              <w:left w:val="nil"/>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社会保障和就业支出</w:t>
            </w:r>
          </w:p>
        </w:tc>
        <w:tc>
          <w:tcPr>
            <w:tcW w:w="603"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228.33</w:t>
            </w:r>
          </w:p>
        </w:tc>
        <w:tc>
          <w:tcPr>
            <w:tcW w:w="602"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219.86</w:t>
            </w:r>
          </w:p>
        </w:tc>
        <w:tc>
          <w:tcPr>
            <w:tcW w:w="602"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8.46</w:t>
            </w:r>
          </w:p>
        </w:tc>
        <w:tc>
          <w:tcPr>
            <w:tcW w:w="602"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795"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20805</w:t>
            </w:r>
          </w:p>
        </w:tc>
        <w:tc>
          <w:tcPr>
            <w:tcW w:w="635" w:type="pct"/>
            <w:tcBorders>
              <w:top w:val="nil"/>
              <w:left w:val="nil"/>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行政事业单位养老支出</w:t>
            </w:r>
          </w:p>
        </w:tc>
        <w:tc>
          <w:tcPr>
            <w:tcW w:w="603"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219.86</w:t>
            </w:r>
          </w:p>
        </w:tc>
        <w:tc>
          <w:tcPr>
            <w:tcW w:w="602"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219.86</w:t>
            </w:r>
          </w:p>
        </w:tc>
        <w:tc>
          <w:tcPr>
            <w:tcW w:w="602"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602"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795"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2080501</w:t>
            </w:r>
          </w:p>
        </w:tc>
        <w:tc>
          <w:tcPr>
            <w:tcW w:w="635" w:type="pct"/>
            <w:tcBorders>
              <w:top w:val="nil"/>
              <w:left w:val="nil"/>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行政单位离退休</w:t>
            </w:r>
          </w:p>
        </w:tc>
        <w:tc>
          <w:tcPr>
            <w:tcW w:w="603"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180.93</w:t>
            </w:r>
          </w:p>
        </w:tc>
        <w:tc>
          <w:tcPr>
            <w:tcW w:w="602"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180.93</w:t>
            </w:r>
          </w:p>
        </w:tc>
        <w:tc>
          <w:tcPr>
            <w:tcW w:w="602"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602"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795"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2080505</w:t>
            </w:r>
          </w:p>
        </w:tc>
        <w:tc>
          <w:tcPr>
            <w:tcW w:w="635" w:type="pct"/>
            <w:tcBorders>
              <w:top w:val="nil"/>
              <w:left w:val="nil"/>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机关事业单位基本养老保险缴费支出</w:t>
            </w:r>
          </w:p>
        </w:tc>
        <w:tc>
          <w:tcPr>
            <w:tcW w:w="603"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38.94</w:t>
            </w:r>
          </w:p>
        </w:tc>
        <w:tc>
          <w:tcPr>
            <w:tcW w:w="602"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38.94</w:t>
            </w:r>
          </w:p>
        </w:tc>
        <w:tc>
          <w:tcPr>
            <w:tcW w:w="602"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602"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795"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20809</w:t>
            </w:r>
          </w:p>
        </w:tc>
        <w:tc>
          <w:tcPr>
            <w:tcW w:w="635" w:type="pct"/>
            <w:tcBorders>
              <w:top w:val="nil"/>
              <w:left w:val="nil"/>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退役安置</w:t>
            </w:r>
          </w:p>
        </w:tc>
        <w:tc>
          <w:tcPr>
            <w:tcW w:w="603"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8.46</w:t>
            </w:r>
          </w:p>
        </w:tc>
        <w:tc>
          <w:tcPr>
            <w:tcW w:w="602"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8.46</w:t>
            </w:r>
          </w:p>
        </w:tc>
        <w:tc>
          <w:tcPr>
            <w:tcW w:w="602"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795"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2080901</w:t>
            </w:r>
          </w:p>
        </w:tc>
        <w:tc>
          <w:tcPr>
            <w:tcW w:w="635" w:type="pct"/>
            <w:tcBorders>
              <w:top w:val="nil"/>
              <w:left w:val="nil"/>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退役士兵安置</w:t>
            </w:r>
          </w:p>
        </w:tc>
        <w:tc>
          <w:tcPr>
            <w:tcW w:w="603"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8.46</w:t>
            </w:r>
          </w:p>
        </w:tc>
        <w:tc>
          <w:tcPr>
            <w:tcW w:w="602"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8.46</w:t>
            </w:r>
          </w:p>
        </w:tc>
        <w:tc>
          <w:tcPr>
            <w:tcW w:w="602"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795"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210</w:t>
            </w:r>
          </w:p>
        </w:tc>
        <w:tc>
          <w:tcPr>
            <w:tcW w:w="635" w:type="pct"/>
            <w:tcBorders>
              <w:top w:val="nil"/>
              <w:left w:val="nil"/>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卫生健康支出</w:t>
            </w:r>
          </w:p>
        </w:tc>
        <w:tc>
          <w:tcPr>
            <w:tcW w:w="603"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28.69</w:t>
            </w:r>
          </w:p>
        </w:tc>
        <w:tc>
          <w:tcPr>
            <w:tcW w:w="602"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28.69</w:t>
            </w:r>
          </w:p>
        </w:tc>
        <w:tc>
          <w:tcPr>
            <w:tcW w:w="602"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602"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795"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21011</w:t>
            </w:r>
          </w:p>
        </w:tc>
        <w:tc>
          <w:tcPr>
            <w:tcW w:w="635" w:type="pct"/>
            <w:tcBorders>
              <w:top w:val="nil"/>
              <w:left w:val="nil"/>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行政事业单位医疗</w:t>
            </w:r>
          </w:p>
        </w:tc>
        <w:tc>
          <w:tcPr>
            <w:tcW w:w="603"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28.69</w:t>
            </w:r>
          </w:p>
        </w:tc>
        <w:tc>
          <w:tcPr>
            <w:tcW w:w="602"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28.69</w:t>
            </w:r>
          </w:p>
        </w:tc>
        <w:tc>
          <w:tcPr>
            <w:tcW w:w="602"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602"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795"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2101101</w:t>
            </w:r>
          </w:p>
        </w:tc>
        <w:tc>
          <w:tcPr>
            <w:tcW w:w="635" w:type="pct"/>
            <w:tcBorders>
              <w:top w:val="nil"/>
              <w:left w:val="nil"/>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行政单位医疗</w:t>
            </w:r>
          </w:p>
        </w:tc>
        <w:tc>
          <w:tcPr>
            <w:tcW w:w="603"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28.69</w:t>
            </w:r>
          </w:p>
        </w:tc>
        <w:tc>
          <w:tcPr>
            <w:tcW w:w="602"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28.69</w:t>
            </w:r>
          </w:p>
        </w:tc>
        <w:tc>
          <w:tcPr>
            <w:tcW w:w="602"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602"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795"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221</w:t>
            </w:r>
          </w:p>
        </w:tc>
        <w:tc>
          <w:tcPr>
            <w:tcW w:w="635" w:type="pct"/>
            <w:tcBorders>
              <w:top w:val="nil"/>
              <w:left w:val="nil"/>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住房保障支出</w:t>
            </w:r>
          </w:p>
        </w:tc>
        <w:tc>
          <w:tcPr>
            <w:tcW w:w="603"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39.91</w:t>
            </w:r>
          </w:p>
        </w:tc>
        <w:tc>
          <w:tcPr>
            <w:tcW w:w="602"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39.91</w:t>
            </w:r>
          </w:p>
        </w:tc>
        <w:tc>
          <w:tcPr>
            <w:tcW w:w="602"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602"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795"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22102</w:t>
            </w:r>
          </w:p>
        </w:tc>
        <w:tc>
          <w:tcPr>
            <w:tcW w:w="635" w:type="pct"/>
            <w:tcBorders>
              <w:top w:val="nil"/>
              <w:left w:val="nil"/>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住房改革支出</w:t>
            </w:r>
          </w:p>
        </w:tc>
        <w:tc>
          <w:tcPr>
            <w:tcW w:w="603"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39.91</w:t>
            </w:r>
          </w:p>
        </w:tc>
        <w:tc>
          <w:tcPr>
            <w:tcW w:w="602"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39.91</w:t>
            </w:r>
          </w:p>
        </w:tc>
        <w:tc>
          <w:tcPr>
            <w:tcW w:w="602"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602"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795"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2210201</w:t>
            </w:r>
          </w:p>
        </w:tc>
        <w:tc>
          <w:tcPr>
            <w:tcW w:w="635" w:type="pct"/>
            <w:tcBorders>
              <w:top w:val="nil"/>
              <w:left w:val="nil"/>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住房公积金</w:t>
            </w:r>
          </w:p>
        </w:tc>
        <w:tc>
          <w:tcPr>
            <w:tcW w:w="603"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39.91</w:t>
            </w:r>
          </w:p>
        </w:tc>
        <w:tc>
          <w:tcPr>
            <w:tcW w:w="602"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39.91</w:t>
            </w:r>
          </w:p>
        </w:tc>
        <w:tc>
          <w:tcPr>
            <w:tcW w:w="602"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602"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795"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308" w:hRule="atLeast"/>
          <w:jc w:val="center"/>
        </w:trPr>
        <w:tc>
          <w:tcPr>
            <w:tcW w:w="5000" w:type="pct"/>
            <w:gridSpan w:val="10"/>
            <w:tcBorders>
              <w:top w:val="nil"/>
              <w:left w:val="nil"/>
              <w:bottom w:val="nil"/>
              <w:right w:val="nil"/>
            </w:tcBorders>
            <w:noWrap/>
            <w:vAlign w:val="center"/>
          </w:tcPr>
          <w:p>
            <w:pPr>
              <w:widowControl/>
              <w:jc w:val="left"/>
              <w:textAlignment w:val="center"/>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lang w:bidi="ar"/>
              </w:rPr>
              <w:t>注：本表反映部门本年度各项支出情况。</w:t>
            </w:r>
          </w:p>
        </w:tc>
      </w:tr>
    </w:tbl>
    <w:p>
      <w:pPr>
        <w:rPr>
          <w:rFonts w:ascii="仿宋_GB2312" w:hAnsi="宋体" w:eastAsia="仿宋_GB2312"/>
          <w:b/>
          <w:sz w:val="32"/>
          <w:szCs w:val="32"/>
        </w:rPr>
      </w:pPr>
      <w:r>
        <w:rPr>
          <w:rFonts w:hint="eastAsia" w:ascii="仿宋_GB2312" w:hAnsi="宋体" w:eastAsia="仿宋_GB2312"/>
          <w:b/>
          <w:sz w:val="32"/>
          <w:szCs w:val="32"/>
        </w:rPr>
        <w:br w:type="page"/>
      </w:r>
    </w:p>
    <w:tbl>
      <w:tblPr>
        <w:tblStyle w:val="11"/>
        <w:tblW w:w="7281" w:type="pct"/>
        <w:tblInd w:w="-1857" w:type="dxa"/>
        <w:tblLayout w:type="fixed"/>
        <w:tblCellMar>
          <w:top w:w="0" w:type="dxa"/>
          <w:left w:w="108" w:type="dxa"/>
          <w:bottom w:w="0" w:type="dxa"/>
          <w:right w:w="108" w:type="dxa"/>
        </w:tblCellMar>
      </w:tblPr>
      <w:tblGrid>
        <w:gridCol w:w="1982"/>
        <w:gridCol w:w="623"/>
        <w:gridCol w:w="1428"/>
        <w:gridCol w:w="1658"/>
        <w:gridCol w:w="438"/>
        <w:gridCol w:w="623"/>
        <w:gridCol w:w="459"/>
        <w:gridCol w:w="834"/>
        <w:gridCol w:w="1218"/>
        <w:gridCol w:w="1218"/>
        <w:gridCol w:w="1227"/>
      </w:tblGrid>
      <w:tr>
        <w:tblPrEx>
          <w:tblCellMar>
            <w:top w:w="0" w:type="dxa"/>
            <w:left w:w="108" w:type="dxa"/>
            <w:bottom w:w="0" w:type="dxa"/>
            <w:right w:w="108" w:type="dxa"/>
          </w:tblCellMar>
        </w:tblPrEx>
        <w:trPr>
          <w:trHeight w:val="550" w:hRule="atLeast"/>
        </w:trPr>
        <w:tc>
          <w:tcPr>
            <w:tcW w:w="5000" w:type="pct"/>
            <w:gridSpan w:val="11"/>
            <w:tcBorders>
              <w:top w:val="nil"/>
              <w:left w:val="nil"/>
              <w:bottom w:val="nil"/>
              <w:right w:val="nil"/>
            </w:tcBorders>
            <w:noWrap/>
            <w:vAlign w:val="bottom"/>
          </w:tcPr>
          <w:p>
            <w:pPr>
              <w:widowControl/>
              <w:jc w:val="center"/>
              <w:textAlignment w:val="bottom"/>
              <w:rPr>
                <w:rFonts w:ascii="宋体" w:hAnsi="宋体" w:eastAsia="宋体"/>
                <w:color w:val="000000"/>
                <w:sz w:val="20"/>
                <w:szCs w:val="20"/>
              </w:rPr>
            </w:pPr>
            <w:r>
              <w:rPr>
                <w:rFonts w:hint="eastAsia" w:ascii="方正仿宋_GB2312" w:hAnsi="方正仿宋_GB2312" w:eastAsia="方正仿宋_GB2312" w:cs="方正仿宋_GB2312"/>
                <w:bCs/>
                <w:sz w:val="32"/>
                <w:szCs w:val="32"/>
              </w:rPr>
              <w:t>财政拨款收入支出决算总表</w:t>
            </w:r>
          </w:p>
        </w:tc>
      </w:tr>
      <w:tr>
        <w:tblPrEx>
          <w:tblCellMar>
            <w:top w:w="0" w:type="dxa"/>
            <w:left w:w="108" w:type="dxa"/>
            <w:bottom w:w="0" w:type="dxa"/>
            <w:right w:w="108" w:type="dxa"/>
          </w:tblCellMar>
        </w:tblPrEx>
        <w:trPr>
          <w:trHeight w:val="300" w:hRule="atLeast"/>
        </w:trPr>
        <w:tc>
          <w:tcPr>
            <w:tcW w:w="5000" w:type="pct"/>
            <w:gridSpan w:val="11"/>
            <w:tcBorders>
              <w:top w:val="nil"/>
              <w:left w:val="nil"/>
              <w:bottom w:val="nil"/>
              <w:right w:val="nil"/>
            </w:tcBorders>
            <w:noWrap/>
            <w:vAlign w:val="bottom"/>
          </w:tcPr>
          <w:p>
            <w:pPr>
              <w:widowControl/>
              <w:jc w:val="right"/>
              <w:textAlignment w:val="bottom"/>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lang w:bidi="ar"/>
              </w:rPr>
              <w:t>公开04表</w:t>
            </w:r>
          </w:p>
        </w:tc>
      </w:tr>
      <w:tr>
        <w:tblPrEx>
          <w:tblCellMar>
            <w:top w:w="0" w:type="dxa"/>
            <w:left w:w="108" w:type="dxa"/>
            <w:bottom w:w="0" w:type="dxa"/>
            <w:right w:w="108" w:type="dxa"/>
          </w:tblCellMar>
        </w:tblPrEx>
        <w:trPr>
          <w:trHeight w:val="300" w:hRule="atLeast"/>
        </w:trPr>
        <w:tc>
          <w:tcPr>
            <w:tcW w:w="2431" w:type="pct"/>
            <w:gridSpan w:val="4"/>
            <w:tcBorders>
              <w:top w:val="nil"/>
              <w:left w:val="nil"/>
              <w:bottom w:val="single" w:color="auto" w:sz="4" w:space="0"/>
              <w:right w:val="nil"/>
            </w:tcBorders>
            <w:noWrap/>
            <w:vAlign w:val="bottom"/>
          </w:tcPr>
          <w:p>
            <w:pPr>
              <w:rPr>
                <w:rFonts w:ascii="仿宋" w:hAnsi="仿宋" w:eastAsia="仿宋" w:cs="仿宋"/>
                <w:color w:val="000000"/>
                <w:sz w:val="20"/>
                <w:szCs w:val="20"/>
              </w:rPr>
            </w:pPr>
            <w:r>
              <w:rPr>
                <w:rFonts w:hint="eastAsia" w:ascii="方正仿宋_GB2312" w:hAnsi="方正仿宋_GB2312" w:eastAsia="方正仿宋_GB2312" w:cs="方正仿宋_GB2312"/>
                <w:color w:val="000000"/>
                <w:sz w:val="20"/>
                <w:szCs w:val="20"/>
                <w:lang w:bidi="ar"/>
              </w:rPr>
              <w:t xml:space="preserve">编制部门（单位）：中国人民政治协商会议河北省石家庄市鹿泉区委员会(本级) </w:t>
            </w:r>
            <w:r>
              <w:rPr>
                <w:rFonts w:hint="eastAsia" w:asciiTheme="minorEastAsia" w:hAnsiTheme="minorEastAsia" w:cstheme="minorEastAsia"/>
                <w:color w:val="000000"/>
                <w:sz w:val="20"/>
                <w:szCs w:val="20"/>
                <w:lang w:bidi="ar"/>
              </w:rPr>
              <w:t xml:space="preserve">                                                                                                   </w:t>
            </w:r>
          </w:p>
        </w:tc>
        <w:tc>
          <w:tcPr>
            <w:tcW w:w="649" w:type="pct"/>
            <w:gridSpan w:val="3"/>
            <w:tcBorders>
              <w:top w:val="nil"/>
              <w:left w:val="nil"/>
              <w:bottom w:val="single" w:color="auto" w:sz="4" w:space="0"/>
              <w:right w:val="nil"/>
            </w:tcBorders>
            <w:noWrap/>
            <w:vAlign w:val="bottom"/>
          </w:tcPr>
          <w:p>
            <w:pPr>
              <w:jc w:val="center"/>
              <w:rPr>
                <w:rFonts w:asciiTheme="minorEastAsia" w:hAnsiTheme="minorEastAsia" w:cstheme="minorEastAsia"/>
                <w:color w:val="000000"/>
                <w:sz w:val="20"/>
                <w:szCs w:val="20"/>
                <w:lang w:bidi="ar"/>
              </w:rPr>
            </w:pPr>
            <w:r>
              <w:rPr>
                <w:rFonts w:ascii="Times New Roman" w:hAnsi="Times New Roman" w:cs="Times New Roman"/>
                <w:color w:val="000000"/>
                <w:sz w:val="20"/>
                <w:szCs w:val="20"/>
                <w:lang w:bidi="ar"/>
              </w:rPr>
              <w:t>2023</w:t>
            </w:r>
            <w:r>
              <w:rPr>
                <w:rFonts w:hint="eastAsia" w:ascii="方正仿宋_GB2312" w:hAnsi="方正仿宋_GB2312" w:eastAsia="方正仿宋_GB2312" w:cs="方正仿宋_GB2312"/>
                <w:color w:val="000000"/>
                <w:sz w:val="20"/>
                <w:szCs w:val="20"/>
                <w:lang w:bidi="ar"/>
              </w:rPr>
              <w:t>年度</w:t>
            </w:r>
          </w:p>
        </w:tc>
        <w:tc>
          <w:tcPr>
            <w:tcW w:w="1919" w:type="pct"/>
            <w:gridSpan w:val="4"/>
            <w:tcBorders>
              <w:top w:val="nil"/>
              <w:left w:val="nil"/>
              <w:bottom w:val="single" w:color="auto" w:sz="4" w:space="0"/>
              <w:right w:val="nil"/>
            </w:tcBorders>
            <w:noWrap/>
            <w:vAlign w:val="bottom"/>
          </w:tcPr>
          <w:p>
            <w:pPr>
              <w:jc w:val="right"/>
              <w:rPr>
                <w:rFonts w:asciiTheme="minorEastAsia" w:hAnsiTheme="minorEastAsia" w:cstheme="minorEastAsia"/>
                <w:color w:val="000000"/>
                <w:sz w:val="20"/>
                <w:szCs w:val="20"/>
                <w:lang w:bidi="ar"/>
              </w:rPr>
            </w:pPr>
            <w:r>
              <w:rPr>
                <w:rFonts w:hint="eastAsia" w:ascii="方正仿宋_GB2312" w:hAnsi="方正仿宋_GB2312" w:eastAsia="方正仿宋_GB2312" w:cs="方正仿宋_GB2312"/>
                <w:color w:val="000000"/>
                <w:sz w:val="20"/>
                <w:szCs w:val="20"/>
                <w:lang w:bidi="ar"/>
              </w:rPr>
              <w:t>金额单位：万元</w:t>
            </w:r>
          </w:p>
        </w:tc>
      </w:tr>
      <w:tr>
        <w:tblPrEx>
          <w:tblCellMar>
            <w:top w:w="0" w:type="dxa"/>
            <w:left w:w="108" w:type="dxa"/>
            <w:bottom w:w="0" w:type="dxa"/>
            <w:right w:w="108" w:type="dxa"/>
          </w:tblCellMar>
        </w:tblPrEx>
        <w:trPr>
          <w:trHeight w:val="308" w:hRule="atLeast"/>
        </w:trPr>
        <w:tc>
          <w:tcPr>
            <w:tcW w:w="1723" w:type="pct"/>
            <w:gridSpan w:val="3"/>
            <w:tcBorders>
              <w:top w:val="single" w:color="auto" w:sz="4" w:space="0"/>
              <w:left w:val="nil"/>
              <w:bottom w:val="single" w:color="000000" w:sz="4" w:space="0"/>
              <w:right w:val="single" w:color="000000" w:sz="4" w:space="0"/>
            </w:tcBorders>
            <w:noWrap/>
            <w:vAlign w:val="center"/>
          </w:tcPr>
          <w:p>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收入</w:t>
            </w:r>
          </w:p>
        </w:tc>
        <w:tc>
          <w:tcPr>
            <w:tcW w:w="3276" w:type="pct"/>
            <w:gridSpan w:val="8"/>
            <w:tcBorders>
              <w:top w:val="single" w:color="auto" w:sz="4" w:space="0"/>
              <w:left w:val="nil"/>
              <w:bottom w:val="single" w:color="000000" w:sz="4" w:space="0"/>
              <w:right w:val="single" w:color="000000" w:sz="4" w:space="0"/>
            </w:tcBorders>
            <w:noWrap/>
            <w:vAlign w:val="center"/>
          </w:tcPr>
          <w:p>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支出</w:t>
            </w:r>
          </w:p>
        </w:tc>
      </w:tr>
      <w:tr>
        <w:tblPrEx>
          <w:tblCellMar>
            <w:top w:w="0" w:type="dxa"/>
            <w:left w:w="108" w:type="dxa"/>
            <w:bottom w:w="0" w:type="dxa"/>
            <w:right w:w="108" w:type="dxa"/>
          </w:tblCellMar>
        </w:tblPrEx>
        <w:trPr>
          <w:trHeight w:val="312" w:hRule="atLeast"/>
        </w:trPr>
        <w:tc>
          <w:tcPr>
            <w:tcW w:w="847" w:type="pct"/>
            <w:vMerge w:val="restart"/>
            <w:tcBorders>
              <w:top w:val="nil"/>
              <w:left w:val="single" w:color="000000" w:sz="4" w:space="0"/>
              <w:bottom w:val="single" w:color="000000" w:sz="4" w:space="0"/>
              <w:right w:val="single" w:color="000000" w:sz="4" w:space="0"/>
            </w:tcBorders>
            <w:vAlign w:val="center"/>
          </w:tcPr>
          <w:p>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项    目</w:t>
            </w:r>
          </w:p>
        </w:tc>
        <w:tc>
          <w:tcPr>
            <w:tcW w:w="266" w:type="pct"/>
            <w:vMerge w:val="restart"/>
            <w:tcBorders>
              <w:top w:val="nil"/>
              <w:left w:val="nil"/>
              <w:bottom w:val="single" w:color="000000" w:sz="4" w:space="0"/>
              <w:right w:val="single" w:color="000000" w:sz="4" w:space="0"/>
            </w:tcBorders>
            <w:vAlign w:val="center"/>
          </w:tcPr>
          <w:p>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行次</w:t>
            </w:r>
          </w:p>
        </w:tc>
        <w:tc>
          <w:tcPr>
            <w:tcW w:w="609" w:type="pct"/>
            <w:vMerge w:val="restart"/>
            <w:tcBorders>
              <w:top w:val="nil"/>
              <w:left w:val="nil"/>
              <w:bottom w:val="single" w:color="000000" w:sz="4" w:space="0"/>
              <w:right w:val="single" w:color="000000" w:sz="4" w:space="0"/>
            </w:tcBorders>
            <w:vAlign w:val="center"/>
          </w:tcPr>
          <w:p>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金额</w:t>
            </w:r>
          </w:p>
        </w:tc>
        <w:tc>
          <w:tcPr>
            <w:tcW w:w="895" w:type="pct"/>
            <w:gridSpan w:val="2"/>
            <w:vMerge w:val="restart"/>
            <w:tcBorders>
              <w:top w:val="nil"/>
              <w:left w:val="nil"/>
              <w:bottom w:val="single" w:color="000000" w:sz="4" w:space="0"/>
              <w:right w:val="single" w:color="000000" w:sz="4" w:space="0"/>
            </w:tcBorders>
            <w:vAlign w:val="center"/>
          </w:tcPr>
          <w:p>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项目</w:t>
            </w:r>
          </w:p>
        </w:tc>
        <w:tc>
          <w:tcPr>
            <w:tcW w:w="266" w:type="pct"/>
            <w:vMerge w:val="restart"/>
            <w:tcBorders>
              <w:top w:val="nil"/>
              <w:left w:val="nil"/>
              <w:bottom w:val="single" w:color="000000" w:sz="4" w:space="0"/>
              <w:right w:val="single" w:color="000000" w:sz="4" w:space="0"/>
            </w:tcBorders>
            <w:vAlign w:val="center"/>
          </w:tcPr>
          <w:p>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行次</w:t>
            </w:r>
          </w:p>
        </w:tc>
        <w:tc>
          <w:tcPr>
            <w:tcW w:w="552" w:type="pct"/>
            <w:gridSpan w:val="2"/>
            <w:vMerge w:val="restart"/>
            <w:tcBorders>
              <w:top w:val="nil"/>
              <w:left w:val="nil"/>
              <w:right w:val="single" w:color="000000" w:sz="4" w:space="0"/>
            </w:tcBorders>
            <w:noWrap/>
            <w:vAlign w:val="center"/>
          </w:tcPr>
          <w:p>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合计</w:t>
            </w:r>
          </w:p>
        </w:tc>
        <w:tc>
          <w:tcPr>
            <w:tcW w:w="520" w:type="pct"/>
            <w:vMerge w:val="restart"/>
            <w:tcBorders>
              <w:top w:val="nil"/>
              <w:left w:val="nil"/>
              <w:right w:val="single" w:color="000000" w:sz="4" w:space="0"/>
            </w:tcBorders>
            <w:noWrap/>
            <w:vAlign w:val="center"/>
          </w:tcPr>
          <w:p>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一般公共预算财政拨款</w:t>
            </w:r>
          </w:p>
        </w:tc>
        <w:tc>
          <w:tcPr>
            <w:tcW w:w="520" w:type="pct"/>
            <w:vMerge w:val="restart"/>
            <w:tcBorders>
              <w:top w:val="nil"/>
              <w:left w:val="nil"/>
              <w:right w:val="single" w:color="000000" w:sz="4" w:space="0"/>
            </w:tcBorders>
            <w:noWrap/>
            <w:vAlign w:val="center"/>
          </w:tcPr>
          <w:p>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政府性基金预算财政拨款</w:t>
            </w:r>
          </w:p>
        </w:tc>
        <w:tc>
          <w:tcPr>
            <w:tcW w:w="520" w:type="pct"/>
            <w:vMerge w:val="restart"/>
            <w:tcBorders>
              <w:top w:val="nil"/>
              <w:left w:val="nil"/>
              <w:right w:val="single" w:color="000000" w:sz="4" w:space="0"/>
            </w:tcBorders>
            <w:noWrap/>
            <w:vAlign w:val="center"/>
          </w:tcPr>
          <w:p>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国有资本经营预算财政拨款</w:t>
            </w:r>
          </w:p>
        </w:tc>
      </w:tr>
      <w:tr>
        <w:tblPrEx>
          <w:tblCellMar>
            <w:top w:w="0" w:type="dxa"/>
            <w:left w:w="108" w:type="dxa"/>
            <w:bottom w:w="0" w:type="dxa"/>
            <w:right w:w="108" w:type="dxa"/>
          </w:tblCellMar>
        </w:tblPrEx>
        <w:trPr>
          <w:trHeight w:val="312" w:hRule="atLeast"/>
        </w:trPr>
        <w:tc>
          <w:tcPr>
            <w:tcW w:w="847" w:type="pct"/>
            <w:vMerge w:val="continue"/>
            <w:tcBorders>
              <w:top w:val="nil"/>
              <w:left w:val="single" w:color="000000" w:sz="4" w:space="0"/>
              <w:bottom w:val="single" w:color="000000" w:sz="4" w:space="0"/>
              <w:right w:val="single" w:color="000000" w:sz="4" w:space="0"/>
            </w:tcBorders>
            <w:vAlign w:val="center"/>
          </w:tcPr>
          <w:p>
            <w:pPr>
              <w:jc w:val="center"/>
              <w:rPr>
                <w:rFonts w:ascii="方正仿宋_GB2312" w:hAnsi="方正仿宋_GB2312" w:eastAsia="方正仿宋_GB2312" w:cs="方正仿宋_GB2312"/>
                <w:color w:val="000000"/>
                <w:sz w:val="20"/>
                <w:szCs w:val="20"/>
              </w:rPr>
            </w:pPr>
          </w:p>
        </w:tc>
        <w:tc>
          <w:tcPr>
            <w:tcW w:w="266" w:type="pct"/>
            <w:vMerge w:val="continue"/>
            <w:tcBorders>
              <w:top w:val="nil"/>
              <w:left w:val="nil"/>
              <w:bottom w:val="single" w:color="000000" w:sz="4" w:space="0"/>
              <w:right w:val="single" w:color="000000" w:sz="4" w:space="0"/>
            </w:tcBorders>
            <w:vAlign w:val="center"/>
          </w:tcPr>
          <w:p>
            <w:pPr>
              <w:jc w:val="center"/>
              <w:rPr>
                <w:rFonts w:ascii="方正仿宋_GB2312" w:hAnsi="方正仿宋_GB2312" w:eastAsia="方正仿宋_GB2312" w:cs="方正仿宋_GB2312"/>
                <w:color w:val="000000"/>
                <w:sz w:val="20"/>
                <w:szCs w:val="20"/>
              </w:rPr>
            </w:pPr>
          </w:p>
        </w:tc>
        <w:tc>
          <w:tcPr>
            <w:tcW w:w="609" w:type="pct"/>
            <w:vMerge w:val="continue"/>
            <w:tcBorders>
              <w:top w:val="nil"/>
              <w:left w:val="nil"/>
              <w:bottom w:val="single" w:color="000000" w:sz="4" w:space="0"/>
              <w:right w:val="single" w:color="000000" w:sz="4" w:space="0"/>
            </w:tcBorders>
            <w:vAlign w:val="center"/>
          </w:tcPr>
          <w:p>
            <w:pPr>
              <w:jc w:val="center"/>
              <w:rPr>
                <w:rFonts w:ascii="方正仿宋_GB2312" w:hAnsi="方正仿宋_GB2312" w:eastAsia="方正仿宋_GB2312" w:cs="方正仿宋_GB2312"/>
                <w:color w:val="000000"/>
                <w:sz w:val="20"/>
                <w:szCs w:val="20"/>
              </w:rPr>
            </w:pPr>
          </w:p>
        </w:tc>
        <w:tc>
          <w:tcPr>
            <w:tcW w:w="895" w:type="pct"/>
            <w:gridSpan w:val="2"/>
            <w:vMerge w:val="continue"/>
            <w:tcBorders>
              <w:top w:val="nil"/>
              <w:left w:val="nil"/>
              <w:bottom w:val="single" w:color="000000" w:sz="4" w:space="0"/>
              <w:right w:val="single" w:color="000000" w:sz="4" w:space="0"/>
            </w:tcBorders>
            <w:vAlign w:val="center"/>
          </w:tcPr>
          <w:p>
            <w:pPr>
              <w:jc w:val="center"/>
              <w:rPr>
                <w:rFonts w:ascii="方正仿宋_GB2312" w:hAnsi="方正仿宋_GB2312" w:eastAsia="方正仿宋_GB2312" w:cs="方正仿宋_GB2312"/>
                <w:color w:val="000000"/>
                <w:sz w:val="20"/>
                <w:szCs w:val="20"/>
              </w:rPr>
            </w:pPr>
          </w:p>
        </w:tc>
        <w:tc>
          <w:tcPr>
            <w:tcW w:w="266" w:type="pct"/>
            <w:vMerge w:val="continue"/>
            <w:tcBorders>
              <w:top w:val="nil"/>
              <w:left w:val="nil"/>
              <w:bottom w:val="single" w:color="000000" w:sz="4" w:space="0"/>
              <w:right w:val="single" w:color="000000" w:sz="4" w:space="0"/>
            </w:tcBorders>
            <w:vAlign w:val="center"/>
          </w:tcPr>
          <w:p>
            <w:pPr>
              <w:jc w:val="center"/>
              <w:rPr>
                <w:rFonts w:ascii="方正仿宋_GB2312" w:hAnsi="方正仿宋_GB2312" w:eastAsia="方正仿宋_GB2312" w:cs="方正仿宋_GB2312"/>
                <w:color w:val="000000"/>
                <w:sz w:val="20"/>
                <w:szCs w:val="20"/>
              </w:rPr>
            </w:pPr>
          </w:p>
        </w:tc>
        <w:tc>
          <w:tcPr>
            <w:tcW w:w="552" w:type="pct"/>
            <w:gridSpan w:val="2"/>
            <w:vMerge w:val="continue"/>
            <w:tcBorders>
              <w:left w:val="nil"/>
              <w:bottom w:val="single" w:color="000000" w:sz="4" w:space="0"/>
              <w:right w:val="single" w:color="000000" w:sz="8" w:space="0"/>
            </w:tcBorders>
            <w:vAlign w:val="center"/>
          </w:tcPr>
          <w:p>
            <w:pPr>
              <w:widowControl/>
              <w:jc w:val="center"/>
              <w:textAlignment w:val="center"/>
              <w:rPr>
                <w:rFonts w:ascii="方正仿宋_GB2312" w:hAnsi="方正仿宋_GB2312" w:eastAsia="方正仿宋_GB2312" w:cs="方正仿宋_GB2312"/>
                <w:color w:val="000000"/>
                <w:sz w:val="20"/>
                <w:szCs w:val="20"/>
              </w:rPr>
            </w:pPr>
          </w:p>
        </w:tc>
        <w:tc>
          <w:tcPr>
            <w:tcW w:w="520" w:type="pct"/>
            <w:vMerge w:val="continue"/>
            <w:tcBorders>
              <w:left w:val="nil"/>
              <w:bottom w:val="single" w:color="000000" w:sz="4" w:space="0"/>
              <w:right w:val="single" w:color="000000" w:sz="8" w:space="0"/>
            </w:tcBorders>
            <w:vAlign w:val="center"/>
          </w:tcPr>
          <w:p>
            <w:pPr>
              <w:widowControl/>
              <w:jc w:val="center"/>
              <w:textAlignment w:val="center"/>
              <w:rPr>
                <w:rFonts w:ascii="方正仿宋_GB2312" w:hAnsi="方正仿宋_GB2312" w:eastAsia="方正仿宋_GB2312" w:cs="方正仿宋_GB2312"/>
                <w:color w:val="000000"/>
                <w:sz w:val="20"/>
                <w:szCs w:val="20"/>
              </w:rPr>
            </w:pPr>
          </w:p>
        </w:tc>
        <w:tc>
          <w:tcPr>
            <w:tcW w:w="520" w:type="pct"/>
            <w:vMerge w:val="continue"/>
            <w:tcBorders>
              <w:left w:val="nil"/>
              <w:bottom w:val="single" w:color="000000" w:sz="4" w:space="0"/>
              <w:right w:val="single" w:color="000000" w:sz="8" w:space="0"/>
            </w:tcBorders>
            <w:vAlign w:val="center"/>
          </w:tcPr>
          <w:p>
            <w:pPr>
              <w:widowControl/>
              <w:jc w:val="center"/>
              <w:textAlignment w:val="center"/>
              <w:rPr>
                <w:rFonts w:ascii="方正仿宋_GB2312" w:hAnsi="方正仿宋_GB2312" w:eastAsia="方正仿宋_GB2312" w:cs="方正仿宋_GB2312"/>
                <w:color w:val="000000"/>
                <w:sz w:val="20"/>
                <w:szCs w:val="20"/>
              </w:rPr>
            </w:pPr>
          </w:p>
        </w:tc>
        <w:tc>
          <w:tcPr>
            <w:tcW w:w="520" w:type="pct"/>
            <w:vMerge w:val="continue"/>
            <w:tcBorders>
              <w:left w:val="nil"/>
              <w:bottom w:val="single" w:color="000000" w:sz="4" w:space="0"/>
              <w:right w:val="single" w:color="000000" w:sz="8" w:space="0"/>
            </w:tcBorders>
            <w:vAlign w:val="center"/>
          </w:tcPr>
          <w:p>
            <w:pPr>
              <w:widowControl/>
              <w:jc w:val="center"/>
              <w:textAlignment w:val="center"/>
              <w:rPr>
                <w:rFonts w:ascii="方正仿宋_GB2312" w:hAnsi="方正仿宋_GB2312" w:eastAsia="方正仿宋_GB2312" w:cs="方正仿宋_GB2312"/>
                <w:color w:val="000000"/>
                <w:sz w:val="20"/>
                <w:szCs w:val="20"/>
              </w:rPr>
            </w:pPr>
          </w:p>
        </w:tc>
      </w:tr>
      <w:tr>
        <w:tblPrEx>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栏    次</w:t>
            </w:r>
          </w:p>
        </w:tc>
        <w:tc>
          <w:tcPr>
            <w:tcW w:w="266" w:type="pct"/>
            <w:tcBorders>
              <w:top w:val="nil"/>
              <w:left w:val="nil"/>
              <w:bottom w:val="single" w:color="000000" w:sz="4" w:space="0"/>
              <w:right w:val="single" w:color="000000" w:sz="4" w:space="0"/>
            </w:tcBorders>
            <w:noWrap/>
            <w:vAlign w:val="center"/>
          </w:tcPr>
          <w:p>
            <w:pPr>
              <w:jc w:val="center"/>
              <w:rPr>
                <w:rFonts w:ascii="宋体" w:hAnsi="宋体" w:eastAsia="宋体"/>
                <w:color w:val="000000"/>
                <w:sz w:val="20"/>
                <w:szCs w:val="20"/>
              </w:rPr>
            </w:pPr>
          </w:p>
        </w:tc>
        <w:tc>
          <w:tcPr>
            <w:tcW w:w="609" w:type="pct"/>
            <w:tcBorders>
              <w:top w:val="nil"/>
              <w:left w:val="nil"/>
              <w:bottom w:val="single" w:color="000000" w:sz="4" w:space="0"/>
              <w:right w:val="single" w:color="000000" w:sz="4" w:space="0"/>
            </w:tcBorders>
            <w:noWrap/>
            <w:vAlign w:val="center"/>
          </w:tcPr>
          <w:p>
            <w:pPr>
              <w:widowControl/>
              <w:jc w:val="center"/>
              <w:textAlignment w:val="center"/>
              <w:rPr>
                <w:rFonts w:ascii="宋体" w:hAnsi="宋体" w:eastAsia="宋体"/>
                <w:color w:val="000000"/>
                <w:sz w:val="20"/>
                <w:szCs w:val="20"/>
              </w:rPr>
            </w:pPr>
            <w:r>
              <w:rPr>
                <w:rFonts w:hint="eastAsia" w:ascii="宋体" w:hAnsi="宋体" w:eastAsia="宋体"/>
                <w:color w:val="000000"/>
                <w:sz w:val="20"/>
                <w:szCs w:val="20"/>
                <w:lang w:bidi="ar"/>
              </w:rPr>
              <w:t>1</w:t>
            </w:r>
          </w:p>
        </w:tc>
        <w:tc>
          <w:tcPr>
            <w:tcW w:w="895" w:type="pct"/>
            <w:gridSpan w:val="2"/>
            <w:tcBorders>
              <w:top w:val="nil"/>
              <w:left w:val="nil"/>
              <w:bottom w:val="single" w:color="000000" w:sz="4" w:space="0"/>
              <w:right w:val="single" w:color="000000" w:sz="4" w:space="0"/>
            </w:tcBorders>
            <w:noWrap/>
            <w:vAlign w:val="center"/>
          </w:tcPr>
          <w:p>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栏    次</w:t>
            </w:r>
          </w:p>
        </w:tc>
        <w:tc>
          <w:tcPr>
            <w:tcW w:w="266" w:type="pct"/>
            <w:tcBorders>
              <w:top w:val="nil"/>
              <w:left w:val="nil"/>
              <w:bottom w:val="single" w:color="000000" w:sz="4" w:space="0"/>
              <w:right w:val="single" w:color="000000" w:sz="4" w:space="0"/>
            </w:tcBorders>
            <w:noWrap/>
            <w:vAlign w:val="center"/>
          </w:tcPr>
          <w:p>
            <w:pPr>
              <w:jc w:val="center"/>
              <w:rPr>
                <w:rFonts w:ascii="宋体" w:hAnsi="宋体" w:eastAsia="宋体"/>
                <w:color w:val="000000"/>
                <w:sz w:val="20"/>
                <w:szCs w:val="20"/>
              </w:rPr>
            </w:pPr>
          </w:p>
        </w:tc>
        <w:tc>
          <w:tcPr>
            <w:tcW w:w="552" w:type="pct"/>
            <w:gridSpan w:val="2"/>
            <w:tcBorders>
              <w:top w:val="nil"/>
              <w:left w:val="nil"/>
              <w:bottom w:val="single" w:color="000000" w:sz="4" w:space="0"/>
              <w:right w:val="single" w:color="000000" w:sz="4" w:space="0"/>
            </w:tcBorders>
            <w:noWrap/>
            <w:vAlign w:val="center"/>
          </w:tcPr>
          <w:p>
            <w:pPr>
              <w:widowControl/>
              <w:jc w:val="center"/>
              <w:textAlignment w:val="center"/>
              <w:rPr>
                <w:rFonts w:ascii="宋体" w:hAnsi="宋体" w:eastAsia="宋体"/>
                <w:color w:val="000000"/>
                <w:sz w:val="20"/>
                <w:szCs w:val="20"/>
              </w:rPr>
            </w:pPr>
            <w:r>
              <w:rPr>
                <w:rFonts w:hint="eastAsia" w:ascii="宋体" w:hAnsi="宋体" w:eastAsia="宋体"/>
                <w:color w:val="000000"/>
                <w:sz w:val="20"/>
                <w:szCs w:val="20"/>
                <w:lang w:bidi="ar"/>
              </w:rPr>
              <w:t>2</w:t>
            </w:r>
          </w:p>
        </w:tc>
        <w:tc>
          <w:tcPr>
            <w:tcW w:w="520" w:type="pct"/>
            <w:tcBorders>
              <w:top w:val="nil"/>
              <w:left w:val="nil"/>
              <w:bottom w:val="single" w:color="000000" w:sz="4" w:space="0"/>
              <w:right w:val="single" w:color="000000" w:sz="4" w:space="0"/>
            </w:tcBorders>
            <w:noWrap/>
            <w:vAlign w:val="center"/>
          </w:tcPr>
          <w:p>
            <w:pPr>
              <w:widowControl/>
              <w:jc w:val="center"/>
              <w:textAlignment w:val="center"/>
              <w:rPr>
                <w:rFonts w:ascii="宋体" w:hAnsi="宋体" w:eastAsia="宋体"/>
                <w:color w:val="000000"/>
                <w:sz w:val="20"/>
                <w:szCs w:val="20"/>
              </w:rPr>
            </w:pPr>
            <w:r>
              <w:rPr>
                <w:rFonts w:hint="eastAsia" w:ascii="宋体" w:hAnsi="宋体" w:eastAsia="宋体"/>
                <w:color w:val="000000"/>
                <w:sz w:val="20"/>
                <w:szCs w:val="20"/>
                <w:lang w:bidi="ar"/>
              </w:rPr>
              <w:t>3</w:t>
            </w:r>
          </w:p>
        </w:tc>
        <w:tc>
          <w:tcPr>
            <w:tcW w:w="520" w:type="pct"/>
            <w:tcBorders>
              <w:top w:val="nil"/>
              <w:left w:val="nil"/>
              <w:bottom w:val="single" w:color="000000" w:sz="4" w:space="0"/>
              <w:right w:val="single" w:color="000000" w:sz="4" w:space="0"/>
            </w:tcBorders>
            <w:noWrap/>
            <w:vAlign w:val="center"/>
          </w:tcPr>
          <w:p>
            <w:pPr>
              <w:widowControl/>
              <w:jc w:val="center"/>
              <w:textAlignment w:val="center"/>
              <w:rPr>
                <w:rFonts w:ascii="宋体" w:hAnsi="宋体" w:eastAsia="宋体"/>
                <w:color w:val="000000"/>
                <w:sz w:val="20"/>
                <w:szCs w:val="20"/>
              </w:rPr>
            </w:pPr>
            <w:r>
              <w:rPr>
                <w:rFonts w:hint="eastAsia" w:ascii="宋体" w:hAnsi="宋体" w:eastAsia="宋体"/>
                <w:color w:val="000000"/>
                <w:sz w:val="20"/>
                <w:szCs w:val="20"/>
                <w:lang w:bidi="ar"/>
              </w:rPr>
              <w:t>4</w:t>
            </w:r>
          </w:p>
        </w:tc>
        <w:tc>
          <w:tcPr>
            <w:tcW w:w="520" w:type="pct"/>
            <w:tcBorders>
              <w:top w:val="nil"/>
              <w:left w:val="nil"/>
              <w:bottom w:val="single" w:color="000000" w:sz="4" w:space="0"/>
              <w:right w:val="single" w:color="000000" w:sz="8" w:space="0"/>
            </w:tcBorders>
            <w:noWrap/>
            <w:vAlign w:val="center"/>
          </w:tcPr>
          <w:p>
            <w:pPr>
              <w:widowControl/>
              <w:jc w:val="center"/>
              <w:textAlignment w:val="center"/>
              <w:rPr>
                <w:rFonts w:ascii="宋体" w:hAnsi="宋体" w:eastAsia="宋体"/>
                <w:color w:val="000000"/>
                <w:sz w:val="20"/>
                <w:szCs w:val="20"/>
              </w:rPr>
            </w:pPr>
            <w:r>
              <w:rPr>
                <w:rFonts w:hint="eastAsia" w:ascii="宋体" w:hAnsi="宋体" w:eastAsia="宋体"/>
                <w:color w:val="000000"/>
                <w:sz w:val="20"/>
                <w:szCs w:val="20"/>
                <w:lang w:bidi="ar"/>
              </w:rPr>
              <w:t>5</w:t>
            </w:r>
          </w:p>
        </w:tc>
      </w:tr>
      <w:tr>
        <w:tblPrEx>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一、一般公共预算财政拨款</w:t>
            </w:r>
          </w:p>
        </w:tc>
        <w:tc>
          <w:tcPr>
            <w:tcW w:w="266"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1</w:t>
            </w:r>
          </w:p>
        </w:tc>
        <w:tc>
          <w:tcPr>
            <w:tcW w:w="609"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cs="Times New Roman"/>
                <w:sz w:val="20"/>
                <w:szCs w:val="20"/>
              </w:rPr>
              <w:t>859.16</w:t>
            </w:r>
          </w:p>
        </w:tc>
        <w:tc>
          <w:tcPr>
            <w:tcW w:w="895" w:type="pct"/>
            <w:gridSpan w:val="2"/>
            <w:tcBorders>
              <w:top w:val="nil"/>
              <w:left w:val="nil"/>
              <w:bottom w:val="single" w:color="000000" w:sz="4" w:space="0"/>
              <w:right w:val="single" w:color="000000"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一、一般公共服务支出</w:t>
            </w:r>
          </w:p>
        </w:tc>
        <w:tc>
          <w:tcPr>
            <w:tcW w:w="266"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33</w:t>
            </w:r>
          </w:p>
        </w:tc>
        <w:tc>
          <w:tcPr>
            <w:tcW w:w="552"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cs="Times New Roman"/>
                <w:sz w:val="20"/>
                <w:szCs w:val="20"/>
              </w:rPr>
              <w:t>562.23</w:t>
            </w:r>
          </w:p>
        </w:tc>
        <w:tc>
          <w:tcPr>
            <w:tcW w:w="520"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cs="Times New Roman"/>
                <w:sz w:val="20"/>
                <w:szCs w:val="20"/>
              </w:rPr>
              <w:t>562.23</w:t>
            </w:r>
          </w:p>
        </w:tc>
        <w:tc>
          <w:tcPr>
            <w:tcW w:w="520"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8"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二、政府性基金预算财政拨款</w:t>
            </w:r>
          </w:p>
        </w:tc>
        <w:tc>
          <w:tcPr>
            <w:tcW w:w="266"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2</w:t>
            </w:r>
          </w:p>
        </w:tc>
        <w:tc>
          <w:tcPr>
            <w:tcW w:w="609"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895" w:type="pct"/>
            <w:gridSpan w:val="2"/>
            <w:tcBorders>
              <w:top w:val="nil"/>
              <w:left w:val="nil"/>
              <w:bottom w:val="single" w:color="000000" w:sz="4" w:space="0"/>
              <w:right w:val="single" w:color="000000"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二、外交支出</w:t>
            </w:r>
          </w:p>
        </w:tc>
        <w:tc>
          <w:tcPr>
            <w:tcW w:w="266"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34</w:t>
            </w:r>
          </w:p>
        </w:tc>
        <w:tc>
          <w:tcPr>
            <w:tcW w:w="552"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8"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三、国有资本经营预算财政拨款</w:t>
            </w:r>
          </w:p>
        </w:tc>
        <w:tc>
          <w:tcPr>
            <w:tcW w:w="266"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3</w:t>
            </w:r>
          </w:p>
        </w:tc>
        <w:tc>
          <w:tcPr>
            <w:tcW w:w="609"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895" w:type="pct"/>
            <w:gridSpan w:val="2"/>
            <w:tcBorders>
              <w:top w:val="nil"/>
              <w:left w:val="nil"/>
              <w:bottom w:val="single" w:color="000000" w:sz="4" w:space="0"/>
              <w:right w:val="single" w:color="000000"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三、国防支出</w:t>
            </w:r>
          </w:p>
        </w:tc>
        <w:tc>
          <w:tcPr>
            <w:tcW w:w="266"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35</w:t>
            </w:r>
          </w:p>
        </w:tc>
        <w:tc>
          <w:tcPr>
            <w:tcW w:w="552"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8"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jc w:val="left"/>
              <w:rPr>
                <w:rFonts w:ascii="宋体" w:hAnsi="宋体" w:eastAsia="宋体"/>
                <w:color w:val="000000"/>
                <w:sz w:val="20"/>
                <w:szCs w:val="20"/>
              </w:rPr>
            </w:pPr>
          </w:p>
        </w:tc>
        <w:tc>
          <w:tcPr>
            <w:tcW w:w="266"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4</w:t>
            </w:r>
          </w:p>
        </w:tc>
        <w:tc>
          <w:tcPr>
            <w:tcW w:w="609"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895" w:type="pct"/>
            <w:gridSpan w:val="2"/>
            <w:tcBorders>
              <w:top w:val="nil"/>
              <w:left w:val="nil"/>
              <w:bottom w:val="single" w:color="000000" w:sz="4" w:space="0"/>
              <w:right w:val="single" w:color="000000"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四、公共安全支出</w:t>
            </w:r>
          </w:p>
        </w:tc>
        <w:tc>
          <w:tcPr>
            <w:tcW w:w="266"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36</w:t>
            </w:r>
          </w:p>
        </w:tc>
        <w:tc>
          <w:tcPr>
            <w:tcW w:w="552"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8"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jc w:val="left"/>
              <w:rPr>
                <w:rFonts w:ascii="宋体" w:hAnsi="宋体" w:eastAsia="宋体"/>
                <w:color w:val="000000"/>
                <w:sz w:val="20"/>
                <w:szCs w:val="20"/>
              </w:rPr>
            </w:pPr>
          </w:p>
        </w:tc>
        <w:tc>
          <w:tcPr>
            <w:tcW w:w="266"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5</w:t>
            </w:r>
          </w:p>
        </w:tc>
        <w:tc>
          <w:tcPr>
            <w:tcW w:w="609"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895" w:type="pct"/>
            <w:gridSpan w:val="2"/>
            <w:tcBorders>
              <w:top w:val="nil"/>
              <w:left w:val="nil"/>
              <w:bottom w:val="single" w:color="000000" w:sz="4" w:space="0"/>
              <w:right w:val="single" w:color="000000"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五、教育支出</w:t>
            </w:r>
          </w:p>
        </w:tc>
        <w:tc>
          <w:tcPr>
            <w:tcW w:w="266"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37</w:t>
            </w:r>
          </w:p>
        </w:tc>
        <w:tc>
          <w:tcPr>
            <w:tcW w:w="552"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8"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jc w:val="left"/>
              <w:rPr>
                <w:rFonts w:ascii="宋体" w:hAnsi="宋体" w:eastAsia="宋体"/>
                <w:color w:val="000000"/>
                <w:sz w:val="20"/>
                <w:szCs w:val="20"/>
              </w:rPr>
            </w:pPr>
          </w:p>
        </w:tc>
        <w:tc>
          <w:tcPr>
            <w:tcW w:w="266"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6</w:t>
            </w:r>
          </w:p>
        </w:tc>
        <w:tc>
          <w:tcPr>
            <w:tcW w:w="609"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895" w:type="pct"/>
            <w:gridSpan w:val="2"/>
            <w:tcBorders>
              <w:top w:val="nil"/>
              <w:left w:val="nil"/>
              <w:bottom w:val="single" w:color="000000" w:sz="4" w:space="0"/>
              <w:right w:val="single" w:color="000000"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六、科学技术支出</w:t>
            </w:r>
          </w:p>
        </w:tc>
        <w:tc>
          <w:tcPr>
            <w:tcW w:w="266"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38</w:t>
            </w:r>
          </w:p>
        </w:tc>
        <w:tc>
          <w:tcPr>
            <w:tcW w:w="552"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8"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jc w:val="left"/>
              <w:rPr>
                <w:rFonts w:ascii="宋体" w:hAnsi="宋体" w:eastAsia="宋体"/>
                <w:color w:val="000000"/>
                <w:sz w:val="20"/>
                <w:szCs w:val="20"/>
              </w:rPr>
            </w:pPr>
          </w:p>
        </w:tc>
        <w:tc>
          <w:tcPr>
            <w:tcW w:w="266"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7</w:t>
            </w:r>
          </w:p>
        </w:tc>
        <w:tc>
          <w:tcPr>
            <w:tcW w:w="609"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895" w:type="pct"/>
            <w:gridSpan w:val="2"/>
            <w:tcBorders>
              <w:top w:val="nil"/>
              <w:left w:val="nil"/>
              <w:bottom w:val="single" w:color="000000" w:sz="4" w:space="0"/>
              <w:right w:val="single" w:color="000000"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七、文化旅游体育与传媒支出</w:t>
            </w:r>
          </w:p>
        </w:tc>
        <w:tc>
          <w:tcPr>
            <w:tcW w:w="266"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39</w:t>
            </w:r>
          </w:p>
        </w:tc>
        <w:tc>
          <w:tcPr>
            <w:tcW w:w="552"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8"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jc w:val="left"/>
              <w:rPr>
                <w:rFonts w:ascii="宋体" w:hAnsi="宋体" w:eastAsia="宋体"/>
                <w:color w:val="000000"/>
                <w:sz w:val="20"/>
                <w:szCs w:val="20"/>
              </w:rPr>
            </w:pPr>
          </w:p>
        </w:tc>
        <w:tc>
          <w:tcPr>
            <w:tcW w:w="266"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8</w:t>
            </w:r>
          </w:p>
        </w:tc>
        <w:tc>
          <w:tcPr>
            <w:tcW w:w="609"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895" w:type="pct"/>
            <w:gridSpan w:val="2"/>
            <w:tcBorders>
              <w:top w:val="nil"/>
              <w:left w:val="nil"/>
              <w:bottom w:val="single" w:color="000000" w:sz="4" w:space="0"/>
              <w:right w:val="single" w:color="000000"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八、社会保障和就业支出</w:t>
            </w:r>
          </w:p>
        </w:tc>
        <w:tc>
          <w:tcPr>
            <w:tcW w:w="266"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40</w:t>
            </w:r>
          </w:p>
        </w:tc>
        <w:tc>
          <w:tcPr>
            <w:tcW w:w="552"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cs="Times New Roman"/>
                <w:sz w:val="20"/>
                <w:szCs w:val="20"/>
              </w:rPr>
              <w:t>228.33</w:t>
            </w:r>
          </w:p>
        </w:tc>
        <w:tc>
          <w:tcPr>
            <w:tcW w:w="520"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cs="Times New Roman"/>
                <w:sz w:val="20"/>
                <w:szCs w:val="20"/>
              </w:rPr>
              <w:t>228.33</w:t>
            </w:r>
          </w:p>
        </w:tc>
        <w:tc>
          <w:tcPr>
            <w:tcW w:w="520"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8"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jc w:val="left"/>
              <w:rPr>
                <w:rFonts w:ascii="宋体" w:hAnsi="宋体" w:eastAsia="宋体"/>
                <w:color w:val="000000"/>
                <w:sz w:val="20"/>
                <w:szCs w:val="20"/>
              </w:rPr>
            </w:pPr>
          </w:p>
        </w:tc>
        <w:tc>
          <w:tcPr>
            <w:tcW w:w="266"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9</w:t>
            </w:r>
          </w:p>
        </w:tc>
        <w:tc>
          <w:tcPr>
            <w:tcW w:w="609"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895" w:type="pct"/>
            <w:gridSpan w:val="2"/>
            <w:tcBorders>
              <w:top w:val="nil"/>
              <w:left w:val="nil"/>
              <w:bottom w:val="single" w:color="000000" w:sz="4" w:space="0"/>
              <w:right w:val="single" w:color="000000"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九、卫生健康支出</w:t>
            </w:r>
          </w:p>
        </w:tc>
        <w:tc>
          <w:tcPr>
            <w:tcW w:w="266"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41</w:t>
            </w:r>
          </w:p>
        </w:tc>
        <w:tc>
          <w:tcPr>
            <w:tcW w:w="552"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cs="Times New Roman"/>
                <w:sz w:val="20"/>
                <w:szCs w:val="20"/>
              </w:rPr>
              <w:t>28.69</w:t>
            </w:r>
          </w:p>
        </w:tc>
        <w:tc>
          <w:tcPr>
            <w:tcW w:w="520"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cs="Times New Roman"/>
                <w:sz w:val="20"/>
                <w:szCs w:val="20"/>
              </w:rPr>
              <w:t>28.69</w:t>
            </w:r>
          </w:p>
        </w:tc>
        <w:tc>
          <w:tcPr>
            <w:tcW w:w="520"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8"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jc w:val="left"/>
              <w:rPr>
                <w:rFonts w:ascii="宋体" w:hAnsi="宋体" w:eastAsia="宋体"/>
                <w:color w:val="000000"/>
                <w:sz w:val="20"/>
                <w:szCs w:val="20"/>
              </w:rPr>
            </w:pPr>
          </w:p>
        </w:tc>
        <w:tc>
          <w:tcPr>
            <w:tcW w:w="266"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10</w:t>
            </w:r>
          </w:p>
        </w:tc>
        <w:tc>
          <w:tcPr>
            <w:tcW w:w="609"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895" w:type="pct"/>
            <w:gridSpan w:val="2"/>
            <w:tcBorders>
              <w:top w:val="nil"/>
              <w:left w:val="nil"/>
              <w:bottom w:val="single" w:color="000000" w:sz="4" w:space="0"/>
              <w:right w:val="single" w:color="000000"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十、节能环保支出</w:t>
            </w:r>
          </w:p>
        </w:tc>
        <w:tc>
          <w:tcPr>
            <w:tcW w:w="266"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42</w:t>
            </w:r>
          </w:p>
        </w:tc>
        <w:tc>
          <w:tcPr>
            <w:tcW w:w="552"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8"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jc w:val="left"/>
              <w:rPr>
                <w:rFonts w:ascii="宋体" w:hAnsi="宋体" w:eastAsia="宋体"/>
                <w:color w:val="000000"/>
                <w:sz w:val="20"/>
                <w:szCs w:val="20"/>
              </w:rPr>
            </w:pPr>
          </w:p>
        </w:tc>
        <w:tc>
          <w:tcPr>
            <w:tcW w:w="266"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11</w:t>
            </w:r>
          </w:p>
        </w:tc>
        <w:tc>
          <w:tcPr>
            <w:tcW w:w="609"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895" w:type="pct"/>
            <w:gridSpan w:val="2"/>
            <w:tcBorders>
              <w:top w:val="nil"/>
              <w:left w:val="nil"/>
              <w:bottom w:val="single" w:color="000000" w:sz="4" w:space="0"/>
              <w:right w:val="single" w:color="000000"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十一、城乡社区支出</w:t>
            </w:r>
          </w:p>
        </w:tc>
        <w:tc>
          <w:tcPr>
            <w:tcW w:w="266"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43</w:t>
            </w:r>
          </w:p>
        </w:tc>
        <w:tc>
          <w:tcPr>
            <w:tcW w:w="552"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8"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auto" w:sz="4" w:space="0"/>
              <w:right w:val="single" w:color="000000" w:sz="4" w:space="0"/>
            </w:tcBorders>
            <w:noWrap/>
            <w:vAlign w:val="center"/>
          </w:tcPr>
          <w:p>
            <w:pPr>
              <w:jc w:val="left"/>
              <w:rPr>
                <w:rFonts w:ascii="宋体" w:hAnsi="宋体" w:eastAsia="宋体"/>
                <w:color w:val="000000"/>
                <w:sz w:val="20"/>
                <w:szCs w:val="20"/>
              </w:rPr>
            </w:pPr>
          </w:p>
        </w:tc>
        <w:tc>
          <w:tcPr>
            <w:tcW w:w="266" w:type="pct"/>
            <w:tcBorders>
              <w:top w:val="nil"/>
              <w:left w:val="nil"/>
              <w:bottom w:val="single" w:color="auto"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12</w:t>
            </w:r>
          </w:p>
        </w:tc>
        <w:tc>
          <w:tcPr>
            <w:tcW w:w="609" w:type="pct"/>
            <w:tcBorders>
              <w:top w:val="nil"/>
              <w:left w:val="nil"/>
              <w:bottom w:val="single" w:color="auto"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895" w:type="pct"/>
            <w:gridSpan w:val="2"/>
            <w:tcBorders>
              <w:top w:val="nil"/>
              <w:left w:val="nil"/>
              <w:bottom w:val="single" w:color="auto" w:sz="4" w:space="0"/>
              <w:right w:val="single" w:color="000000"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十二、农林水支出</w:t>
            </w:r>
          </w:p>
        </w:tc>
        <w:tc>
          <w:tcPr>
            <w:tcW w:w="266" w:type="pct"/>
            <w:tcBorders>
              <w:top w:val="nil"/>
              <w:left w:val="nil"/>
              <w:bottom w:val="single" w:color="auto"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44</w:t>
            </w:r>
          </w:p>
        </w:tc>
        <w:tc>
          <w:tcPr>
            <w:tcW w:w="552" w:type="pct"/>
            <w:gridSpan w:val="2"/>
            <w:tcBorders>
              <w:top w:val="nil"/>
              <w:left w:val="nil"/>
              <w:bottom w:val="single" w:color="auto"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520" w:type="pct"/>
            <w:tcBorders>
              <w:top w:val="nil"/>
              <w:left w:val="nil"/>
              <w:bottom w:val="single" w:color="auto"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520" w:type="pct"/>
            <w:tcBorders>
              <w:top w:val="nil"/>
              <w:left w:val="nil"/>
              <w:bottom w:val="single" w:color="auto"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520" w:type="pct"/>
            <w:tcBorders>
              <w:top w:val="nil"/>
              <w:left w:val="nil"/>
              <w:bottom w:val="single" w:color="auto" w:sz="4" w:space="0"/>
              <w:right w:val="single" w:color="000000" w:sz="8"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pPr>
              <w:jc w:val="left"/>
              <w:rPr>
                <w:rFonts w:ascii="宋体" w:hAnsi="宋体" w:eastAsia="宋体"/>
                <w:color w:val="000000"/>
                <w:sz w:val="20"/>
                <w:szCs w:val="20"/>
              </w:rPr>
            </w:pPr>
          </w:p>
        </w:tc>
        <w:tc>
          <w:tcPr>
            <w:tcW w:w="266"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13</w:t>
            </w:r>
          </w:p>
        </w:tc>
        <w:tc>
          <w:tcPr>
            <w:tcW w:w="609"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十三、交通运输支出</w:t>
            </w:r>
          </w:p>
        </w:tc>
        <w:tc>
          <w:tcPr>
            <w:tcW w:w="266"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45</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pPr>
              <w:jc w:val="left"/>
              <w:rPr>
                <w:rFonts w:ascii="宋体" w:hAnsi="宋体" w:eastAsia="宋体"/>
                <w:color w:val="000000"/>
                <w:sz w:val="20"/>
                <w:szCs w:val="20"/>
              </w:rPr>
            </w:pPr>
          </w:p>
        </w:tc>
        <w:tc>
          <w:tcPr>
            <w:tcW w:w="266"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14</w:t>
            </w:r>
          </w:p>
        </w:tc>
        <w:tc>
          <w:tcPr>
            <w:tcW w:w="609"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十四、资源勘探工业信息等支出</w:t>
            </w:r>
          </w:p>
        </w:tc>
        <w:tc>
          <w:tcPr>
            <w:tcW w:w="266"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46</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pPr>
              <w:jc w:val="left"/>
              <w:rPr>
                <w:rFonts w:ascii="宋体" w:hAnsi="宋体" w:eastAsia="宋体"/>
                <w:color w:val="000000"/>
                <w:sz w:val="20"/>
                <w:szCs w:val="20"/>
              </w:rPr>
            </w:pPr>
          </w:p>
        </w:tc>
        <w:tc>
          <w:tcPr>
            <w:tcW w:w="266"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15</w:t>
            </w:r>
          </w:p>
        </w:tc>
        <w:tc>
          <w:tcPr>
            <w:tcW w:w="609"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十五、商业服务业等支出</w:t>
            </w:r>
          </w:p>
        </w:tc>
        <w:tc>
          <w:tcPr>
            <w:tcW w:w="266"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47</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pPr>
              <w:jc w:val="left"/>
              <w:rPr>
                <w:rFonts w:ascii="宋体" w:hAnsi="宋体" w:eastAsia="宋体"/>
                <w:color w:val="000000"/>
                <w:sz w:val="20"/>
                <w:szCs w:val="20"/>
              </w:rPr>
            </w:pPr>
          </w:p>
        </w:tc>
        <w:tc>
          <w:tcPr>
            <w:tcW w:w="266"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16</w:t>
            </w:r>
          </w:p>
        </w:tc>
        <w:tc>
          <w:tcPr>
            <w:tcW w:w="609"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十六、金融支出</w:t>
            </w:r>
          </w:p>
        </w:tc>
        <w:tc>
          <w:tcPr>
            <w:tcW w:w="266"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48</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pPr>
              <w:jc w:val="left"/>
              <w:rPr>
                <w:rFonts w:ascii="宋体" w:hAnsi="宋体" w:eastAsia="宋体"/>
                <w:color w:val="000000"/>
                <w:sz w:val="20"/>
                <w:szCs w:val="20"/>
              </w:rPr>
            </w:pPr>
          </w:p>
        </w:tc>
        <w:tc>
          <w:tcPr>
            <w:tcW w:w="266"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17</w:t>
            </w:r>
          </w:p>
        </w:tc>
        <w:tc>
          <w:tcPr>
            <w:tcW w:w="609"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十七、援助其他地区支出</w:t>
            </w:r>
          </w:p>
        </w:tc>
        <w:tc>
          <w:tcPr>
            <w:tcW w:w="266"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49</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pPr>
              <w:jc w:val="left"/>
              <w:rPr>
                <w:rFonts w:ascii="宋体" w:hAnsi="宋体" w:eastAsia="宋体"/>
                <w:color w:val="000000"/>
                <w:sz w:val="20"/>
                <w:szCs w:val="20"/>
              </w:rPr>
            </w:pPr>
          </w:p>
        </w:tc>
        <w:tc>
          <w:tcPr>
            <w:tcW w:w="266"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18</w:t>
            </w:r>
          </w:p>
        </w:tc>
        <w:tc>
          <w:tcPr>
            <w:tcW w:w="609"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十八、自然资源海洋气象等支出</w:t>
            </w:r>
          </w:p>
        </w:tc>
        <w:tc>
          <w:tcPr>
            <w:tcW w:w="266"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50</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pPr>
              <w:jc w:val="left"/>
              <w:rPr>
                <w:rFonts w:ascii="宋体" w:hAnsi="宋体" w:eastAsia="宋体"/>
                <w:color w:val="000000"/>
                <w:sz w:val="20"/>
                <w:szCs w:val="20"/>
              </w:rPr>
            </w:pPr>
          </w:p>
        </w:tc>
        <w:tc>
          <w:tcPr>
            <w:tcW w:w="266"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19</w:t>
            </w:r>
          </w:p>
        </w:tc>
        <w:tc>
          <w:tcPr>
            <w:tcW w:w="609"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十九、住房保障支出</w:t>
            </w:r>
          </w:p>
        </w:tc>
        <w:tc>
          <w:tcPr>
            <w:tcW w:w="266"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51</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cs="Times New Roman"/>
                <w:sz w:val="20"/>
                <w:szCs w:val="20"/>
              </w:rPr>
              <w:t>39.91</w:t>
            </w: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cs="Times New Roman"/>
                <w:sz w:val="20"/>
                <w:szCs w:val="20"/>
              </w:rPr>
              <w:t>39.91</w:t>
            </w: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pPr>
              <w:jc w:val="left"/>
              <w:rPr>
                <w:rFonts w:ascii="宋体" w:hAnsi="宋体" w:eastAsia="宋体"/>
                <w:color w:val="000000"/>
                <w:sz w:val="20"/>
                <w:szCs w:val="20"/>
              </w:rPr>
            </w:pPr>
          </w:p>
        </w:tc>
        <w:tc>
          <w:tcPr>
            <w:tcW w:w="266"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20</w:t>
            </w:r>
          </w:p>
        </w:tc>
        <w:tc>
          <w:tcPr>
            <w:tcW w:w="609"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二十、粮油物资储备支出</w:t>
            </w:r>
          </w:p>
        </w:tc>
        <w:tc>
          <w:tcPr>
            <w:tcW w:w="266"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52</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pPr>
              <w:jc w:val="left"/>
              <w:rPr>
                <w:rFonts w:ascii="宋体" w:hAnsi="宋体" w:eastAsia="宋体"/>
                <w:color w:val="000000"/>
                <w:sz w:val="20"/>
                <w:szCs w:val="20"/>
              </w:rPr>
            </w:pPr>
          </w:p>
        </w:tc>
        <w:tc>
          <w:tcPr>
            <w:tcW w:w="266"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21</w:t>
            </w:r>
          </w:p>
        </w:tc>
        <w:tc>
          <w:tcPr>
            <w:tcW w:w="609"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二十一、国有资本经营预算支出</w:t>
            </w:r>
          </w:p>
        </w:tc>
        <w:tc>
          <w:tcPr>
            <w:tcW w:w="266"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53</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pPr>
              <w:jc w:val="left"/>
              <w:rPr>
                <w:rFonts w:ascii="宋体" w:hAnsi="宋体" w:eastAsia="宋体"/>
                <w:color w:val="000000"/>
                <w:sz w:val="20"/>
                <w:szCs w:val="20"/>
              </w:rPr>
            </w:pPr>
          </w:p>
        </w:tc>
        <w:tc>
          <w:tcPr>
            <w:tcW w:w="266"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22</w:t>
            </w:r>
          </w:p>
        </w:tc>
        <w:tc>
          <w:tcPr>
            <w:tcW w:w="609"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二十二、灾害防治及应急管理支出</w:t>
            </w:r>
          </w:p>
        </w:tc>
        <w:tc>
          <w:tcPr>
            <w:tcW w:w="266"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54</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pPr>
              <w:jc w:val="left"/>
              <w:rPr>
                <w:rFonts w:ascii="宋体" w:hAnsi="宋体" w:eastAsia="宋体"/>
                <w:color w:val="000000"/>
                <w:sz w:val="20"/>
                <w:szCs w:val="20"/>
              </w:rPr>
            </w:pPr>
          </w:p>
        </w:tc>
        <w:tc>
          <w:tcPr>
            <w:tcW w:w="266"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23</w:t>
            </w:r>
          </w:p>
        </w:tc>
        <w:tc>
          <w:tcPr>
            <w:tcW w:w="609"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二十三、其他支出</w:t>
            </w:r>
          </w:p>
        </w:tc>
        <w:tc>
          <w:tcPr>
            <w:tcW w:w="266"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55</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308" w:hRule="atLeast"/>
        </w:trPr>
        <w:tc>
          <w:tcPr>
            <w:tcW w:w="847" w:type="pct"/>
            <w:tcBorders>
              <w:top w:val="single" w:color="auto" w:sz="4" w:space="0"/>
              <w:left w:val="single" w:color="000000" w:sz="4" w:space="0"/>
              <w:bottom w:val="single" w:color="000000" w:sz="4" w:space="0"/>
              <w:right w:val="single" w:color="000000" w:sz="4" w:space="0"/>
            </w:tcBorders>
            <w:noWrap/>
            <w:vAlign w:val="center"/>
          </w:tcPr>
          <w:p>
            <w:pPr>
              <w:jc w:val="left"/>
              <w:rPr>
                <w:rFonts w:ascii="宋体" w:hAnsi="宋体" w:eastAsia="宋体"/>
                <w:color w:val="000000"/>
                <w:sz w:val="20"/>
                <w:szCs w:val="20"/>
              </w:rPr>
            </w:pPr>
          </w:p>
        </w:tc>
        <w:tc>
          <w:tcPr>
            <w:tcW w:w="266" w:type="pct"/>
            <w:tcBorders>
              <w:top w:val="single" w:color="auto" w:sz="4" w:space="0"/>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24</w:t>
            </w:r>
          </w:p>
        </w:tc>
        <w:tc>
          <w:tcPr>
            <w:tcW w:w="609" w:type="pct"/>
            <w:tcBorders>
              <w:top w:val="single" w:color="auto" w:sz="4" w:space="0"/>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895" w:type="pct"/>
            <w:gridSpan w:val="2"/>
            <w:tcBorders>
              <w:top w:val="single" w:color="auto" w:sz="4" w:space="0"/>
              <w:left w:val="nil"/>
              <w:bottom w:val="single" w:color="000000" w:sz="4" w:space="0"/>
              <w:right w:val="single" w:color="000000"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二十四、债务还本支出</w:t>
            </w:r>
          </w:p>
        </w:tc>
        <w:tc>
          <w:tcPr>
            <w:tcW w:w="266" w:type="pct"/>
            <w:tcBorders>
              <w:top w:val="single" w:color="auto" w:sz="4" w:space="0"/>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56</w:t>
            </w:r>
          </w:p>
        </w:tc>
        <w:tc>
          <w:tcPr>
            <w:tcW w:w="552" w:type="pct"/>
            <w:gridSpan w:val="2"/>
            <w:tcBorders>
              <w:top w:val="single" w:color="auto" w:sz="4" w:space="0"/>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520" w:type="pct"/>
            <w:tcBorders>
              <w:top w:val="single" w:color="auto" w:sz="4" w:space="0"/>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520" w:type="pct"/>
            <w:tcBorders>
              <w:top w:val="single" w:color="auto" w:sz="4" w:space="0"/>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520" w:type="pct"/>
            <w:tcBorders>
              <w:top w:val="single" w:color="auto" w:sz="4" w:space="0"/>
              <w:left w:val="nil"/>
              <w:bottom w:val="single" w:color="000000" w:sz="4" w:space="0"/>
              <w:right w:val="single" w:color="000000" w:sz="8"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jc w:val="center"/>
              <w:rPr>
                <w:rFonts w:ascii="宋体" w:hAnsi="宋体" w:eastAsia="宋体"/>
                <w:b/>
                <w:bCs/>
                <w:color w:val="000000"/>
                <w:sz w:val="20"/>
                <w:szCs w:val="20"/>
              </w:rPr>
            </w:pPr>
          </w:p>
        </w:tc>
        <w:tc>
          <w:tcPr>
            <w:tcW w:w="266"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25</w:t>
            </w:r>
          </w:p>
        </w:tc>
        <w:tc>
          <w:tcPr>
            <w:tcW w:w="609"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895" w:type="pct"/>
            <w:gridSpan w:val="2"/>
            <w:tcBorders>
              <w:top w:val="nil"/>
              <w:left w:val="nil"/>
              <w:bottom w:val="single" w:color="000000" w:sz="4" w:space="0"/>
              <w:right w:val="single" w:color="000000"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二十五、债务付息支出</w:t>
            </w:r>
          </w:p>
        </w:tc>
        <w:tc>
          <w:tcPr>
            <w:tcW w:w="266"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57</w:t>
            </w:r>
          </w:p>
        </w:tc>
        <w:tc>
          <w:tcPr>
            <w:tcW w:w="552"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8"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jc w:val="center"/>
              <w:rPr>
                <w:rFonts w:ascii="宋体" w:hAnsi="宋体" w:eastAsia="宋体"/>
                <w:color w:val="000000"/>
                <w:sz w:val="20"/>
                <w:szCs w:val="20"/>
              </w:rPr>
            </w:pPr>
          </w:p>
        </w:tc>
        <w:tc>
          <w:tcPr>
            <w:tcW w:w="266"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26</w:t>
            </w:r>
          </w:p>
        </w:tc>
        <w:tc>
          <w:tcPr>
            <w:tcW w:w="609"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895" w:type="pct"/>
            <w:gridSpan w:val="2"/>
            <w:tcBorders>
              <w:top w:val="nil"/>
              <w:left w:val="nil"/>
              <w:bottom w:val="single" w:color="000000" w:sz="4" w:space="0"/>
              <w:right w:val="single" w:color="000000"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二十六、抗疫特别国债安排的支出</w:t>
            </w:r>
          </w:p>
        </w:tc>
        <w:tc>
          <w:tcPr>
            <w:tcW w:w="266"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58</w:t>
            </w:r>
          </w:p>
        </w:tc>
        <w:tc>
          <w:tcPr>
            <w:tcW w:w="552"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8"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widowControl/>
              <w:jc w:val="center"/>
              <w:textAlignment w:val="center"/>
              <w:rPr>
                <w:rFonts w:ascii="方正仿宋_GB2312" w:hAnsi="方正仿宋_GB2312" w:eastAsia="方正仿宋_GB2312" w:cs="方正仿宋_GB2312"/>
                <w:b/>
                <w:bCs/>
                <w:color w:val="000000"/>
                <w:sz w:val="20"/>
                <w:szCs w:val="20"/>
              </w:rPr>
            </w:pPr>
            <w:r>
              <w:rPr>
                <w:rFonts w:hint="eastAsia" w:ascii="方正仿宋_GB2312" w:hAnsi="方正仿宋_GB2312" w:eastAsia="方正仿宋_GB2312" w:cs="方正仿宋_GB2312"/>
                <w:b/>
                <w:bCs/>
                <w:color w:val="000000"/>
                <w:sz w:val="20"/>
                <w:szCs w:val="20"/>
                <w:lang w:bidi="ar"/>
              </w:rPr>
              <w:t>本年收入合计</w:t>
            </w:r>
          </w:p>
        </w:tc>
        <w:tc>
          <w:tcPr>
            <w:tcW w:w="266"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27</w:t>
            </w:r>
          </w:p>
        </w:tc>
        <w:tc>
          <w:tcPr>
            <w:tcW w:w="609"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cs="Times New Roman"/>
                <w:sz w:val="20"/>
                <w:szCs w:val="20"/>
              </w:rPr>
              <w:t>859.16</w:t>
            </w:r>
          </w:p>
        </w:tc>
        <w:tc>
          <w:tcPr>
            <w:tcW w:w="895" w:type="pct"/>
            <w:gridSpan w:val="2"/>
            <w:tcBorders>
              <w:top w:val="nil"/>
              <w:left w:val="nil"/>
              <w:bottom w:val="single" w:color="000000" w:sz="4" w:space="0"/>
              <w:right w:val="single" w:color="000000" w:sz="4" w:space="0"/>
            </w:tcBorders>
            <w:noWrap/>
            <w:vAlign w:val="center"/>
          </w:tcPr>
          <w:p>
            <w:pPr>
              <w:widowControl/>
              <w:jc w:val="center"/>
              <w:textAlignment w:val="center"/>
              <w:rPr>
                <w:rFonts w:ascii="方正仿宋_GB2312" w:hAnsi="方正仿宋_GB2312" w:eastAsia="方正仿宋_GB2312" w:cs="方正仿宋_GB2312"/>
                <w:b/>
                <w:bCs/>
                <w:color w:val="000000"/>
                <w:sz w:val="20"/>
                <w:szCs w:val="20"/>
              </w:rPr>
            </w:pPr>
            <w:r>
              <w:rPr>
                <w:rFonts w:hint="eastAsia" w:ascii="方正仿宋_GB2312" w:hAnsi="方正仿宋_GB2312" w:eastAsia="方正仿宋_GB2312" w:cs="方正仿宋_GB2312"/>
                <w:b/>
                <w:bCs/>
                <w:color w:val="000000"/>
                <w:sz w:val="20"/>
                <w:szCs w:val="20"/>
                <w:lang w:bidi="ar"/>
              </w:rPr>
              <w:t>本年支出合计</w:t>
            </w:r>
          </w:p>
        </w:tc>
        <w:tc>
          <w:tcPr>
            <w:tcW w:w="266"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59</w:t>
            </w:r>
          </w:p>
        </w:tc>
        <w:tc>
          <w:tcPr>
            <w:tcW w:w="552"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cs="Times New Roman"/>
                <w:sz w:val="20"/>
                <w:szCs w:val="20"/>
              </w:rPr>
              <w:t>859.16</w:t>
            </w:r>
          </w:p>
        </w:tc>
        <w:tc>
          <w:tcPr>
            <w:tcW w:w="520"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cs="Times New Roman"/>
                <w:sz w:val="20"/>
                <w:szCs w:val="20"/>
              </w:rPr>
              <w:t>859.16</w:t>
            </w:r>
          </w:p>
        </w:tc>
        <w:tc>
          <w:tcPr>
            <w:tcW w:w="520"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8"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年初财政拨款结转和结余</w:t>
            </w:r>
          </w:p>
        </w:tc>
        <w:tc>
          <w:tcPr>
            <w:tcW w:w="266"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28</w:t>
            </w:r>
          </w:p>
        </w:tc>
        <w:tc>
          <w:tcPr>
            <w:tcW w:w="609"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895" w:type="pct"/>
            <w:gridSpan w:val="2"/>
            <w:tcBorders>
              <w:top w:val="nil"/>
              <w:left w:val="nil"/>
              <w:bottom w:val="single" w:color="000000" w:sz="4" w:space="0"/>
              <w:right w:val="single" w:color="000000"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年末财政拨款结转和结余</w:t>
            </w:r>
          </w:p>
        </w:tc>
        <w:tc>
          <w:tcPr>
            <w:tcW w:w="266"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60</w:t>
            </w:r>
          </w:p>
        </w:tc>
        <w:tc>
          <w:tcPr>
            <w:tcW w:w="552"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8"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一、一般公共预算财政拨款</w:t>
            </w:r>
          </w:p>
        </w:tc>
        <w:tc>
          <w:tcPr>
            <w:tcW w:w="266"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29</w:t>
            </w:r>
          </w:p>
        </w:tc>
        <w:tc>
          <w:tcPr>
            <w:tcW w:w="609"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895" w:type="pct"/>
            <w:gridSpan w:val="2"/>
            <w:tcBorders>
              <w:top w:val="nil"/>
              <w:left w:val="nil"/>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p>
        </w:tc>
        <w:tc>
          <w:tcPr>
            <w:tcW w:w="266"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61</w:t>
            </w:r>
          </w:p>
        </w:tc>
        <w:tc>
          <w:tcPr>
            <w:tcW w:w="552"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8" w:space="0"/>
            </w:tcBorders>
            <w:noWrap/>
            <w:vAlign w:val="center"/>
          </w:tcPr>
          <w:p>
            <w:pPr>
              <w:jc w:val="lef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二、政府性基金预算财政拨款</w:t>
            </w:r>
          </w:p>
        </w:tc>
        <w:tc>
          <w:tcPr>
            <w:tcW w:w="266"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30</w:t>
            </w:r>
          </w:p>
        </w:tc>
        <w:tc>
          <w:tcPr>
            <w:tcW w:w="609"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895" w:type="pct"/>
            <w:gridSpan w:val="2"/>
            <w:tcBorders>
              <w:top w:val="nil"/>
              <w:left w:val="nil"/>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p>
        </w:tc>
        <w:tc>
          <w:tcPr>
            <w:tcW w:w="266"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62</w:t>
            </w:r>
          </w:p>
        </w:tc>
        <w:tc>
          <w:tcPr>
            <w:tcW w:w="552"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8" w:space="0"/>
            </w:tcBorders>
            <w:noWrap/>
            <w:vAlign w:val="center"/>
          </w:tcPr>
          <w:p>
            <w:pPr>
              <w:jc w:val="lef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三、国有资本经营预算财政拨款</w:t>
            </w:r>
          </w:p>
        </w:tc>
        <w:tc>
          <w:tcPr>
            <w:tcW w:w="266"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31</w:t>
            </w:r>
          </w:p>
        </w:tc>
        <w:tc>
          <w:tcPr>
            <w:tcW w:w="609"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895" w:type="pct"/>
            <w:gridSpan w:val="2"/>
            <w:tcBorders>
              <w:top w:val="nil"/>
              <w:left w:val="nil"/>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p>
        </w:tc>
        <w:tc>
          <w:tcPr>
            <w:tcW w:w="266"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63</w:t>
            </w:r>
          </w:p>
        </w:tc>
        <w:tc>
          <w:tcPr>
            <w:tcW w:w="552"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8" w:space="0"/>
            </w:tcBorders>
            <w:noWrap/>
            <w:vAlign w:val="center"/>
          </w:tcPr>
          <w:p>
            <w:pPr>
              <w:jc w:val="lef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8" w:space="0"/>
              <w:right w:val="single" w:color="000000" w:sz="4" w:space="0"/>
            </w:tcBorders>
            <w:noWrap/>
            <w:vAlign w:val="center"/>
          </w:tcPr>
          <w:p>
            <w:pPr>
              <w:widowControl/>
              <w:jc w:val="center"/>
              <w:textAlignment w:val="center"/>
              <w:rPr>
                <w:rFonts w:ascii="方正仿宋_GB2312" w:hAnsi="方正仿宋_GB2312" w:eastAsia="方正仿宋_GB2312" w:cs="方正仿宋_GB2312"/>
                <w:b/>
                <w:bCs/>
                <w:color w:val="000000"/>
                <w:sz w:val="20"/>
                <w:szCs w:val="20"/>
              </w:rPr>
            </w:pPr>
            <w:r>
              <w:rPr>
                <w:rFonts w:hint="eastAsia" w:ascii="方正仿宋_GB2312" w:hAnsi="方正仿宋_GB2312" w:eastAsia="方正仿宋_GB2312" w:cs="方正仿宋_GB2312"/>
                <w:b/>
                <w:bCs/>
                <w:color w:val="000000"/>
                <w:sz w:val="20"/>
                <w:szCs w:val="20"/>
                <w:lang w:bidi="ar"/>
              </w:rPr>
              <w:t>总计</w:t>
            </w:r>
          </w:p>
        </w:tc>
        <w:tc>
          <w:tcPr>
            <w:tcW w:w="266" w:type="pct"/>
            <w:tcBorders>
              <w:top w:val="nil"/>
              <w:left w:val="nil"/>
              <w:bottom w:val="single" w:color="000000" w:sz="8"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32</w:t>
            </w:r>
          </w:p>
        </w:tc>
        <w:tc>
          <w:tcPr>
            <w:tcW w:w="609" w:type="pct"/>
            <w:tcBorders>
              <w:top w:val="nil"/>
              <w:left w:val="nil"/>
              <w:bottom w:val="single" w:color="000000" w:sz="8"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cs="Times New Roman"/>
                <w:sz w:val="20"/>
                <w:szCs w:val="20"/>
              </w:rPr>
              <w:t>859.16</w:t>
            </w:r>
          </w:p>
        </w:tc>
        <w:tc>
          <w:tcPr>
            <w:tcW w:w="895" w:type="pct"/>
            <w:gridSpan w:val="2"/>
            <w:tcBorders>
              <w:top w:val="nil"/>
              <w:left w:val="nil"/>
              <w:bottom w:val="single" w:color="000000" w:sz="8" w:space="0"/>
              <w:right w:val="single" w:color="000000" w:sz="4" w:space="0"/>
            </w:tcBorders>
            <w:noWrap/>
            <w:vAlign w:val="center"/>
          </w:tcPr>
          <w:p>
            <w:pPr>
              <w:widowControl/>
              <w:jc w:val="center"/>
              <w:textAlignment w:val="center"/>
              <w:rPr>
                <w:rFonts w:ascii="方正仿宋_GB2312" w:hAnsi="方正仿宋_GB2312" w:eastAsia="方正仿宋_GB2312" w:cs="方正仿宋_GB2312"/>
                <w:b/>
                <w:bCs/>
                <w:color w:val="000000"/>
                <w:sz w:val="20"/>
                <w:szCs w:val="20"/>
              </w:rPr>
            </w:pPr>
            <w:r>
              <w:rPr>
                <w:rFonts w:hint="eastAsia" w:ascii="方正仿宋_GB2312" w:hAnsi="方正仿宋_GB2312" w:eastAsia="方正仿宋_GB2312" w:cs="方正仿宋_GB2312"/>
                <w:b/>
                <w:bCs/>
                <w:color w:val="000000"/>
                <w:sz w:val="20"/>
                <w:szCs w:val="20"/>
                <w:lang w:bidi="ar"/>
              </w:rPr>
              <w:t>总计</w:t>
            </w:r>
          </w:p>
        </w:tc>
        <w:tc>
          <w:tcPr>
            <w:tcW w:w="266" w:type="pct"/>
            <w:tcBorders>
              <w:top w:val="nil"/>
              <w:left w:val="nil"/>
              <w:bottom w:val="single" w:color="000000" w:sz="8"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64</w:t>
            </w:r>
          </w:p>
        </w:tc>
        <w:tc>
          <w:tcPr>
            <w:tcW w:w="552" w:type="pct"/>
            <w:gridSpan w:val="2"/>
            <w:tcBorders>
              <w:top w:val="nil"/>
              <w:left w:val="nil"/>
              <w:bottom w:val="single" w:color="000000" w:sz="8"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cs="Times New Roman"/>
                <w:sz w:val="20"/>
                <w:szCs w:val="20"/>
              </w:rPr>
              <w:t>859.16</w:t>
            </w:r>
          </w:p>
        </w:tc>
        <w:tc>
          <w:tcPr>
            <w:tcW w:w="520" w:type="pct"/>
            <w:tcBorders>
              <w:top w:val="nil"/>
              <w:left w:val="nil"/>
              <w:bottom w:val="single" w:color="000000" w:sz="8" w:space="0"/>
              <w:right w:val="single" w:color="000000" w:sz="4" w:space="0"/>
            </w:tcBorders>
            <w:noWrap/>
            <w:vAlign w:val="center"/>
          </w:tcPr>
          <w:p>
            <w:pPr>
              <w:jc w:val="right"/>
              <w:rPr>
                <w:rFonts w:ascii="Times New Roman" w:hAnsi="Times New Roman" w:cs="Times New Roman"/>
                <w:sz w:val="20"/>
                <w:szCs w:val="20"/>
              </w:rPr>
            </w:pPr>
          </w:p>
          <w:p>
            <w:pPr>
              <w:jc w:val="right"/>
              <w:rPr>
                <w:rFonts w:ascii="Times New Roman" w:hAnsi="Times New Roman" w:cs="Times New Roman"/>
                <w:sz w:val="20"/>
                <w:szCs w:val="20"/>
              </w:rPr>
            </w:pPr>
            <w:r>
              <w:rPr>
                <w:rFonts w:ascii="Times New Roman" w:hAnsi="Times New Roman" w:cs="Times New Roman"/>
                <w:sz w:val="20"/>
                <w:szCs w:val="20"/>
              </w:rPr>
              <w:t>859.16</w:t>
            </w:r>
          </w:p>
          <w:p>
            <w:pPr>
              <w:jc w:val="right"/>
              <w:rPr>
                <w:rFonts w:ascii="Times New Roman" w:hAnsi="Times New Roman" w:eastAsia="宋体" w:cs="Times New Roman"/>
                <w:color w:val="000000"/>
                <w:sz w:val="20"/>
                <w:szCs w:val="20"/>
              </w:rPr>
            </w:pPr>
          </w:p>
        </w:tc>
        <w:tc>
          <w:tcPr>
            <w:tcW w:w="520" w:type="pct"/>
            <w:tcBorders>
              <w:top w:val="nil"/>
              <w:left w:val="nil"/>
              <w:bottom w:val="single" w:color="000000" w:sz="8"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520" w:type="pct"/>
            <w:tcBorders>
              <w:top w:val="nil"/>
              <w:left w:val="nil"/>
              <w:bottom w:val="single" w:color="000000" w:sz="8" w:space="0"/>
              <w:right w:val="single" w:color="000000" w:sz="8"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308" w:hRule="atLeast"/>
        </w:trPr>
        <w:tc>
          <w:tcPr>
            <w:tcW w:w="5000" w:type="pct"/>
            <w:gridSpan w:val="11"/>
            <w:tcBorders>
              <w:top w:val="nil"/>
              <w:left w:val="nil"/>
              <w:bottom w:val="nil"/>
              <w:right w:val="nil"/>
            </w:tcBorders>
            <w:noWrap/>
            <w:vAlign w:val="center"/>
          </w:tcPr>
          <w:p>
            <w:pPr>
              <w:widowControl/>
              <w:jc w:val="left"/>
              <w:textAlignment w:val="center"/>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lang w:bidi="ar"/>
              </w:rPr>
              <w:t>注：本表反映部门本年度一般公共预算财政拨款、政府性基金预算财政拨款和国有资本经营预算财政拨款的总收支和年末结转结余情况。</w:t>
            </w:r>
          </w:p>
        </w:tc>
      </w:tr>
    </w:tbl>
    <w:p>
      <w:pPr>
        <w:rPr>
          <w:rFonts w:ascii="仿宋_GB2312" w:hAnsi="宋体" w:eastAsia="仿宋_GB2312"/>
          <w:b/>
          <w:sz w:val="32"/>
          <w:szCs w:val="32"/>
        </w:rPr>
      </w:pPr>
      <w:r>
        <w:rPr>
          <w:rFonts w:hint="eastAsia" w:ascii="仿宋_GB2312" w:hAnsi="宋体" w:eastAsia="仿宋_GB2312"/>
          <w:b/>
          <w:sz w:val="32"/>
          <w:szCs w:val="32"/>
        </w:rPr>
        <w:br w:type="page"/>
      </w:r>
    </w:p>
    <w:p>
      <w:pPr>
        <w:jc w:val="center"/>
        <w:rPr>
          <w:rFonts w:ascii="宋体" w:hAnsi="宋体" w:eastAsia="宋体"/>
          <w:spacing w:val="-2"/>
          <w:sz w:val="20"/>
        </w:rPr>
      </w:pPr>
    </w:p>
    <w:tbl>
      <w:tblPr>
        <w:tblStyle w:val="11"/>
        <w:tblW w:w="5455" w:type="pct"/>
        <w:tblInd w:w="-657" w:type="dxa"/>
        <w:tblLayout w:type="autofit"/>
        <w:tblCellMar>
          <w:top w:w="0" w:type="dxa"/>
          <w:left w:w="108" w:type="dxa"/>
          <w:bottom w:w="0" w:type="dxa"/>
          <w:right w:w="108" w:type="dxa"/>
        </w:tblCellMar>
      </w:tblPr>
      <w:tblGrid>
        <w:gridCol w:w="2714"/>
        <w:gridCol w:w="3416"/>
        <w:gridCol w:w="1590"/>
        <w:gridCol w:w="522"/>
        <w:gridCol w:w="544"/>
        <w:gridCol w:w="383"/>
        <w:gridCol w:w="1233"/>
      </w:tblGrid>
      <w:tr>
        <w:tblPrEx>
          <w:tblCellMar>
            <w:top w:w="0" w:type="dxa"/>
            <w:left w:w="108" w:type="dxa"/>
            <w:bottom w:w="0" w:type="dxa"/>
            <w:right w:w="108" w:type="dxa"/>
          </w:tblCellMar>
        </w:tblPrEx>
        <w:trPr>
          <w:trHeight w:val="550" w:hRule="atLeast"/>
        </w:trPr>
        <w:tc>
          <w:tcPr>
            <w:tcW w:w="5000" w:type="pct"/>
            <w:gridSpan w:val="7"/>
            <w:tcBorders>
              <w:top w:val="nil"/>
              <w:left w:val="nil"/>
              <w:bottom w:val="nil"/>
              <w:right w:val="nil"/>
            </w:tcBorders>
            <w:noWrap/>
            <w:vAlign w:val="bottom"/>
          </w:tcPr>
          <w:p>
            <w:pPr>
              <w:widowControl/>
              <w:jc w:val="center"/>
              <w:textAlignment w:val="bottom"/>
              <w:rPr>
                <w:rFonts w:ascii="宋体" w:hAnsi="宋体" w:eastAsia="宋体"/>
                <w:color w:val="000000"/>
                <w:sz w:val="20"/>
                <w:szCs w:val="20"/>
              </w:rPr>
            </w:pPr>
            <w:r>
              <w:rPr>
                <w:rFonts w:hint="eastAsia" w:ascii="方正仿宋_GB2312" w:hAnsi="方正仿宋_GB2312" w:eastAsia="方正仿宋_GB2312" w:cs="方正仿宋_GB2312"/>
                <w:bCs/>
                <w:sz w:val="32"/>
                <w:szCs w:val="32"/>
              </w:rPr>
              <w:t>一般公共预算财政拨款支出决算表</w:t>
            </w:r>
          </w:p>
        </w:tc>
      </w:tr>
      <w:tr>
        <w:tblPrEx>
          <w:tblCellMar>
            <w:top w:w="0" w:type="dxa"/>
            <w:left w:w="108" w:type="dxa"/>
            <w:bottom w:w="0" w:type="dxa"/>
            <w:right w:w="108" w:type="dxa"/>
          </w:tblCellMar>
        </w:tblPrEx>
        <w:trPr>
          <w:trHeight w:val="300" w:hRule="atLeast"/>
        </w:trPr>
        <w:tc>
          <w:tcPr>
            <w:tcW w:w="5000" w:type="pct"/>
            <w:gridSpan w:val="7"/>
            <w:tcBorders>
              <w:top w:val="nil"/>
              <w:left w:val="nil"/>
              <w:bottom w:val="nil"/>
              <w:right w:val="nil"/>
            </w:tcBorders>
            <w:noWrap/>
            <w:vAlign w:val="bottom"/>
          </w:tcPr>
          <w:p>
            <w:pPr>
              <w:widowControl/>
              <w:jc w:val="right"/>
              <w:textAlignment w:val="bottom"/>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lang w:bidi="ar"/>
              </w:rPr>
              <w:t>公开</w:t>
            </w:r>
            <w:r>
              <w:rPr>
                <w:rFonts w:ascii="Times New Roman" w:hAnsi="Times New Roman" w:eastAsia="方正仿宋_GB2312" w:cs="Times New Roman"/>
                <w:color w:val="000000"/>
                <w:sz w:val="20"/>
                <w:szCs w:val="20"/>
                <w:lang w:bidi="ar"/>
              </w:rPr>
              <w:t>05</w:t>
            </w:r>
            <w:r>
              <w:rPr>
                <w:rFonts w:hint="eastAsia" w:ascii="方正仿宋_GB2312" w:hAnsi="方正仿宋_GB2312" w:eastAsia="方正仿宋_GB2312" w:cs="方正仿宋_GB2312"/>
                <w:color w:val="000000"/>
                <w:sz w:val="20"/>
                <w:szCs w:val="20"/>
                <w:lang w:bidi="ar"/>
              </w:rPr>
              <w:t>表</w:t>
            </w:r>
          </w:p>
        </w:tc>
      </w:tr>
      <w:tr>
        <w:tblPrEx>
          <w:tblCellMar>
            <w:top w:w="0" w:type="dxa"/>
            <w:left w:w="108" w:type="dxa"/>
            <w:bottom w:w="0" w:type="dxa"/>
            <w:right w:w="108" w:type="dxa"/>
          </w:tblCellMar>
        </w:tblPrEx>
        <w:trPr>
          <w:trHeight w:val="300" w:hRule="atLeast"/>
        </w:trPr>
        <w:tc>
          <w:tcPr>
            <w:tcW w:w="1856" w:type="pct"/>
            <w:gridSpan w:val="3"/>
            <w:tcBorders>
              <w:top w:val="nil"/>
              <w:left w:val="nil"/>
              <w:bottom w:val="single" w:color="auto" w:sz="4" w:space="0"/>
              <w:right w:val="nil"/>
            </w:tcBorders>
            <w:noWrap/>
            <w:vAlign w:val="bottom"/>
          </w:tcPr>
          <w:p>
            <w:pPr>
              <w:widowControl/>
              <w:jc w:val="left"/>
              <w:textAlignment w:val="bottom"/>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lang w:bidi="ar"/>
              </w:rPr>
              <w:t>编制部门（单位）：中国人民政治协商会议河北省石家庄市鹿泉区委员会(本级)</w:t>
            </w:r>
          </w:p>
        </w:tc>
        <w:tc>
          <w:tcPr>
            <w:tcW w:w="1551" w:type="pct"/>
            <w:gridSpan w:val="2"/>
            <w:tcBorders>
              <w:top w:val="nil"/>
              <w:left w:val="nil"/>
              <w:bottom w:val="single" w:color="auto" w:sz="4" w:space="0"/>
              <w:right w:val="nil"/>
            </w:tcBorders>
            <w:noWrap/>
            <w:vAlign w:val="bottom"/>
          </w:tcPr>
          <w:p>
            <w:pPr>
              <w:widowControl/>
              <w:jc w:val="center"/>
              <w:textAlignment w:val="bottom"/>
              <w:rPr>
                <w:rFonts w:asciiTheme="minorEastAsia" w:hAnsiTheme="minorEastAsia" w:cstheme="minorEastAsia"/>
                <w:color w:val="000000"/>
                <w:sz w:val="20"/>
                <w:szCs w:val="20"/>
                <w:lang w:bidi="ar"/>
              </w:rPr>
            </w:pPr>
            <w:r>
              <w:rPr>
                <w:rFonts w:ascii="Times New Roman" w:hAnsi="Times New Roman" w:cs="Times New Roman"/>
                <w:color w:val="000000"/>
                <w:sz w:val="20"/>
                <w:szCs w:val="20"/>
                <w:lang w:bidi="ar"/>
              </w:rPr>
              <w:t>2023</w:t>
            </w:r>
            <w:r>
              <w:rPr>
                <w:rFonts w:hint="eastAsia" w:ascii="方正仿宋_GB2312" w:hAnsi="方正仿宋_GB2312" w:eastAsia="方正仿宋_GB2312" w:cs="方正仿宋_GB2312"/>
                <w:color w:val="000000"/>
                <w:sz w:val="20"/>
                <w:szCs w:val="20"/>
                <w:lang w:bidi="ar"/>
              </w:rPr>
              <w:t>年度</w:t>
            </w:r>
          </w:p>
        </w:tc>
        <w:tc>
          <w:tcPr>
            <w:tcW w:w="1591" w:type="pct"/>
            <w:gridSpan w:val="2"/>
            <w:tcBorders>
              <w:top w:val="nil"/>
              <w:left w:val="nil"/>
              <w:bottom w:val="single" w:color="auto" w:sz="4" w:space="0"/>
              <w:right w:val="nil"/>
            </w:tcBorders>
            <w:noWrap/>
            <w:vAlign w:val="bottom"/>
          </w:tcPr>
          <w:p>
            <w:pPr>
              <w:widowControl/>
              <w:jc w:val="right"/>
              <w:textAlignment w:val="bottom"/>
              <w:rPr>
                <w:rFonts w:ascii="方正仿宋_GB2312" w:hAnsi="方正仿宋_GB2312" w:eastAsia="方正仿宋_GB2312" w:cs="方正仿宋_GB2312"/>
                <w:color w:val="000000"/>
                <w:sz w:val="20"/>
                <w:szCs w:val="20"/>
                <w:lang w:bidi="ar"/>
              </w:rPr>
            </w:pPr>
            <w:r>
              <w:rPr>
                <w:rFonts w:hint="eastAsia" w:ascii="方正仿宋_GB2312" w:hAnsi="方正仿宋_GB2312" w:eastAsia="方正仿宋_GB2312" w:cs="方正仿宋_GB2312"/>
                <w:color w:val="000000"/>
                <w:sz w:val="20"/>
                <w:szCs w:val="20"/>
                <w:lang w:bidi="ar"/>
              </w:rPr>
              <w:t>金额单位：万元</w:t>
            </w:r>
          </w:p>
        </w:tc>
      </w:tr>
      <w:tr>
        <w:trPr>
          <w:trHeight w:val="445" w:hRule="atLeast"/>
        </w:trPr>
        <w:tc>
          <w:tcPr>
            <w:tcW w:w="1447" w:type="pct"/>
            <w:gridSpan w:val="2"/>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项目</w:t>
            </w:r>
          </w:p>
        </w:tc>
        <w:tc>
          <w:tcPr>
            <w:tcW w:w="3552" w:type="pct"/>
            <w:gridSpan w:val="5"/>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本年支出</w:t>
            </w:r>
          </w:p>
        </w:tc>
      </w:tr>
      <w:tr>
        <w:tblPrEx>
          <w:tblCellMar>
            <w:top w:w="0" w:type="dxa"/>
            <w:left w:w="108" w:type="dxa"/>
            <w:bottom w:w="0" w:type="dxa"/>
            <w:right w:w="108" w:type="dxa"/>
          </w:tblCellMar>
        </w:tblPrEx>
        <w:trPr>
          <w:trHeight w:val="312" w:hRule="atLeast"/>
        </w:trPr>
        <w:tc>
          <w:tcPr>
            <w:tcW w:w="698" w:type="pct"/>
            <w:vMerge w:val="restart"/>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科目代码</w:t>
            </w:r>
          </w:p>
        </w:tc>
        <w:tc>
          <w:tcPr>
            <w:tcW w:w="748" w:type="pct"/>
            <w:vMerge w:val="restart"/>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科目名称</w:t>
            </w:r>
          </w:p>
        </w:tc>
        <w:tc>
          <w:tcPr>
            <w:tcW w:w="1169" w:type="pct"/>
            <w:gridSpan w:val="2"/>
            <w:vMerge w:val="restart"/>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小计</w:t>
            </w:r>
          </w:p>
        </w:tc>
        <w:tc>
          <w:tcPr>
            <w:tcW w:w="1169" w:type="pct"/>
            <w:gridSpan w:val="2"/>
            <w:vMerge w:val="restart"/>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基本支出</w:t>
            </w:r>
          </w:p>
        </w:tc>
        <w:tc>
          <w:tcPr>
            <w:tcW w:w="1213" w:type="pct"/>
            <w:vMerge w:val="restart"/>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项目支出</w:t>
            </w:r>
          </w:p>
        </w:tc>
      </w:tr>
      <w:tr>
        <w:tblPrEx>
          <w:tblCellMar>
            <w:top w:w="0" w:type="dxa"/>
            <w:left w:w="108" w:type="dxa"/>
            <w:bottom w:w="0" w:type="dxa"/>
            <w:right w:w="108" w:type="dxa"/>
          </w:tblCellMar>
        </w:tblPrEx>
        <w:trPr>
          <w:trHeight w:val="312" w:hRule="atLeast"/>
        </w:trPr>
        <w:tc>
          <w:tcPr>
            <w:tcW w:w="698" w:type="pct"/>
            <w:vMerge w:val="continue"/>
            <w:tcBorders>
              <w:top w:val="single" w:color="auto" w:sz="4" w:space="0"/>
              <w:left w:val="single" w:color="auto" w:sz="4" w:space="0"/>
              <w:bottom w:val="single" w:color="auto" w:sz="4" w:space="0"/>
              <w:right w:val="single" w:color="auto" w:sz="4" w:space="0"/>
            </w:tcBorders>
            <w:vAlign w:val="center"/>
          </w:tcPr>
          <w:p>
            <w:pPr>
              <w:jc w:val="center"/>
              <w:rPr>
                <w:rFonts w:ascii="宋体" w:hAnsi="宋体" w:eastAsia="宋体"/>
                <w:color w:val="000000"/>
                <w:sz w:val="20"/>
                <w:szCs w:val="20"/>
              </w:rPr>
            </w:pPr>
          </w:p>
        </w:tc>
        <w:tc>
          <w:tcPr>
            <w:tcW w:w="748" w:type="pct"/>
            <w:vMerge w:val="continue"/>
            <w:tcBorders>
              <w:top w:val="single" w:color="auto" w:sz="4" w:space="0"/>
              <w:left w:val="single" w:color="auto" w:sz="4" w:space="0"/>
              <w:bottom w:val="single" w:color="auto" w:sz="4" w:space="0"/>
              <w:right w:val="single" w:color="auto" w:sz="4" w:space="0"/>
            </w:tcBorders>
            <w:vAlign w:val="center"/>
          </w:tcPr>
          <w:p>
            <w:pPr>
              <w:jc w:val="center"/>
              <w:rPr>
                <w:rFonts w:ascii="宋体" w:hAnsi="宋体" w:eastAsia="宋体"/>
                <w:color w:val="000000"/>
                <w:sz w:val="20"/>
                <w:szCs w:val="20"/>
              </w:rPr>
            </w:pPr>
          </w:p>
        </w:tc>
        <w:tc>
          <w:tcPr>
            <w:tcW w:w="1169" w:type="pct"/>
            <w:gridSpan w:val="2"/>
            <w:vMerge w:val="continue"/>
            <w:tcBorders>
              <w:top w:val="single" w:color="auto" w:sz="4" w:space="0"/>
              <w:left w:val="single" w:color="auto" w:sz="4" w:space="0"/>
              <w:bottom w:val="single" w:color="auto" w:sz="4" w:space="0"/>
              <w:right w:val="single" w:color="auto" w:sz="4" w:space="0"/>
            </w:tcBorders>
            <w:vAlign w:val="center"/>
          </w:tcPr>
          <w:p>
            <w:pPr>
              <w:jc w:val="center"/>
              <w:rPr>
                <w:rFonts w:ascii="宋体" w:hAnsi="宋体" w:eastAsia="宋体"/>
                <w:color w:val="000000"/>
                <w:sz w:val="20"/>
                <w:szCs w:val="20"/>
              </w:rPr>
            </w:pPr>
          </w:p>
        </w:tc>
        <w:tc>
          <w:tcPr>
            <w:tcW w:w="1169" w:type="pct"/>
            <w:gridSpan w:val="2"/>
            <w:vMerge w:val="continue"/>
            <w:tcBorders>
              <w:top w:val="single" w:color="auto" w:sz="4" w:space="0"/>
              <w:left w:val="single" w:color="auto" w:sz="4" w:space="0"/>
              <w:bottom w:val="single" w:color="auto" w:sz="4" w:space="0"/>
              <w:right w:val="single" w:color="auto" w:sz="4" w:space="0"/>
            </w:tcBorders>
            <w:vAlign w:val="center"/>
          </w:tcPr>
          <w:p>
            <w:pPr>
              <w:jc w:val="center"/>
              <w:rPr>
                <w:rFonts w:ascii="宋体" w:hAnsi="宋体" w:eastAsia="宋体"/>
                <w:color w:val="000000"/>
                <w:sz w:val="20"/>
                <w:szCs w:val="20"/>
              </w:rPr>
            </w:pPr>
          </w:p>
        </w:tc>
        <w:tc>
          <w:tcPr>
            <w:tcW w:w="1213" w:type="pct"/>
            <w:vMerge w:val="continue"/>
            <w:tcBorders>
              <w:top w:val="single" w:color="auto" w:sz="4" w:space="0"/>
              <w:left w:val="single" w:color="auto" w:sz="4" w:space="0"/>
              <w:bottom w:val="single" w:color="auto" w:sz="4" w:space="0"/>
              <w:right w:val="single" w:color="auto" w:sz="4" w:space="0"/>
            </w:tcBorders>
            <w:vAlign w:val="center"/>
          </w:tcPr>
          <w:p>
            <w:pPr>
              <w:jc w:val="center"/>
              <w:rPr>
                <w:rFonts w:ascii="宋体" w:hAnsi="宋体" w:eastAsia="宋体"/>
                <w:color w:val="000000"/>
                <w:sz w:val="20"/>
                <w:szCs w:val="20"/>
              </w:rPr>
            </w:pPr>
          </w:p>
        </w:tc>
      </w:tr>
      <w:tr>
        <w:tblPrEx>
          <w:tblCellMar>
            <w:top w:w="0" w:type="dxa"/>
            <w:left w:w="108" w:type="dxa"/>
            <w:bottom w:w="0" w:type="dxa"/>
            <w:right w:w="108" w:type="dxa"/>
          </w:tblCellMar>
        </w:tblPrEx>
        <w:trPr>
          <w:trHeight w:val="312" w:hRule="atLeast"/>
        </w:trPr>
        <w:tc>
          <w:tcPr>
            <w:tcW w:w="698" w:type="pct"/>
            <w:vMerge w:val="continue"/>
            <w:tcBorders>
              <w:top w:val="single" w:color="auto" w:sz="4" w:space="0"/>
              <w:left w:val="single" w:color="auto" w:sz="4" w:space="0"/>
              <w:bottom w:val="single" w:color="auto" w:sz="4" w:space="0"/>
              <w:right w:val="single" w:color="auto" w:sz="4" w:space="0"/>
            </w:tcBorders>
            <w:vAlign w:val="center"/>
          </w:tcPr>
          <w:p>
            <w:pPr>
              <w:jc w:val="center"/>
              <w:rPr>
                <w:rFonts w:ascii="宋体" w:hAnsi="宋体" w:eastAsia="宋体"/>
                <w:color w:val="000000"/>
                <w:sz w:val="20"/>
                <w:szCs w:val="20"/>
              </w:rPr>
            </w:pPr>
          </w:p>
        </w:tc>
        <w:tc>
          <w:tcPr>
            <w:tcW w:w="748" w:type="pct"/>
            <w:vMerge w:val="continue"/>
            <w:tcBorders>
              <w:top w:val="single" w:color="auto" w:sz="4" w:space="0"/>
              <w:left w:val="single" w:color="auto" w:sz="4" w:space="0"/>
              <w:bottom w:val="single" w:color="auto" w:sz="4" w:space="0"/>
              <w:right w:val="single" w:color="auto" w:sz="4" w:space="0"/>
            </w:tcBorders>
            <w:vAlign w:val="center"/>
          </w:tcPr>
          <w:p>
            <w:pPr>
              <w:jc w:val="center"/>
              <w:rPr>
                <w:rFonts w:ascii="宋体" w:hAnsi="宋体" w:eastAsia="宋体"/>
                <w:color w:val="000000"/>
                <w:sz w:val="20"/>
                <w:szCs w:val="20"/>
              </w:rPr>
            </w:pPr>
          </w:p>
        </w:tc>
        <w:tc>
          <w:tcPr>
            <w:tcW w:w="1169" w:type="pct"/>
            <w:gridSpan w:val="2"/>
            <w:vMerge w:val="continue"/>
            <w:tcBorders>
              <w:top w:val="single" w:color="auto" w:sz="4" w:space="0"/>
              <w:left w:val="single" w:color="auto" w:sz="4" w:space="0"/>
              <w:bottom w:val="single" w:color="auto" w:sz="4" w:space="0"/>
              <w:right w:val="single" w:color="auto" w:sz="4" w:space="0"/>
            </w:tcBorders>
            <w:vAlign w:val="center"/>
          </w:tcPr>
          <w:p>
            <w:pPr>
              <w:jc w:val="center"/>
              <w:rPr>
                <w:rFonts w:ascii="宋体" w:hAnsi="宋体" w:eastAsia="宋体"/>
                <w:color w:val="000000"/>
                <w:sz w:val="20"/>
                <w:szCs w:val="20"/>
              </w:rPr>
            </w:pPr>
          </w:p>
        </w:tc>
        <w:tc>
          <w:tcPr>
            <w:tcW w:w="1169" w:type="pct"/>
            <w:gridSpan w:val="2"/>
            <w:vMerge w:val="continue"/>
            <w:tcBorders>
              <w:top w:val="single" w:color="auto" w:sz="4" w:space="0"/>
              <w:left w:val="single" w:color="auto" w:sz="4" w:space="0"/>
              <w:bottom w:val="single" w:color="auto" w:sz="4" w:space="0"/>
              <w:right w:val="single" w:color="auto" w:sz="4" w:space="0"/>
            </w:tcBorders>
            <w:vAlign w:val="center"/>
          </w:tcPr>
          <w:p>
            <w:pPr>
              <w:jc w:val="center"/>
              <w:rPr>
                <w:rFonts w:ascii="宋体" w:hAnsi="宋体" w:eastAsia="宋体"/>
                <w:color w:val="000000"/>
                <w:sz w:val="20"/>
                <w:szCs w:val="20"/>
              </w:rPr>
            </w:pPr>
          </w:p>
        </w:tc>
        <w:tc>
          <w:tcPr>
            <w:tcW w:w="1213" w:type="pct"/>
            <w:vMerge w:val="continue"/>
            <w:tcBorders>
              <w:top w:val="single" w:color="auto" w:sz="4" w:space="0"/>
              <w:left w:val="single" w:color="auto" w:sz="4" w:space="0"/>
              <w:bottom w:val="single" w:color="auto" w:sz="4" w:space="0"/>
              <w:right w:val="single" w:color="auto" w:sz="4" w:space="0"/>
            </w:tcBorders>
            <w:vAlign w:val="center"/>
          </w:tcPr>
          <w:p>
            <w:pPr>
              <w:jc w:val="center"/>
              <w:rPr>
                <w:rFonts w:ascii="宋体" w:hAnsi="宋体" w:eastAsia="宋体"/>
                <w:color w:val="000000"/>
                <w:sz w:val="20"/>
                <w:szCs w:val="20"/>
              </w:rPr>
            </w:pPr>
          </w:p>
        </w:tc>
      </w:tr>
      <w:tr>
        <w:tblPrEx>
          <w:tblCellMar>
            <w:top w:w="0" w:type="dxa"/>
            <w:left w:w="108" w:type="dxa"/>
            <w:bottom w:w="0" w:type="dxa"/>
            <w:right w:w="108" w:type="dxa"/>
          </w:tblCellMar>
        </w:tblPrEx>
        <w:trPr>
          <w:trHeight w:val="308" w:hRule="atLeast"/>
        </w:trPr>
        <w:tc>
          <w:tcPr>
            <w:tcW w:w="1447" w:type="pct"/>
            <w:gridSpan w:val="2"/>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栏次</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宋体" w:hAnsi="宋体" w:eastAsia="宋体"/>
                <w:color w:val="000000"/>
                <w:sz w:val="20"/>
                <w:szCs w:val="20"/>
              </w:rPr>
            </w:pPr>
            <w:r>
              <w:rPr>
                <w:rFonts w:hint="eastAsia" w:ascii="宋体" w:hAnsi="宋体" w:eastAsia="宋体"/>
                <w:color w:val="000000"/>
                <w:sz w:val="20"/>
                <w:szCs w:val="20"/>
              </w:rPr>
              <w:t>1</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宋体" w:hAnsi="宋体" w:eastAsia="宋体"/>
                <w:color w:val="000000"/>
                <w:sz w:val="20"/>
                <w:szCs w:val="20"/>
              </w:rPr>
            </w:pPr>
            <w:r>
              <w:rPr>
                <w:rFonts w:hint="eastAsia" w:ascii="宋体" w:hAnsi="宋体" w:eastAsia="宋体"/>
                <w:color w:val="000000"/>
                <w:sz w:val="20"/>
                <w:szCs w:val="20"/>
              </w:rPr>
              <w:t>2</w:t>
            </w:r>
          </w:p>
        </w:tc>
        <w:tc>
          <w:tcPr>
            <w:tcW w:w="1213"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宋体" w:hAnsi="宋体" w:eastAsia="宋体"/>
                <w:color w:val="000000"/>
                <w:sz w:val="20"/>
                <w:szCs w:val="20"/>
              </w:rPr>
            </w:pPr>
            <w:r>
              <w:rPr>
                <w:rFonts w:hint="eastAsia" w:ascii="宋体" w:hAnsi="宋体" w:eastAsia="宋体"/>
                <w:color w:val="000000"/>
                <w:sz w:val="20"/>
                <w:szCs w:val="20"/>
              </w:rPr>
              <w:t>3</w:t>
            </w:r>
          </w:p>
        </w:tc>
      </w:tr>
      <w:tr>
        <w:tblPrEx>
          <w:tblCellMar>
            <w:top w:w="0" w:type="dxa"/>
            <w:left w:w="108" w:type="dxa"/>
            <w:bottom w:w="0" w:type="dxa"/>
            <w:right w:w="108" w:type="dxa"/>
          </w:tblCellMar>
        </w:tblPrEx>
        <w:trPr>
          <w:trHeight w:val="308" w:hRule="atLeast"/>
        </w:trPr>
        <w:tc>
          <w:tcPr>
            <w:tcW w:w="1447" w:type="pct"/>
            <w:gridSpan w:val="2"/>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合计</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cs="Times New Roman"/>
                <w:sz w:val="20"/>
                <w:szCs w:val="20"/>
              </w:rPr>
              <w:t>859.16</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cs="Times New Roman"/>
                <w:sz w:val="20"/>
                <w:szCs w:val="20"/>
              </w:rPr>
              <w:t>753.83</w:t>
            </w:r>
          </w:p>
        </w:tc>
        <w:tc>
          <w:tcPr>
            <w:tcW w:w="1213"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cs="Times New Roman"/>
                <w:sz w:val="20"/>
                <w:szCs w:val="20"/>
              </w:rPr>
              <w:t>105.33</w:t>
            </w:r>
          </w:p>
        </w:tc>
      </w:tr>
      <w:tr>
        <w:tblPrEx>
          <w:tblCellMar>
            <w:top w:w="0" w:type="dxa"/>
            <w:left w:w="108" w:type="dxa"/>
            <w:bottom w:w="0" w:type="dxa"/>
            <w:right w:w="108" w:type="dxa"/>
          </w:tblCellMar>
        </w:tblPrEx>
        <w:trPr>
          <w:trHeight w:val="308" w:hRule="atLeast"/>
        </w:trPr>
        <w:tc>
          <w:tcPr>
            <w:tcW w:w="698" w:type="pct"/>
            <w:tcBorders>
              <w:top w:val="single" w:color="auto" w:sz="4" w:space="0"/>
              <w:left w:val="single" w:color="auto" w:sz="4" w:space="0"/>
              <w:bottom w:val="single" w:color="auto" w:sz="4" w:space="0"/>
              <w:right w:val="single" w:color="auto"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201</w:t>
            </w:r>
          </w:p>
        </w:tc>
        <w:tc>
          <w:tcPr>
            <w:tcW w:w="748" w:type="pct"/>
            <w:tcBorders>
              <w:top w:val="single" w:color="auto" w:sz="4" w:space="0"/>
              <w:left w:val="single" w:color="auto" w:sz="4" w:space="0"/>
              <w:bottom w:val="single" w:color="auto" w:sz="4" w:space="0"/>
              <w:right w:val="single" w:color="auto"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一般公共服务支出</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562.23</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465.37</w:t>
            </w:r>
          </w:p>
        </w:tc>
        <w:tc>
          <w:tcPr>
            <w:tcW w:w="1213"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96.87</w:t>
            </w:r>
          </w:p>
        </w:tc>
      </w:tr>
      <w:tr>
        <w:tblPrEx>
          <w:tblCellMar>
            <w:top w:w="0" w:type="dxa"/>
            <w:left w:w="108" w:type="dxa"/>
            <w:bottom w:w="0" w:type="dxa"/>
            <w:right w:w="108" w:type="dxa"/>
          </w:tblCellMar>
        </w:tblPrEx>
        <w:trPr>
          <w:trHeight w:val="308" w:hRule="atLeast"/>
        </w:trPr>
        <w:tc>
          <w:tcPr>
            <w:tcW w:w="698" w:type="pct"/>
            <w:tcBorders>
              <w:top w:val="single" w:color="auto" w:sz="4" w:space="0"/>
              <w:left w:val="single" w:color="auto" w:sz="4" w:space="0"/>
              <w:bottom w:val="single" w:color="auto" w:sz="4" w:space="0"/>
              <w:right w:val="single" w:color="auto"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20102</w:t>
            </w:r>
          </w:p>
        </w:tc>
        <w:tc>
          <w:tcPr>
            <w:tcW w:w="748" w:type="pct"/>
            <w:tcBorders>
              <w:top w:val="single" w:color="auto" w:sz="4" w:space="0"/>
              <w:left w:val="single" w:color="auto" w:sz="4" w:space="0"/>
              <w:bottom w:val="single" w:color="auto" w:sz="4" w:space="0"/>
              <w:right w:val="single" w:color="auto"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政协事务</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562.23</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465.37</w:t>
            </w:r>
          </w:p>
        </w:tc>
        <w:tc>
          <w:tcPr>
            <w:tcW w:w="1213"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96.87</w:t>
            </w:r>
          </w:p>
        </w:tc>
      </w:tr>
      <w:tr>
        <w:tblPrEx>
          <w:tblCellMar>
            <w:top w:w="0" w:type="dxa"/>
            <w:left w:w="108" w:type="dxa"/>
            <w:bottom w:w="0" w:type="dxa"/>
            <w:right w:w="108" w:type="dxa"/>
          </w:tblCellMar>
        </w:tblPrEx>
        <w:trPr>
          <w:trHeight w:val="308" w:hRule="atLeast"/>
        </w:trPr>
        <w:tc>
          <w:tcPr>
            <w:tcW w:w="698" w:type="pct"/>
            <w:tcBorders>
              <w:top w:val="single" w:color="auto" w:sz="4" w:space="0"/>
              <w:left w:val="single" w:color="auto" w:sz="4" w:space="0"/>
              <w:bottom w:val="single" w:color="auto" w:sz="4" w:space="0"/>
              <w:right w:val="single" w:color="auto"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2010201</w:t>
            </w:r>
          </w:p>
        </w:tc>
        <w:tc>
          <w:tcPr>
            <w:tcW w:w="748" w:type="pct"/>
            <w:tcBorders>
              <w:top w:val="single" w:color="auto" w:sz="4" w:space="0"/>
              <w:left w:val="single" w:color="auto" w:sz="4" w:space="0"/>
              <w:bottom w:val="single" w:color="auto" w:sz="4" w:space="0"/>
              <w:right w:val="single" w:color="auto"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行政运行</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465.37</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465.37</w:t>
            </w:r>
          </w:p>
        </w:tc>
        <w:tc>
          <w:tcPr>
            <w:tcW w:w="1213"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308" w:hRule="atLeast"/>
        </w:trPr>
        <w:tc>
          <w:tcPr>
            <w:tcW w:w="698" w:type="pct"/>
            <w:tcBorders>
              <w:top w:val="single" w:color="auto" w:sz="4" w:space="0"/>
              <w:left w:val="single" w:color="auto" w:sz="4" w:space="0"/>
              <w:bottom w:val="single" w:color="auto" w:sz="4" w:space="0"/>
              <w:right w:val="single" w:color="auto"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2010202</w:t>
            </w:r>
          </w:p>
        </w:tc>
        <w:tc>
          <w:tcPr>
            <w:tcW w:w="748" w:type="pct"/>
            <w:tcBorders>
              <w:top w:val="single" w:color="auto" w:sz="4" w:space="0"/>
              <w:left w:val="single" w:color="auto" w:sz="4" w:space="0"/>
              <w:bottom w:val="single" w:color="auto" w:sz="4" w:space="0"/>
              <w:right w:val="single" w:color="auto"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一般行政管理事务</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96.87</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c>
          <w:tcPr>
            <w:tcW w:w="1213"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96.87</w:t>
            </w:r>
          </w:p>
        </w:tc>
      </w:tr>
      <w:tr>
        <w:tblPrEx>
          <w:tblCellMar>
            <w:top w:w="0" w:type="dxa"/>
            <w:left w:w="108" w:type="dxa"/>
            <w:bottom w:w="0" w:type="dxa"/>
            <w:right w:w="108" w:type="dxa"/>
          </w:tblCellMar>
        </w:tblPrEx>
        <w:trPr>
          <w:trHeight w:val="308" w:hRule="atLeast"/>
        </w:trPr>
        <w:tc>
          <w:tcPr>
            <w:tcW w:w="698" w:type="pct"/>
            <w:tcBorders>
              <w:top w:val="single" w:color="auto" w:sz="4" w:space="0"/>
              <w:left w:val="single" w:color="auto" w:sz="4" w:space="0"/>
              <w:bottom w:val="single" w:color="auto" w:sz="4" w:space="0"/>
              <w:right w:val="single" w:color="auto"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208</w:t>
            </w:r>
          </w:p>
        </w:tc>
        <w:tc>
          <w:tcPr>
            <w:tcW w:w="748" w:type="pct"/>
            <w:tcBorders>
              <w:top w:val="single" w:color="auto" w:sz="4" w:space="0"/>
              <w:left w:val="single" w:color="auto" w:sz="4" w:space="0"/>
              <w:bottom w:val="single" w:color="auto" w:sz="4" w:space="0"/>
              <w:right w:val="single" w:color="auto"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社会保障和就业支出</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228.33</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219.86</w:t>
            </w:r>
          </w:p>
        </w:tc>
        <w:tc>
          <w:tcPr>
            <w:tcW w:w="1213"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8.46</w:t>
            </w:r>
          </w:p>
        </w:tc>
      </w:tr>
      <w:tr>
        <w:tblPrEx>
          <w:tblCellMar>
            <w:top w:w="0" w:type="dxa"/>
            <w:left w:w="108" w:type="dxa"/>
            <w:bottom w:w="0" w:type="dxa"/>
            <w:right w:w="108" w:type="dxa"/>
          </w:tblCellMar>
        </w:tblPrEx>
        <w:trPr>
          <w:trHeight w:val="308" w:hRule="atLeast"/>
        </w:trPr>
        <w:tc>
          <w:tcPr>
            <w:tcW w:w="698" w:type="pct"/>
            <w:tcBorders>
              <w:top w:val="single" w:color="auto" w:sz="4" w:space="0"/>
              <w:left w:val="single" w:color="auto" w:sz="4" w:space="0"/>
              <w:bottom w:val="single" w:color="auto" w:sz="4" w:space="0"/>
              <w:right w:val="single" w:color="auto"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20805</w:t>
            </w:r>
          </w:p>
        </w:tc>
        <w:tc>
          <w:tcPr>
            <w:tcW w:w="748" w:type="pct"/>
            <w:tcBorders>
              <w:top w:val="single" w:color="auto" w:sz="4" w:space="0"/>
              <w:left w:val="single" w:color="auto" w:sz="4" w:space="0"/>
              <w:bottom w:val="single" w:color="auto" w:sz="4" w:space="0"/>
              <w:right w:val="single" w:color="auto"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行政事业单位养老支出</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219.86</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219.86</w:t>
            </w:r>
          </w:p>
        </w:tc>
        <w:tc>
          <w:tcPr>
            <w:tcW w:w="1213"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308" w:hRule="atLeast"/>
        </w:trPr>
        <w:tc>
          <w:tcPr>
            <w:tcW w:w="698" w:type="pct"/>
            <w:tcBorders>
              <w:top w:val="single" w:color="auto" w:sz="4" w:space="0"/>
              <w:left w:val="single" w:color="auto" w:sz="4" w:space="0"/>
              <w:bottom w:val="single" w:color="auto" w:sz="4" w:space="0"/>
              <w:right w:val="single" w:color="auto"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2080501</w:t>
            </w:r>
          </w:p>
        </w:tc>
        <w:tc>
          <w:tcPr>
            <w:tcW w:w="748" w:type="pct"/>
            <w:tcBorders>
              <w:top w:val="single" w:color="auto" w:sz="4" w:space="0"/>
              <w:left w:val="single" w:color="auto" w:sz="4" w:space="0"/>
              <w:bottom w:val="single" w:color="auto" w:sz="4" w:space="0"/>
              <w:right w:val="single" w:color="auto"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行政单位离退休</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180.93</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180.93</w:t>
            </w:r>
          </w:p>
        </w:tc>
        <w:tc>
          <w:tcPr>
            <w:tcW w:w="1213"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308" w:hRule="atLeast"/>
        </w:trPr>
        <w:tc>
          <w:tcPr>
            <w:tcW w:w="698" w:type="pct"/>
            <w:tcBorders>
              <w:top w:val="single" w:color="auto" w:sz="4" w:space="0"/>
              <w:left w:val="single" w:color="auto" w:sz="4" w:space="0"/>
              <w:bottom w:val="single" w:color="auto" w:sz="4" w:space="0"/>
              <w:right w:val="single" w:color="auto"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2080505</w:t>
            </w:r>
          </w:p>
        </w:tc>
        <w:tc>
          <w:tcPr>
            <w:tcW w:w="748" w:type="pct"/>
            <w:tcBorders>
              <w:top w:val="single" w:color="auto" w:sz="4" w:space="0"/>
              <w:left w:val="single" w:color="auto" w:sz="4" w:space="0"/>
              <w:bottom w:val="single" w:color="auto" w:sz="4" w:space="0"/>
              <w:right w:val="single" w:color="auto"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机关事业单位基本养老保险缴费支出</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38.94</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38.94</w:t>
            </w:r>
          </w:p>
        </w:tc>
        <w:tc>
          <w:tcPr>
            <w:tcW w:w="1213"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308" w:hRule="atLeast"/>
        </w:trPr>
        <w:tc>
          <w:tcPr>
            <w:tcW w:w="698" w:type="pct"/>
            <w:tcBorders>
              <w:top w:val="single" w:color="auto" w:sz="4" w:space="0"/>
              <w:left w:val="single" w:color="auto" w:sz="4" w:space="0"/>
              <w:bottom w:val="single" w:color="auto" w:sz="4" w:space="0"/>
              <w:right w:val="single" w:color="auto"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20809</w:t>
            </w:r>
          </w:p>
        </w:tc>
        <w:tc>
          <w:tcPr>
            <w:tcW w:w="748" w:type="pct"/>
            <w:tcBorders>
              <w:top w:val="single" w:color="auto" w:sz="4" w:space="0"/>
              <w:left w:val="single" w:color="auto" w:sz="4" w:space="0"/>
              <w:bottom w:val="single" w:color="auto" w:sz="4" w:space="0"/>
              <w:right w:val="single" w:color="auto"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退役安置</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8.46</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c>
          <w:tcPr>
            <w:tcW w:w="1213"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8.46</w:t>
            </w:r>
          </w:p>
        </w:tc>
      </w:tr>
      <w:tr>
        <w:tblPrEx>
          <w:tblCellMar>
            <w:top w:w="0" w:type="dxa"/>
            <w:left w:w="108" w:type="dxa"/>
            <w:bottom w:w="0" w:type="dxa"/>
            <w:right w:w="108" w:type="dxa"/>
          </w:tblCellMar>
        </w:tblPrEx>
        <w:trPr>
          <w:trHeight w:val="308" w:hRule="atLeast"/>
        </w:trPr>
        <w:tc>
          <w:tcPr>
            <w:tcW w:w="698" w:type="pct"/>
            <w:tcBorders>
              <w:top w:val="single" w:color="auto" w:sz="4" w:space="0"/>
              <w:left w:val="single" w:color="auto" w:sz="4" w:space="0"/>
              <w:bottom w:val="single" w:color="auto" w:sz="4" w:space="0"/>
              <w:right w:val="single" w:color="auto"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2080901</w:t>
            </w:r>
          </w:p>
        </w:tc>
        <w:tc>
          <w:tcPr>
            <w:tcW w:w="748" w:type="pct"/>
            <w:tcBorders>
              <w:top w:val="single" w:color="auto" w:sz="4" w:space="0"/>
              <w:left w:val="single" w:color="auto" w:sz="4" w:space="0"/>
              <w:bottom w:val="single" w:color="auto" w:sz="4" w:space="0"/>
              <w:right w:val="single" w:color="auto"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退役士兵安置</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8.46</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c>
          <w:tcPr>
            <w:tcW w:w="1213"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8.46</w:t>
            </w:r>
          </w:p>
        </w:tc>
      </w:tr>
      <w:tr>
        <w:tblPrEx>
          <w:tblCellMar>
            <w:top w:w="0" w:type="dxa"/>
            <w:left w:w="108" w:type="dxa"/>
            <w:bottom w:w="0" w:type="dxa"/>
            <w:right w:w="108" w:type="dxa"/>
          </w:tblCellMar>
        </w:tblPrEx>
        <w:trPr>
          <w:trHeight w:val="308" w:hRule="atLeast"/>
        </w:trPr>
        <w:tc>
          <w:tcPr>
            <w:tcW w:w="698" w:type="pct"/>
            <w:tcBorders>
              <w:top w:val="single" w:color="auto" w:sz="4" w:space="0"/>
              <w:left w:val="single" w:color="auto" w:sz="4" w:space="0"/>
              <w:bottom w:val="single" w:color="auto" w:sz="4" w:space="0"/>
              <w:right w:val="single" w:color="auto"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210</w:t>
            </w:r>
          </w:p>
        </w:tc>
        <w:tc>
          <w:tcPr>
            <w:tcW w:w="748" w:type="pct"/>
            <w:tcBorders>
              <w:top w:val="single" w:color="auto" w:sz="4" w:space="0"/>
              <w:left w:val="single" w:color="auto" w:sz="4" w:space="0"/>
              <w:bottom w:val="single" w:color="auto" w:sz="4" w:space="0"/>
              <w:right w:val="single" w:color="auto"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卫生健康支出</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28.69</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28.69</w:t>
            </w:r>
          </w:p>
        </w:tc>
        <w:tc>
          <w:tcPr>
            <w:tcW w:w="1213"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308" w:hRule="atLeast"/>
        </w:trPr>
        <w:tc>
          <w:tcPr>
            <w:tcW w:w="698" w:type="pct"/>
            <w:tcBorders>
              <w:top w:val="single" w:color="auto" w:sz="4" w:space="0"/>
              <w:left w:val="single" w:color="auto" w:sz="4" w:space="0"/>
              <w:bottom w:val="single" w:color="auto" w:sz="4" w:space="0"/>
              <w:right w:val="single" w:color="auto"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21011</w:t>
            </w:r>
          </w:p>
        </w:tc>
        <w:tc>
          <w:tcPr>
            <w:tcW w:w="748" w:type="pct"/>
            <w:tcBorders>
              <w:top w:val="single" w:color="auto" w:sz="4" w:space="0"/>
              <w:left w:val="single" w:color="auto" w:sz="4" w:space="0"/>
              <w:bottom w:val="single" w:color="auto" w:sz="4" w:space="0"/>
              <w:right w:val="single" w:color="auto"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行政事业单位医疗</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28.69</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28.69</w:t>
            </w:r>
          </w:p>
        </w:tc>
        <w:tc>
          <w:tcPr>
            <w:tcW w:w="1213"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308" w:hRule="atLeast"/>
        </w:trPr>
        <w:tc>
          <w:tcPr>
            <w:tcW w:w="698" w:type="pct"/>
            <w:tcBorders>
              <w:top w:val="single" w:color="auto" w:sz="4" w:space="0"/>
              <w:left w:val="single" w:color="auto" w:sz="4" w:space="0"/>
              <w:bottom w:val="single" w:color="auto" w:sz="4" w:space="0"/>
              <w:right w:val="single" w:color="auto"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2101101</w:t>
            </w:r>
          </w:p>
        </w:tc>
        <w:tc>
          <w:tcPr>
            <w:tcW w:w="748" w:type="pct"/>
            <w:tcBorders>
              <w:top w:val="single" w:color="auto" w:sz="4" w:space="0"/>
              <w:left w:val="single" w:color="auto" w:sz="4" w:space="0"/>
              <w:bottom w:val="single" w:color="auto" w:sz="4" w:space="0"/>
              <w:right w:val="single" w:color="auto"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行政单位医疗</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28.69</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28.69</w:t>
            </w:r>
          </w:p>
        </w:tc>
        <w:tc>
          <w:tcPr>
            <w:tcW w:w="1213"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308" w:hRule="atLeast"/>
        </w:trPr>
        <w:tc>
          <w:tcPr>
            <w:tcW w:w="698" w:type="pct"/>
            <w:tcBorders>
              <w:top w:val="single" w:color="auto" w:sz="4" w:space="0"/>
              <w:left w:val="single" w:color="auto" w:sz="4" w:space="0"/>
              <w:bottom w:val="single" w:color="auto" w:sz="4" w:space="0"/>
              <w:right w:val="single" w:color="auto"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221</w:t>
            </w:r>
          </w:p>
        </w:tc>
        <w:tc>
          <w:tcPr>
            <w:tcW w:w="748" w:type="pct"/>
            <w:tcBorders>
              <w:top w:val="single" w:color="auto" w:sz="4" w:space="0"/>
              <w:left w:val="single" w:color="auto" w:sz="4" w:space="0"/>
              <w:bottom w:val="single" w:color="auto" w:sz="4" w:space="0"/>
              <w:right w:val="single" w:color="auto"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住房保障支出</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39.91</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39.91</w:t>
            </w:r>
          </w:p>
        </w:tc>
        <w:tc>
          <w:tcPr>
            <w:tcW w:w="1213"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308" w:hRule="atLeast"/>
        </w:trPr>
        <w:tc>
          <w:tcPr>
            <w:tcW w:w="698" w:type="pct"/>
            <w:tcBorders>
              <w:top w:val="single" w:color="auto" w:sz="4" w:space="0"/>
              <w:left w:val="single" w:color="auto" w:sz="4" w:space="0"/>
              <w:bottom w:val="single" w:color="auto" w:sz="4" w:space="0"/>
              <w:right w:val="single" w:color="auto"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22102</w:t>
            </w:r>
          </w:p>
        </w:tc>
        <w:tc>
          <w:tcPr>
            <w:tcW w:w="748" w:type="pct"/>
            <w:tcBorders>
              <w:top w:val="single" w:color="auto" w:sz="4" w:space="0"/>
              <w:left w:val="single" w:color="auto" w:sz="4" w:space="0"/>
              <w:bottom w:val="single" w:color="auto" w:sz="4" w:space="0"/>
              <w:right w:val="single" w:color="auto"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住房改革支出</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39.91</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39.91</w:t>
            </w:r>
          </w:p>
        </w:tc>
        <w:tc>
          <w:tcPr>
            <w:tcW w:w="1213"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308" w:hRule="atLeast"/>
        </w:trPr>
        <w:tc>
          <w:tcPr>
            <w:tcW w:w="698" w:type="pct"/>
            <w:tcBorders>
              <w:top w:val="single" w:color="auto" w:sz="4" w:space="0"/>
              <w:left w:val="single" w:color="auto" w:sz="4" w:space="0"/>
              <w:bottom w:val="single" w:color="auto" w:sz="4" w:space="0"/>
              <w:right w:val="single" w:color="auto"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2210201</w:t>
            </w:r>
          </w:p>
        </w:tc>
        <w:tc>
          <w:tcPr>
            <w:tcW w:w="748" w:type="pct"/>
            <w:tcBorders>
              <w:top w:val="single" w:color="auto" w:sz="4" w:space="0"/>
              <w:left w:val="single" w:color="auto" w:sz="4" w:space="0"/>
              <w:bottom w:val="single" w:color="auto" w:sz="4" w:space="0"/>
              <w:right w:val="single" w:color="auto"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住房公积金</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39.91</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39.91</w:t>
            </w:r>
          </w:p>
        </w:tc>
        <w:tc>
          <w:tcPr>
            <w:tcW w:w="1213"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308" w:hRule="atLeast"/>
        </w:trPr>
        <w:tc>
          <w:tcPr>
            <w:tcW w:w="5000" w:type="pct"/>
            <w:gridSpan w:val="7"/>
            <w:tcBorders>
              <w:top w:val="single" w:color="auto" w:sz="4" w:space="0"/>
              <w:left w:val="nil"/>
              <w:bottom w:val="nil"/>
              <w:right w:val="nil"/>
            </w:tcBorders>
            <w:noWrap/>
            <w:vAlign w:val="center"/>
          </w:tcPr>
          <w:p>
            <w:pPr>
              <w:widowControl/>
              <w:jc w:val="left"/>
              <w:textAlignment w:val="center"/>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lang w:bidi="ar"/>
              </w:rPr>
              <w:t>注：本表反映部门本年度一般公共预算财政拨款支出情况。</w:t>
            </w:r>
          </w:p>
        </w:tc>
      </w:tr>
    </w:tbl>
    <w:p>
      <w:pPr>
        <w:rPr>
          <w:rFonts w:ascii="仿宋_GB2312" w:hAnsi="宋体" w:eastAsia="仿宋_GB2312"/>
          <w:b/>
          <w:sz w:val="32"/>
          <w:szCs w:val="32"/>
        </w:rPr>
      </w:pPr>
      <w:r>
        <w:rPr>
          <w:rFonts w:hint="eastAsia" w:ascii="仿宋_GB2312" w:hAnsi="宋体" w:eastAsia="仿宋_GB2312"/>
          <w:b/>
          <w:sz w:val="32"/>
          <w:szCs w:val="32"/>
        </w:rPr>
        <w:br w:type="page"/>
      </w:r>
    </w:p>
    <w:tbl>
      <w:tblPr>
        <w:tblStyle w:val="11"/>
        <w:tblW w:w="7050" w:type="pct"/>
        <w:tblInd w:w="-1617" w:type="dxa"/>
        <w:tblLayout w:type="fixed"/>
        <w:tblCellMar>
          <w:top w:w="0" w:type="dxa"/>
          <w:left w:w="108" w:type="dxa"/>
          <w:bottom w:w="0" w:type="dxa"/>
          <w:right w:w="108" w:type="dxa"/>
        </w:tblCellMar>
      </w:tblPr>
      <w:tblGrid>
        <w:gridCol w:w="963"/>
        <w:gridCol w:w="1813"/>
        <w:gridCol w:w="1018"/>
        <w:gridCol w:w="964"/>
        <w:gridCol w:w="440"/>
        <w:gridCol w:w="1372"/>
        <w:gridCol w:w="589"/>
        <w:gridCol w:w="374"/>
        <w:gridCol w:w="964"/>
        <w:gridCol w:w="1816"/>
        <w:gridCol w:w="1023"/>
      </w:tblGrid>
      <w:tr>
        <w:tblPrEx>
          <w:tblCellMar>
            <w:top w:w="0" w:type="dxa"/>
            <w:left w:w="108" w:type="dxa"/>
            <w:bottom w:w="0" w:type="dxa"/>
            <w:right w:w="108" w:type="dxa"/>
          </w:tblCellMar>
        </w:tblPrEx>
        <w:trPr>
          <w:trHeight w:val="624" w:hRule="atLeast"/>
        </w:trPr>
        <w:tc>
          <w:tcPr>
            <w:tcW w:w="5000" w:type="pct"/>
            <w:gridSpan w:val="11"/>
            <w:tcBorders>
              <w:top w:val="nil"/>
              <w:left w:val="nil"/>
              <w:bottom w:val="nil"/>
              <w:right w:val="nil"/>
            </w:tcBorders>
            <w:noWrap/>
            <w:vAlign w:val="bottom"/>
          </w:tcPr>
          <w:p>
            <w:pPr>
              <w:widowControl/>
              <w:jc w:val="center"/>
              <w:textAlignment w:val="bottom"/>
              <w:rPr>
                <w:rFonts w:asciiTheme="minorEastAsia" w:hAnsiTheme="minorEastAsia" w:cstheme="minorEastAsia"/>
                <w:color w:val="000000"/>
                <w:sz w:val="18"/>
                <w:szCs w:val="18"/>
              </w:rPr>
            </w:pPr>
            <w:r>
              <w:rPr>
                <w:rFonts w:hint="eastAsia" w:ascii="方正仿宋_GB2312" w:hAnsi="方正仿宋_GB2312" w:eastAsia="方正仿宋_GB2312" w:cs="方正仿宋_GB2312"/>
                <w:bCs/>
                <w:sz w:val="32"/>
                <w:szCs w:val="32"/>
              </w:rPr>
              <w:t>一般公共预算财政拨款基本支出决算表</w:t>
            </w:r>
          </w:p>
        </w:tc>
      </w:tr>
      <w:tr>
        <w:tblPrEx>
          <w:tblCellMar>
            <w:top w:w="0" w:type="dxa"/>
            <w:left w:w="108" w:type="dxa"/>
            <w:bottom w:w="0" w:type="dxa"/>
            <w:right w:w="108" w:type="dxa"/>
          </w:tblCellMar>
        </w:tblPrEx>
        <w:trPr>
          <w:trHeight w:val="300" w:hRule="atLeast"/>
        </w:trPr>
        <w:tc>
          <w:tcPr>
            <w:tcW w:w="5000" w:type="pct"/>
            <w:gridSpan w:val="11"/>
            <w:tcBorders>
              <w:top w:val="nil"/>
              <w:left w:val="nil"/>
              <w:bottom w:val="nil"/>
              <w:right w:val="nil"/>
            </w:tcBorders>
            <w:noWrap/>
            <w:vAlign w:val="bottom"/>
          </w:tcPr>
          <w:p>
            <w:pPr>
              <w:widowControl/>
              <w:jc w:val="right"/>
              <w:textAlignment w:val="bottom"/>
              <w:rPr>
                <w:rFonts w:asciiTheme="minorEastAsia" w:hAnsiTheme="minorEastAsia" w:cstheme="minorEastAsia"/>
                <w:color w:val="000000"/>
                <w:sz w:val="18"/>
                <w:szCs w:val="18"/>
              </w:rPr>
            </w:pPr>
            <w:r>
              <w:rPr>
                <w:rFonts w:hint="eastAsia" w:ascii="方正仿宋_GB2312" w:hAnsi="方正仿宋_GB2312" w:eastAsia="方正仿宋_GB2312" w:cs="方正仿宋_GB2312"/>
                <w:color w:val="000000"/>
                <w:sz w:val="18"/>
                <w:szCs w:val="18"/>
                <w:lang w:bidi="ar"/>
              </w:rPr>
              <w:t>公开</w:t>
            </w:r>
            <w:r>
              <w:rPr>
                <w:rFonts w:ascii="Times New Roman" w:hAnsi="Times New Roman" w:eastAsia="方正仿宋_GB2312" w:cs="Times New Roman"/>
                <w:color w:val="000000"/>
                <w:sz w:val="18"/>
                <w:szCs w:val="18"/>
                <w:lang w:bidi="ar"/>
              </w:rPr>
              <w:t>06</w:t>
            </w:r>
            <w:r>
              <w:rPr>
                <w:rFonts w:hint="eastAsia" w:ascii="方正仿宋_GB2312" w:hAnsi="方正仿宋_GB2312" w:eastAsia="方正仿宋_GB2312" w:cs="方正仿宋_GB2312"/>
                <w:color w:val="000000"/>
                <w:sz w:val="18"/>
                <w:szCs w:val="18"/>
                <w:lang w:bidi="ar"/>
              </w:rPr>
              <w:t>表</w:t>
            </w:r>
          </w:p>
        </w:tc>
      </w:tr>
      <w:tr>
        <w:tblPrEx>
          <w:tblCellMar>
            <w:top w:w="0" w:type="dxa"/>
            <w:left w:w="108" w:type="dxa"/>
            <w:bottom w:w="0" w:type="dxa"/>
            <w:right w:w="108" w:type="dxa"/>
          </w:tblCellMar>
        </w:tblPrEx>
        <w:trPr>
          <w:trHeight w:val="90" w:hRule="atLeast"/>
        </w:trPr>
        <w:tc>
          <w:tcPr>
            <w:tcW w:w="2293" w:type="pct"/>
            <w:gridSpan w:val="5"/>
            <w:tcBorders>
              <w:top w:val="nil"/>
              <w:left w:val="nil"/>
              <w:bottom w:val="single" w:color="auto" w:sz="4" w:space="0"/>
              <w:right w:val="nil"/>
            </w:tcBorders>
            <w:noWrap/>
            <w:vAlign w:val="bottom"/>
          </w:tcPr>
          <w:p>
            <w:pPr>
              <w:rPr>
                <w:rFonts w:asciiTheme="minorEastAsia" w:hAnsiTheme="minorEastAsia" w:cstheme="minorEastAsia"/>
                <w:color w:val="000000"/>
                <w:sz w:val="18"/>
                <w:szCs w:val="18"/>
              </w:rPr>
            </w:pPr>
            <w:r>
              <w:rPr>
                <w:rFonts w:hint="eastAsia" w:ascii="方正仿宋_GB2312" w:hAnsi="方正仿宋_GB2312" w:eastAsia="方正仿宋_GB2312" w:cs="方正仿宋_GB2312"/>
                <w:color w:val="000000"/>
                <w:sz w:val="18"/>
                <w:szCs w:val="18"/>
                <w:lang w:bidi="ar"/>
              </w:rPr>
              <w:t xml:space="preserve">编制部门（单位）：中国人民政治协商会议河北省石家庄市鹿泉区委员会(本级) </w:t>
            </w:r>
            <w:r>
              <w:rPr>
                <w:rFonts w:hint="eastAsia" w:asciiTheme="minorEastAsia" w:hAnsiTheme="minorEastAsia" w:cstheme="minorEastAsia"/>
                <w:color w:val="000000"/>
                <w:sz w:val="18"/>
                <w:szCs w:val="18"/>
                <w:lang w:bidi="ar"/>
              </w:rPr>
              <w:t xml:space="preserve">                                                                   </w:t>
            </w:r>
          </w:p>
        </w:tc>
        <w:tc>
          <w:tcPr>
            <w:tcW w:w="865" w:type="pct"/>
            <w:gridSpan w:val="2"/>
            <w:tcBorders>
              <w:top w:val="nil"/>
              <w:left w:val="nil"/>
              <w:bottom w:val="single" w:color="auto" w:sz="4" w:space="0"/>
              <w:right w:val="nil"/>
            </w:tcBorders>
            <w:noWrap/>
            <w:vAlign w:val="bottom"/>
          </w:tcPr>
          <w:p>
            <w:pPr>
              <w:jc w:val="center"/>
              <w:rPr>
                <w:rFonts w:asciiTheme="minorEastAsia" w:hAnsiTheme="minorEastAsia" w:cstheme="minorEastAsia"/>
                <w:color w:val="000000"/>
                <w:sz w:val="18"/>
                <w:szCs w:val="18"/>
                <w:lang w:bidi="ar"/>
              </w:rPr>
            </w:pPr>
            <w:r>
              <w:rPr>
                <w:rFonts w:hint="eastAsia" w:asciiTheme="minorEastAsia" w:hAnsiTheme="minorEastAsia" w:cstheme="minorEastAsia"/>
                <w:color w:val="000000"/>
                <w:sz w:val="18"/>
                <w:szCs w:val="18"/>
                <w:lang w:bidi="ar"/>
              </w:rPr>
              <w:t>2023</w:t>
            </w:r>
            <w:r>
              <w:rPr>
                <w:rFonts w:hint="eastAsia" w:ascii="方正仿宋_GB2312" w:hAnsi="方正仿宋_GB2312" w:eastAsia="方正仿宋_GB2312" w:cs="方正仿宋_GB2312"/>
                <w:color w:val="000000"/>
                <w:sz w:val="18"/>
                <w:szCs w:val="18"/>
                <w:lang w:bidi="ar"/>
              </w:rPr>
              <w:t>年度</w:t>
            </w:r>
          </w:p>
        </w:tc>
        <w:tc>
          <w:tcPr>
            <w:tcW w:w="1841" w:type="pct"/>
            <w:gridSpan w:val="4"/>
            <w:tcBorders>
              <w:top w:val="nil"/>
              <w:left w:val="nil"/>
              <w:bottom w:val="single" w:color="auto" w:sz="4" w:space="0"/>
              <w:right w:val="nil"/>
            </w:tcBorders>
            <w:noWrap/>
            <w:vAlign w:val="bottom"/>
          </w:tcPr>
          <w:p>
            <w:pPr>
              <w:jc w:val="right"/>
              <w:rPr>
                <w:rFonts w:asciiTheme="minorEastAsia" w:hAnsiTheme="minorEastAsia" w:cstheme="minorEastAsia"/>
                <w:color w:val="000000"/>
                <w:sz w:val="18"/>
                <w:szCs w:val="18"/>
                <w:lang w:bidi="ar"/>
              </w:rPr>
            </w:pPr>
            <w:r>
              <w:rPr>
                <w:rFonts w:hint="eastAsia" w:ascii="方正仿宋_GB2312" w:hAnsi="方正仿宋_GB2312" w:eastAsia="方正仿宋_GB2312" w:cs="方正仿宋_GB2312"/>
                <w:color w:val="000000"/>
                <w:sz w:val="18"/>
                <w:szCs w:val="18"/>
                <w:lang w:bidi="ar"/>
              </w:rPr>
              <w:t>金额单位：万元</w:t>
            </w:r>
          </w:p>
        </w:tc>
      </w:tr>
      <w:tr>
        <w:tblPrEx>
          <w:tblCellMar>
            <w:top w:w="0" w:type="dxa"/>
            <w:left w:w="108" w:type="dxa"/>
            <w:bottom w:w="0" w:type="dxa"/>
            <w:right w:w="108" w:type="dxa"/>
          </w:tblCellMar>
        </w:tblPrEx>
        <w:trPr>
          <w:trHeight w:val="510" w:hRule="atLeast"/>
        </w:trPr>
        <w:tc>
          <w:tcPr>
            <w:tcW w:w="1674" w:type="pct"/>
            <w:gridSpan w:val="3"/>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人员经费</w:t>
            </w:r>
          </w:p>
        </w:tc>
        <w:tc>
          <w:tcPr>
            <w:tcW w:w="3325" w:type="pct"/>
            <w:gridSpan w:val="8"/>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公用经费</w:t>
            </w:r>
          </w:p>
        </w:tc>
      </w:tr>
      <w:tr>
        <w:trPr>
          <w:trHeight w:val="510" w:hRule="atLeast"/>
        </w:trPr>
        <w:tc>
          <w:tcPr>
            <w:tcW w:w="425" w:type="pct"/>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科目代码</w:t>
            </w:r>
          </w:p>
        </w:tc>
        <w:tc>
          <w:tcPr>
            <w:tcW w:w="799"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科目名称</w:t>
            </w:r>
          </w:p>
        </w:tc>
        <w:tc>
          <w:tcPr>
            <w:tcW w:w="449"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金额</w:t>
            </w:r>
          </w:p>
        </w:tc>
        <w:tc>
          <w:tcPr>
            <w:tcW w:w="425" w:type="pct"/>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科目代码</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科目名称</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金额</w:t>
            </w:r>
          </w:p>
        </w:tc>
        <w:tc>
          <w:tcPr>
            <w:tcW w:w="425" w:type="pct"/>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科目代码</w:t>
            </w:r>
          </w:p>
        </w:tc>
        <w:tc>
          <w:tcPr>
            <w:tcW w:w="799"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科目名称</w:t>
            </w:r>
          </w:p>
        </w:tc>
        <w:tc>
          <w:tcPr>
            <w:tcW w:w="449"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金额</w:t>
            </w:r>
          </w:p>
        </w:tc>
      </w:tr>
      <w:tr>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301</w:t>
            </w:r>
          </w:p>
        </w:tc>
        <w:tc>
          <w:tcPr>
            <w:tcW w:w="799" w:type="pct"/>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工资福利支出</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asciiTheme="minorEastAsia" w:hAnsiTheme="minorEastAsia" w:cstheme="minorEastAsia"/>
                <w:color w:val="000000"/>
                <w:sz w:val="18"/>
                <w:szCs w:val="18"/>
              </w:rPr>
            </w:pPr>
            <w:r>
              <w:rPr>
                <w:rFonts w:hint="eastAsia" w:ascii="Times New Roman" w:hAnsi="Times New Roman" w:cs="Times New Roman"/>
                <w:sz w:val="18"/>
                <w:szCs w:val="18"/>
              </w:rPr>
              <w:t>426.61</w:t>
            </w:r>
          </w:p>
        </w:tc>
        <w:tc>
          <w:tcPr>
            <w:tcW w:w="425"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商品和服务支出</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heme="minorEastAsia" w:hAnsiTheme="minorEastAsia" w:cstheme="minorEastAsia"/>
                <w:color w:val="000000"/>
                <w:sz w:val="18"/>
                <w:szCs w:val="18"/>
              </w:rPr>
            </w:pPr>
            <w:r>
              <w:rPr>
                <w:rFonts w:hint="eastAsia" w:ascii="Times New Roman" w:hAnsi="Times New Roman" w:cs="Times New Roman"/>
                <w:sz w:val="18"/>
                <w:szCs w:val="18"/>
              </w:rPr>
              <w:t>139.72</w:t>
            </w:r>
          </w:p>
        </w:tc>
        <w:tc>
          <w:tcPr>
            <w:tcW w:w="425"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307</w:t>
            </w:r>
          </w:p>
        </w:tc>
        <w:tc>
          <w:tcPr>
            <w:tcW w:w="799" w:type="pct"/>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债务利息及费用支出</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sz w:val="18"/>
                <w:szCs w:val="18"/>
              </w:rPr>
            </w:pPr>
          </w:p>
        </w:tc>
      </w:tr>
      <w:tr>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30101</w:t>
            </w:r>
          </w:p>
        </w:tc>
        <w:tc>
          <w:tcPr>
            <w:tcW w:w="799" w:type="pct"/>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 xml:space="preserve">  基本工资</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asciiTheme="minorEastAsia" w:hAnsiTheme="minorEastAsia" w:cstheme="minorEastAsia"/>
                <w:color w:val="000000"/>
                <w:sz w:val="18"/>
                <w:szCs w:val="18"/>
              </w:rPr>
            </w:pPr>
            <w:r>
              <w:rPr>
                <w:rFonts w:hint="eastAsia" w:ascii="Times New Roman" w:hAnsi="Times New Roman" w:cs="Times New Roman"/>
                <w:sz w:val="18"/>
                <w:szCs w:val="18"/>
              </w:rPr>
              <w:t>154.27</w:t>
            </w:r>
          </w:p>
        </w:tc>
        <w:tc>
          <w:tcPr>
            <w:tcW w:w="425"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30201</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办公费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sz w:val="18"/>
                <w:szCs w:val="18"/>
              </w:rPr>
            </w:pPr>
            <w:r>
              <w:rPr>
                <w:rFonts w:hint="eastAsia" w:ascii="Times New Roman" w:hAnsi="Times New Roman" w:cs="Times New Roman"/>
                <w:sz w:val="18"/>
                <w:szCs w:val="18"/>
              </w:rPr>
              <w:t>10.88</w:t>
            </w:r>
          </w:p>
        </w:tc>
        <w:tc>
          <w:tcPr>
            <w:tcW w:w="425"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30701</w:t>
            </w:r>
          </w:p>
        </w:tc>
        <w:tc>
          <w:tcPr>
            <w:tcW w:w="799" w:type="pct"/>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国内债务付息</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sz w:val="18"/>
                <w:szCs w:val="18"/>
              </w:rPr>
            </w:pPr>
          </w:p>
        </w:tc>
      </w:tr>
      <w:tr>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30102</w:t>
            </w:r>
          </w:p>
        </w:tc>
        <w:tc>
          <w:tcPr>
            <w:tcW w:w="799" w:type="pct"/>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 xml:space="preserve">  津贴补贴</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asciiTheme="minorEastAsia" w:hAnsiTheme="minorEastAsia" w:cstheme="minorEastAsia"/>
                <w:color w:val="000000"/>
                <w:sz w:val="18"/>
                <w:szCs w:val="18"/>
              </w:rPr>
            </w:pPr>
            <w:r>
              <w:rPr>
                <w:rFonts w:hint="eastAsia" w:ascii="Times New Roman" w:hAnsi="Times New Roman" w:cs="Times New Roman"/>
                <w:sz w:val="18"/>
                <w:szCs w:val="18"/>
              </w:rPr>
              <w:t>66.98</w:t>
            </w:r>
          </w:p>
        </w:tc>
        <w:tc>
          <w:tcPr>
            <w:tcW w:w="425"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30202</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印刷费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30702</w:t>
            </w:r>
          </w:p>
        </w:tc>
        <w:tc>
          <w:tcPr>
            <w:tcW w:w="799" w:type="pct"/>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国外债务付息</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sz w:val="18"/>
                <w:szCs w:val="18"/>
              </w:rPr>
            </w:pPr>
          </w:p>
        </w:tc>
      </w:tr>
      <w:tr>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30103</w:t>
            </w:r>
          </w:p>
        </w:tc>
        <w:tc>
          <w:tcPr>
            <w:tcW w:w="799" w:type="pct"/>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 xml:space="preserve">  奖金</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asciiTheme="minorEastAsia" w:hAnsiTheme="minorEastAsia" w:cstheme="minorEastAsia"/>
                <w:color w:val="000000"/>
                <w:sz w:val="18"/>
                <w:szCs w:val="18"/>
              </w:rPr>
            </w:pPr>
            <w:r>
              <w:rPr>
                <w:rFonts w:hint="eastAsia" w:ascii="Times New Roman" w:hAnsi="Times New Roman" w:cs="Times New Roman"/>
                <w:sz w:val="18"/>
                <w:szCs w:val="18"/>
              </w:rPr>
              <w:t>87.07</w:t>
            </w:r>
          </w:p>
        </w:tc>
        <w:tc>
          <w:tcPr>
            <w:tcW w:w="425"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30203</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咨询费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310</w:t>
            </w:r>
          </w:p>
        </w:tc>
        <w:tc>
          <w:tcPr>
            <w:tcW w:w="799" w:type="pct"/>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资本性支出</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sz w:val="18"/>
                <w:szCs w:val="18"/>
              </w:rPr>
            </w:pPr>
            <w:r>
              <w:rPr>
                <w:rFonts w:hint="eastAsia" w:ascii="Times New Roman" w:hAnsi="Times New Roman" w:cs="Times New Roman"/>
                <w:sz w:val="18"/>
                <w:szCs w:val="18"/>
              </w:rPr>
              <w:t>0.52</w:t>
            </w:r>
          </w:p>
        </w:tc>
      </w:tr>
      <w:tr>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30106</w:t>
            </w:r>
          </w:p>
        </w:tc>
        <w:tc>
          <w:tcPr>
            <w:tcW w:w="799" w:type="pct"/>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 xml:space="preserve">  伙食补助费</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asciiTheme="minorEastAsia" w:hAnsiTheme="minorEastAsia" w:cstheme="minorEastAsia"/>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30204</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手续费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31001</w:t>
            </w:r>
          </w:p>
        </w:tc>
        <w:tc>
          <w:tcPr>
            <w:tcW w:w="799" w:type="pct"/>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房屋建筑物购建</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sz w:val="18"/>
                <w:szCs w:val="18"/>
              </w:rPr>
            </w:pPr>
          </w:p>
        </w:tc>
      </w:tr>
      <w:tr>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30107</w:t>
            </w:r>
          </w:p>
        </w:tc>
        <w:tc>
          <w:tcPr>
            <w:tcW w:w="799" w:type="pct"/>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 xml:space="preserve">  绩效工资</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asciiTheme="minorEastAsia" w:hAnsiTheme="minorEastAsia" w:cstheme="minorEastAsia"/>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30205</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水费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31002</w:t>
            </w:r>
          </w:p>
        </w:tc>
        <w:tc>
          <w:tcPr>
            <w:tcW w:w="799" w:type="pct"/>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办公设备购置</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sz w:val="18"/>
                <w:szCs w:val="18"/>
              </w:rPr>
            </w:pPr>
            <w:r>
              <w:rPr>
                <w:rFonts w:hint="eastAsia" w:ascii="Times New Roman" w:hAnsi="Times New Roman" w:cs="Times New Roman"/>
                <w:sz w:val="18"/>
                <w:szCs w:val="18"/>
              </w:rPr>
              <w:t>0.52</w:t>
            </w:r>
          </w:p>
        </w:tc>
      </w:tr>
      <w:tr>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30108</w:t>
            </w:r>
          </w:p>
        </w:tc>
        <w:tc>
          <w:tcPr>
            <w:tcW w:w="799" w:type="pct"/>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机关事业单位基本养老保险缴费</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sz w:val="18"/>
                <w:szCs w:val="18"/>
              </w:rPr>
            </w:pPr>
            <w:r>
              <w:rPr>
                <w:rFonts w:hint="eastAsia" w:ascii="Times New Roman" w:hAnsi="Times New Roman" w:cs="Times New Roman"/>
                <w:sz w:val="18"/>
                <w:szCs w:val="18"/>
              </w:rPr>
              <w:t>38.94</w:t>
            </w:r>
          </w:p>
        </w:tc>
        <w:tc>
          <w:tcPr>
            <w:tcW w:w="425"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30206</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电费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31003</w:t>
            </w:r>
          </w:p>
        </w:tc>
        <w:tc>
          <w:tcPr>
            <w:tcW w:w="799" w:type="pct"/>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专用设备购置</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asciiTheme="minorEastAsia" w:hAnsiTheme="minorEastAsia" w:cstheme="minorEastAsia"/>
                <w:color w:val="000000"/>
                <w:sz w:val="18"/>
                <w:szCs w:val="18"/>
              </w:rPr>
            </w:pPr>
          </w:p>
        </w:tc>
      </w:tr>
      <w:tr>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30109</w:t>
            </w:r>
          </w:p>
        </w:tc>
        <w:tc>
          <w:tcPr>
            <w:tcW w:w="799" w:type="pct"/>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职业年金缴费</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sz w:val="18"/>
                <w:szCs w:val="18"/>
              </w:rPr>
            </w:pPr>
            <w:r>
              <w:rPr>
                <w:rFonts w:hint="eastAsia" w:ascii="Times New Roman" w:hAnsi="Times New Roman" w:cs="Times New Roman"/>
                <w:sz w:val="18"/>
                <w:szCs w:val="18"/>
              </w:rPr>
              <w:t>9.73</w:t>
            </w:r>
          </w:p>
        </w:tc>
        <w:tc>
          <w:tcPr>
            <w:tcW w:w="425"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30207</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邮电费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sz w:val="18"/>
                <w:szCs w:val="18"/>
              </w:rPr>
            </w:pPr>
            <w:r>
              <w:rPr>
                <w:rFonts w:hint="eastAsia" w:ascii="Times New Roman" w:hAnsi="Times New Roman" w:cs="Times New Roman"/>
                <w:sz w:val="18"/>
                <w:szCs w:val="18"/>
              </w:rPr>
              <w:t>12.15</w:t>
            </w:r>
          </w:p>
        </w:tc>
        <w:tc>
          <w:tcPr>
            <w:tcW w:w="425"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31005</w:t>
            </w:r>
          </w:p>
        </w:tc>
        <w:tc>
          <w:tcPr>
            <w:tcW w:w="799" w:type="pct"/>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基础设施建设</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asciiTheme="minorEastAsia" w:hAnsiTheme="minorEastAsia" w:cstheme="minorEastAsia"/>
                <w:color w:val="000000"/>
                <w:sz w:val="18"/>
                <w:szCs w:val="18"/>
              </w:rPr>
            </w:pPr>
          </w:p>
        </w:tc>
      </w:tr>
      <w:tr>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30110</w:t>
            </w:r>
          </w:p>
        </w:tc>
        <w:tc>
          <w:tcPr>
            <w:tcW w:w="799" w:type="pct"/>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职工基本医疗保险缴费</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r>
              <w:rPr>
                <w:rFonts w:ascii="Times New Roman" w:hAnsi="Times New Roman" w:cs="Times New Roman"/>
                <w:sz w:val="18"/>
                <w:szCs w:val="18"/>
              </w:rPr>
              <w:t>16.88</w:t>
            </w:r>
          </w:p>
        </w:tc>
        <w:tc>
          <w:tcPr>
            <w:tcW w:w="425"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30208</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取暖费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31006</w:t>
            </w:r>
          </w:p>
        </w:tc>
        <w:tc>
          <w:tcPr>
            <w:tcW w:w="799" w:type="pct"/>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大型修缮</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r>
      <w:tr>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30111</w:t>
            </w:r>
          </w:p>
        </w:tc>
        <w:tc>
          <w:tcPr>
            <w:tcW w:w="799" w:type="pct"/>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公务员医疗补助缴费</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r>
              <w:rPr>
                <w:rFonts w:ascii="Times New Roman" w:hAnsi="Times New Roman" w:cs="Times New Roman"/>
                <w:sz w:val="18"/>
                <w:szCs w:val="18"/>
              </w:rPr>
              <w:t>11.81</w:t>
            </w:r>
          </w:p>
        </w:tc>
        <w:tc>
          <w:tcPr>
            <w:tcW w:w="425"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30209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物业管理费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31007</w:t>
            </w:r>
          </w:p>
        </w:tc>
        <w:tc>
          <w:tcPr>
            <w:tcW w:w="799" w:type="pct"/>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信息网络及软件购置更新</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r>
      <w:tr>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30112</w:t>
            </w:r>
          </w:p>
        </w:tc>
        <w:tc>
          <w:tcPr>
            <w:tcW w:w="799" w:type="pct"/>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其他社会保障缴费</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r>
              <w:rPr>
                <w:rFonts w:ascii="Times New Roman" w:hAnsi="Times New Roman" w:cs="Times New Roman"/>
                <w:sz w:val="18"/>
                <w:szCs w:val="18"/>
              </w:rPr>
              <w:t>1.02</w:t>
            </w:r>
          </w:p>
        </w:tc>
        <w:tc>
          <w:tcPr>
            <w:tcW w:w="425"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30211</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差旅费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r>
              <w:rPr>
                <w:rFonts w:ascii="Times New Roman" w:hAnsi="Times New Roman" w:cs="Times New Roman"/>
                <w:sz w:val="18"/>
                <w:szCs w:val="18"/>
              </w:rPr>
              <w:t>3.99</w:t>
            </w:r>
          </w:p>
        </w:tc>
        <w:tc>
          <w:tcPr>
            <w:tcW w:w="425"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31008</w:t>
            </w:r>
          </w:p>
        </w:tc>
        <w:tc>
          <w:tcPr>
            <w:tcW w:w="799" w:type="pct"/>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物资储备</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r>
      <w:tr>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30113</w:t>
            </w:r>
          </w:p>
        </w:tc>
        <w:tc>
          <w:tcPr>
            <w:tcW w:w="799" w:type="pct"/>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住房公积金</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r>
              <w:rPr>
                <w:rFonts w:ascii="Times New Roman" w:hAnsi="Times New Roman" w:cs="Times New Roman"/>
                <w:sz w:val="18"/>
                <w:szCs w:val="18"/>
              </w:rPr>
              <w:t>39.91</w:t>
            </w:r>
          </w:p>
        </w:tc>
        <w:tc>
          <w:tcPr>
            <w:tcW w:w="425"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30212</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因公出国（境）费用</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31009</w:t>
            </w:r>
          </w:p>
        </w:tc>
        <w:tc>
          <w:tcPr>
            <w:tcW w:w="799" w:type="pct"/>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土地补偿</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r>
      <w:tr>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30114</w:t>
            </w:r>
          </w:p>
        </w:tc>
        <w:tc>
          <w:tcPr>
            <w:tcW w:w="799" w:type="pct"/>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医疗费</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30213</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维修（护）费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r>
              <w:rPr>
                <w:rFonts w:ascii="Times New Roman" w:hAnsi="Times New Roman" w:cs="Times New Roman"/>
                <w:sz w:val="18"/>
                <w:szCs w:val="18"/>
              </w:rPr>
              <w:t>1.05</w:t>
            </w:r>
          </w:p>
        </w:tc>
        <w:tc>
          <w:tcPr>
            <w:tcW w:w="425"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31010</w:t>
            </w:r>
          </w:p>
        </w:tc>
        <w:tc>
          <w:tcPr>
            <w:tcW w:w="799" w:type="pct"/>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安置补助</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r>
      <w:tr>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30199</w:t>
            </w:r>
          </w:p>
        </w:tc>
        <w:tc>
          <w:tcPr>
            <w:tcW w:w="799" w:type="pct"/>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其他工资福利支出</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30214</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 xml:space="preserve">  租赁费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31011</w:t>
            </w:r>
          </w:p>
        </w:tc>
        <w:tc>
          <w:tcPr>
            <w:tcW w:w="799" w:type="pct"/>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地上附着物和青苗补偿</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r>
      <w:tr>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303</w:t>
            </w:r>
          </w:p>
        </w:tc>
        <w:tc>
          <w:tcPr>
            <w:tcW w:w="799" w:type="pct"/>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对个人和家庭的补助</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r>
              <w:rPr>
                <w:rFonts w:ascii="Times New Roman" w:hAnsi="Times New Roman" w:cs="Times New Roman"/>
                <w:sz w:val="18"/>
                <w:szCs w:val="18"/>
              </w:rPr>
              <w:t>186.98</w:t>
            </w:r>
          </w:p>
        </w:tc>
        <w:tc>
          <w:tcPr>
            <w:tcW w:w="425"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30215</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会议费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31012</w:t>
            </w:r>
          </w:p>
        </w:tc>
        <w:tc>
          <w:tcPr>
            <w:tcW w:w="799" w:type="pct"/>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拆迁补偿</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r>
      <w:tr>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30301</w:t>
            </w:r>
          </w:p>
        </w:tc>
        <w:tc>
          <w:tcPr>
            <w:tcW w:w="799" w:type="pct"/>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离休费</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r>
              <w:rPr>
                <w:rFonts w:ascii="Times New Roman" w:hAnsi="Times New Roman" w:cs="Times New Roman"/>
                <w:sz w:val="18"/>
                <w:szCs w:val="18"/>
              </w:rPr>
              <w:t>18.32</w:t>
            </w:r>
          </w:p>
        </w:tc>
        <w:tc>
          <w:tcPr>
            <w:tcW w:w="425"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30216</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培训费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31013</w:t>
            </w:r>
          </w:p>
        </w:tc>
        <w:tc>
          <w:tcPr>
            <w:tcW w:w="799" w:type="pct"/>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公务用车购置</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r>
      <w:tr>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30302</w:t>
            </w:r>
          </w:p>
        </w:tc>
        <w:tc>
          <w:tcPr>
            <w:tcW w:w="799" w:type="pct"/>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退休费</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r>
              <w:rPr>
                <w:rFonts w:ascii="Times New Roman" w:hAnsi="Times New Roman" w:cs="Times New Roman"/>
                <w:sz w:val="18"/>
                <w:szCs w:val="18"/>
              </w:rPr>
              <w:t>162.60</w:t>
            </w:r>
          </w:p>
        </w:tc>
        <w:tc>
          <w:tcPr>
            <w:tcW w:w="425"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30217</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公务接待费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31019</w:t>
            </w:r>
          </w:p>
        </w:tc>
        <w:tc>
          <w:tcPr>
            <w:tcW w:w="799" w:type="pct"/>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其他交通工具购置</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r>
      <w:tr>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30303</w:t>
            </w:r>
          </w:p>
        </w:tc>
        <w:tc>
          <w:tcPr>
            <w:tcW w:w="799" w:type="pct"/>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退职（役）费</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30218</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专用材料费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31021</w:t>
            </w:r>
          </w:p>
        </w:tc>
        <w:tc>
          <w:tcPr>
            <w:tcW w:w="799" w:type="pct"/>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文物和陈列品购置</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r>
      <w:tr>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30304</w:t>
            </w:r>
          </w:p>
        </w:tc>
        <w:tc>
          <w:tcPr>
            <w:tcW w:w="799" w:type="pct"/>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抚恤金</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30224</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被装购置费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31022</w:t>
            </w:r>
          </w:p>
        </w:tc>
        <w:tc>
          <w:tcPr>
            <w:tcW w:w="799" w:type="pct"/>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无形资产购置</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r>
      <w:tr>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30305</w:t>
            </w:r>
          </w:p>
        </w:tc>
        <w:tc>
          <w:tcPr>
            <w:tcW w:w="799" w:type="pct"/>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生活补助</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r>
              <w:rPr>
                <w:rFonts w:ascii="Times New Roman" w:hAnsi="Times New Roman" w:cs="Times New Roman"/>
                <w:sz w:val="18"/>
                <w:szCs w:val="18"/>
              </w:rPr>
              <w:t>6.05</w:t>
            </w:r>
          </w:p>
        </w:tc>
        <w:tc>
          <w:tcPr>
            <w:tcW w:w="425"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30225</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专用燃料费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31099</w:t>
            </w:r>
          </w:p>
        </w:tc>
        <w:tc>
          <w:tcPr>
            <w:tcW w:w="799" w:type="pct"/>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其他资本性支出</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r>
      <w:tr>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30306</w:t>
            </w:r>
          </w:p>
        </w:tc>
        <w:tc>
          <w:tcPr>
            <w:tcW w:w="799" w:type="pct"/>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救济费</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30226</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劳务费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312</w:t>
            </w:r>
          </w:p>
        </w:tc>
        <w:tc>
          <w:tcPr>
            <w:tcW w:w="799" w:type="pct"/>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对企业补助</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r>
      <w:tr>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30307</w:t>
            </w:r>
          </w:p>
        </w:tc>
        <w:tc>
          <w:tcPr>
            <w:tcW w:w="799" w:type="pct"/>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医疗费补助</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30227</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委托业务费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r>
              <w:rPr>
                <w:rFonts w:ascii="Times New Roman" w:hAnsi="Times New Roman" w:cs="Times New Roman"/>
                <w:sz w:val="18"/>
                <w:szCs w:val="18"/>
              </w:rPr>
              <w:t>72.82</w:t>
            </w:r>
          </w:p>
        </w:tc>
        <w:tc>
          <w:tcPr>
            <w:tcW w:w="425"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31201</w:t>
            </w:r>
          </w:p>
        </w:tc>
        <w:tc>
          <w:tcPr>
            <w:tcW w:w="799" w:type="pct"/>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资本金注入</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r>
      <w:tr>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30308</w:t>
            </w:r>
          </w:p>
        </w:tc>
        <w:tc>
          <w:tcPr>
            <w:tcW w:w="799" w:type="pct"/>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助学金</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30228</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工会经费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r>
              <w:rPr>
                <w:rFonts w:ascii="Times New Roman" w:hAnsi="Times New Roman" w:cs="Times New Roman"/>
                <w:sz w:val="18"/>
                <w:szCs w:val="18"/>
              </w:rPr>
              <w:t>2.93</w:t>
            </w:r>
          </w:p>
        </w:tc>
        <w:tc>
          <w:tcPr>
            <w:tcW w:w="425"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31203</w:t>
            </w:r>
          </w:p>
        </w:tc>
        <w:tc>
          <w:tcPr>
            <w:tcW w:w="799" w:type="pct"/>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政府投资基金股权投资</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r>
      <w:tr>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30309</w:t>
            </w:r>
          </w:p>
        </w:tc>
        <w:tc>
          <w:tcPr>
            <w:tcW w:w="799" w:type="pct"/>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奖励金</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30229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福利费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r>
              <w:rPr>
                <w:rFonts w:ascii="Times New Roman" w:hAnsi="Times New Roman" w:cs="Times New Roman"/>
                <w:sz w:val="18"/>
                <w:szCs w:val="18"/>
              </w:rPr>
              <w:t>5.60</w:t>
            </w:r>
          </w:p>
        </w:tc>
        <w:tc>
          <w:tcPr>
            <w:tcW w:w="425"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31204</w:t>
            </w:r>
          </w:p>
        </w:tc>
        <w:tc>
          <w:tcPr>
            <w:tcW w:w="799" w:type="pct"/>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费用补贴</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r>
      <w:tr>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30310</w:t>
            </w:r>
          </w:p>
        </w:tc>
        <w:tc>
          <w:tcPr>
            <w:tcW w:w="799" w:type="pct"/>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个人农业生产补贴</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30231</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公务用车运行维护费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r>
              <w:rPr>
                <w:rFonts w:ascii="Times New Roman" w:hAnsi="Times New Roman" w:cs="Times New Roman"/>
                <w:sz w:val="18"/>
                <w:szCs w:val="18"/>
              </w:rPr>
              <w:t>10.50</w:t>
            </w:r>
          </w:p>
        </w:tc>
        <w:tc>
          <w:tcPr>
            <w:tcW w:w="425"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31205</w:t>
            </w:r>
          </w:p>
        </w:tc>
        <w:tc>
          <w:tcPr>
            <w:tcW w:w="799" w:type="pct"/>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利息补贴</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r>
      <w:tr>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30311</w:t>
            </w:r>
          </w:p>
        </w:tc>
        <w:tc>
          <w:tcPr>
            <w:tcW w:w="799" w:type="pct"/>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代缴社会保险费</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30239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其他交通费用</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r>
              <w:rPr>
                <w:rFonts w:ascii="Times New Roman" w:hAnsi="Times New Roman" w:cs="Times New Roman"/>
                <w:sz w:val="18"/>
                <w:szCs w:val="18"/>
              </w:rPr>
              <w:t>17.09</w:t>
            </w:r>
          </w:p>
        </w:tc>
        <w:tc>
          <w:tcPr>
            <w:tcW w:w="425"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31299</w:t>
            </w:r>
          </w:p>
        </w:tc>
        <w:tc>
          <w:tcPr>
            <w:tcW w:w="799" w:type="pct"/>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其他对企业补助</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r>
      <w:tr>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30399</w:t>
            </w:r>
          </w:p>
        </w:tc>
        <w:tc>
          <w:tcPr>
            <w:tcW w:w="799" w:type="pct"/>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其他对个人和家庭的补助</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30240</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税金及附加费用</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399</w:t>
            </w:r>
          </w:p>
        </w:tc>
        <w:tc>
          <w:tcPr>
            <w:tcW w:w="799" w:type="pct"/>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其他支出</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r>
      <w:tr>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jc w:val="center"/>
              <w:rPr>
                <w:rFonts w:asciiTheme="minorEastAsia" w:hAnsiTheme="minorEastAsia" w:cstheme="minorEastAsia"/>
                <w:color w:val="000000"/>
                <w:sz w:val="18"/>
                <w:szCs w:val="18"/>
              </w:rPr>
            </w:pPr>
          </w:p>
        </w:tc>
        <w:tc>
          <w:tcPr>
            <w:tcW w:w="799" w:type="pct"/>
            <w:tcBorders>
              <w:top w:val="single" w:color="auto" w:sz="4" w:space="0"/>
              <w:left w:val="single" w:color="auto" w:sz="4" w:space="0"/>
              <w:bottom w:val="single" w:color="auto" w:sz="4" w:space="0"/>
              <w:right w:val="single" w:color="auto" w:sz="4" w:space="0"/>
            </w:tcBorders>
            <w:noWrap/>
            <w:vAlign w:val="center"/>
          </w:tcPr>
          <w:p>
            <w:pPr>
              <w:jc w:val="left"/>
              <w:rPr>
                <w:rFonts w:asciiTheme="minorEastAsia" w:hAnsiTheme="minorEastAsia" w:cstheme="minorEastAsia"/>
                <w:color w:val="000000"/>
                <w:sz w:val="18"/>
                <w:szCs w:val="18"/>
              </w:rPr>
            </w:pPr>
          </w:p>
        </w:tc>
        <w:tc>
          <w:tcPr>
            <w:tcW w:w="449" w:type="pct"/>
            <w:tcBorders>
              <w:top w:val="single" w:color="auto" w:sz="4" w:space="0"/>
              <w:left w:val="single" w:color="auto" w:sz="4" w:space="0"/>
              <w:bottom w:val="single" w:color="auto" w:sz="4" w:space="0"/>
              <w:right w:val="single" w:color="auto" w:sz="4" w:space="0"/>
            </w:tcBorders>
            <w:noWrap/>
            <w:vAlign w:val="center"/>
          </w:tcPr>
          <w:p>
            <w:pPr>
              <w:jc w:val="lef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30299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其他商品和服务支出</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r>
              <w:rPr>
                <w:rFonts w:ascii="Times New Roman" w:hAnsi="Times New Roman" w:cs="Times New Roman"/>
                <w:sz w:val="18"/>
                <w:szCs w:val="18"/>
              </w:rPr>
              <w:t>2.71</w:t>
            </w:r>
          </w:p>
        </w:tc>
        <w:tc>
          <w:tcPr>
            <w:tcW w:w="425"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39907</w:t>
            </w:r>
          </w:p>
        </w:tc>
        <w:tc>
          <w:tcPr>
            <w:tcW w:w="799" w:type="pct"/>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国家赔偿费用支出</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r>
      <w:tr>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jc w:val="center"/>
              <w:rPr>
                <w:rFonts w:asciiTheme="minorEastAsia" w:hAnsiTheme="minorEastAsia" w:cstheme="minorEastAsia"/>
                <w:color w:val="000000"/>
                <w:sz w:val="18"/>
                <w:szCs w:val="18"/>
              </w:rPr>
            </w:pPr>
          </w:p>
        </w:tc>
        <w:tc>
          <w:tcPr>
            <w:tcW w:w="799" w:type="pct"/>
            <w:tcBorders>
              <w:top w:val="single" w:color="auto" w:sz="4" w:space="0"/>
              <w:left w:val="single" w:color="auto" w:sz="4" w:space="0"/>
              <w:bottom w:val="single" w:color="auto" w:sz="4" w:space="0"/>
              <w:right w:val="single" w:color="auto" w:sz="4" w:space="0"/>
            </w:tcBorders>
            <w:noWrap/>
            <w:vAlign w:val="center"/>
          </w:tcPr>
          <w:p>
            <w:pPr>
              <w:jc w:val="left"/>
              <w:rPr>
                <w:rFonts w:asciiTheme="minorEastAsia" w:hAnsiTheme="minorEastAsia" w:cstheme="minorEastAsia"/>
                <w:color w:val="000000"/>
                <w:sz w:val="18"/>
                <w:szCs w:val="18"/>
              </w:rPr>
            </w:pPr>
          </w:p>
        </w:tc>
        <w:tc>
          <w:tcPr>
            <w:tcW w:w="449" w:type="pct"/>
            <w:tcBorders>
              <w:top w:val="single" w:color="auto" w:sz="4" w:space="0"/>
              <w:left w:val="single" w:color="auto" w:sz="4" w:space="0"/>
              <w:bottom w:val="single" w:color="auto" w:sz="4" w:space="0"/>
              <w:right w:val="single" w:color="auto" w:sz="4" w:space="0"/>
            </w:tcBorders>
            <w:noWrap/>
            <w:vAlign w:val="center"/>
          </w:tcPr>
          <w:p>
            <w:pPr>
              <w:jc w:val="left"/>
              <w:rPr>
                <w:rFonts w:asciiTheme="minorEastAsia" w:hAnsiTheme="minorEastAsia" w:cstheme="minorEastAsia"/>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pPr>
              <w:jc w:val="left"/>
              <w:rPr>
                <w:rFonts w:asciiTheme="minorEastAsia" w:hAnsiTheme="minorEastAsia" w:cstheme="minorEastAsia"/>
                <w:color w:val="000000"/>
                <w:sz w:val="18"/>
                <w:szCs w:val="18"/>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jc w:val="left"/>
              <w:rPr>
                <w:rFonts w:asciiTheme="minorEastAsia" w:hAnsiTheme="minorEastAsia" w:cstheme="minorEastAsia"/>
                <w:color w:val="000000"/>
                <w:sz w:val="18"/>
                <w:szCs w:val="18"/>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lef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39908</w:t>
            </w:r>
          </w:p>
        </w:tc>
        <w:tc>
          <w:tcPr>
            <w:tcW w:w="799" w:type="pct"/>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对民间非营利组织和群众性自治组织补贴</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r>
      <w:tr>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jc w:val="center"/>
              <w:rPr>
                <w:rFonts w:asciiTheme="minorEastAsia" w:hAnsiTheme="minorEastAsia" w:cstheme="minorEastAsia"/>
                <w:color w:val="000000"/>
                <w:sz w:val="18"/>
                <w:szCs w:val="18"/>
              </w:rPr>
            </w:pPr>
          </w:p>
        </w:tc>
        <w:tc>
          <w:tcPr>
            <w:tcW w:w="799" w:type="pct"/>
            <w:tcBorders>
              <w:top w:val="single" w:color="auto" w:sz="4" w:space="0"/>
              <w:left w:val="single" w:color="auto" w:sz="4" w:space="0"/>
              <w:bottom w:val="single" w:color="auto" w:sz="4" w:space="0"/>
              <w:right w:val="single" w:color="auto" w:sz="4" w:space="0"/>
            </w:tcBorders>
            <w:noWrap/>
            <w:vAlign w:val="center"/>
          </w:tcPr>
          <w:p>
            <w:pPr>
              <w:jc w:val="left"/>
              <w:rPr>
                <w:rFonts w:asciiTheme="minorEastAsia" w:hAnsiTheme="minorEastAsia" w:cstheme="minorEastAsia"/>
                <w:color w:val="000000"/>
                <w:sz w:val="18"/>
                <w:szCs w:val="18"/>
              </w:rPr>
            </w:pPr>
          </w:p>
        </w:tc>
        <w:tc>
          <w:tcPr>
            <w:tcW w:w="449" w:type="pct"/>
            <w:tcBorders>
              <w:top w:val="single" w:color="auto" w:sz="4" w:space="0"/>
              <w:left w:val="single" w:color="auto" w:sz="4" w:space="0"/>
              <w:bottom w:val="single" w:color="auto" w:sz="4" w:space="0"/>
              <w:right w:val="single" w:color="auto" w:sz="4" w:space="0"/>
            </w:tcBorders>
            <w:noWrap/>
            <w:vAlign w:val="center"/>
          </w:tcPr>
          <w:p>
            <w:pPr>
              <w:jc w:val="left"/>
              <w:rPr>
                <w:rFonts w:asciiTheme="minorEastAsia" w:hAnsiTheme="minorEastAsia" w:cstheme="minorEastAsia"/>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pPr>
              <w:jc w:val="left"/>
              <w:rPr>
                <w:rFonts w:asciiTheme="minorEastAsia" w:hAnsiTheme="minorEastAsia" w:cstheme="minorEastAsia"/>
                <w:color w:val="000000"/>
                <w:sz w:val="18"/>
                <w:szCs w:val="18"/>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jc w:val="left"/>
              <w:rPr>
                <w:rFonts w:asciiTheme="minorEastAsia" w:hAnsiTheme="minorEastAsia" w:cstheme="minorEastAsia"/>
                <w:color w:val="000000"/>
                <w:sz w:val="18"/>
                <w:szCs w:val="18"/>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lef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39909</w:t>
            </w:r>
          </w:p>
        </w:tc>
        <w:tc>
          <w:tcPr>
            <w:tcW w:w="799" w:type="pct"/>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经常性赠与</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r>
      <w:tr>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jc w:val="center"/>
              <w:rPr>
                <w:rFonts w:asciiTheme="minorEastAsia" w:hAnsiTheme="minorEastAsia" w:cstheme="minorEastAsia"/>
                <w:color w:val="000000"/>
                <w:sz w:val="18"/>
                <w:szCs w:val="18"/>
              </w:rPr>
            </w:pPr>
          </w:p>
        </w:tc>
        <w:tc>
          <w:tcPr>
            <w:tcW w:w="799" w:type="pct"/>
            <w:tcBorders>
              <w:top w:val="single" w:color="auto" w:sz="4" w:space="0"/>
              <w:left w:val="single" w:color="auto" w:sz="4" w:space="0"/>
              <w:bottom w:val="single" w:color="auto" w:sz="4" w:space="0"/>
              <w:right w:val="single" w:color="auto" w:sz="4" w:space="0"/>
            </w:tcBorders>
            <w:noWrap/>
            <w:vAlign w:val="center"/>
          </w:tcPr>
          <w:p>
            <w:pPr>
              <w:jc w:val="left"/>
              <w:rPr>
                <w:rFonts w:asciiTheme="minorEastAsia" w:hAnsiTheme="minorEastAsia" w:cstheme="minorEastAsia"/>
                <w:color w:val="000000"/>
                <w:sz w:val="18"/>
                <w:szCs w:val="18"/>
              </w:rPr>
            </w:pPr>
          </w:p>
        </w:tc>
        <w:tc>
          <w:tcPr>
            <w:tcW w:w="449" w:type="pct"/>
            <w:tcBorders>
              <w:top w:val="single" w:color="auto" w:sz="4" w:space="0"/>
              <w:left w:val="single" w:color="auto" w:sz="4" w:space="0"/>
              <w:bottom w:val="single" w:color="auto" w:sz="4" w:space="0"/>
              <w:right w:val="single" w:color="auto" w:sz="4" w:space="0"/>
            </w:tcBorders>
            <w:noWrap/>
            <w:vAlign w:val="center"/>
          </w:tcPr>
          <w:p>
            <w:pPr>
              <w:jc w:val="left"/>
              <w:rPr>
                <w:rFonts w:asciiTheme="minorEastAsia" w:hAnsiTheme="minorEastAsia" w:cstheme="minorEastAsia"/>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pPr>
              <w:jc w:val="left"/>
              <w:rPr>
                <w:rFonts w:asciiTheme="minorEastAsia" w:hAnsiTheme="minorEastAsia" w:cstheme="minorEastAsia"/>
                <w:color w:val="000000"/>
                <w:sz w:val="18"/>
                <w:szCs w:val="18"/>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jc w:val="left"/>
              <w:rPr>
                <w:rFonts w:asciiTheme="minorEastAsia" w:hAnsiTheme="minorEastAsia" w:cstheme="minorEastAsia"/>
                <w:color w:val="000000"/>
                <w:sz w:val="18"/>
                <w:szCs w:val="18"/>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lef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39910</w:t>
            </w:r>
          </w:p>
        </w:tc>
        <w:tc>
          <w:tcPr>
            <w:tcW w:w="799" w:type="pct"/>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资本性赠与</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r>
      <w:tr>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jc w:val="center"/>
              <w:rPr>
                <w:rFonts w:asciiTheme="minorEastAsia" w:hAnsiTheme="minorEastAsia" w:cstheme="minorEastAsia"/>
                <w:color w:val="000000"/>
                <w:sz w:val="18"/>
                <w:szCs w:val="18"/>
              </w:rPr>
            </w:pPr>
          </w:p>
        </w:tc>
        <w:tc>
          <w:tcPr>
            <w:tcW w:w="799" w:type="pct"/>
            <w:tcBorders>
              <w:top w:val="single" w:color="auto" w:sz="4" w:space="0"/>
              <w:left w:val="single" w:color="auto" w:sz="4" w:space="0"/>
              <w:bottom w:val="single" w:color="auto" w:sz="4" w:space="0"/>
              <w:right w:val="single" w:color="auto" w:sz="4" w:space="0"/>
            </w:tcBorders>
            <w:noWrap/>
            <w:vAlign w:val="center"/>
          </w:tcPr>
          <w:p>
            <w:pPr>
              <w:jc w:val="left"/>
              <w:rPr>
                <w:rFonts w:asciiTheme="minorEastAsia" w:hAnsiTheme="minorEastAsia" w:cstheme="minorEastAsia"/>
                <w:color w:val="000000"/>
                <w:sz w:val="18"/>
                <w:szCs w:val="18"/>
              </w:rPr>
            </w:pPr>
          </w:p>
        </w:tc>
        <w:tc>
          <w:tcPr>
            <w:tcW w:w="449" w:type="pct"/>
            <w:tcBorders>
              <w:top w:val="single" w:color="auto" w:sz="4" w:space="0"/>
              <w:left w:val="single" w:color="auto" w:sz="4" w:space="0"/>
              <w:bottom w:val="single" w:color="auto" w:sz="4" w:space="0"/>
              <w:right w:val="single" w:color="auto" w:sz="4" w:space="0"/>
            </w:tcBorders>
            <w:noWrap/>
            <w:vAlign w:val="center"/>
          </w:tcPr>
          <w:p>
            <w:pPr>
              <w:jc w:val="left"/>
              <w:rPr>
                <w:rFonts w:asciiTheme="minorEastAsia" w:hAnsiTheme="minorEastAsia" w:cstheme="minorEastAsia"/>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pPr>
              <w:jc w:val="left"/>
              <w:rPr>
                <w:rFonts w:asciiTheme="minorEastAsia" w:hAnsiTheme="minorEastAsia" w:cstheme="minorEastAsia"/>
                <w:color w:val="000000"/>
                <w:sz w:val="18"/>
                <w:szCs w:val="18"/>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jc w:val="left"/>
              <w:rPr>
                <w:rFonts w:asciiTheme="minorEastAsia" w:hAnsiTheme="minorEastAsia" w:cstheme="minorEastAsia"/>
                <w:color w:val="000000"/>
                <w:sz w:val="18"/>
                <w:szCs w:val="18"/>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lef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39999</w:t>
            </w:r>
          </w:p>
        </w:tc>
        <w:tc>
          <w:tcPr>
            <w:tcW w:w="799" w:type="pct"/>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其他支出</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r>
      <w:tr>
        <w:tblPrEx>
          <w:tblCellMar>
            <w:top w:w="0" w:type="dxa"/>
            <w:left w:w="108" w:type="dxa"/>
            <w:bottom w:w="0" w:type="dxa"/>
            <w:right w:w="108" w:type="dxa"/>
          </w:tblCellMar>
        </w:tblPrEx>
        <w:trPr>
          <w:trHeight w:val="510" w:hRule="atLeast"/>
        </w:trPr>
        <w:tc>
          <w:tcPr>
            <w:tcW w:w="1225" w:type="pct"/>
            <w:gridSpan w:val="2"/>
            <w:tcBorders>
              <w:top w:val="single" w:color="auto" w:sz="4" w:space="0"/>
              <w:left w:val="single" w:color="auto" w:sz="4" w:space="0"/>
              <w:bottom w:val="single" w:color="auto" w:sz="4" w:space="0"/>
              <w:right w:val="single" w:color="auto" w:sz="4" w:space="0"/>
            </w:tcBorders>
            <w:noWrap/>
            <w:vAlign w:val="center"/>
          </w:tcPr>
          <w:p>
            <w:pPr>
              <w:jc w:val="center"/>
              <w:rPr>
                <w:rFonts w:ascii="Times New Roman" w:hAnsi="Times New Roman" w:cs="Times New Roman"/>
                <w:sz w:val="18"/>
                <w:szCs w:val="18"/>
              </w:rPr>
            </w:pPr>
            <w:r>
              <w:rPr>
                <w:rFonts w:hint="eastAsia" w:ascii="方正仿宋_GB2312" w:hAnsi="方正仿宋_GB2312" w:eastAsia="方正仿宋_GB2312" w:cs="方正仿宋_GB2312"/>
                <w:color w:val="000000"/>
                <w:sz w:val="18"/>
                <w:szCs w:val="18"/>
                <w:lang w:bidi="ar"/>
              </w:rPr>
              <w:t>人员经费合计</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sz w:val="18"/>
                <w:szCs w:val="18"/>
              </w:rPr>
            </w:pPr>
            <w:r>
              <w:rPr>
                <w:rFonts w:ascii="Times New Roman" w:hAnsi="Times New Roman" w:cs="Times New Roman"/>
                <w:sz w:val="18"/>
                <w:szCs w:val="18"/>
              </w:rPr>
              <w:t>613.58</w:t>
            </w:r>
          </w:p>
        </w:tc>
        <w:tc>
          <w:tcPr>
            <w:tcW w:w="2875" w:type="pct"/>
            <w:gridSpan w:val="7"/>
            <w:tcBorders>
              <w:top w:val="single" w:color="auto" w:sz="4" w:space="0"/>
              <w:left w:val="single" w:color="auto" w:sz="4" w:space="0"/>
              <w:bottom w:val="single" w:color="auto" w:sz="4" w:space="0"/>
              <w:right w:val="single" w:color="auto" w:sz="4" w:space="0"/>
            </w:tcBorders>
            <w:noWrap/>
            <w:vAlign w:val="center"/>
          </w:tcPr>
          <w:p>
            <w:pPr>
              <w:jc w:val="center"/>
              <w:rPr>
                <w:rFonts w:asciiTheme="minorEastAsia" w:hAnsiTheme="minorEastAsia" w:cstheme="minorEastAsia"/>
                <w:color w:val="000000"/>
                <w:sz w:val="18"/>
                <w:szCs w:val="18"/>
              </w:rPr>
            </w:pPr>
            <w:r>
              <w:rPr>
                <w:rFonts w:hint="eastAsia" w:ascii="方正仿宋_GB2312" w:hAnsi="方正仿宋_GB2312" w:eastAsia="方正仿宋_GB2312" w:cs="方正仿宋_GB2312"/>
                <w:color w:val="000000"/>
                <w:sz w:val="18"/>
                <w:szCs w:val="18"/>
                <w:lang w:bidi="ar"/>
              </w:rPr>
              <w:t>公用经费合计</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asciiTheme="minorEastAsia" w:hAnsiTheme="minorEastAsia" w:cstheme="minorEastAsia"/>
                <w:color w:val="000000"/>
                <w:sz w:val="18"/>
                <w:szCs w:val="18"/>
              </w:rPr>
            </w:pPr>
            <w:r>
              <w:rPr>
                <w:rFonts w:ascii="Times New Roman" w:hAnsi="Times New Roman" w:cs="Times New Roman"/>
                <w:sz w:val="18"/>
                <w:szCs w:val="18"/>
              </w:rPr>
              <w:t>140.24</w:t>
            </w:r>
          </w:p>
        </w:tc>
      </w:tr>
      <w:tr>
        <w:tblPrEx>
          <w:tblCellMar>
            <w:top w:w="0" w:type="dxa"/>
            <w:left w:w="108" w:type="dxa"/>
            <w:bottom w:w="0" w:type="dxa"/>
            <w:right w:w="108" w:type="dxa"/>
          </w:tblCellMar>
        </w:tblPrEx>
        <w:trPr>
          <w:trHeight w:val="510" w:hRule="atLeast"/>
        </w:trPr>
        <w:tc>
          <w:tcPr>
            <w:tcW w:w="5000" w:type="pct"/>
            <w:gridSpan w:val="11"/>
            <w:tcBorders>
              <w:top w:val="single" w:color="auto" w:sz="4" w:space="0"/>
              <w:left w:val="nil"/>
              <w:bottom w:val="nil"/>
              <w:right w:val="nil"/>
            </w:tcBorders>
            <w:noWrap/>
            <w:vAlign w:val="center"/>
          </w:tcPr>
          <w:p>
            <w:pPr>
              <w:widowControl/>
              <w:jc w:val="left"/>
              <w:textAlignment w:val="center"/>
              <w:rPr>
                <w:rFonts w:asciiTheme="minorEastAsia" w:hAnsiTheme="minorEastAsia" w:cstheme="minorEastAsia"/>
                <w:color w:val="000000"/>
                <w:sz w:val="18"/>
                <w:szCs w:val="18"/>
              </w:rPr>
            </w:pPr>
            <w:r>
              <w:rPr>
                <w:rFonts w:hint="eastAsia" w:ascii="方正仿宋_GB2312" w:hAnsi="方正仿宋_GB2312" w:eastAsia="方正仿宋_GB2312" w:cs="方正仿宋_GB2312"/>
                <w:color w:val="000000"/>
                <w:sz w:val="18"/>
                <w:szCs w:val="18"/>
                <w:lang w:bidi="ar"/>
              </w:rPr>
              <w:t>注：本表反映部门本年度一般公共预算财政拨款基本支出明细情况。</w:t>
            </w:r>
          </w:p>
        </w:tc>
      </w:tr>
    </w:tbl>
    <w:p>
      <w:pPr>
        <w:rPr>
          <w:rFonts w:ascii="仿宋_GB2312" w:hAnsi="宋体" w:eastAsia="仿宋_GB2312"/>
          <w:b/>
          <w:sz w:val="32"/>
          <w:szCs w:val="32"/>
        </w:rPr>
      </w:pPr>
      <w:r>
        <w:rPr>
          <w:rFonts w:hint="eastAsia" w:ascii="仿宋_GB2312" w:hAnsi="宋体" w:eastAsia="仿宋_GB2312"/>
          <w:b/>
          <w:sz w:val="32"/>
          <w:szCs w:val="32"/>
        </w:rPr>
        <w:br w:type="page"/>
      </w:r>
    </w:p>
    <w:p>
      <w:pPr>
        <w:jc w:val="center"/>
        <w:rPr>
          <w:rFonts w:ascii="仿宋_GB2312" w:hAnsi="宋体" w:eastAsia="仿宋_GB2312"/>
          <w:b/>
          <w:sz w:val="32"/>
          <w:szCs w:val="32"/>
        </w:rPr>
      </w:pPr>
    </w:p>
    <w:tbl>
      <w:tblPr>
        <w:tblStyle w:val="11"/>
        <w:tblW w:w="6517" w:type="pct"/>
        <w:tblInd w:w="-1404" w:type="dxa"/>
        <w:tblLayout w:type="fixed"/>
        <w:tblCellMar>
          <w:top w:w="0" w:type="dxa"/>
          <w:left w:w="108" w:type="dxa"/>
          <w:bottom w:w="0" w:type="dxa"/>
          <w:right w:w="108" w:type="dxa"/>
        </w:tblCellMar>
      </w:tblPr>
      <w:tblGrid>
        <w:gridCol w:w="1260"/>
        <w:gridCol w:w="1473"/>
        <w:gridCol w:w="1306"/>
        <w:gridCol w:w="1025"/>
        <w:gridCol w:w="1107"/>
        <w:gridCol w:w="419"/>
        <w:gridCol w:w="700"/>
        <w:gridCol w:w="1146"/>
        <w:gridCol w:w="2043"/>
      </w:tblGrid>
      <w:tr>
        <w:tblPrEx>
          <w:tblCellMar>
            <w:top w:w="0" w:type="dxa"/>
            <w:left w:w="108" w:type="dxa"/>
            <w:bottom w:w="0" w:type="dxa"/>
            <w:right w:w="108" w:type="dxa"/>
          </w:tblCellMar>
        </w:tblPrEx>
        <w:trPr>
          <w:trHeight w:val="550" w:hRule="atLeast"/>
        </w:trPr>
        <w:tc>
          <w:tcPr>
            <w:tcW w:w="5000" w:type="pct"/>
            <w:gridSpan w:val="9"/>
            <w:tcBorders>
              <w:top w:val="nil"/>
              <w:left w:val="nil"/>
              <w:bottom w:val="nil"/>
              <w:right w:val="nil"/>
            </w:tcBorders>
            <w:noWrap/>
            <w:vAlign w:val="bottom"/>
          </w:tcPr>
          <w:p>
            <w:pPr>
              <w:widowControl/>
              <w:jc w:val="center"/>
              <w:textAlignment w:val="bottom"/>
              <w:rPr>
                <w:rFonts w:ascii="宋体" w:hAnsi="宋体" w:eastAsia="宋体"/>
                <w:color w:val="000000"/>
                <w:sz w:val="20"/>
                <w:szCs w:val="20"/>
              </w:rPr>
            </w:pPr>
            <w:r>
              <w:rPr>
                <w:rFonts w:hint="eastAsia" w:ascii="方正仿宋_GB2312" w:hAnsi="方正仿宋_GB2312" w:eastAsia="方正仿宋_GB2312" w:cs="方正仿宋_GB2312"/>
                <w:bCs/>
                <w:sz w:val="32"/>
                <w:szCs w:val="32"/>
              </w:rPr>
              <w:t>政府性基金预算财政拨款收入支出决算表</w:t>
            </w:r>
          </w:p>
        </w:tc>
      </w:tr>
      <w:tr>
        <w:tblPrEx>
          <w:tblCellMar>
            <w:top w:w="0" w:type="dxa"/>
            <w:left w:w="108" w:type="dxa"/>
            <w:bottom w:w="0" w:type="dxa"/>
            <w:right w:w="108" w:type="dxa"/>
          </w:tblCellMar>
        </w:tblPrEx>
        <w:trPr>
          <w:trHeight w:val="90" w:hRule="atLeast"/>
        </w:trPr>
        <w:tc>
          <w:tcPr>
            <w:tcW w:w="5000" w:type="pct"/>
            <w:gridSpan w:val="9"/>
            <w:tcBorders>
              <w:top w:val="nil"/>
              <w:left w:val="nil"/>
              <w:bottom w:val="nil"/>
              <w:right w:val="nil"/>
            </w:tcBorders>
            <w:noWrap/>
            <w:vAlign w:val="bottom"/>
          </w:tcPr>
          <w:p>
            <w:pPr>
              <w:widowControl/>
              <w:jc w:val="right"/>
              <w:textAlignment w:val="bottom"/>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lang w:bidi="ar"/>
              </w:rPr>
              <w:t>公开</w:t>
            </w:r>
            <w:r>
              <w:rPr>
                <w:rFonts w:ascii="Times New Roman" w:hAnsi="Times New Roman" w:eastAsia="宋体" w:cs="Times New Roman"/>
                <w:color w:val="000000"/>
                <w:sz w:val="20"/>
                <w:szCs w:val="20"/>
                <w:lang w:bidi="ar"/>
              </w:rPr>
              <w:t>07</w:t>
            </w:r>
            <w:r>
              <w:rPr>
                <w:rFonts w:hint="eastAsia" w:ascii="方正仿宋_GB2312" w:hAnsi="方正仿宋_GB2312" w:eastAsia="方正仿宋_GB2312" w:cs="方正仿宋_GB2312"/>
                <w:color w:val="000000"/>
                <w:sz w:val="20"/>
                <w:szCs w:val="20"/>
                <w:lang w:bidi="ar"/>
              </w:rPr>
              <w:t>表</w:t>
            </w:r>
          </w:p>
        </w:tc>
      </w:tr>
      <w:tr>
        <w:tblPrEx>
          <w:tblCellMar>
            <w:top w:w="0" w:type="dxa"/>
            <w:left w:w="108" w:type="dxa"/>
            <w:bottom w:w="0" w:type="dxa"/>
            <w:right w:w="108" w:type="dxa"/>
          </w:tblCellMar>
        </w:tblPrEx>
        <w:trPr>
          <w:trHeight w:val="300" w:hRule="atLeast"/>
        </w:trPr>
        <w:tc>
          <w:tcPr>
            <w:tcW w:w="1927" w:type="pct"/>
            <w:gridSpan w:val="3"/>
            <w:tcBorders>
              <w:top w:val="nil"/>
              <w:left w:val="nil"/>
              <w:bottom w:val="single" w:color="auto" w:sz="4" w:space="0"/>
              <w:right w:val="nil"/>
            </w:tcBorders>
            <w:noWrap/>
            <w:vAlign w:val="bottom"/>
          </w:tcPr>
          <w:p>
            <w:pPr>
              <w:widowControl/>
              <w:jc w:val="left"/>
              <w:textAlignment w:val="bottom"/>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lang w:bidi="ar"/>
              </w:rPr>
              <w:t xml:space="preserve">编制部门（单位）：中国人民政治协商会议河北省石家庄市鹿泉区委员会(本级) </w:t>
            </w:r>
            <w:r>
              <w:rPr>
                <w:rFonts w:hint="eastAsia" w:ascii="宋体" w:hAnsi="宋体" w:eastAsia="宋体"/>
                <w:color w:val="000000"/>
                <w:sz w:val="20"/>
                <w:szCs w:val="20"/>
                <w:lang w:bidi="ar"/>
              </w:rPr>
              <w:t xml:space="preserve">                                                                                     </w:t>
            </w:r>
          </w:p>
        </w:tc>
        <w:tc>
          <w:tcPr>
            <w:tcW w:w="1217" w:type="pct"/>
            <w:gridSpan w:val="3"/>
            <w:tcBorders>
              <w:top w:val="nil"/>
              <w:left w:val="nil"/>
              <w:bottom w:val="single" w:color="auto" w:sz="4" w:space="0"/>
              <w:right w:val="nil"/>
            </w:tcBorders>
            <w:noWrap/>
            <w:vAlign w:val="bottom"/>
          </w:tcPr>
          <w:p>
            <w:pPr>
              <w:widowControl/>
              <w:jc w:val="center"/>
              <w:textAlignment w:val="bottom"/>
              <w:rPr>
                <w:rFonts w:ascii="宋体" w:hAnsi="宋体" w:eastAsia="宋体"/>
                <w:color w:val="000000"/>
                <w:sz w:val="20"/>
                <w:szCs w:val="20"/>
                <w:lang w:bidi="ar"/>
              </w:rPr>
            </w:pPr>
            <w:r>
              <w:rPr>
                <w:rFonts w:ascii="Times New Roman" w:hAnsi="Times New Roman" w:eastAsia="宋体" w:cs="Times New Roman"/>
                <w:color w:val="000000"/>
                <w:sz w:val="20"/>
                <w:szCs w:val="20"/>
                <w:lang w:bidi="ar"/>
              </w:rPr>
              <w:t>2023</w:t>
            </w:r>
            <w:r>
              <w:rPr>
                <w:rFonts w:hint="eastAsia" w:ascii="方正仿宋_GB2312" w:hAnsi="方正仿宋_GB2312" w:eastAsia="方正仿宋_GB2312" w:cs="方正仿宋_GB2312"/>
                <w:color w:val="000000"/>
                <w:sz w:val="20"/>
                <w:szCs w:val="20"/>
                <w:lang w:bidi="ar"/>
              </w:rPr>
              <w:t>年度</w:t>
            </w:r>
          </w:p>
        </w:tc>
        <w:tc>
          <w:tcPr>
            <w:tcW w:w="1854" w:type="pct"/>
            <w:gridSpan w:val="3"/>
            <w:tcBorders>
              <w:top w:val="nil"/>
              <w:left w:val="nil"/>
              <w:bottom w:val="single" w:color="auto" w:sz="4" w:space="0"/>
              <w:right w:val="nil"/>
            </w:tcBorders>
            <w:noWrap/>
            <w:vAlign w:val="bottom"/>
          </w:tcPr>
          <w:p>
            <w:pPr>
              <w:widowControl/>
              <w:jc w:val="right"/>
              <w:textAlignment w:val="bottom"/>
              <w:rPr>
                <w:rFonts w:ascii="宋体" w:hAnsi="宋体" w:eastAsia="宋体"/>
                <w:color w:val="000000"/>
                <w:sz w:val="20"/>
                <w:szCs w:val="20"/>
                <w:lang w:bidi="ar"/>
              </w:rPr>
            </w:pPr>
            <w:r>
              <w:rPr>
                <w:rFonts w:hint="eastAsia" w:ascii="方正仿宋_GB2312" w:hAnsi="方正仿宋_GB2312" w:eastAsia="方正仿宋_GB2312" w:cs="方正仿宋_GB2312"/>
                <w:color w:val="000000"/>
                <w:sz w:val="20"/>
                <w:szCs w:val="20"/>
                <w:lang w:bidi="ar"/>
              </w:rPr>
              <w:t>金额单位：万元</w:t>
            </w:r>
          </w:p>
        </w:tc>
      </w:tr>
      <w:tr>
        <w:tblPrEx>
          <w:tblCellMar>
            <w:top w:w="0" w:type="dxa"/>
            <w:left w:w="108" w:type="dxa"/>
            <w:bottom w:w="0" w:type="dxa"/>
            <w:right w:w="108" w:type="dxa"/>
          </w:tblCellMar>
        </w:tblPrEx>
        <w:trPr>
          <w:trHeight w:val="308" w:hRule="atLeast"/>
        </w:trPr>
        <w:tc>
          <w:tcPr>
            <w:tcW w:w="1304" w:type="pct"/>
            <w:gridSpan w:val="2"/>
            <w:tcBorders>
              <w:top w:val="single" w:color="auto" w:sz="4" w:space="0"/>
              <w:left w:val="single" w:color="000000" w:sz="4" w:space="0"/>
              <w:bottom w:val="single" w:color="000000" w:sz="4" w:space="0"/>
              <w:right w:val="single" w:color="000000" w:sz="4" w:space="0"/>
            </w:tcBorders>
            <w:vAlign w:val="center"/>
          </w:tcPr>
          <w:p>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项目</w:t>
            </w:r>
          </w:p>
        </w:tc>
        <w:tc>
          <w:tcPr>
            <w:tcW w:w="623" w:type="pct"/>
            <w:vMerge w:val="restart"/>
            <w:tcBorders>
              <w:top w:val="single" w:color="auto" w:sz="4" w:space="0"/>
              <w:left w:val="nil"/>
              <w:bottom w:val="single" w:color="000000" w:sz="4" w:space="0"/>
              <w:right w:val="single" w:color="000000" w:sz="4" w:space="0"/>
            </w:tcBorders>
            <w:vAlign w:val="center"/>
          </w:tcPr>
          <w:p>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年初结转和结余</w:t>
            </w:r>
          </w:p>
        </w:tc>
        <w:tc>
          <w:tcPr>
            <w:tcW w:w="489" w:type="pct"/>
            <w:vMerge w:val="restart"/>
            <w:tcBorders>
              <w:top w:val="single" w:color="auto" w:sz="4" w:space="0"/>
              <w:left w:val="nil"/>
              <w:bottom w:val="single" w:color="000000" w:sz="4" w:space="0"/>
              <w:right w:val="single" w:color="000000" w:sz="4" w:space="0"/>
            </w:tcBorders>
            <w:vAlign w:val="center"/>
          </w:tcPr>
          <w:p>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本年收入</w:t>
            </w:r>
          </w:p>
        </w:tc>
        <w:tc>
          <w:tcPr>
            <w:tcW w:w="1609" w:type="pct"/>
            <w:gridSpan w:val="4"/>
            <w:tcBorders>
              <w:top w:val="single" w:color="auto" w:sz="4" w:space="0"/>
              <w:left w:val="nil"/>
              <w:bottom w:val="single" w:color="000000" w:sz="4" w:space="0"/>
              <w:right w:val="single" w:color="000000" w:sz="4" w:space="0"/>
            </w:tcBorders>
            <w:vAlign w:val="center"/>
          </w:tcPr>
          <w:p>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本年支出</w:t>
            </w:r>
          </w:p>
        </w:tc>
        <w:tc>
          <w:tcPr>
            <w:tcW w:w="973" w:type="pct"/>
            <w:vMerge w:val="restart"/>
            <w:tcBorders>
              <w:top w:val="single" w:color="auto" w:sz="4" w:space="0"/>
              <w:left w:val="nil"/>
              <w:right w:val="single" w:color="000000" w:sz="4" w:space="0"/>
            </w:tcBorders>
            <w:vAlign w:val="center"/>
          </w:tcPr>
          <w:p>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年末结转和结余</w:t>
            </w:r>
          </w:p>
        </w:tc>
      </w:tr>
      <w:tr>
        <w:tblPrEx>
          <w:tblCellMar>
            <w:top w:w="0" w:type="dxa"/>
            <w:left w:w="108" w:type="dxa"/>
            <w:bottom w:w="0" w:type="dxa"/>
            <w:right w:w="108" w:type="dxa"/>
          </w:tblCellMar>
        </w:tblPrEx>
        <w:trPr>
          <w:trHeight w:val="312" w:hRule="atLeast"/>
        </w:trPr>
        <w:tc>
          <w:tcPr>
            <w:tcW w:w="601" w:type="pct"/>
            <w:vMerge w:val="restart"/>
            <w:tcBorders>
              <w:top w:val="nil"/>
              <w:left w:val="single" w:color="000000" w:sz="4" w:space="0"/>
              <w:bottom w:val="single" w:color="000000" w:sz="4" w:space="0"/>
              <w:right w:val="single" w:color="000000" w:sz="4" w:space="0"/>
            </w:tcBorders>
            <w:vAlign w:val="center"/>
          </w:tcPr>
          <w:p>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科目代码</w:t>
            </w:r>
          </w:p>
        </w:tc>
        <w:tc>
          <w:tcPr>
            <w:tcW w:w="703" w:type="pct"/>
            <w:vMerge w:val="restart"/>
            <w:tcBorders>
              <w:top w:val="nil"/>
              <w:left w:val="nil"/>
              <w:bottom w:val="single" w:color="000000" w:sz="4" w:space="0"/>
              <w:right w:val="single" w:color="000000" w:sz="4" w:space="0"/>
            </w:tcBorders>
            <w:vAlign w:val="center"/>
          </w:tcPr>
          <w:p>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科目名称</w:t>
            </w:r>
          </w:p>
        </w:tc>
        <w:tc>
          <w:tcPr>
            <w:tcW w:w="623" w:type="pct"/>
            <w:vMerge w:val="continue"/>
            <w:tcBorders>
              <w:top w:val="single" w:color="000000" w:sz="4" w:space="0"/>
              <w:left w:val="nil"/>
              <w:bottom w:val="single" w:color="000000" w:sz="4" w:space="0"/>
              <w:right w:val="single" w:color="000000" w:sz="4" w:space="0"/>
            </w:tcBorders>
            <w:vAlign w:val="center"/>
          </w:tcPr>
          <w:p>
            <w:pPr>
              <w:jc w:val="center"/>
              <w:rPr>
                <w:rFonts w:ascii="方正仿宋_GB2312" w:hAnsi="方正仿宋_GB2312" w:eastAsia="方正仿宋_GB2312" w:cs="方正仿宋_GB2312"/>
                <w:color w:val="000000"/>
                <w:sz w:val="20"/>
                <w:szCs w:val="20"/>
              </w:rPr>
            </w:pPr>
          </w:p>
        </w:tc>
        <w:tc>
          <w:tcPr>
            <w:tcW w:w="489" w:type="pct"/>
            <w:vMerge w:val="continue"/>
            <w:tcBorders>
              <w:top w:val="single" w:color="000000" w:sz="4" w:space="0"/>
              <w:left w:val="nil"/>
              <w:bottom w:val="single" w:color="000000" w:sz="4" w:space="0"/>
              <w:right w:val="single" w:color="000000" w:sz="4" w:space="0"/>
            </w:tcBorders>
            <w:vAlign w:val="center"/>
          </w:tcPr>
          <w:p>
            <w:pPr>
              <w:jc w:val="center"/>
              <w:rPr>
                <w:rFonts w:ascii="方正仿宋_GB2312" w:hAnsi="方正仿宋_GB2312" w:eastAsia="方正仿宋_GB2312" w:cs="方正仿宋_GB2312"/>
                <w:color w:val="000000"/>
                <w:sz w:val="20"/>
                <w:szCs w:val="20"/>
              </w:rPr>
            </w:pPr>
          </w:p>
        </w:tc>
        <w:tc>
          <w:tcPr>
            <w:tcW w:w="528" w:type="pct"/>
            <w:vMerge w:val="restart"/>
            <w:tcBorders>
              <w:top w:val="nil"/>
              <w:left w:val="nil"/>
              <w:bottom w:val="single" w:color="000000" w:sz="4" w:space="0"/>
              <w:right w:val="single" w:color="000000" w:sz="4" w:space="0"/>
            </w:tcBorders>
            <w:vAlign w:val="center"/>
          </w:tcPr>
          <w:p>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小计</w:t>
            </w:r>
          </w:p>
        </w:tc>
        <w:tc>
          <w:tcPr>
            <w:tcW w:w="534" w:type="pct"/>
            <w:gridSpan w:val="2"/>
            <w:vMerge w:val="restart"/>
            <w:tcBorders>
              <w:top w:val="nil"/>
              <w:left w:val="nil"/>
              <w:bottom w:val="single" w:color="000000" w:sz="4" w:space="0"/>
              <w:right w:val="single" w:color="000000" w:sz="4" w:space="0"/>
            </w:tcBorders>
            <w:vAlign w:val="center"/>
          </w:tcPr>
          <w:p>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基本支出</w:t>
            </w:r>
          </w:p>
        </w:tc>
        <w:tc>
          <w:tcPr>
            <w:tcW w:w="546" w:type="pct"/>
            <w:vMerge w:val="restart"/>
            <w:tcBorders>
              <w:top w:val="nil"/>
              <w:left w:val="nil"/>
              <w:bottom w:val="single" w:color="000000" w:sz="4" w:space="0"/>
              <w:right w:val="single" w:color="000000" w:sz="4" w:space="0"/>
            </w:tcBorders>
            <w:vAlign w:val="center"/>
          </w:tcPr>
          <w:p>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项目支出</w:t>
            </w:r>
          </w:p>
        </w:tc>
        <w:tc>
          <w:tcPr>
            <w:tcW w:w="973" w:type="pct"/>
            <w:vMerge w:val="continue"/>
            <w:tcBorders>
              <w:left w:val="nil"/>
              <w:right w:val="single" w:color="000000" w:sz="4" w:space="0"/>
            </w:tcBorders>
            <w:vAlign w:val="center"/>
          </w:tcPr>
          <w:p>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合计</w:t>
            </w:r>
          </w:p>
          <w:p>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结转</w:t>
            </w:r>
          </w:p>
          <w:p>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结余</w:t>
            </w:r>
          </w:p>
        </w:tc>
      </w:tr>
      <w:tr>
        <w:tblPrEx>
          <w:tblCellMar>
            <w:top w:w="0" w:type="dxa"/>
            <w:left w:w="108" w:type="dxa"/>
            <w:bottom w:w="0" w:type="dxa"/>
            <w:right w:w="108" w:type="dxa"/>
          </w:tblCellMar>
        </w:tblPrEx>
        <w:trPr>
          <w:trHeight w:val="312" w:hRule="atLeast"/>
        </w:trPr>
        <w:tc>
          <w:tcPr>
            <w:tcW w:w="601" w:type="pct"/>
            <w:vMerge w:val="continue"/>
            <w:tcBorders>
              <w:top w:val="nil"/>
              <w:left w:val="single" w:color="000000" w:sz="4" w:space="0"/>
              <w:bottom w:val="single" w:color="000000" w:sz="4" w:space="0"/>
              <w:right w:val="single" w:color="000000" w:sz="4" w:space="0"/>
            </w:tcBorders>
            <w:vAlign w:val="center"/>
          </w:tcPr>
          <w:p>
            <w:pPr>
              <w:jc w:val="center"/>
              <w:rPr>
                <w:rFonts w:ascii="方正仿宋_GB2312" w:hAnsi="方正仿宋_GB2312" w:eastAsia="方正仿宋_GB2312" w:cs="方正仿宋_GB2312"/>
                <w:color w:val="000000"/>
                <w:sz w:val="20"/>
                <w:szCs w:val="20"/>
              </w:rPr>
            </w:pPr>
          </w:p>
        </w:tc>
        <w:tc>
          <w:tcPr>
            <w:tcW w:w="703" w:type="pct"/>
            <w:vMerge w:val="continue"/>
            <w:tcBorders>
              <w:top w:val="nil"/>
              <w:left w:val="nil"/>
              <w:bottom w:val="single" w:color="000000" w:sz="4" w:space="0"/>
              <w:right w:val="single" w:color="000000" w:sz="4" w:space="0"/>
            </w:tcBorders>
            <w:vAlign w:val="center"/>
          </w:tcPr>
          <w:p>
            <w:pPr>
              <w:jc w:val="center"/>
              <w:rPr>
                <w:rFonts w:ascii="方正仿宋_GB2312" w:hAnsi="方正仿宋_GB2312" w:eastAsia="方正仿宋_GB2312" w:cs="方正仿宋_GB2312"/>
                <w:color w:val="000000"/>
                <w:sz w:val="20"/>
                <w:szCs w:val="20"/>
              </w:rPr>
            </w:pPr>
          </w:p>
        </w:tc>
        <w:tc>
          <w:tcPr>
            <w:tcW w:w="623" w:type="pct"/>
            <w:vMerge w:val="continue"/>
            <w:tcBorders>
              <w:top w:val="single" w:color="000000" w:sz="4" w:space="0"/>
              <w:left w:val="nil"/>
              <w:bottom w:val="single" w:color="000000" w:sz="4" w:space="0"/>
              <w:right w:val="single" w:color="000000" w:sz="4" w:space="0"/>
            </w:tcBorders>
            <w:vAlign w:val="center"/>
          </w:tcPr>
          <w:p>
            <w:pPr>
              <w:jc w:val="center"/>
              <w:rPr>
                <w:rFonts w:ascii="方正仿宋_GB2312" w:hAnsi="方正仿宋_GB2312" w:eastAsia="方正仿宋_GB2312" w:cs="方正仿宋_GB2312"/>
                <w:color w:val="000000"/>
                <w:sz w:val="20"/>
                <w:szCs w:val="20"/>
              </w:rPr>
            </w:pPr>
          </w:p>
        </w:tc>
        <w:tc>
          <w:tcPr>
            <w:tcW w:w="489" w:type="pct"/>
            <w:vMerge w:val="continue"/>
            <w:tcBorders>
              <w:top w:val="single" w:color="000000" w:sz="4" w:space="0"/>
              <w:left w:val="nil"/>
              <w:bottom w:val="single" w:color="000000" w:sz="4" w:space="0"/>
              <w:right w:val="single" w:color="000000" w:sz="4" w:space="0"/>
            </w:tcBorders>
            <w:vAlign w:val="center"/>
          </w:tcPr>
          <w:p>
            <w:pPr>
              <w:jc w:val="center"/>
              <w:rPr>
                <w:rFonts w:ascii="方正仿宋_GB2312" w:hAnsi="方正仿宋_GB2312" w:eastAsia="方正仿宋_GB2312" w:cs="方正仿宋_GB2312"/>
                <w:color w:val="000000"/>
                <w:sz w:val="20"/>
                <w:szCs w:val="20"/>
              </w:rPr>
            </w:pPr>
          </w:p>
        </w:tc>
        <w:tc>
          <w:tcPr>
            <w:tcW w:w="528" w:type="pct"/>
            <w:vMerge w:val="continue"/>
            <w:tcBorders>
              <w:top w:val="nil"/>
              <w:left w:val="nil"/>
              <w:bottom w:val="single" w:color="000000" w:sz="4" w:space="0"/>
              <w:right w:val="single" w:color="000000" w:sz="4" w:space="0"/>
            </w:tcBorders>
            <w:vAlign w:val="center"/>
          </w:tcPr>
          <w:p>
            <w:pPr>
              <w:jc w:val="center"/>
              <w:rPr>
                <w:rFonts w:ascii="方正仿宋_GB2312" w:hAnsi="方正仿宋_GB2312" w:eastAsia="方正仿宋_GB2312" w:cs="方正仿宋_GB2312"/>
                <w:color w:val="000000"/>
                <w:sz w:val="20"/>
                <w:szCs w:val="20"/>
              </w:rPr>
            </w:pPr>
          </w:p>
        </w:tc>
        <w:tc>
          <w:tcPr>
            <w:tcW w:w="534" w:type="pct"/>
            <w:gridSpan w:val="2"/>
            <w:vMerge w:val="continue"/>
            <w:tcBorders>
              <w:top w:val="nil"/>
              <w:left w:val="nil"/>
              <w:bottom w:val="single" w:color="000000" w:sz="4" w:space="0"/>
              <w:right w:val="single" w:color="000000" w:sz="4" w:space="0"/>
            </w:tcBorders>
            <w:vAlign w:val="center"/>
          </w:tcPr>
          <w:p>
            <w:pPr>
              <w:jc w:val="center"/>
              <w:rPr>
                <w:rFonts w:ascii="方正仿宋_GB2312" w:hAnsi="方正仿宋_GB2312" w:eastAsia="方正仿宋_GB2312" w:cs="方正仿宋_GB2312"/>
                <w:color w:val="000000"/>
                <w:sz w:val="20"/>
                <w:szCs w:val="20"/>
              </w:rPr>
            </w:pPr>
          </w:p>
        </w:tc>
        <w:tc>
          <w:tcPr>
            <w:tcW w:w="546" w:type="pct"/>
            <w:vMerge w:val="continue"/>
            <w:tcBorders>
              <w:top w:val="nil"/>
              <w:left w:val="nil"/>
              <w:bottom w:val="single" w:color="000000" w:sz="4" w:space="0"/>
              <w:right w:val="single" w:color="000000" w:sz="4" w:space="0"/>
            </w:tcBorders>
            <w:vAlign w:val="center"/>
          </w:tcPr>
          <w:p>
            <w:pPr>
              <w:jc w:val="center"/>
              <w:rPr>
                <w:rFonts w:ascii="方正仿宋_GB2312" w:hAnsi="方正仿宋_GB2312" w:eastAsia="方正仿宋_GB2312" w:cs="方正仿宋_GB2312"/>
                <w:color w:val="000000"/>
                <w:sz w:val="20"/>
                <w:szCs w:val="20"/>
              </w:rPr>
            </w:pPr>
          </w:p>
        </w:tc>
        <w:tc>
          <w:tcPr>
            <w:tcW w:w="973" w:type="pct"/>
            <w:vMerge w:val="continue"/>
            <w:tcBorders>
              <w:left w:val="nil"/>
              <w:right w:val="single" w:color="000000" w:sz="4" w:space="0"/>
            </w:tcBorders>
            <w:vAlign w:val="center"/>
          </w:tcPr>
          <w:p>
            <w:pPr>
              <w:jc w:val="center"/>
              <w:rPr>
                <w:rFonts w:ascii="方正仿宋_GB2312" w:hAnsi="方正仿宋_GB2312" w:eastAsia="方正仿宋_GB2312" w:cs="方正仿宋_GB2312"/>
                <w:color w:val="000000"/>
                <w:sz w:val="20"/>
                <w:szCs w:val="20"/>
              </w:rPr>
            </w:pPr>
          </w:p>
        </w:tc>
      </w:tr>
      <w:tr>
        <w:tblPrEx>
          <w:tblCellMar>
            <w:top w:w="0" w:type="dxa"/>
            <w:left w:w="108" w:type="dxa"/>
            <w:bottom w:w="0" w:type="dxa"/>
            <w:right w:w="108" w:type="dxa"/>
          </w:tblCellMar>
        </w:tblPrEx>
        <w:trPr>
          <w:trHeight w:val="312" w:hRule="atLeast"/>
        </w:trPr>
        <w:tc>
          <w:tcPr>
            <w:tcW w:w="601" w:type="pct"/>
            <w:vMerge w:val="continue"/>
            <w:tcBorders>
              <w:top w:val="nil"/>
              <w:left w:val="single" w:color="000000" w:sz="4" w:space="0"/>
              <w:bottom w:val="single" w:color="auto" w:sz="4" w:space="0"/>
              <w:right w:val="single" w:color="000000" w:sz="4" w:space="0"/>
            </w:tcBorders>
            <w:vAlign w:val="center"/>
          </w:tcPr>
          <w:p>
            <w:pPr>
              <w:jc w:val="center"/>
              <w:rPr>
                <w:rFonts w:ascii="方正仿宋_GB2312" w:hAnsi="方正仿宋_GB2312" w:eastAsia="方正仿宋_GB2312" w:cs="方正仿宋_GB2312"/>
                <w:color w:val="000000"/>
                <w:sz w:val="20"/>
                <w:szCs w:val="20"/>
              </w:rPr>
            </w:pPr>
          </w:p>
        </w:tc>
        <w:tc>
          <w:tcPr>
            <w:tcW w:w="703" w:type="pct"/>
            <w:vMerge w:val="continue"/>
            <w:tcBorders>
              <w:top w:val="nil"/>
              <w:left w:val="nil"/>
              <w:bottom w:val="single" w:color="auto" w:sz="4" w:space="0"/>
              <w:right w:val="single" w:color="000000" w:sz="4" w:space="0"/>
            </w:tcBorders>
            <w:vAlign w:val="center"/>
          </w:tcPr>
          <w:p>
            <w:pPr>
              <w:jc w:val="center"/>
              <w:rPr>
                <w:rFonts w:ascii="方正仿宋_GB2312" w:hAnsi="方正仿宋_GB2312" w:eastAsia="方正仿宋_GB2312" w:cs="方正仿宋_GB2312"/>
                <w:color w:val="000000"/>
                <w:sz w:val="20"/>
                <w:szCs w:val="20"/>
              </w:rPr>
            </w:pPr>
          </w:p>
        </w:tc>
        <w:tc>
          <w:tcPr>
            <w:tcW w:w="623" w:type="pct"/>
            <w:vMerge w:val="continue"/>
            <w:tcBorders>
              <w:top w:val="single" w:color="000000" w:sz="4" w:space="0"/>
              <w:left w:val="nil"/>
              <w:bottom w:val="single" w:color="000000" w:sz="4" w:space="0"/>
              <w:right w:val="single" w:color="000000" w:sz="4" w:space="0"/>
            </w:tcBorders>
            <w:vAlign w:val="center"/>
          </w:tcPr>
          <w:p>
            <w:pPr>
              <w:jc w:val="center"/>
              <w:rPr>
                <w:rFonts w:ascii="方正仿宋_GB2312" w:hAnsi="方正仿宋_GB2312" w:eastAsia="方正仿宋_GB2312" w:cs="方正仿宋_GB2312"/>
                <w:color w:val="000000"/>
                <w:sz w:val="20"/>
                <w:szCs w:val="20"/>
              </w:rPr>
            </w:pPr>
          </w:p>
        </w:tc>
        <w:tc>
          <w:tcPr>
            <w:tcW w:w="489" w:type="pct"/>
            <w:vMerge w:val="continue"/>
            <w:tcBorders>
              <w:top w:val="single" w:color="000000" w:sz="4" w:space="0"/>
              <w:left w:val="nil"/>
              <w:bottom w:val="single" w:color="000000" w:sz="4" w:space="0"/>
              <w:right w:val="single" w:color="000000" w:sz="4" w:space="0"/>
            </w:tcBorders>
            <w:vAlign w:val="center"/>
          </w:tcPr>
          <w:p>
            <w:pPr>
              <w:jc w:val="center"/>
              <w:rPr>
                <w:rFonts w:ascii="方正仿宋_GB2312" w:hAnsi="方正仿宋_GB2312" w:eastAsia="方正仿宋_GB2312" w:cs="方正仿宋_GB2312"/>
                <w:color w:val="000000"/>
                <w:sz w:val="20"/>
                <w:szCs w:val="20"/>
              </w:rPr>
            </w:pPr>
          </w:p>
        </w:tc>
        <w:tc>
          <w:tcPr>
            <w:tcW w:w="528" w:type="pct"/>
            <w:vMerge w:val="continue"/>
            <w:tcBorders>
              <w:top w:val="nil"/>
              <w:left w:val="nil"/>
              <w:bottom w:val="single" w:color="000000" w:sz="4" w:space="0"/>
              <w:right w:val="single" w:color="000000" w:sz="4" w:space="0"/>
            </w:tcBorders>
            <w:vAlign w:val="center"/>
          </w:tcPr>
          <w:p>
            <w:pPr>
              <w:jc w:val="center"/>
              <w:rPr>
                <w:rFonts w:ascii="方正仿宋_GB2312" w:hAnsi="方正仿宋_GB2312" w:eastAsia="方正仿宋_GB2312" w:cs="方正仿宋_GB2312"/>
                <w:color w:val="000000"/>
                <w:sz w:val="20"/>
                <w:szCs w:val="20"/>
              </w:rPr>
            </w:pPr>
          </w:p>
        </w:tc>
        <w:tc>
          <w:tcPr>
            <w:tcW w:w="534" w:type="pct"/>
            <w:gridSpan w:val="2"/>
            <w:vMerge w:val="continue"/>
            <w:tcBorders>
              <w:top w:val="nil"/>
              <w:left w:val="nil"/>
              <w:bottom w:val="single" w:color="000000" w:sz="4" w:space="0"/>
              <w:right w:val="single" w:color="000000" w:sz="4" w:space="0"/>
            </w:tcBorders>
            <w:vAlign w:val="center"/>
          </w:tcPr>
          <w:p>
            <w:pPr>
              <w:jc w:val="center"/>
              <w:rPr>
                <w:rFonts w:ascii="方正仿宋_GB2312" w:hAnsi="方正仿宋_GB2312" w:eastAsia="方正仿宋_GB2312" w:cs="方正仿宋_GB2312"/>
                <w:color w:val="000000"/>
                <w:sz w:val="20"/>
                <w:szCs w:val="20"/>
              </w:rPr>
            </w:pPr>
          </w:p>
        </w:tc>
        <w:tc>
          <w:tcPr>
            <w:tcW w:w="546" w:type="pct"/>
            <w:vMerge w:val="continue"/>
            <w:tcBorders>
              <w:top w:val="nil"/>
              <w:left w:val="nil"/>
              <w:bottom w:val="single" w:color="000000" w:sz="4" w:space="0"/>
              <w:right w:val="single" w:color="000000" w:sz="4" w:space="0"/>
            </w:tcBorders>
            <w:vAlign w:val="center"/>
          </w:tcPr>
          <w:p>
            <w:pPr>
              <w:jc w:val="center"/>
              <w:rPr>
                <w:rFonts w:ascii="方正仿宋_GB2312" w:hAnsi="方正仿宋_GB2312" w:eastAsia="方正仿宋_GB2312" w:cs="方正仿宋_GB2312"/>
                <w:color w:val="000000"/>
                <w:sz w:val="20"/>
                <w:szCs w:val="20"/>
              </w:rPr>
            </w:pPr>
          </w:p>
        </w:tc>
        <w:tc>
          <w:tcPr>
            <w:tcW w:w="973" w:type="pct"/>
            <w:vMerge w:val="continue"/>
            <w:tcBorders>
              <w:left w:val="nil"/>
              <w:bottom w:val="single" w:color="000000" w:sz="4" w:space="0"/>
              <w:right w:val="single" w:color="000000" w:sz="4" w:space="0"/>
            </w:tcBorders>
            <w:vAlign w:val="center"/>
          </w:tcPr>
          <w:p>
            <w:pPr>
              <w:jc w:val="center"/>
              <w:rPr>
                <w:rFonts w:ascii="方正仿宋_GB2312" w:hAnsi="方正仿宋_GB2312" w:eastAsia="方正仿宋_GB2312" w:cs="方正仿宋_GB2312"/>
                <w:color w:val="000000"/>
                <w:sz w:val="20"/>
                <w:szCs w:val="20"/>
              </w:rPr>
            </w:pPr>
          </w:p>
        </w:tc>
      </w:tr>
      <w:tr>
        <w:tblPrEx>
          <w:tblCellMar>
            <w:top w:w="0" w:type="dxa"/>
            <w:left w:w="108" w:type="dxa"/>
            <w:bottom w:w="0" w:type="dxa"/>
            <w:right w:w="108" w:type="dxa"/>
          </w:tblCellMar>
        </w:tblPrEx>
        <w:trPr>
          <w:trHeight w:val="308" w:hRule="atLeast"/>
        </w:trPr>
        <w:tc>
          <w:tcPr>
            <w:tcW w:w="1304" w:type="pct"/>
            <w:gridSpan w:val="2"/>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栏次</w:t>
            </w:r>
          </w:p>
        </w:tc>
        <w:tc>
          <w:tcPr>
            <w:tcW w:w="623" w:type="pct"/>
            <w:tcBorders>
              <w:top w:val="nil"/>
              <w:left w:val="single" w:color="auto" w:sz="4" w:space="0"/>
              <w:bottom w:val="single" w:color="000000" w:sz="4" w:space="0"/>
              <w:right w:val="single" w:color="000000" w:sz="4" w:space="0"/>
            </w:tcBorders>
            <w:noWrap/>
            <w:vAlign w:val="center"/>
          </w:tcPr>
          <w:p>
            <w:pPr>
              <w:widowControl/>
              <w:jc w:val="center"/>
              <w:textAlignment w:val="center"/>
              <w:rPr>
                <w:rFonts w:ascii="Times New Roman" w:hAnsi="Times New Roman" w:eastAsia="方正仿宋_GB2312" w:cs="Times New Roman"/>
                <w:color w:val="000000"/>
                <w:sz w:val="20"/>
                <w:szCs w:val="20"/>
              </w:rPr>
            </w:pPr>
            <w:r>
              <w:rPr>
                <w:rFonts w:ascii="Times New Roman" w:hAnsi="Times New Roman" w:eastAsia="方正仿宋_GB2312" w:cs="Times New Roman"/>
                <w:color w:val="000000"/>
                <w:sz w:val="20"/>
                <w:szCs w:val="20"/>
                <w:lang w:bidi="ar"/>
              </w:rPr>
              <w:t>1</w:t>
            </w:r>
          </w:p>
        </w:tc>
        <w:tc>
          <w:tcPr>
            <w:tcW w:w="489"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方正仿宋_GB2312" w:cs="Times New Roman"/>
                <w:color w:val="000000"/>
                <w:sz w:val="20"/>
                <w:szCs w:val="20"/>
              </w:rPr>
            </w:pPr>
            <w:r>
              <w:rPr>
                <w:rFonts w:ascii="Times New Roman" w:hAnsi="Times New Roman" w:eastAsia="方正仿宋_GB2312" w:cs="Times New Roman"/>
                <w:color w:val="000000"/>
                <w:sz w:val="20"/>
                <w:szCs w:val="20"/>
                <w:lang w:bidi="ar"/>
              </w:rPr>
              <w:t>2</w:t>
            </w:r>
          </w:p>
        </w:tc>
        <w:tc>
          <w:tcPr>
            <w:tcW w:w="528"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方正仿宋_GB2312" w:cs="Times New Roman"/>
                <w:color w:val="000000"/>
                <w:sz w:val="20"/>
                <w:szCs w:val="20"/>
              </w:rPr>
            </w:pPr>
            <w:r>
              <w:rPr>
                <w:rFonts w:ascii="Times New Roman" w:hAnsi="Times New Roman" w:eastAsia="方正仿宋_GB2312" w:cs="Times New Roman"/>
                <w:color w:val="000000"/>
                <w:sz w:val="20"/>
                <w:szCs w:val="20"/>
                <w:lang w:bidi="ar"/>
              </w:rPr>
              <w:t>3</w:t>
            </w:r>
          </w:p>
        </w:tc>
        <w:tc>
          <w:tcPr>
            <w:tcW w:w="534" w:type="pct"/>
            <w:gridSpan w:val="2"/>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方正仿宋_GB2312" w:cs="Times New Roman"/>
                <w:color w:val="000000"/>
                <w:sz w:val="20"/>
                <w:szCs w:val="20"/>
              </w:rPr>
            </w:pPr>
            <w:r>
              <w:rPr>
                <w:rFonts w:ascii="Times New Roman" w:hAnsi="Times New Roman" w:eastAsia="方正仿宋_GB2312" w:cs="Times New Roman"/>
                <w:color w:val="000000"/>
                <w:sz w:val="20"/>
                <w:szCs w:val="20"/>
                <w:lang w:bidi="ar"/>
              </w:rPr>
              <w:t>4</w:t>
            </w:r>
          </w:p>
        </w:tc>
        <w:tc>
          <w:tcPr>
            <w:tcW w:w="546"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方正仿宋_GB2312" w:cs="Times New Roman"/>
                <w:color w:val="000000"/>
                <w:sz w:val="20"/>
                <w:szCs w:val="20"/>
              </w:rPr>
            </w:pPr>
            <w:r>
              <w:rPr>
                <w:rFonts w:ascii="Times New Roman" w:hAnsi="Times New Roman" w:eastAsia="方正仿宋_GB2312" w:cs="Times New Roman"/>
                <w:color w:val="000000"/>
                <w:sz w:val="20"/>
                <w:szCs w:val="20"/>
                <w:lang w:bidi="ar"/>
              </w:rPr>
              <w:t>5</w:t>
            </w:r>
          </w:p>
        </w:tc>
        <w:tc>
          <w:tcPr>
            <w:tcW w:w="973"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方正仿宋_GB2312" w:cs="Times New Roman"/>
                <w:color w:val="000000"/>
                <w:sz w:val="20"/>
                <w:szCs w:val="20"/>
              </w:rPr>
            </w:pPr>
            <w:r>
              <w:rPr>
                <w:rFonts w:ascii="Times New Roman" w:hAnsi="Times New Roman" w:eastAsia="方正仿宋_GB2312" w:cs="Times New Roman"/>
                <w:color w:val="000000"/>
                <w:sz w:val="20"/>
                <w:szCs w:val="20"/>
              </w:rPr>
              <w:t>6</w:t>
            </w:r>
          </w:p>
        </w:tc>
      </w:tr>
      <w:tr>
        <w:tblPrEx>
          <w:tblCellMar>
            <w:top w:w="0" w:type="dxa"/>
            <w:left w:w="108" w:type="dxa"/>
            <w:bottom w:w="0" w:type="dxa"/>
            <w:right w:w="108" w:type="dxa"/>
          </w:tblCellMar>
        </w:tblPrEx>
        <w:trPr>
          <w:trHeight w:val="869" w:hRule="atLeast"/>
        </w:trPr>
        <w:tc>
          <w:tcPr>
            <w:tcW w:w="1304" w:type="pct"/>
            <w:gridSpan w:val="2"/>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合计</w:t>
            </w:r>
          </w:p>
        </w:tc>
        <w:tc>
          <w:tcPr>
            <w:tcW w:w="623" w:type="pct"/>
            <w:tcBorders>
              <w:top w:val="nil"/>
              <w:left w:val="single" w:color="auto" w:sz="4" w:space="0"/>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489"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528"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534"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546"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973"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308" w:hRule="atLeast"/>
        </w:trPr>
        <w:tc>
          <w:tcPr>
            <w:tcW w:w="5000" w:type="pct"/>
            <w:gridSpan w:val="9"/>
            <w:tcBorders>
              <w:top w:val="nil"/>
              <w:left w:val="nil"/>
              <w:bottom w:val="nil"/>
              <w:right w:val="nil"/>
            </w:tcBorders>
            <w:noWrap/>
            <w:vAlign w:val="center"/>
          </w:tcPr>
          <w:p>
            <w:pPr>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lang w:bidi="ar"/>
              </w:rPr>
              <w:t>注：本表反映部门本年度政府性基金预算财政拨款收入、支出及结转和结余情况</w:t>
            </w:r>
            <w:r>
              <w:rPr>
                <w:rFonts w:hint="eastAsia" w:ascii="方正仿宋_GB2312" w:hAnsi="方正仿宋_GB2312" w:eastAsia="方正仿宋_GB2312" w:cs="方正仿宋_GB2312"/>
                <w:color w:val="000000"/>
                <w:sz w:val="20"/>
                <w:szCs w:val="20"/>
                <w:lang w:eastAsia="zh-CN" w:bidi="ar"/>
              </w:rPr>
              <w:t>，</w:t>
            </w:r>
            <w:r>
              <w:rPr>
                <w:rFonts w:hint="eastAsia" w:ascii="方正仿宋_GB2312" w:hAnsi="方正仿宋_GB2312" w:eastAsia="方正仿宋_GB2312" w:cs="方正仿宋_GB2312"/>
                <w:color w:val="000000"/>
                <w:sz w:val="20"/>
                <w:szCs w:val="20"/>
                <w:lang w:bidi="ar"/>
              </w:rPr>
              <w:t>本部门本年度无</w:t>
            </w:r>
            <w:r>
              <w:rPr>
                <w:rFonts w:hint="eastAsia" w:ascii="方正仿宋_GB2312" w:hAnsi="方正仿宋_GB2312" w:eastAsia="方正仿宋_GB2312" w:cs="方正仿宋_GB2312"/>
                <w:color w:val="000000"/>
                <w:sz w:val="20"/>
                <w:szCs w:val="20"/>
                <w:lang w:val="en-US" w:eastAsia="zh-CN" w:bidi="ar"/>
              </w:rPr>
              <w:t>政府性基金预算财政拨款收入</w:t>
            </w:r>
            <w:r>
              <w:rPr>
                <w:rFonts w:hint="eastAsia" w:ascii="方正仿宋_GB2312" w:hAnsi="方正仿宋_GB2312" w:eastAsia="方正仿宋_GB2312" w:cs="方正仿宋_GB2312"/>
                <w:color w:val="000000"/>
                <w:sz w:val="20"/>
                <w:szCs w:val="20"/>
                <w:lang w:bidi="ar"/>
              </w:rPr>
              <w:t>支出，按要求以空表列示</w:t>
            </w:r>
            <w:r>
              <w:rPr>
                <w:rFonts w:hint="eastAsia" w:ascii="方正仿宋_GB2312" w:hAnsi="方正仿宋_GB2312" w:eastAsia="方正仿宋_GB2312" w:cs="方正仿宋_GB2312"/>
                <w:color w:val="000000"/>
                <w:sz w:val="20"/>
                <w:szCs w:val="20"/>
                <w:lang w:eastAsia="zh-CN" w:bidi="ar"/>
              </w:rPr>
              <w:t>。</w:t>
            </w:r>
            <w:r>
              <w:rPr>
                <w:rFonts w:hint="eastAsia" w:ascii="方正仿宋_GB2312" w:hAnsi="方正仿宋_GB2312" w:eastAsia="方正仿宋_GB2312" w:cs="方正仿宋_GB2312"/>
                <w:color w:val="000000"/>
                <w:sz w:val="20"/>
                <w:szCs w:val="20"/>
                <w:lang w:bidi="ar"/>
              </w:rPr>
              <w:br w:type="page"/>
            </w:r>
          </w:p>
        </w:tc>
      </w:tr>
    </w:tbl>
    <w:p>
      <w:pPr>
        <w:rPr>
          <w:rFonts w:ascii="仿宋_GB2312" w:hAnsi="宋体" w:eastAsia="仿宋_GB2312"/>
          <w:b/>
          <w:sz w:val="32"/>
          <w:szCs w:val="32"/>
        </w:rPr>
      </w:pPr>
      <w:r>
        <w:rPr>
          <w:rFonts w:hint="eastAsia" w:ascii="仿宋_GB2312" w:hAnsi="宋体" w:eastAsia="仿宋_GB2312"/>
          <w:b/>
          <w:sz w:val="32"/>
          <w:szCs w:val="32"/>
        </w:rPr>
        <w:br w:type="page"/>
      </w:r>
    </w:p>
    <w:p>
      <w:pPr>
        <w:widowControl/>
        <w:jc w:val="center"/>
        <w:textAlignment w:val="bottom"/>
        <w:rPr>
          <w:rFonts w:ascii="宋体" w:hAnsi="宋体" w:eastAsia="宋体"/>
          <w:spacing w:val="-2"/>
          <w:sz w:val="20"/>
        </w:rPr>
      </w:pPr>
    </w:p>
    <w:tbl>
      <w:tblPr>
        <w:tblStyle w:val="11"/>
        <w:tblW w:w="5000" w:type="pct"/>
        <w:tblInd w:w="0" w:type="dxa"/>
        <w:tblLayout w:type="fixed"/>
        <w:tblCellMar>
          <w:top w:w="0" w:type="dxa"/>
          <w:left w:w="108" w:type="dxa"/>
          <w:bottom w:w="0" w:type="dxa"/>
          <w:right w:w="108" w:type="dxa"/>
        </w:tblCellMar>
      </w:tblPr>
      <w:tblGrid>
        <w:gridCol w:w="2017"/>
        <w:gridCol w:w="730"/>
        <w:gridCol w:w="1298"/>
        <w:gridCol w:w="1336"/>
        <w:gridCol w:w="45"/>
        <w:gridCol w:w="1286"/>
        <w:gridCol w:w="5"/>
        <w:gridCol w:w="1323"/>
      </w:tblGrid>
      <w:tr>
        <w:tblPrEx>
          <w:tblCellMar>
            <w:top w:w="0" w:type="dxa"/>
            <w:left w:w="108" w:type="dxa"/>
            <w:bottom w:w="0" w:type="dxa"/>
            <w:right w:w="108" w:type="dxa"/>
          </w:tblCellMar>
        </w:tblPrEx>
        <w:trPr>
          <w:trHeight w:val="550" w:hRule="atLeast"/>
        </w:trPr>
        <w:tc>
          <w:tcPr>
            <w:tcW w:w="5000" w:type="pct"/>
            <w:gridSpan w:val="8"/>
            <w:tcBorders>
              <w:top w:val="nil"/>
              <w:left w:val="nil"/>
              <w:bottom w:val="nil"/>
              <w:right w:val="nil"/>
            </w:tcBorders>
            <w:noWrap/>
            <w:vAlign w:val="bottom"/>
          </w:tcPr>
          <w:p>
            <w:pPr>
              <w:widowControl/>
              <w:jc w:val="center"/>
              <w:textAlignment w:val="bottom"/>
              <w:rPr>
                <w:rFonts w:ascii="宋体" w:hAnsi="宋体" w:eastAsia="宋体"/>
                <w:color w:val="000000"/>
                <w:sz w:val="20"/>
                <w:szCs w:val="20"/>
              </w:rPr>
            </w:pPr>
            <w:r>
              <w:rPr>
                <w:rFonts w:hint="eastAsia" w:ascii="方正仿宋_GB2312" w:hAnsi="方正仿宋_GB2312" w:eastAsia="方正仿宋_GB2312" w:cs="方正仿宋_GB2312"/>
                <w:bCs/>
                <w:sz w:val="32"/>
                <w:szCs w:val="32"/>
              </w:rPr>
              <w:t>国有资本经营预算财政拨款支出决算表</w:t>
            </w:r>
          </w:p>
        </w:tc>
      </w:tr>
      <w:tr>
        <w:tblPrEx>
          <w:tblCellMar>
            <w:top w:w="0" w:type="dxa"/>
            <w:left w:w="108" w:type="dxa"/>
            <w:bottom w:w="0" w:type="dxa"/>
            <w:right w:w="108" w:type="dxa"/>
          </w:tblCellMar>
        </w:tblPrEx>
        <w:trPr>
          <w:trHeight w:val="300" w:hRule="atLeast"/>
        </w:trPr>
        <w:tc>
          <w:tcPr>
            <w:tcW w:w="5000" w:type="pct"/>
            <w:gridSpan w:val="8"/>
            <w:tcBorders>
              <w:top w:val="nil"/>
              <w:left w:val="nil"/>
              <w:bottom w:val="nil"/>
              <w:right w:val="nil"/>
            </w:tcBorders>
            <w:noWrap/>
            <w:vAlign w:val="bottom"/>
          </w:tcPr>
          <w:p>
            <w:pPr>
              <w:widowControl/>
              <w:jc w:val="right"/>
              <w:textAlignment w:val="bottom"/>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lang w:bidi="ar"/>
              </w:rPr>
              <w:t>公开</w:t>
            </w:r>
            <w:r>
              <w:rPr>
                <w:rFonts w:ascii="Times New Roman" w:hAnsi="Times New Roman" w:eastAsia="方正仿宋_GB2312" w:cs="Times New Roman"/>
                <w:color w:val="000000"/>
                <w:sz w:val="20"/>
                <w:szCs w:val="20"/>
                <w:lang w:bidi="ar"/>
              </w:rPr>
              <w:t>08</w:t>
            </w:r>
            <w:r>
              <w:rPr>
                <w:rFonts w:hint="eastAsia" w:ascii="方正仿宋_GB2312" w:hAnsi="方正仿宋_GB2312" w:eastAsia="方正仿宋_GB2312" w:cs="方正仿宋_GB2312"/>
                <w:color w:val="000000"/>
                <w:sz w:val="20"/>
                <w:szCs w:val="20"/>
                <w:lang w:bidi="ar"/>
              </w:rPr>
              <w:t>表</w:t>
            </w:r>
          </w:p>
        </w:tc>
      </w:tr>
      <w:tr>
        <w:tblPrEx>
          <w:tblCellMar>
            <w:top w:w="0" w:type="dxa"/>
            <w:left w:w="108" w:type="dxa"/>
            <w:bottom w:w="0" w:type="dxa"/>
            <w:right w:w="108" w:type="dxa"/>
          </w:tblCellMar>
        </w:tblPrEx>
        <w:trPr>
          <w:trHeight w:val="300" w:hRule="atLeast"/>
        </w:trPr>
        <w:tc>
          <w:tcPr>
            <w:tcW w:w="1708" w:type="pct"/>
            <w:gridSpan w:val="2"/>
            <w:tcBorders>
              <w:top w:val="nil"/>
              <w:left w:val="nil"/>
              <w:bottom w:val="single" w:color="auto" w:sz="4" w:space="0"/>
              <w:right w:val="nil"/>
            </w:tcBorders>
            <w:noWrap/>
            <w:vAlign w:val="bottom"/>
          </w:tcPr>
          <w:p>
            <w:pPr>
              <w:widowControl/>
              <w:textAlignment w:val="bottom"/>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lang w:bidi="ar"/>
              </w:rPr>
              <w:t>编制部门（单位）：中国人民政治协商会议河北省石家庄市鹿泉区委员会(本级)</w:t>
            </w:r>
          </w:p>
        </w:tc>
        <w:tc>
          <w:tcPr>
            <w:tcW w:w="1666" w:type="pct"/>
            <w:gridSpan w:val="3"/>
            <w:tcBorders>
              <w:top w:val="nil"/>
              <w:left w:val="nil"/>
              <w:bottom w:val="single" w:color="auto" w:sz="4" w:space="0"/>
              <w:right w:val="nil"/>
            </w:tcBorders>
            <w:noWrap/>
            <w:vAlign w:val="bottom"/>
          </w:tcPr>
          <w:p>
            <w:pPr>
              <w:widowControl/>
              <w:jc w:val="center"/>
              <w:textAlignment w:val="bottom"/>
              <w:rPr>
                <w:rFonts w:ascii="宋体" w:hAnsi="宋体" w:eastAsia="宋体"/>
                <w:color w:val="000000"/>
                <w:sz w:val="20"/>
                <w:szCs w:val="20"/>
                <w:lang w:bidi="ar"/>
              </w:rPr>
            </w:pPr>
            <w:r>
              <w:rPr>
                <w:rFonts w:ascii="Times New Roman" w:hAnsi="Times New Roman" w:eastAsia="宋体" w:cs="Times New Roman"/>
                <w:color w:val="000000"/>
                <w:sz w:val="20"/>
                <w:szCs w:val="20"/>
                <w:lang w:bidi="ar"/>
              </w:rPr>
              <w:t>2023</w:t>
            </w:r>
            <w:r>
              <w:rPr>
                <w:rFonts w:hint="eastAsia" w:ascii="方正仿宋_GB2312" w:hAnsi="方正仿宋_GB2312" w:eastAsia="方正仿宋_GB2312" w:cs="方正仿宋_GB2312"/>
                <w:color w:val="000000"/>
                <w:sz w:val="20"/>
                <w:szCs w:val="20"/>
                <w:lang w:bidi="ar"/>
              </w:rPr>
              <w:t>年度</w:t>
            </w:r>
          </w:p>
        </w:tc>
        <w:tc>
          <w:tcPr>
            <w:tcW w:w="1624" w:type="pct"/>
            <w:gridSpan w:val="3"/>
            <w:tcBorders>
              <w:top w:val="nil"/>
              <w:left w:val="nil"/>
              <w:bottom w:val="single" w:color="auto" w:sz="4" w:space="0"/>
              <w:right w:val="nil"/>
            </w:tcBorders>
            <w:noWrap/>
            <w:vAlign w:val="bottom"/>
          </w:tcPr>
          <w:p>
            <w:pPr>
              <w:widowControl/>
              <w:jc w:val="right"/>
              <w:textAlignment w:val="bottom"/>
              <w:rPr>
                <w:rFonts w:ascii="宋体" w:hAnsi="宋体" w:eastAsia="宋体"/>
                <w:color w:val="000000"/>
                <w:sz w:val="20"/>
                <w:szCs w:val="20"/>
                <w:lang w:bidi="ar"/>
              </w:rPr>
            </w:pPr>
            <w:r>
              <w:rPr>
                <w:rFonts w:hint="eastAsia" w:ascii="方正仿宋_GB2312" w:hAnsi="方正仿宋_GB2312" w:eastAsia="方正仿宋_GB2312" w:cs="方正仿宋_GB2312"/>
                <w:color w:val="000000"/>
                <w:sz w:val="20"/>
                <w:szCs w:val="20"/>
                <w:lang w:bidi="ar"/>
              </w:rPr>
              <w:t>金额单位：万元</w:t>
            </w:r>
          </w:p>
        </w:tc>
      </w:tr>
      <w:tr>
        <w:tblPrEx>
          <w:tblCellMar>
            <w:top w:w="0" w:type="dxa"/>
            <w:left w:w="108" w:type="dxa"/>
            <w:bottom w:w="0" w:type="dxa"/>
            <w:right w:w="108" w:type="dxa"/>
          </w:tblCellMar>
        </w:tblPrEx>
        <w:trPr>
          <w:trHeight w:val="312" w:hRule="atLeast"/>
        </w:trPr>
        <w:tc>
          <w:tcPr>
            <w:tcW w:w="2515" w:type="pct"/>
            <w:gridSpan w:val="3"/>
            <w:vMerge w:val="restart"/>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 xml:space="preserve"> 项目</w:t>
            </w:r>
          </w:p>
        </w:tc>
        <w:tc>
          <w:tcPr>
            <w:tcW w:w="2484" w:type="pct"/>
            <w:gridSpan w:val="5"/>
            <w:vMerge w:val="restart"/>
            <w:tcBorders>
              <w:top w:val="single" w:color="auto" w:sz="4" w:space="0"/>
              <w:left w:val="single" w:color="auto" w:sz="4" w:space="0"/>
              <w:right w:val="single" w:color="000000" w:sz="4" w:space="0"/>
            </w:tcBorders>
            <w:vAlign w:val="center"/>
          </w:tcPr>
          <w:p>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本年支出</w:t>
            </w:r>
          </w:p>
        </w:tc>
      </w:tr>
      <w:tr>
        <w:tblPrEx>
          <w:tblCellMar>
            <w:top w:w="0" w:type="dxa"/>
            <w:left w:w="108" w:type="dxa"/>
            <w:bottom w:w="0" w:type="dxa"/>
            <w:right w:w="108" w:type="dxa"/>
          </w:tblCellMar>
        </w:tblPrEx>
        <w:trPr>
          <w:trHeight w:val="312" w:hRule="atLeast"/>
        </w:trPr>
        <w:tc>
          <w:tcPr>
            <w:tcW w:w="2515" w:type="pct"/>
            <w:gridSpan w:val="3"/>
            <w:vMerge w:val="continue"/>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方正仿宋_GB2312" w:hAnsi="方正仿宋_GB2312" w:eastAsia="方正仿宋_GB2312" w:cs="方正仿宋_GB2312"/>
                <w:color w:val="000000"/>
                <w:sz w:val="20"/>
                <w:szCs w:val="20"/>
              </w:rPr>
            </w:pPr>
          </w:p>
        </w:tc>
        <w:tc>
          <w:tcPr>
            <w:tcW w:w="2484" w:type="pct"/>
            <w:gridSpan w:val="5"/>
            <w:vMerge w:val="continue"/>
            <w:tcBorders>
              <w:left w:val="single" w:color="auto" w:sz="4" w:space="0"/>
              <w:bottom w:val="single" w:color="000000" w:sz="4" w:space="0"/>
              <w:right w:val="single" w:color="000000" w:sz="4" w:space="0"/>
            </w:tcBorders>
            <w:vAlign w:val="center"/>
          </w:tcPr>
          <w:p>
            <w:pPr>
              <w:widowControl/>
              <w:jc w:val="center"/>
              <w:textAlignment w:val="center"/>
              <w:rPr>
                <w:rFonts w:ascii="方正仿宋_GB2312" w:hAnsi="方正仿宋_GB2312" w:eastAsia="方正仿宋_GB2312" w:cs="方正仿宋_GB2312"/>
                <w:color w:val="000000"/>
                <w:sz w:val="20"/>
                <w:szCs w:val="20"/>
              </w:rPr>
            </w:pPr>
          </w:p>
        </w:tc>
      </w:tr>
      <w:tr>
        <w:tblPrEx>
          <w:tblCellMar>
            <w:top w:w="0" w:type="dxa"/>
            <w:left w:w="108" w:type="dxa"/>
            <w:bottom w:w="0" w:type="dxa"/>
            <w:right w:w="108" w:type="dxa"/>
          </w:tblCellMar>
        </w:tblPrEx>
        <w:trPr>
          <w:trHeight w:val="312" w:hRule="atLeast"/>
        </w:trPr>
        <w:tc>
          <w:tcPr>
            <w:tcW w:w="1254" w:type="pct"/>
            <w:vMerge w:val="restart"/>
            <w:tcBorders>
              <w:top w:val="single" w:color="auto" w:sz="4" w:space="0"/>
              <w:left w:val="single" w:color="auto" w:sz="4" w:space="0"/>
              <w:bottom w:val="single" w:color="auto" w:sz="4" w:space="0"/>
              <w:right w:val="single" w:color="auto" w:sz="4" w:space="0"/>
            </w:tcBorders>
            <w:vAlign w:val="center"/>
          </w:tcPr>
          <w:p>
            <w:pPr>
              <w:jc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科目代码</w:t>
            </w:r>
          </w:p>
        </w:tc>
        <w:tc>
          <w:tcPr>
            <w:tcW w:w="1260" w:type="pct"/>
            <w:gridSpan w:val="2"/>
            <w:vMerge w:val="restart"/>
            <w:tcBorders>
              <w:top w:val="single" w:color="auto" w:sz="4" w:space="0"/>
              <w:left w:val="single" w:color="auto" w:sz="4" w:space="0"/>
              <w:bottom w:val="single" w:color="auto" w:sz="4" w:space="0"/>
              <w:right w:val="single" w:color="auto" w:sz="4" w:space="0"/>
            </w:tcBorders>
            <w:vAlign w:val="center"/>
          </w:tcPr>
          <w:p>
            <w:pPr>
              <w:jc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科目名称</w:t>
            </w:r>
          </w:p>
        </w:tc>
        <w:tc>
          <w:tcPr>
            <w:tcW w:w="831" w:type="pct"/>
            <w:vMerge w:val="restart"/>
            <w:tcBorders>
              <w:top w:val="nil"/>
              <w:left w:val="single" w:color="auto" w:sz="4" w:space="0"/>
              <w:right w:val="single" w:color="000000" w:sz="4" w:space="0"/>
            </w:tcBorders>
            <w:vAlign w:val="center"/>
          </w:tcPr>
          <w:p>
            <w:pPr>
              <w:jc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合计</w:t>
            </w:r>
          </w:p>
        </w:tc>
        <w:tc>
          <w:tcPr>
            <w:tcW w:w="831" w:type="pct"/>
            <w:gridSpan w:val="3"/>
            <w:vMerge w:val="restart"/>
            <w:tcBorders>
              <w:top w:val="nil"/>
              <w:left w:val="nil"/>
              <w:right w:val="single" w:color="000000" w:sz="4" w:space="0"/>
            </w:tcBorders>
            <w:vAlign w:val="center"/>
          </w:tcPr>
          <w:p>
            <w:pPr>
              <w:jc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基本支出</w:t>
            </w:r>
          </w:p>
        </w:tc>
        <w:tc>
          <w:tcPr>
            <w:tcW w:w="821" w:type="pct"/>
            <w:vMerge w:val="restart"/>
            <w:tcBorders>
              <w:top w:val="nil"/>
              <w:left w:val="nil"/>
              <w:right w:val="single" w:color="000000" w:sz="4" w:space="0"/>
            </w:tcBorders>
            <w:vAlign w:val="center"/>
          </w:tcPr>
          <w:p>
            <w:pPr>
              <w:jc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项目支出</w:t>
            </w:r>
          </w:p>
        </w:tc>
      </w:tr>
      <w:tr>
        <w:tblPrEx>
          <w:tblCellMar>
            <w:top w:w="0" w:type="dxa"/>
            <w:left w:w="108" w:type="dxa"/>
            <w:bottom w:w="0" w:type="dxa"/>
            <w:right w:w="108" w:type="dxa"/>
          </w:tblCellMar>
        </w:tblPrEx>
        <w:trPr>
          <w:trHeight w:val="312" w:hRule="atLeast"/>
        </w:trPr>
        <w:tc>
          <w:tcPr>
            <w:tcW w:w="1254" w:type="pct"/>
            <w:vMerge w:val="continue"/>
            <w:tcBorders>
              <w:top w:val="single" w:color="auto" w:sz="4" w:space="0"/>
              <w:left w:val="single" w:color="auto" w:sz="4" w:space="0"/>
              <w:bottom w:val="single" w:color="auto" w:sz="4" w:space="0"/>
              <w:right w:val="single" w:color="000000" w:sz="4" w:space="0"/>
            </w:tcBorders>
            <w:vAlign w:val="center"/>
          </w:tcPr>
          <w:p>
            <w:pPr>
              <w:jc w:val="center"/>
              <w:rPr>
                <w:rFonts w:ascii="方正仿宋_GB2312" w:hAnsi="方正仿宋_GB2312" w:eastAsia="方正仿宋_GB2312" w:cs="方正仿宋_GB2312"/>
                <w:color w:val="000000"/>
                <w:sz w:val="20"/>
                <w:szCs w:val="20"/>
              </w:rPr>
            </w:pPr>
          </w:p>
        </w:tc>
        <w:tc>
          <w:tcPr>
            <w:tcW w:w="1260" w:type="pct"/>
            <w:gridSpan w:val="2"/>
            <w:vMerge w:val="continue"/>
            <w:tcBorders>
              <w:top w:val="single" w:color="auto" w:sz="4" w:space="0"/>
              <w:left w:val="nil"/>
              <w:bottom w:val="single" w:color="auto" w:sz="4" w:space="0"/>
              <w:right w:val="single" w:color="auto" w:sz="4" w:space="0"/>
            </w:tcBorders>
            <w:vAlign w:val="center"/>
          </w:tcPr>
          <w:p>
            <w:pPr>
              <w:jc w:val="center"/>
              <w:rPr>
                <w:rFonts w:ascii="方正仿宋_GB2312" w:hAnsi="方正仿宋_GB2312" w:eastAsia="方正仿宋_GB2312" w:cs="方正仿宋_GB2312"/>
                <w:color w:val="000000"/>
                <w:sz w:val="20"/>
                <w:szCs w:val="20"/>
              </w:rPr>
            </w:pPr>
          </w:p>
        </w:tc>
        <w:tc>
          <w:tcPr>
            <w:tcW w:w="831" w:type="pct"/>
            <w:vMerge w:val="continue"/>
            <w:tcBorders>
              <w:left w:val="single" w:color="auto" w:sz="4" w:space="0"/>
              <w:bottom w:val="single" w:color="000000" w:sz="4" w:space="0"/>
              <w:right w:val="single" w:color="000000" w:sz="4" w:space="0"/>
            </w:tcBorders>
            <w:vAlign w:val="center"/>
          </w:tcPr>
          <w:p>
            <w:pPr>
              <w:jc w:val="center"/>
              <w:rPr>
                <w:rFonts w:ascii="方正仿宋_GB2312" w:hAnsi="方正仿宋_GB2312" w:eastAsia="方正仿宋_GB2312" w:cs="方正仿宋_GB2312"/>
                <w:color w:val="000000"/>
                <w:sz w:val="20"/>
                <w:szCs w:val="20"/>
              </w:rPr>
            </w:pPr>
          </w:p>
        </w:tc>
        <w:tc>
          <w:tcPr>
            <w:tcW w:w="831" w:type="pct"/>
            <w:gridSpan w:val="3"/>
            <w:vMerge w:val="continue"/>
            <w:tcBorders>
              <w:left w:val="nil"/>
              <w:bottom w:val="single" w:color="000000" w:sz="4" w:space="0"/>
              <w:right w:val="single" w:color="000000" w:sz="4" w:space="0"/>
            </w:tcBorders>
            <w:vAlign w:val="center"/>
          </w:tcPr>
          <w:p>
            <w:pPr>
              <w:jc w:val="center"/>
              <w:rPr>
                <w:rFonts w:ascii="方正仿宋_GB2312" w:hAnsi="方正仿宋_GB2312" w:eastAsia="方正仿宋_GB2312" w:cs="方正仿宋_GB2312"/>
                <w:color w:val="000000"/>
                <w:sz w:val="20"/>
                <w:szCs w:val="20"/>
              </w:rPr>
            </w:pPr>
          </w:p>
        </w:tc>
        <w:tc>
          <w:tcPr>
            <w:tcW w:w="821" w:type="pct"/>
            <w:vMerge w:val="continue"/>
            <w:tcBorders>
              <w:left w:val="nil"/>
              <w:bottom w:val="single" w:color="000000" w:sz="4" w:space="0"/>
              <w:right w:val="single" w:color="000000" w:sz="4" w:space="0"/>
            </w:tcBorders>
            <w:vAlign w:val="center"/>
          </w:tcPr>
          <w:p>
            <w:pPr>
              <w:jc w:val="center"/>
              <w:rPr>
                <w:rFonts w:ascii="方正仿宋_GB2312" w:hAnsi="方正仿宋_GB2312" w:eastAsia="方正仿宋_GB2312" w:cs="方正仿宋_GB2312"/>
                <w:color w:val="000000"/>
                <w:sz w:val="20"/>
                <w:szCs w:val="20"/>
              </w:rPr>
            </w:pPr>
          </w:p>
        </w:tc>
      </w:tr>
      <w:tr>
        <w:tblPrEx>
          <w:tblCellMar>
            <w:top w:w="0" w:type="dxa"/>
            <w:left w:w="108" w:type="dxa"/>
            <w:bottom w:w="0" w:type="dxa"/>
            <w:right w:w="108" w:type="dxa"/>
          </w:tblCellMar>
        </w:tblPrEx>
        <w:trPr>
          <w:trHeight w:val="308" w:hRule="atLeast"/>
        </w:trPr>
        <w:tc>
          <w:tcPr>
            <w:tcW w:w="2515" w:type="pct"/>
            <w:gridSpan w:val="3"/>
            <w:tcBorders>
              <w:top w:val="single" w:color="auto" w:sz="4" w:space="0"/>
              <w:left w:val="single" w:color="auto" w:sz="4" w:space="0"/>
              <w:bottom w:val="single" w:color="000000" w:sz="4" w:space="0"/>
              <w:right w:val="single" w:color="auto" w:sz="4" w:space="0"/>
            </w:tcBorders>
            <w:noWrap/>
            <w:vAlign w:val="center"/>
          </w:tcPr>
          <w:p>
            <w:pPr>
              <w:widowControl/>
              <w:jc w:val="center"/>
              <w:textAlignment w:val="center"/>
              <w:rPr>
                <w:rFonts w:ascii="Times New Roman" w:hAnsi="Times New Roman" w:eastAsia="方正仿宋_GB2312" w:cs="Times New Roman"/>
                <w:color w:val="000000"/>
                <w:sz w:val="20"/>
                <w:szCs w:val="20"/>
              </w:rPr>
            </w:pPr>
            <w:r>
              <w:rPr>
                <w:rFonts w:hint="eastAsia" w:ascii="Times New Roman" w:hAnsi="Times New Roman" w:eastAsia="方正仿宋_GB2312" w:cs="Times New Roman"/>
                <w:color w:val="000000"/>
                <w:sz w:val="20"/>
                <w:szCs w:val="20"/>
              </w:rPr>
              <w:t>栏次</w:t>
            </w:r>
          </w:p>
        </w:tc>
        <w:tc>
          <w:tcPr>
            <w:tcW w:w="828" w:type="pct"/>
            <w:tcBorders>
              <w:top w:val="nil"/>
              <w:left w:val="single" w:color="auto" w:sz="4" w:space="0"/>
              <w:bottom w:val="single" w:color="000000" w:sz="4" w:space="0"/>
              <w:right w:val="single" w:color="000000" w:sz="4" w:space="0"/>
            </w:tcBorders>
            <w:noWrap/>
            <w:vAlign w:val="center"/>
          </w:tcPr>
          <w:p>
            <w:pPr>
              <w:widowControl/>
              <w:jc w:val="center"/>
              <w:textAlignment w:val="center"/>
              <w:rPr>
                <w:rFonts w:ascii="Times New Roman" w:hAnsi="Times New Roman" w:eastAsia="方正仿宋_GB2312" w:cs="Times New Roman"/>
                <w:color w:val="000000"/>
                <w:sz w:val="20"/>
                <w:szCs w:val="20"/>
              </w:rPr>
            </w:pPr>
            <w:r>
              <w:rPr>
                <w:rFonts w:hint="eastAsia" w:ascii="Times New Roman" w:hAnsi="Times New Roman" w:eastAsia="方正仿宋_GB2312" w:cs="Times New Roman"/>
                <w:color w:val="000000"/>
                <w:sz w:val="20"/>
                <w:szCs w:val="20"/>
              </w:rPr>
              <w:t>1</w:t>
            </w:r>
          </w:p>
        </w:tc>
        <w:tc>
          <w:tcPr>
            <w:tcW w:w="828" w:type="pct"/>
            <w:gridSpan w:val="2"/>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方正仿宋_GB2312" w:cs="Times New Roman"/>
                <w:color w:val="000000"/>
                <w:sz w:val="20"/>
                <w:szCs w:val="20"/>
              </w:rPr>
            </w:pPr>
            <w:r>
              <w:rPr>
                <w:rFonts w:hint="eastAsia" w:ascii="Times New Roman" w:hAnsi="Times New Roman" w:eastAsia="方正仿宋_GB2312" w:cs="Times New Roman"/>
                <w:color w:val="000000"/>
                <w:sz w:val="20"/>
                <w:szCs w:val="20"/>
              </w:rPr>
              <w:t>2</w:t>
            </w:r>
          </w:p>
        </w:tc>
        <w:tc>
          <w:tcPr>
            <w:tcW w:w="828" w:type="pct"/>
            <w:gridSpan w:val="2"/>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方正仿宋_GB2312" w:cs="Times New Roman"/>
                <w:color w:val="000000"/>
                <w:sz w:val="20"/>
                <w:szCs w:val="20"/>
              </w:rPr>
            </w:pPr>
            <w:r>
              <w:rPr>
                <w:rFonts w:hint="eastAsia" w:ascii="Times New Roman" w:hAnsi="Times New Roman" w:eastAsia="方正仿宋_GB2312" w:cs="Times New Roman"/>
                <w:color w:val="000000"/>
                <w:sz w:val="20"/>
                <w:szCs w:val="20"/>
              </w:rPr>
              <w:t>3</w:t>
            </w:r>
          </w:p>
        </w:tc>
      </w:tr>
      <w:tr>
        <w:trPr>
          <w:trHeight w:val="308" w:hRule="atLeast"/>
        </w:trPr>
        <w:tc>
          <w:tcPr>
            <w:tcW w:w="2515" w:type="pct"/>
            <w:gridSpan w:val="3"/>
            <w:tcBorders>
              <w:top w:val="single" w:color="000000" w:sz="4" w:space="0"/>
              <w:left w:val="single" w:color="000000" w:sz="4" w:space="0"/>
              <w:bottom w:val="single" w:color="000000" w:sz="4" w:space="0"/>
              <w:right w:val="single" w:color="000000" w:sz="4" w:space="0"/>
            </w:tcBorders>
            <w:noWrap/>
            <w:vAlign w:val="center"/>
          </w:tcPr>
          <w:p>
            <w:pPr>
              <w:jc w:val="center"/>
              <w:rPr>
                <w:rFonts w:ascii="Times New Roman" w:hAnsi="Times New Roman" w:eastAsia="宋体" w:cs="Times New Roman"/>
                <w:color w:val="000000"/>
                <w:sz w:val="20"/>
                <w:szCs w:val="20"/>
              </w:rPr>
            </w:pPr>
            <w:r>
              <w:rPr>
                <w:rFonts w:hint="eastAsia" w:ascii="Times New Roman" w:hAnsi="Times New Roman" w:eastAsia="方正仿宋_GB2312" w:cs="Times New Roman"/>
                <w:color w:val="000000"/>
                <w:sz w:val="20"/>
                <w:szCs w:val="20"/>
              </w:rPr>
              <w:t>合计</w:t>
            </w:r>
          </w:p>
        </w:tc>
        <w:tc>
          <w:tcPr>
            <w:tcW w:w="828" w:type="pct"/>
            <w:tcBorders>
              <w:top w:val="single" w:color="000000" w:sz="4" w:space="0"/>
              <w:left w:val="single" w:color="000000" w:sz="4" w:space="0"/>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828" w:type="pct"/>
            <w:gridSpan w:val="2"/>
            <w:tcBorders>
              <w:top w:val="single" w:color="000000" w:sz="4" w:space="0"/>
              <w:left w:val="single" w:color="000000" w:sz="4" w:space="0"/>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828" w:type="pct"/>
            <w:gridSpan w:val="2"/>
            <w:tcBorders>
              <w:top w:val="single" w:color="000000" w:sz="4" w:space="0"/>
              <w:left w:val="single" w:color="000000" w:sz="4" w:space="0"/>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308" w:hRule="atLeast"/>
        </w:trPr>
        <w:tc>
          <w:tcPr>
            <w:tcW w:w="5000" w:type="pct"/>
            <w:gridSpan w:val="8"/>
            <w:tcBorders>
              <w:top w:val="nil"/>
              <w:left w:val="nil"/>
              <w:bottom w:val="nil"/>
              <w:right w:val="nil"/>
            </w:tcBorders>
            <w:noWrap/>
            <w:vAlign w:val="center"/>
          </w:tcPr>
          <w:p>
            <w:pPr>
              <w:widowControl/>
              <w:jc w:val="left"/>
              <w:textAlignment w:val="center"/>
              <w:rPr>
                <w:rFonts w:hint="eastAsia" w:ascii="宋体" w:hAnsi="宋体" w:eastAsia="方正仿宋_GB2312"/>
                <w:color w:val="000000"/>
                <w:sz w:val="20"/>
                <w:szCs w:val="20"/>
                <w:lang w:eastAsia="zh-CN"/>
              </w:rPr>
            </w:pPr>
            <w:r>
              <w:rPr>
                <w:rFonts w:hint="eastAsia" w:ascii="方正仿宋_GB2312" w:hAnsi="方正仿宋_GB2312" w:eastAsia="方正仿宋_GB2312" w:cs="方正仿宋_GB2312"/>
                <w:color w:val="000000"/>
                <w:sz w:val="20"/>
                <w:szCs w:val="20"/>
                <w:lang w:bidi="ar"/>
              </w:rPr>
              <w:t>注：本表反映部门本年度国有资本经营预算财政拨款支出情况</w:t>
            </w:r>
            <w:r>
              <w:rPr>
                <w:rFonts w:hint="eastAsia" w:ascii="方正仿宋_GB2312" w:hAnsi="方正仿宋_GB2312" w:eastAsia="方正仿宋_GB2312" w:cs="方正仿宋_GB2312"/>
                <w:color w:val="000000"/>
                <w:sz w:val="20"/>
                <w:szCs w:val="20"/>
                <w:lang w:eastAsia="zh-CN" w:bidi="ar"/>
              </w:rPr>
              <w:t>，</w:t>
            </w:r>
            <w:r>
              <w:rPr>
                <w:rFonts w:hint="eastAsia" w:ascii="方正仿宋_GB2312" w:hAnsi="方正仿宋_GB2312" w:eastAsia="方正仿宋_GB2312" w:cs="方正仿宋_GB2312"/>
                <w:color w:val="000000"/>
                <w:sz w:val="20"/>
                <w:szCs w:val="20"/>
                <w:lang w:bidi="ar"/>
              </w:rPr>
              <w:t>本部门本年度无</w:t>
            </w:r>
            <w:r>
              <w:rPr>
                <w:rFonts w:hint="eastAsia" w:ascii="方正仿宋_GB2312" w:hAnsi="方正仿宋_GB2312" w:eastAsia="方正仿宋_GB2312" w:cs="方正仿宋_GB2312"/>
                <w:color w:val="000000"/>
                <w:sz w:val="20"/>
                <w:szCs w:val="20"/>
                <w:lang w:val="en-US" w:eastAsia="zh-CN" w:bidi="ar"/>
              </w:rPr>
              <w:t>政府性基金预算财政拨款收入</w:t>
            </w:r>
            <w:r>
              <w:rPr>
                <w:rFonts w:hint="eastAsia" w:ascii="方正仿宋_GB2312" w:hAnsi="方正仿宋_GB2312" w:eastAsia="方正仿宋_GB2312" w:cs="方正仿宋_GB2312"/>
                <w:color w:val="000000"/>
                <w:sz w:val="20"/>
                <w:szCs w:val="20"/>
                <w:lang w:bidi="ar"/>
              </w:rPr>
              <w:t>支出，按要求以空表列示</w:t>
            </w:r>
            <w:r>
              <w:rPr>
                <w:rFonts w:hint="eastAsia" w:ascii="方正仿宋_GB2312" w:hAnsi="方正仿宋_GB2312" w:eastAsia="方正仿宋_GB2312" w:cs="方正仿宋_GB2312"/>
                <w:color w:val="000000"/>
                <w:sz w:val="20"/>
                <w:szCs w:val="20"/>
                <w:lang w:eastAsia="zh-CN" w:bidi="ar"/>
              </w:rPr>
              <w:t>。</w:t>
            </w:r>
          </w:p>
        </w:tc>
      </w:tr>
    </w:tbl>
    <w:p>
      <w:pPr>
        <w:rPr>
          <w:rFonts w:ascii="仿宋_GB2312" w:hAnsi="宋体" w:eastAsia="仿宋_GB2312"/>
          <w:b/>
          <w:sz w:val="32"/>
          <w:szCs w:val="32"/>
        </w:rPr>
      </w:pPr>
      <w:r>
        <w:rPr>
          <w:rFonts w:hint="eastAsia" w:ascii="仿宋_GB2312" w:hAnsi="宋体" w:eastAsia="仿宋_GB2312"/>
          <w:b/>
          <w:sz w:val="32"/>
          <w:szCs w:val="32"/>
        </w:rPr>
        <w:br w:type="page"/>
      </w:r>
    </w:p>
    <w:tbl>
      <w:tblPr>
        <w:tblStyle w:val="11"/>
        <w:tblpPr w:leftFromText="180" w:rightFromText="180" w:vertAnchor="text" w:horzAnchor="page" w:tblpX="282" w:tblpY="39"/>
        <w:tblOverlap w:val="never"/>
        <w:tblW w:w="7211" w:type="pct"/>
        <w:tblInd w:w="0" w:type="dxa"/>
        <w:tblLayout w:type="fixed"/>
        <w:tblCellMar>
          <w:top w:w="0" w:type="dxa"/>
          <w:left w:w="108" w:type="dxa"/>
          <w:bottom w:w="0" w:type="dxa"/>
          <w:right w:w="108" w:type="dxa"/>
        </w:tblCellMar>
      </w:tblPr>
      <w:tblGrid>
        <w:gridCol w:w="985"/>
        <w:gridCol w:w="1224"/>
        <w:gridCol w:w="812"/>
        <w:gridCol w:w="944"/>
        <w:gridCol w:w="524"/>
        <w:gridCol w:w="543"/>
        <w:gridCol w:w="779"/>
        <w:gridCol w:w="849"/>
        <w:gridCol w:w="1132"/>
        <w:gridCol w:w="638"/>
        <w:gridCol w:w="1025"/>
        <w:gridCol w:w="948"/>
        <w:gridCol w:w="1192"/>
      </w:tblGrid>
      <w:tr>
        <w:tblPrEx>
          <w:tblCellMar>
            <w:top w:w="0" w:type="dxa"/>
            <w:left w:w="108" w:type="dxa"/>
            <w:bottom w:w="0" w:type="dxa"/>
            <w:right w:w="108" w:type="dxa"/>
          </w:tblCellMar>
        </w:tblPrEx>
        <w:trPr>
          <w:trHeight w:val="550" w:hRule="atLeast"/>
        </w:trPr>
        <w:tc>
          <w:tcPr>
            <w:tcW w:w="5000" w:type="pct"/>
            <w:gridSpan w:val="13"/>
            <w:tcBorders>
              <w:top w:val="nil"/>
              <w:left w:val="nil"/>
              <w:bottom w:val="nil"/>
              <w:right w:val="nil"/>
            </w:tcBorders>
            <w:noWrap/>
            <w:vAlign w:val="bottom"/>
          </w:tcPr>
          <w:p>
            <w:pPr>
              <w:widowControl/>
              <w:jc w:val="center"/>
              <w:textAlignment w:val="bottom"/>
              <w:rPr>
                <w:rFonts w:ascii="宋体" w:hAnsi="宋体" w:eastAsia="宋体"/>
                <w:color w:val="000000"/>
                <w:sz w:val="18"/>
                <w:szCs w:val="18"/>
              </w:rPr>
            </w:pPr>
            <w:r>
              <w:rPr>
                <w:rFonts w:hint="eastAsia" w:ascii="方正仿宋_GB2312" w:hAnsi="方正仿宋_GB2312" w:eastAsia="方正仿宋_GB2312" w:cs="方正仿宋_GB2312"/>
                <w:bCs/>
                <w:sz w:val="32"/>
                <w:szCs w:val="32"/>
              </w:rPr>
              <w:t>财政拨款“三公”经费支出决算表</w:t>
            </w:r>
          </w:p>
        </w:tc>
      </w:tr>
      <w:tr>
        <w:tblPrEx>
          <w:tblCellMar>
            <w:top w:w="0" w:type="dxa"/>
            <w:left w:w="108" w:type="dxa"/>
            <w:bottom w:w="0" w:type="dxa"/>
            <w:right w:w="108" w:type="dxa"/>
          </w:tblCellMar>
        </w:tblPrEx>
        <w:trPr>
          <w:trHeight w:val="260" w:hRule="atLeast"/>
        </w:trPr>
        <w:tc>
          <w:tcPr>
            <w:tcW w:w="5000" w:type="pct"/>
            <w:gridSpan w:val="13"/>
            <w:tcBorders>
              <w:top w:val="nil"/>
              <w:left w:val="nil"/>
              <w:bottom w:val="nil"/>
              <w:right w:val="nil"/>
            </w:tcBorders>
            <w:noWrap/>
            <w:vAlign w:val="bottom"/>
          </w:tcPr>
          <w:p>
            <w:pPr>
              <w:widowControl/>
              <w:jc w:val="right"/>
              <w:textAlignment w:val="bottom"/>
              <w:rPr>
                <w:rFonts w:ascii="宋体" w:hAnsi="宋体" w:eastAsia="宋体"/>
                <w:color w:val="000000"/>
                <w:sz w:val="18"/>
                <w:szCs w:val="18"/>
              </w:rPr>
            </w:pPr>
            <w:r>
              <w:rPr>
                <w:rFonts w:hint="eastAsia" w:ascii="方正仿宋_GB2312" w:hAnsi="方正仿宋_GB2312" w:eastAsia="方正仿宋_GB2312" w:cs="方正仿宋_GB2312"/>
                <w:color w:val="000000"/>
                <w:sz w:val="18"/>
                <w:szCs w:val="18"/>
                <w:lang w:bidi="ar"/>
              </w:rPr>
              <w:t>公开</w:t>
            </w:r>
            <w:r>
              <w:rPr>
                <w:rFonts w:ascii="Times New Roman" w:hAnsi="Times New Roman" w:eastAsia="方正仿宋_GB2312" w:cs="Times New Roman"/>
                <w:color w:val="000000"/>
                <w:sz w:val="18"/>
                <w:szCs w:val="18"/>
                <w:lang w:bidi="ar"/>
              </w:rPr>
              <w:t>09</w:t>
            </w:r>
            <w:r>
              <w:rPr>
                <w:rFonts w:hint="eastAsia" w:ascii="方正仿宋_GB2312" w:hAnsi="方正仿宋_GB2312" w:eastAsia="方正仿宋_GB2312" w:cs="方正仿宋_GB2312"/>
                <w:color w:val="000000"/>
                <w:sz w:val="18"/>
                <w:szCs w:val="18"/>
                <w:lang w:bidi="ar"/>
              </w:rPr>
              <w:t>表</w:t>
            </w:r>
          </w:p>
        </w:tc>
      </w:tr>
      <w:tr>
        <w:tblPrEx>
          <w:tblCellMar>
            <w:top w:w="0" w:type="dxa"/>
            <w:left w:w="108" w:type="dxa"/>
            <w:bottom w:w="0" w:type="dxa"/>
            <w:right w:w="108" w:type="dxa"/>
          </w:tblCellMar>
        </w:tblPrEx>
        <w:trPr>
          <w:trHeight w:val="260" w:hRule="atLeast"/>
        </w:trPr>
        <w:tc>
          <w:tcPr>
            <w:tcW w:w="1936" w:type="pct"/>
            <w:gridSpan w:val="5"/>
            <w:tcBorders>
              <w:top w:val="nil"/>
              <w:left w:val="nil"/>
              <w:bottom w:val="single" w:color="auto" w:sz="4" w:space="0"/>
              <w:right w:val="nil"/>
            </w:tcBorders>
            <w:noWrap/>
            <w:vAlign w:val="bottom"/>
          </w:tcPr>
          <w:p>
            <w:pPr>
              <w:widowControl/>
              <w:jc w:val="left"/>
              <w:textAlignment w:val="bottom"/>
              <w:rPr>
                <w:rFonts w:ascii="宋体" w:hAnsi="宋体" w:eastAsia="宋体"/>
                <w:color w:val="000000"/>
                <w:sz w:val="18"/>
                <w:szCs w:val="18"/>
              </w:rPr>
            </w:pPr>
            <w:r>
              <w:rPr>
                <w:rFonts w:hint="eastAsia" w:ascii="方正仿宋_GB2312" w:hAnsi="方正仿宋_GB2312" w:eastAsia="方正仿宋_GB2312" w:cs="方正仿宋_GB2312"/>
                <w:color w:val="000000"/>
                <w:sz w:val="18"/>
                <w:szCs w:val="18"/>
                <w:lang w:bidi="ar"/>
              </w:rPr>
              <w:t>编制部门（单位）：中国人民政治协商会议河北省石家庄市鹿泉区委员会(本级)</w:t>
            </w:r>
          </w:p>
        </w:tc>
        <w:tc>
          <w:tcPr>
            <w:tcW w:w="933" w:type="pct"/>
            <w:gridSpan w:val="3"/>
            <w:tcBorders>
              <w:top w:val="nil"/>
              <w:left w:val="nil"/>
              <w:bottom w:val="single" w:color="auto" w:sz="4" w:space="0"/>
              <w:right w:val="nil"/>
            </w:tcBorders>
            <w:noWrap/>
            <w:vAlign w:val="bottom"/>
          </w:tcPr>
          <w:p>
            <w:pPr>
              <w:widowControl/>
              <w:jc w:val="center"/>
              <w:textAlignment w:val="bottom"/>
              <w:rPr>
                <w:rFonts w:ascii="宋体" w:hAnsi="宋体" w:eastAsia="宋体"/>
                <w:color w:val="000000"/>
                <w:sz w:val="18"/>
                <w:szCs w:val="18"/>
                <w:lang w:bidi="ar"/>
              </w:rPr>
            </w:pPr>
            <w:r>
              <w:rPr>
                <w:rFonts w:ascii="Times New Roman" w:hAnsi="Times New Roman" w:eastAsia="宋体" w:cs="Times New Roman"/>
                <w:color w:val="000000"/>
                <w:sz w:val="18"/>
                <w:szCs w:val="18"/>
                <w:lang w:bidi="ar"/>
              </w:rPr>
              <w:t>2023</w:t>
            </w:r>
            <w:r>
              <w:rPr>
                <w:rFonts w:hint="eastAsia" w:ascii="方正仿宋_GB2312" w:hAnsi="方正仿宋_GB2312" w:eastAsia="方正仿宋_GB2312" w:cs="方正仿宋_GB2312"/>
                <w:color w:val="000000"/>
                <w:sz w:val="18"/>
                <w:szCs w:val="18"/>
                <w:lang w:bidi="ar"/>
              </w:rPr>
              <w:t>年度</w:t>
            </w:r>
          </w:p>
        </w:tc>
        <w:tc>
          <w:tcPr>
            <w:tcW w:w="2129" w:type="pct"/>
            <w:gridSpan w:val="5"/>
            <w:tcBorders>
              <w:top w:val="nil"/>
              <w:left w:val="nil"/>
              <w:bottom w:val="single" w:color="auto" w:sz="4" w:space="0"/>
              <w:right w:val="nil"/>
            </w:tcBorders>
            <w:noWrap/>
            <w:vAlign w:val="bottom"/>
          </w:tcPr>
          <w:p>
            <w:pPr>
              <w:widowControl/>
              <w:jc w:val="right"/>
              <w:textAlignment w:val="bottom"/>
              <w:rPr>
                <w:rFonts w:ascii="宋体" w:hAnsi="宋体" w:eastAsia="宋体"/>
                <w:color w:val="000000"/>
                <w:sz w:val="18"/>
                <w:szCs w:val="18"/>
                <w:lang w:bidi="ar"/>
              </w:rPr>
            </w:pPr>
            <w:r>
              <w:rPr>
                <w:rFonts w:hint="eastAsia" w:ascii="方正仿宋_GB2312" w:hAnsi="方正仿宋_GB2312" w:eastAsia="方正仿宋_GB2312" w:cs="方正仿宋_GB2312"/>
                <w:color w:val="000000"/>
                <w:sz w:val="18"/>
                <w:szCs w:val="18"/>
                <w:lang w:bidi="ar"/>
              </w:rPr>
              <w:t>金额单位：万元</w:t>
            </w:r>
          </w:p>
        </w:tc>
      </w:tr>
      <w:tr>
        <w:tblPrEx>
          <w:tblCellMar>
            <w:top w:w="0" w:type="dxa"/>
            <w:left w:w="108" w:type="dxa"/>
            <w:bottom w:w="0" w:type="dxa"/>
            <w:right w:w="108" w:type="dxa"/>
          </w:tblCellMar>
        </w:tblPrEx>
        <w:trPr>
          <w:trHeight w:val="431" w:hRule="atLeast"/>
        </w:trPr>
        <w:tc>
          <w:tcPr>
            <w:tcW w:w="2506" w:type="pct"/>
            <w:gridSpan w:val="7"/>
            <w:tcBorders>
              <w:top w:val="single" w:color="auto" w:sz="4" w:space="0"/>
              <w:left w:val="single" w:color="000000" w:sz="4" w:space="0"/>
              <w:bottom w:val="single" w:color="000000" w:sz="4" w:space="0"/>
              <w:right w:val="single" w:color="000000" w:sz="4" w:space="0"/>
            </w:tcBorders>
            <w:noWrap/>
            <w:vAlign w:val="center"/>
          </w:tcPr>
          <w:p>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预算数</w:t>
            </w:r>
          </w:p>
        </w:tc>
        <w:tc>
          <w:tcPr>
            <w:tcW w:w="2493" w:type="pct"/>
            <w:gridSpan w:val="6"/>
            <w:tcBorders>
              <w:top w:val="single" w:color="auto" w:sz="4" w:space="0"/>
              <w:left w:val="nil"/>
              <w:bottom w:val="single" w:color="000000" w:sz="4" w:space="0"/>
              <w:right w:val="single" w:color="000000" w:sz="4" w:space="0"/>
            </w:tcBorders>
            <w:noWrap/>
            <w:vAlign w:val="center"/>
          </w:tcPr>
          <w:p>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决算数</w:t>
            </w:r>
          </w:p>
        </w:tc>
      </w:tr>
      <w:tr>
        <w:tblPrEx>
          <w:tblCellMar>
            <w:top w:w="0" w:type="dxa"/>
            <w:left w:w="108" w:type="dxa"/>
            <w:bottom w:w="0" w:type="dxa"/>
            <w:right w:w="108" w:type="dxa"/>
          </w:tblCellMar>
        </w:tblPrEx>
        <w:trPr>
          <w:trHeight w:val="431" w:hRule="atLeast"/>
        </w:trPr>
        <w:tc>
          <w:tcPr>
            <w:tcW w:w="425" w:type="pct"/>
            <w:vMerge w:val="restart"/>
            <w:tcBorders>
              <w:top w:val="nil"/>
              <w:left w:val="single" w:color="000000" w:sz="4" w:space="0"/>
              <w:bottom w:val="single" w:color="000000" w:sz="4" w:space="0"/>
              <w:right w:val="single" w:color="000000" w:sz="4" w:space="0"/>
            </w:tcBorders>
            <w:noWrap/>
            <w:vAlign w:val="center"/>
          </w:tcPr>
          <w:p>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合计</w:t>
            </w:r>
          </w:p>
        </w:tc>
        <w:tc>
          <w:tcPr>
            <w:tcW w:w="528" w:type="pct"/>
            <w:vMerge w:val="restart"/>
            <w:tcBorders>
              <w:top w:val="nil"/>
              <w:left w:val="nil"/>
              <w:bottom w:val="single" w:color="000000" w:sz="4" w:space="0"/>
              <w:right w:val="single" w:color="000000" w:sz="4" w:space="0"/>
            </w:tcBorders>
            <w:noWrap/>
            <w:vAlign w:val="center"/>
          </w:tcPr>
          <w:p>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因公出国（境）费</w:t>
            </w:r>
          </w:p>
        </w:tc>
        <w:tc>
          <w:tcPr>
            <w:tcW w:w="1217" w:type="pct"/>
            <w:gridSpan w:val="4"/>
            <w:tcBorders>
              <w:top w:val="nil"/>
              <w:left w:val="nil"/>
              <w:bottom w:val="single" w:color="000000" w:sz="4" w:space="0"/>
              <w:right w:val="single" w:color="000000" w:sz="4" w:space="0"/>
            </w:tcBorders>
            <w:noWrap/>
            <w:vAlign w:val="center"/>
          </w:tcPr>
          <w:p>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公务用车购置及运行维护费</w:t>
            </w:r>
          </w:p>
        </w:tc>
        <w:tc>
          <w:tcPr>
            <w:tcW w:w="335" w:type="pct"/>
            <w:vMerge w:val="restart"/>
            <w:tcBorders>
              <w:top w:val="nil"/>
              <w:left w:val="nil"/>
              <w:bottom w:val="single" w:color="000000" w:sz="4" w:space="0"/>
              <w:right w:val="single" w:color="000000" w:sz="4" w:space="0"/>
            </w:tcBorders>
            <w:noWrap/>
            <w:vAlign w:val="center"/>
          </w:tcPr>
          <w:p>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公务接待费</w:t>
            </w:r>
          </w:p>
        </w:tc>
        <w:tc>
          <w:tcPr>
            <w:tcW w:w="366" w:type="pct"/>
            <w:vMerge w:val="restart"/>
            <w:tcBorders>
              <w:top w:val="nil"/>
              <w:left w:val="nil"/>
              <w:bottom w:val="single" w:color="000000" w:sz="4" w:space="0"/>
              <w:right w:val="single" w:color="000000" w:sz="4" w:space="0"/>
            </w:tcBorders>
            <w:noWrap/>
            <w:vAlign w:val="center"/>
          </w:tcPr>
          <w:p>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合计</w:t>
            </w:r>
          </w:p>
        </w:tc>
        <w:tc>
          <w:tcPr>
            <w:tcW w:w="488" w:type="pct"/>
            <w:vMerge w:val="restart"/>
            <w:tcBorders>
              <w:top w:val="nil"/>
              <w:left w:val="nil"/>
              <w:bottom w:val="single" w:color="000000" w:sz="4" w:space="0"/>
              <w:right w:val="single" w:color="000000" w:sz="4" w:space="0"/>
            </w:tcBorders>
            <w:noWrap/>
            <w:vAlign w:val="center"/>
          </w:tcPr>
          <w:p>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因公出国（境）费</w:t>
            </w:r>
          </w:p>
        </w:tc>
        <w:tc>
          <w:tcPr>
            <w:tcW w:w="1126" w:type="pct"/>
            <w:gridSpan w:val="3"/>
            <w:tcBorders>
              <w:top w:val="nil"/>
              <w:left w:val="nil"/>
              <w:bottom w:val="single" w:color="000000" w:sz="4" w:space="0"/>
              <w:right w:val="single" w:color="000000" w:sz="4" w:space="0"/>
            </w:tcBorders>
            <w:noWrap/>
            <w:vAlign w:val="center"/>
          </w:tcPr>
          <w:p>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公务用车购置及运行维护费</w:t>
            </w:r>
          </w:p>
        </w:tc>
        <w:tc>
          <w:tcPr>
            <w:tcW w:w="511" w:type="pct"/>
            <w:vMerge w:val="restart"/>
            <w:tcBorders>
              <w:top w:val="nil"/>
              <w:left w:val="nil"/>
              <w:bottom w:val="single" w:color="000000" w:sz="4" w:space="0"/>
              <w:right w:val="single" w:color="000000" w:sz="4" w:space="0"/>
            </w:tcBorders>
            <w:noWrap/>
            <w:vAlign w:val="center"/>
          </w:tcPr>
          <w:p>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公务接待费</w:t>
            </w:r>
          </w:p>
        </w:tc>
      </w:tr>
      <w:tr>
        <w:tblPrEx>
          <w:tblCellMar>
            <w:top w:w="0" w:type="dxa"/>
            <w:left w:w="108" w:type="dxa"/>
            <w:bottom w:w="0" w:type="dxa"/>
            <w:right w:w="108" w:type="dxa"/>
          </w:tblCellMar>
        </w:tblPrEx>
        <w:trPr>
          <w:trHeight w:val="431" w:hRule="atLeast"/>
        </w:trPr>
        <w:tc>
          <w:tcPr>
            <w:tcW w:w="425" w:type="pct"/>
            <w:vMerge w:val="continue"/>
            <w:tcBorders>
              <w:top w:val="nil"/>
              <w:left w:val="single" w:color="000000" w:sz="4" w:space="0"/>
              <w:bottom w:val="single" w:color="000000" w:sz="4" w:space="0"/>
              <w:right w:val="single" w:color="000000" w:sz="4" w:space="0"/>
            </w:tcBorders>
            <w:noWrap/>
            <w:vAlign w:val="center"/>
          </w:tcPr>
          <w:p>
            <w:pPr>
              <w:jc w:val="center"/>
              <w:rPr>
                <w:rFonts w:ascii="方正仿宋_GB2312" w:hAnsi="方正仿宋_GB2312" w:eastAsia="方正仿宋_GB2312" w:cs="方正仿宋_GB2312"/>
                <w:color w:val="000000"/>
                <w:sz w:val="18"/>
                <w:szCs w:val="18"/>
              </w:rPr>
            </w:pPr>
          </w:p>
        </w:tc>
        <w:tc>
          <w:tcPr>
            <w:tcW w:w="528" w:type="pct"/>
            <w:vMerge w:val="continue"/>
            <w:tcBorders>
              <w:top w:val="nil"/>
              <w:left w:val="nil"/>
              <w:bottom w:val="single" w:color="000000" w:sz="4" w:space="0"/>
              <w:right w:val="single" w:color="000000" w:sz="4" w:space="0"/>
            </w:tcBorders>
            <w:noWrap/>
            <w:vAlign w:val="center"/>
          </w:tcPr>
          <w:p>
            <w:pPr>
              <w:jc w:val="center"/>
              <w:rPr>
                <w:rFonts w:ascii="方正仿宋_GB2312" w:hAnsi="方正仿宋_GB2312" w:eastAsia="方正仿宋_GB2312" w:cs="方正仿宋_GB2312"/>
                <w:color w:val="000000"/>
                <w:sz w:val="18"/>
                <w:szCs w:val="18"/>
              </w:rPr>
            </w:pPr>
          </w:p>
        </w:tc>
        <w:tc>
          <w:tcPr>
            <w:tcW w:w="350" w:type="pct"/>
            <w:tcBorders>
              <w:top w:val="nil"/>
              <w:left w:val="nil"/>
              <w:bottom w:val="single" w:color="000000" w:sz="4" w:space="0"/>
              <w:right w:val="single" w:color="000000" w:sz="4" w:space="0"/>
            </w:tcBorders>
            <w:noWrap/>
            <w:vAlign w:val="center"/>
          </w:tcPr>
          <w:p>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小计</w:t>
            </w:r>
          </w:p>
        </w:tc>
        <w:tc>
          <w:tcPr>
            <w:tcW w:w="407" w:type="pct"/>
            <w:tcBorders>
              <w:top w:val="nil"/>
              <w:left w:val="nil"/>
              <w:bottom w:val="single" w:color="000000" w:sz="4" w:space="0"/>
              <w:right w:val="single" w:color="000000" w:sz="4" w:space="0"/>
            </w:tcBorders>
            <w:noWrap/>
            <w:vAlign w:val="center"/>
          </w:tcPr>
          <w:p>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公务用车购置费</w:t>
            </w:r>
          </w:p>
        </w:tc>
        <w:tc>
          <w:tcPr>
            <w:tcW w:w="458" w:type="pct"/>
            <w:gridSpan w:val="2"/>
            <w:tcBorders>
              <w:top w:val="nil"/>
              <w:left w:val="nil"/>
              <w:bottom w:val="single" w:color="000000" w:sz="4" w:space="0"/>
              <w:right w:val="single" w:color="000000" w:sz="4" w:space="0"/>
            </w:tcBorders>
            <w:noWrap/>
            <w:vAlign w:val="center"/>
          </w:tcPr>
          <w:p>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公务用车运行维护费</w:t>
            </w:r>
          </w:p>
        </w:tc>
        <w:tc>
          <w:tcPr>
            <w:tcW w:w="335" w:type="pct"/>
            <w:vMerge w:val="continue"/>
            <w:tcBorders>
              <w:top w:val="nil"/>
              <w:left w:val="nil"/>
              <w:bottom w:val="single" w:color="000000" w:sz="4" w:space="0"/>
              <w:right w:val="single" w:color="000000" w:sz="4" w:space="0"/>
            </w:tcBorders>
            <w:noWrap/>
            <w:vAlign w:val="center"/>
          </w:tcPr>
          <w:p>
            <w:pPr>
              <w:jc w:val="center"/>
              <w:rPr>
                <w:rFonts w:ascii="方正仿宋_GB2312" w:hAnsi="方正仿宋_GB2312" w:eastAsia="方正仿宋_GB2312" w:cs="方正仿宋_GB2312"/>
                <w:color w:val="000000"/>
                <w:sz w:val="18"/>
                <w:szCs w:val="18"/>
              </w:rPr>
            </w:pPr>
          </w:p>
        </w:tc>
        <w:tc>
          <w:tcPr>
            <w:tcW w:w="366" w:type="pct"/>
            <w:vMerge w:val="continue"/>
            <w:tcBorders>
              <w:top w:val="nil"/>
              <w:left w:val="nil"/>
              <w:bottom w:val="single" w:color="000000" w:sz="4" w:space="0"/>
              <w:right w:val="single" w:color="000000" w:sz="4" w:space="0"/>
            </w:tcBorders>
            <w:noWrap/>
            <w:vAlign w:val="center"/>
          </w:tcPr>
          <w:p>
            <w:pPr>
              <w:jc w:val="center"/>
              <w:rPr>
                <w:rFonts w:ascii="方正仿宋_GB2312" w:hAnsi="方正仿宋_GB2312" w:eastAsia="方正仿宋_GB2312" w:cs="方正仿宋_GB2312"/>
                <w:color w:val="000000"/>
                <w:sz w:val="18"/>
                <w:szCs w:val="18"/>
              </w:rPr>
            </w:pPr>
          </w:p>
        </w:tc>
        <w:tc>
          <w:tcPr>
            <w:tcW w:w="488" w:type="pct"/>
            <w:vMerge w:val="continue"/>
            <w:tcBorders>
              <w:top w:val="nil"/>
              <w:left w:val="nil"/>
              <w:bottom w:val="single" w:color="000000" w:sz="4" w:space="0"/>
              <w:right w:val="single" w:color="000000" w:sz="4" w:space="0"/>
            </w:tcBorders>
            <w:noWrap/>
            <w:vAlign w:val="center"/>
          </w:tcPr>
          <w:p>
            <w:pPr>
              <w:jc w:val="center"/>
              <w:rPr>
                <w:rFonts w:ascii="方正仿宋_GB2312" w:hAnsi="方正仿宋_GB2312" w:eastAsia="方正仿宋_GB2312" w:cs="方正仿宋_GB2312"/>
                <w:color w:val="000000"/>
                <w:sz w:val="18"/>
                <w:szCs w:val="18"/>
              </w:rPr>
            </w:pPr>
          </w:p>
        </w:tc>
        <w:tc>
          <w:tcPr>
            <w:tcW w:w="275" w:type="pct"/>
            <w:tcBorders>
              <w:top w:val="nil"/>
              <w:left w:val="nil"/>
              <w:bottom w:val="single" w:color="000000" w:sz="4" w:space="0"/>
              <w:right w:val="single" w:color="000000" w:sz="4" w:space="0"/>
            </w:tcBorders>
            <w:noWrap/>
            <w:vAlign w:val="center"/>
          </w:tcPr>
          <w:p>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小计</w:t>
            </w:r>
          </w:p>
        </w:tc>
        <w:tc>
          <w:tcPr>
            <w:tcW w:w="442" w:type="pct"/>
            <w:tcBorders>
              <w:top w:val="nil"/>
              <w:left w:val="nil"/>
              <w:bottom w:val="single" w:color="000000" w:sz="4" w:space="0"/>
              <w:right w:val="single" w:color="000000" w:sz="4" w:space="0"/>
            </w:tcBorders>
            <w:noWrap/>
            <w:vAlign w:val="center"/>
          </w:tcPr>
          <w:p>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公务用车购置费</w:t>
            </w:r>
          </w:p>
        </w:tc>
        <w:tc>
          <w:tcPr>
            <w:tcW w:w="407" w:type="pct"/>
            <w:tcBorders>
              <w:top w:val="nil"/>
              <w:left w:val="nil"/>
              <w:bottom w:val="single" w:color="000000" w:sz="4" w:space="0"/>
              <w:right w:val="single" w:color="000000" w:sz="4" w:space="0"/>
            </w:tcBorders>
            <w:noWrap/>
            <w:vAlign w:val="center"/>
          </w:tcPr>
          <w:p>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公务用车运行维护费</w:t>
            </w:r>
          </w:p>
        </w:tc>
        <w:tc>
          <w:tcPr>
            <w:tcW w:w="511" w:type="pct"/>
            <w:vMerge w:val="continue"/>
            <w:tcBorders>
              <w:top w:val="nil"/>
              <w:left w:val="nil"/>
              <w:bottom w:val="single" w:color="000000" w:sz="4" w:space="0"/>
              <w:right w:val="single" w:color="000000" w:sz="4" w:space="0"/>
            </w:tcBorders>
            <w:noWrap/>
            <w:vAlign w:val="center"/>
          </w:tcPr>
          <w:p>
            <w:pPr>
              <w:jc w:val="center"/>
              <w:rPr>
                <w:rFonts w:ascii="方正仿宋_GB2312" w:hAnsi="方正仿宋_GB2312" w:eastAsia="方正仿宋_GB2312" w:cs="方正仿宋_GB2312"/>
                <w:color w:val="000000"/>
                <w:sz w:val="18"/>
                <w:szCs w:val="18"/>
              </w:rPr>
            </w:pPr>
          </w:p>
        </w:tc>
      </w:tr>
      <w:tr>
        <w:tblPrEx>
          <w:tblCellMar>
            <w:top w:w="0" w:type="dxa"/>
            <w:left w:w="108" w:type="dxa"/>
            <w:bottom w:w="0" w:type="dxa"/>
            <w:right w:w="108" w:type="dxa"/>
          </w:tblCellMar>
        </w:tblPrEx>
        <w:trPr>
          <w:trHeight w:val="431" w:hRule="atLeast"/>
        </w:trPr>
        <w:tc>
          <w:tcPr>
            <w:tcW w:w="425" w:type="pct"/>
            <w:tcBorders>
              <w:top w:val="nil"/>
              <w:left w:val="single" w:color="000000" w:sz="4" w:space="0"/>
              <w:bottom w:val="single" w:color="000000" w:sz="4" w:space="0"/>
              <w:right w:val="single" w:color="000000" w:sz="4" w:space="0"/>
            </w:tcBorders>
            <w:noWrap/>
            <w:vAlign w:val="center"/>
          </w:tcPr>
          <w:p>
            <w:pPr>
              <w:widowControl/>
              <w:jc w:val="center"/>
              <w:textAlignment w:val="center"/>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lang w:bidi="ar"/>
              </w:rPr>
              <w:t>1</w:t>
            </w:r>
          </w:p>
        </w:tc>
        <w:tc>
          <w:tcPr>
            <w:tcW w:w="528"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lang w:bidi="ar"/>
              </w:rPr>
              <w:t>2</w:t>
            </w:r>
          </w:p>
        </w:tc>
        <w:tc>
          <w:tcPr>
            <w:tcW w:w="350"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lang w:bidi="ar"/>
              </w:rPr>
              <w:t>3</w:t>
            </w:r>
          </w:p>
        </w:tc>
        <w:tc>
          <w:tcPr>
            <w:tcW w:w="407"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lang w:bidi="ar"/>
              </w:rPr>
              <w:t>4</w:t>
            </w:r>
          </w:p>
        </w:tc>
        <w:tc>
          <w:tcPr>
            <w:tcW w:w="458" w:type="pct"/>
            <w:gridSpan w:val="2"/>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lang w:bidi="ar"/>
              </w:rPr>
              <w:t>5</w:t>
            </w:r>
          </w:p>
        </w:tc>
        <w:tc>
          <w:tcPr>
            <w:tcW w:w="335"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lang w:bidi="ar"/>
              </w:rPr>
              <w:t>6</w:t>
            </w:r>
          </w:p>
        </w:tc>
        <w:tc>
          <w:tcPr>
            <w:tcW w:w="366"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lang w:bidi="ar"/>
              </w:rPr>
              <w:t>7</w:t>
            </w:r>
          </w:p>
        </w:tc>
        <w:tc>
          <w:tcPr>
            <w:tcW w:w="488"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lang w:bidi="ar"/>
              </w:rPr>
              <w:t>8</w:t>
            </w:r>
          </w:p>
        </w:tc>
        <w:tc>
          <w:tcPr>
            <w:tcW w:w="275"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lang w:bidi="ar"/>
              </w:rPr>
              <w:t>9</w:t>
            </w:r>
          </w:p>
        </w:tc>
        <w:tc>
          <w:tcPr>
            <w:tcW w:w="442"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lang w:bidi="ar"/>
              </w:rPr>
              <w:t>10</w:t>
            </w:r>
          </w:p>
        </w:tc>
        <w:tc>
          <w:tcPr>
            <w:tcW w:w="407"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lang w:bidi="ar"/>
              </w:rPr>
              <w:t>11</w:t>
            </w:r>
          </w:p>
        </w:tc>
        <w:tc>
          <w:tcPr>
            <w:tcW w:w="511"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lang w:bidi="ar"/>
              </w:rPr>
              <w:t>12</w:t>
            </w:r>
          </w:p>
        </w:tc>
      </w:tr>
      <w:tr>
        <w:tblPrEx>
          <w:tblCellMar>
            <w:top w:w="0" w:type="dxa"/>
            <w:left w:w="108" w:type="dxa"/>
            <w:bottom w:w="0" w:type="dxa"/>
            <w:right w:w="108" w:type="dxa"/>
          </w:tblCellMar>
        </w:tblPrEx>
        <w:trPr>
          <w:trHeight w:val="431" w:hRule="atLeast"/>
        </w:trPr>
        <w:tc>
          <w:tcPr>
            <w:tcW w:w="425" w:type="pct"/>
            <w:tcBorders>
              <w:top w:val="nil"/>
              <w:left w:val="single" w:color="000000" w:sz="4" w:space="0"/>
              <w:bottom w:val="single" w:color="000000" w:sz="4" w:space="0"/>
              <w:right w:val="single" w:color="000000" w:sz="4" w:space="0"/>
            </w:tcBorders>
            <w:noWrap/>
            <w:vAlign w:val="center"/>
          </w:tcPr>
          <w:p>
            <w:pPr>
              <w:jc w:val="right"/>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rPr>
              <w:t>18.20</w:t>
            </w:r>
          </w:p>
        </w:tc>
        <w:tc>
          <w:tcPr>
            <w:tcW w:w="528" w:type="pct"/>
            <w:tcBorders>
              <w:top w:val="nil"/>
              <w:left w:val="nil"/>
              <w:bottom w:val="single" w:color="000000" w:sz="4" w:space="0"/>
              <w:right w:val="single" w:color="000000" w:sz="4" w:space="0"/>
            </w:tcBorders>
            <w:noWrap/>
            <w:vAlign w:val="center"/>
          </w:tcPr>
          <w:p>
            <w:pPr>
              <w:jc w:val="right"/>
              <w:rPr>
                <w:rFonts w:ascii="Times New Roman" w:hAnsi="Times New Roman" w:eastAsia="方正仿宋_GB2312" w:cs="Times New Roman"/>
                <w:color w:val="000000"/>
                <w:sz w:val="18"/>
                <w:szCs w:val="18"/>
              </w:rPr>
            </w:pPr>
          </w:p>
        </w:tc>
        <w:tc>
          <w:tcPr>
            <w:tcW w:w="350" w:type="pct"/>
            <w:tcBorders>
              <w:top w:val="nil"/>
              <w:left w:val="nil"/>
              <w:bottom w:val="single" w:color="000000" w:sz="4" w:space="0"/>
              <w:right w:val="single" w:color="000000" w:sz="4" w:space="0"/>
            </w:tcBorders>
            <w:noWrap/>
            <w:vAlign w:val="center"/>
          </w:tcPr>
          <w:p>
            <w:pPr>
              <w:jc w:val="right"/>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rPr>
              <w:t>16.20</w:t>
            </w:r>
          </w:p>
        </w:tc>
        <w:tc>
          <w:tcPr>
            <w:tcW w:w="407" w:type="pct"/>
            <w:tcBorders>
              <w:top w:val="nil"/>
              <w:left w:val="nil"/>
              <w:bottom w:val="single" w:color="000000" w:sz="4" w:space="0"/>
              <w:right w:val="single" w:color="000000" w:sz="4" w:space="0"/>
            </w:tcBorders>
            <w:noWrap/>
            <w:vAlign w:val="center"/>
          </w:tcPr>
          <w:p>
            <w:pPr>
              <w:jc w:val="right"/>
              <w:rPr>
                <w:rFonts w:ascii="Times New Roman" w:hAnsi="Times New Roman" w:eastAsia="方正仿宋_GB2312" w:cs="Times New Roman"/>
                <w:color w:val="000000"/>
                <w:sz w:val="18"/>
                <w:szCs w:val="18"/>
              </w:rPr>
            </w:pPr>
          </w:p>
        </w:tc>
        <w:tc>
          <w:tcPr>
            <w:tcW w:w="458"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rPr>
              <w:t>16.20</w:t>
            </w:r>
          </w:p>
        </w:tc>
        <w:tc>
          <w:tcPr>
            <w:tcW w:w="335" w:type="pct"/>
            <w:tcBorders>
              <w:top w:val="nil"/>
              <w:left w:val="nil"/>
              <w:bottom w:val="single" w:color="000000" w:sz="4" w:space="0"/>
              <w:right w:val="single" w:color="000000" w:sz="4" w:space="0"/>
            </w:tcBorders>
            <w:noWrap/>
            <w:vAlign w:val="center"/>
          </w:tcPr>
          <w:p>
            <w:pPr>
              <w:jc w:val="right"/>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rPr>
              <w:t>2.00</w:t>
            </w:r>
          </w:p>
        </w:tc>
        <w:tc>
          <w:tcPr>
            <w:tcW w:w="366" w:type="pct"/>
            <w:tcBorders>
              <w:top w:val="nil"/>
              <w:left w:val="nil"/>
              <w:bottom w:val="single" w:color="000000" w:sz="4" w:space="0"/>
              <w:right w:val="single" w:color="000000" w:sz="4" w:space="0"/>
            </w:tcBorders>
            <w:noWrap/>
            <w:vAlign w:val="center"/>
          </w:tcPr>
          <w:p>
            <w:pPr>
              <w:jc w:val="right"/>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rPr>
              <w:t>11.37</w:t>
            </w:r>
          </w:p>
        </w:tc>
        <w:tc>
          <w:tcPr>
            <w:tcW w:w="488" w:type="pct"/>
            <w:tcBorders>
              <w:top w:val="nil"/>
              <w:left w:val="nil"/>
              <w:bottom w:val="single" w:color="000000" w:sz="4" w:space="0"/>
              <w:right w:val="single" w:color="000000" w:sz="4" w:space="0"/>
            </w:tcBorders>
            <w:noWrap/>
            <w:vAlign w:val="center"/>
          </w:tcPr>
          <w:p>
            <w:pPr>
              <w:jc w:val="right"/>
              <w:rPr>
                <w:rFonts w:ascii="Times New Roman" w:hAnsi="Times New Roman" w:eastAsia="方正仿宋_GB2312" w:cs="Times New Roman"/>
                <w:color w:val="000000"/>
                <w:sz w:val="18"/>
                <w:szCs w:val="18"/>
              </w:rPr>
            </w:pPr>
          </w:p>
        </w:tc>
        <w:tc>
          <w:tcPr>
            <w:tcW w:w="275" w:type="pct"/>
            <w:tcBorders>
              <w:top w:val="nil"/>
              <w:left w:val="nil"/>
              <w:bottom w:val="single" w:color="000000" w:sz="4" w:space="0"/>
              <w:right w:val="single" w:color="000000" w:sz="4" w:space="0"/>
            </w:tcBorders>
            <w:noWrap/>
            <w:vAlign w:val="center"/>
          </w:tcPr>
          <w:p>
            <w:pPr>
              <w:jc w:val="right"/>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rPr>
              <w:t>10.50</w:t>
            </w:r>
          </w:p>
        </w:tc>
        <w:tc>
          <w:tcPr>
            <w:tcW w:w="442" w:type="pct"/>
            <w:tcBorders>
              <w:top w:val="nil"/>
              <w:left w:val="nil"/>
              <w:bottom w:val="single" w:color="000000" w:sz="4" w:space="0"/>
              <w:right w:val="single" w:color="000000" w:sz="4" w:space="0"/>
            </w:tcBorders>
            <w:noWrap/>
            <w:vAlign w:val="center"/>
          </w:tcPr>
          <w:p>
            <w:pPr>
              <w:jc w:val="right"/>
              <w:rPr>
                <w:rFonts w:ascii="Times New Roman" w:hAnsi="Times New Roman" w:eastAsia="方正仿宋_GB2312" w:cs="Times New Roman"/>
                <w:color w:val="000000"/>
                <w:sz w:val="18"/>
                <w:szCs w:val="18"/>
              </w:rPr>
            </w:pPr>
          </w:p>
        </w:tc>
        <w:tc>
          <w:tcPr>
            <w:tcW w:w="407" w:type="pct"/>
            <w:tcBorders>
              <w:top w:val="nil"/>
              <w:left w:val="nil"/>
              <w:bottom w:val="single" w:color="000000" w:sz="4" w:space="0"/>
              <w:right w:val="single" w:color="000000" w:sz="4" w:space="0"/>
            </w:tcBorders>
            <w:noWrap/>
            <w:vAlign w:val="center"/>
          </w:tcPr>
          <w:p>
            <w:pPr>
              <w:jc w:val="right"/>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rPr>
              <w:t>10.50</w:t>
            </w:r>
          </w:p>
        </w:tc>
        <w:tc>
          <w:tcPr>
            <w:tcW w:w="511" w:type="pct"/>
            <w:tcBorders>
              <w:top w:val="nil"/>
              <w:left w:val="nil"/>
              <w:bottom w:val="single" w:color="000000" w:sz="4" w:space="0"/>
              <w:right w:val="single" w:color="000000" w:sz="4" w:space="0"/>
            </w:tcBorders>
            <w:noWrap/>
            <w:vAlign w:val="center"/>
          </w:tcPr>
          <w:p>
            <w:pPr>
              <w:jc w:val="right"/>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rPr>
              <w:t>0.87</w:t>
            </w:r>
          </w:p>
        </w:tc>
      </w:tr>
      <w:tr>
        <w:tblPrEx>
          <w:tblCellMar>
            <w:top w:w="0" w:type="dxa"/>
            <w:left w:w="108" w:type="dxa"/>
            <w:bottom w:w="0" w:type="dxa"/>
            <w:right w:w="108" w:type="dxa"/>
          </w:tblCellMar>
        </w:tblPrEx>
        <w:trPr>
          <w:trHeight w:val="431" w:hRule="atLeast"/>
        </w:trPr>
        <w:tc>
          <w:tcPr>
            <w:tcW w:w="5000" w:type="pct"/>
            <w:gridSpan w:val="13"/>
            <w:tcBorders>
              <w:top w:val="nil"/>
              <w:left w:val="nil"/>
              <w:bottom w:val="nil"/>
              <w:right w:val="nil"/>
            </w:tcBorders>
            <w:noWrap/>
            <w:vAlign w:val="center"/>
          </w:tcPr>
          <w:p>
            <w:pPr>
              <w:widowControl/>
              <w:jc w:val="left"/>
              <w:textAlignment w:val="center"/>
              <w:rPr>
                <w:rFonts w:ascii="宋体" w:hAnsi="宋体" w:eastAsia="宋体"/>
                <w:color w:val="000000"/>
                <w:sz w:val="18"/>
                <w:szCs w:val="18"/>
              </w:rPr>
            </w:pPr>
            <w:r>
              <w:rPr>
                <w:rFonts w:hint="eastAsia" w:ascii="方正仿宋_GB2312" w:hAnsi="方正仿宋_GB2312" w:eastAsia="方正仿宋_GB2312" w:cs="方正仿宋_GB2312"/>
                <w:color w:val="000000"/>
                <w:sz w:val="18"/>
                <w:szCs w:val="18"/>
                <w:lang w:bidi="ar"/>
              </w:rPr>
              <w:t>注：本表反映部门本年度财政拨款“三公”经费支出预决算情况。其中：预算数为“三公”经费全年预算数，反映按规定程序调整后的预算数；决算数是包括当年财政拨款和以前年度结转资金安排的实际支出。</w:t>
            </w:r>
          </w:p>
        </w:tc>
      </w:tr>
    </w:tbl>
    <w:p>
      <w:pPr>
        <w:rPr>
          <w:rFonts w:ascii="仿宋_GB2312" w:hAnsi="宋体" w:eastAsia="仿宋_GB2312"/>
          <w:b/>
          <w:sz w:val="32"/>
          <w:szCs w:val="32"/>
        </w:rPr>
        <w:sectPr>
          <w:pgSz w:w="11906" w:h="16838"/>
          <w:pgMar w:top="1531" w:right="1984" w:bottom="1531" w:left="2098" w:header="851" w:footer="992" w:gutter="0"/>
          <w:cols w:space="720" w:num="1"/>
          <w:docGrid w:type="lines" w:linePitch="312" w:charSpace="0"/>
        </w:sectPr>
      </w:pPr>
      <w:r>
        <w:rPr>
          <w:rFonts w:hint="eastAsia" w:ascii="仿宋_GB2312" w:hAnsi="宋体" w:eastAsia="仿宋_GB2312"/>
          <w:b/>
          <w:sz w:val="32"/>
          <w:szCs w:val="32"/>
        </w:rPr>
        <w:br w:type="page"/>
      </w:r>
    </w:p>
    <w:p>
      <w:pPr>
        <w:pStyle w:val="10"/>
        <w:widowControl/>
        <w:spacing w:beforeAutospacing="0" w:afterAutospacing="0"/>
        <w:jc w:val="both"/>
        <w:rPr>
          <w:rFonts w:ascii="Arial" w:hAnsi="Arial" w:eastAsia="Arial" w:cs="Arial"/>
        </w:rPr>
      </w:pPr>
      <w:r>
        <w:rPr>
          <w:rFonts w:ascii="Arial" w:hAnsi="Arial" w:eastAsia="Arial" w:cs="Arial"/>
          <w:color w:val="000000"/>
          <w:sz w:val="18"/>
          <w:szCs w:val="18"/>
          <w:shd w:val="clear" w:color="auto" w:fill="FFFFFF"/>
        </w:rPr>
        <w:t> </w:t>
      </w:r>
    </w:p>
    <w:p>
      <w:pPr>
        <w:pStyle w:val="10"/>
        <w:widowControl/>
        <w:spacing w:beforeAutospacing="0" w:afterAutospacing="0"/>
        <w:jc w:val="center"/>
        <w:rPr>
          <w:rFonts w:ascii="Arial" w:hAnsi="Arial" w:eastAsia="Arial" w:cs="Arial"/>
        </w:rPr>
      </w:pPr>
      <w:r>
        <w:rPr>
          <w:rFonts w:ascii="Arial" w:hAnsi="Arial" w:eastAsia="Arial" w:cs="Arial"/>
          <w:color w:val="000000"/>
          <w:sz w:val="18"/>
          <w:szCs w:val="18"/>
          <w:shd w:val="clear" w:color="auto" w:fill="FFFFFF"/>
        </w:rPr>
        <w:t> </w:t>
      </w:r>
    </w:p>
    <w:p>
      <w:pPr>
        <w:pStyle w:val="10"/>
        <w:widowControl/>
        <w:spacing w:beforeAutospacing="0" w:afterAutospacing="0"/>
        <w:jc w:val="center"/>
        <w:rPr>
          <w:rFonts w:ascii="Arial" w:hAnsi="Arial" w:eastAsia="Arial" w:cs="Arial"/>
        </w:rPr>
      </w:pPr>
      <w:r>
        <w:rPr>
          <w:rFonts w:ascii="Arial" w:hAnsi="Arial" w:eastAsia="Arial" w:cs="Arial"/>
          <w:color w:val="000000"/>
          <w:sz w:val="18"/>
          <w:szCs w:val="18"/>
          <w:shd w:val="clear" w:color="auto" w:fill="FFFFFF"/>
        </w:rPr>
        <w:t> </w:t>
      </w:r>
    </w:p>
    <w:p>
      <w:pPr>
        <w:pStyle w:val="10"/>
        <w:widowControl/>
        <w:spacing w:beforeAutospacing="0" w:afterAutospacing="0"/>
        <w:jc w:val="center"/>
        <w:rPr>
          <w:rFonts w:ascii="Arial" w:hAnsi="Arial" w:eastAsia="Arial" w:cs="Arial"/>
        </w:rPr>
      </w:pPr>
      <w:r>
        <w:rPr>
          <w:rFonts w:ascii="Arial" w:hAnsi="Arial" w:eastAsia="Arial" w:cs="Arial"/>
          <w:color w:val="000000"/>
          <w:sz w:val="18"/>
          <w:szCs w:val="18"/>
          <w:shd w:val="clear" w:color="auto" w:fill="FFFFFF"/>
        </w:rPr>
        <w:t> </w:t>
      </w:r>
    </w:p>
    <w:p>
      <w:pPr>
        <w:pStyle w:val="10"/>
        <w:widowControl/>
        <w:spacing w:beforeAutospacing="0" w:afterAutospacing="0"/>
        <w:jc w:val="center"/>
        <w:rPr>
          <w:rFonts w:ascii="Arial" w:hAnsi="Arial" w:eastAsia="Arial" w:cs="Arial"/>
        </w:rPr>
      </w:pPr>
      <w:r>
        <w:rPr>
          <w:rFonts w:ascii="Arial" w:hAnsi="Arial" w:eastAsia="Arial" w:cs="Arial"/>
          <w:color w:val="000000"/>
          <w:sz w:val="18"/>
          <w:szCs w:val="18"/>
          <w:shd w:val="clear" w:color="auto" w:fill="FFFFFF"/>
        </w:rPr>
        <w:t> </w:t>
      </w:r>
    </w:p>
    <w:p>
      <w:pPr>
        <w:pStyle w:val="10"/>
        <w:widowControl/>
        <w:spacing w:beforeAutospacing="0" w:afterAutospacing="0"/>
        <w:jc w:val="center"/>
        <w:rPr>
          <w:rFonts w:ascii="Arial" w:hAnsi="Arial" w:eastAsia="Arial" w:cs="Arial"/>
        </w:rPr>
      </w:pPr>
      <w:r>
        <w:rPr>
          <w:rFonts w:ascii="Arial" w:hAnsi="Arial" w:eastAsia="Arial" w:cs="Arial"/>
          <w:color w:val="000000"/>
          <w:sz w:val="18"/>
          <w:szCs w:val="18"/>
          <w:shd w:val="clear" w:color="auto" w:fill="FFFFFF"/>
        </w:rPr>
        <w:t> </w:t>
      </w:r>
    </w:p>
    <w:p>
      <w:pPr>
        <w:pStyle w:val="10"/>
        <w:widowControl/>
        <w:spacing w:beforeAutospacing="0" w:afterAutospacing="0"/>
        <w:jc w:val="center"/>
        <w:rPr>
          <w:rFonts w:ascii="Arial" w:hAnsi="Arial" w:eastAsia="Arial" w:cs="Arial"/>
        </w:rPr>
      </w:pPr>
      <w:r>
        <w:rPr>
          <w:rFonts w:ascii="Arial" w:hAnsi="Arial" w:eastAsia="Arial" w:cs="Arial"/>
          <w:color w:val="000000"/>
          <w:sz w:val="18"/>
          <w:szCs w:val="18"/>
          <w:shd w:val="clear" w:color="auto" w:fill="FFFFFF"/>
        </w:rPr>
        <w:t> </w:t>
      </w:r>
    </w:p>
    <w:p>
      <w:pPr>
        <w:pStyle w:val="10"/>
        <w:widowControl/>
        <w:spacing w:beforeAutospacing="0" w:afterAutospacing="0"/>
        <w:jc w:val="center"/>
        <w:rPr>
          <w:rFonts w:ascii="Arial" w:hAnsi="Arial" w:eastAsia="Arial" w:cs="Arial"/>
        </w:rPr>
      </w:pPr>
      <w:r>
        <w:rPr>
          <w:rFonts w:ascii="Arial" w:hAnsi="Arial" w:eastAsia="Arial" w:cs="Arial"/>
          <w:color w:val="000000"/>
          <w:sz w:val="18"/>
          <w:szCs w:val="18"/>
          <w:shd w:val="clear" w:color="auto" w:fill="FFFFFF"/>
        </w:rPr>
        <w:t> </w:t>
      </w:r>
    </w:p>
    <w:p>
      <w:pPr>
        <w:pStyle w:val="10"/>
        <w:widowControl/>
        <w:spacing w:beforeAutospacing="0" w:afterAutospacing="0"/>
        <w:jc w:val="center"/>
        <w:rPr>
          <w:rFonts w:ascii="Arial" w:hAnsi="Arial" w:eastAsia="Arial" w:cs="Arial"/>
        </w:rPr>
      </w:pPr>
      <w:r>
        <w:rPr>
          <w:rFonts w:ascii="Arial" w:hAnsi="Arial" w:eastAsia="Arial" w:cs="Arial"/>
          <w:color w:val="000000"/>
          <w:sz w:val="18"/>
          <w:szCs w:val="18"/>
          <w:shd w:val="clear" w:color="auto" w:fill="FFFFFF"/>
        </w:rPr>
        <w:t> </w:t>
      </w:r>
    </w:p>
    <w:p>
      <w:pPr>
        <w:pStyle w:val="10"/>
        <w:widowControl/>
        <w:spacing w:beforeAutospacing="0" w:afterAutospacing="0"/>
        <w:jc w:val="center"/>
        <w:rPr>
          <w:rFonts w:ascii="Arial" w:hAnsi="Arial" w:eastAsia="Arial" w:cs="Arial"/>
        </w:rPr>
      </w:pPr>
      <w:r>
        <w:rPr>
          <w:rFonts w:ascii="Arial" w:hAnsi="Arial" w:eastAsia="Arial" w:cs="Arial"/>
          <w:color w:val="000000"/>
          <w:sz w:val="18"/>
          <w:szCs w:val="18"/>
          <w:shd w:val="clear" w:color="auto" w:fill="FFFFFF"/>
        </w:rPr>
        <w:t> </w:t>
      </w:r>
    </w:p>
    <w:p>
      <w:pPr>
        <w:pStyle w:val="10"/>
        <w:widowControl/>
        <w:spacing w:beforeAutospacing="0" w:afterAutospacing="0"/>
        <w:jc w:val="center"/>
        <w:outlineLvl w:val="0"/>
        <w:rPr>
          <w:rFonts w:ascii="Arial" w:hAnsi="Arial" w:eastAsia="Arial" w:cs="Arial"/>
        </w:rPr>
      </w:pPr>
      <w:r>
        <w:rPr>
          <w:rFonts w:hint="eastAsia" w:ascii="黑体" w:hAnsi="宋体" w:eastAsia="黑体" w:cs="黑体"/>
          <w:color w:val="000000"/>
          <w:sz w:val="72"/>
          <w:szCs w:val="72"/>
          <w:shd w:val="clear" w:color="auto" w:fill="FFFFFF"/>
        </w:rPr>
        <w:t>第三部分</w:t>
      </w:r>
    </w:p>
    <w:p>
      <w:pPr>
        <w:pStyle w:val="10"/>
        <w:widowControl/>
        <w:spacing w:beforeAutospacing="0" w:afterAutospacing="0"/>
        <w:jc w:val="center"/>
        <w:rPr>
          <w:rFonts w:ascii="Arial" w:hAnsi="Arial" w:eastAsia="Arial" w:cs="Arial"/>
        </w:rPr>
      </w:pPr>
      <w:r>
        <w:rPr>
          <w:rFonts w:ascii="Arial" w:hAnsi="Arial" w:eastAsia="Arial" w:cs="Arial"/>
          <w:color w:val="000000"/>
          <w:sz w:val="18"/>
          <w:szCs w:val="18"/>
          <w:shd w:val="clear" w:color="auto" w:fill="FFFFFF"/>
        </w:rPr>
        <w:t> </w:t>
      </w:r>
    </w:p>
    <w:p>
      <w:pPr>
        <w:pStyle w:val="10"/>
        <w:widowControl/>
        <w:spacing w:beforeAutospacing="0" w:afterAutospacing="0"/>
        <w:jc w:val="center"/>
        <w:rPr>
          <w:rFonts w:ascii="Arial" w:hAnsi="Arial" w:eastAsia="Arial" w:cs="Arial"/>
          <w:spacing w:val="-20"/>
        </w:rPr>
      </w:pPr>
      <w:r>
        <w:rPr>
          <w:rFonts w:hint="eastAsia" w:ascii="黑体" w:hAnsi="宋体" w:eastAsia="黑体" w:cs="黑体"/>
          <w:color w:val="000000"/>
          <w:spacing w:val="-20"/>
          <w:sz w:val="72"/>
          <w:szCs w:val="72"/>
          <w:shd w:val="clear" w:color="auto" w:fill="FFFFFF"/>
        </w:rPr>
        <w:t>2023年度部门决算情况说明</w:t>
      </w:r>
    </w:p>
    <w:p>
      <w:pPr>
        <w:pStyle w:val="10"/>
        <w:widowControl/>
        <w:spacing w:beforeAutospacing="0" w:afterAutospacing="0"/>
        <w:jc w:val="center"/>
        <w:rPr>
          <w:rFonts w:ascii="Arial" w:hAnsi="Arial" w:eastAsia="Arial" w:cs="Arial"/>
        </w:rPr>
      </w:pPr>
      <w:r>
        <w:rPr>
          <w:rFonts w:ascii="Arial" w:hAnsi="Arial" w:eastAsia="Arial" w:cs="Arial"/>
          <w:color w:val="000000"/>
          <w:sz w:val="18"/>
          <w:szCs w:val="18"/>
          <w:shd w:val="clear" w:color="auto" w:fill="FFFFFF"/>
        </w:rPr>
        <w:t> </w:t>
      </w:r>
    </w:p>
    <w:p>
      <w:pPr>
        <w:pStyle w:val="10"/>
        <w:widowControl/>
        <w:spacing w:beforeAutospacing="0" w:afterAutospacing="0"/>
        <w:jc w:val="center"/>
        <w:rPr>
          <w:rFonts w:ascii="Arial" w:hAnsi="Arial" w:eastAsia="Arial" w:cs="Arial"/>
        </w:rPr>
      </w:pPr>
      <w:r>
        <w:rPr>
          <w:rFonts w:ascii="Arial" w:hAnsi="Arial" w:eastAsia="Arial" w:cs="Arial"/>
          <w:color w:val="000000"/>
          <w:sz w:val="18"/>
          <w:szCs w:val="18"/>
          <w:shd w:val="clear" w:color="auto" w:fill="FFFFFF"/>
        </w:rPr>
        <w:t> </w:t>
      </w:r>
    </w:p>
    <w:p>
      <w:pPr>
        <w:pStyle w:val="10"/>
        <w:widowControl/>
        <w:spacing w:beforeAutospacing="0" w:afterAutospacing="0"/>
        <w:jc w:val="center"/>
        <w:rPr>
          <w:rFonts w:ascii="Arial" w:hAnsi="Arial" w:eastAsia="Arial" w:cs="Arial"/>
        </w:rPr>
      </w:pPr>
      <w:r>
        <w:rPr>
          <w:rFonts w:ascii="Arial" w:hAnsi="Arial" w:eastAsia="Arial" w:cs="Arial"/>
          <w:color w:val="000000"/>
          <w:sz w:val="18"/>
          <w:szCs w:val="18"/>
          <w:shd w:val="clear" w:color="auto" w:fill="FFFFFF"/>
        </w:rPr>
        <w:t> </w:t>
      </w:r>
    </w:p>
    <w:p>
      <w:pPr>
        <w:pStyle w:val="10"/>
        <w:widowControl/>
        <w:spacing w:beforeAutospacing="0" w:afterAutospacing="0"/>
        <w:jc w:val="center"/>
        <w:rPr>
          <w:rFonts w:ascii="Arial" w:hAnsi="Arial" w:eastAsia="Arial" w:cs="Arial"/>
        </w:rPr>
      </w:pPr>
      <w:r>
        <w:rPr>
          <w:rFonts w:ascii="Arial" w:hAnsi="Arial" w:eastAsia="Arial" w:cs="Arial"/>
          <w:color w:val="000000"/>
          <w:sz w:val="18"/>
          <w:szCs w:val="18"/>
          <w:shd w:val="clear" w:color="auto" w:fill="FFFFFF"/>
        </w:rPr>
        <w:t> </w:t>
      </w:r>
    </w:p>
    <w:p>
      <w:pPr>
        <w:pStyle w:val="10"/>
        <w:widowControl/>
        <w:spacing w:beforeAutospacing="0" w:afterAutospacing="0"/>
        <w:jc w:val="center"/>
        <w:rPr>
          <w:rFonts w:ascii="Arial" w:hAnsi="Arial" w:eastAsia="Arial" w:cs="Arial"/>
        </w:rPr>
      </w:pPr>
      <w:r>
        <w:rPr>
          <w:rFonts w:ascii="Arial" w:hAnsi="Arial" w:eastAsia="Arial" w:cs="Arial"/>
          <w:color w:val="000000"/>
          <w:sz w:val="18"/>
          <w:szCs w:val="18"/>
          <w:shd w:val="clear" w:color="auto" w:fill="FFFFFF"/>
        </w:rPr>
        <w:t> </w:t>
      </w:r>
    </w:p>
    <w:p>
      <w:pPr>
        <w:pStyle w:val="10"/>
        <w:widowControl/>
        <w:spacing w:beforeAutospacing="0" w:afterAutospacing="0"/>
        <w:jc w:val="center"/>
        <w:rPr>
          <w:rFonts w:ascii="Arial" w:hAnsi="Arial" w:eastAsia="Arial" w:cs="Arial"/>
          <w:color w:val="000000"/>
          <w:sz w:val="18"/>
          <w:szCs w:val="18"/>
          <w:shd w:val="clear" w:color="auto" w:fill="FFFFFF"/>
        </w:rPr>
      </w:pPr>
      <w:r>
        <w:rPr>
          <w:rFonts w:ascii="Arial" w:hAnsi="Arial" w:eastAsia="Arial" w:cs="Arial"/>
          <w:color w:val="000000"/>
          <w:sz w:val="18"/>
          <w:szCs w:val="18"/>
          <w:shd w:val="clear" w:color="auto" w:fill="FFFFFF"/>
        </w:rPr>
        <w:t> </w:t>
      </w:r>
    </w:p>
    <w:p>
      <w:pPr>
        <w:rPr>
          <w:rFonts w:ascii="Arial" w:hAnsi="Arial" w:eastAsia="Arial" w:cs="Arial"/>
          <w:color w:val="000000"/>
          <w:sz w:val="18"/>
          <w:szCs w:val="18"/>
          <w:shd w:val="clear" w:color="auto" w:fill="FFFFFF"/>
        </w:rPr>
      </w:pPr>
      <w:r>
        <w:rPr>
          <w:rFonts w:ascii="Arial" w:hAnsi="Arial" w:eastAsia="Arial" w:cs="Arial"/>
          <w:color w:val="000000"/>
          <w:sz w:val="18"/>
          <w:szCs w:val="18"/>
          <w:shd w:val="clear" w:color="auto" w:fill="FFFFFF"/>
        </w:rPr>
        <w:br w:type="page"/>
      </w:r>
    </w:p>
    <w:p>
      <w:pPr>
        <w:pStyle w:val="10"/>
        <w:widowControl/>
        <w:spacing w:beforeAutospacing="0" w:afterAutospacing="0"/>
        <w:jc w:val="center"/>
        <w:rPr>
          <w:rFonts w:ascii="Arial" w:hAnsi="Arial" w:eastAsia="Arial" w:cs="Arial"/>
          <w:color w:val="000000"/>
          <w:sz w:val="18"/>
          <w:szCs w:val="18"/>
          <w:shd w:val="clear" w:color="auto" w:fill="FFFFFF"/>
        </w:rPr>
      </w:pPr>
    </w:p>
    <w:p>
      <w:pPr>
        <w:pStyle w:val="10"/>
        <w:widowControl/>
        <w:spacing w:beforeAutospacing="0" w:afterAutospacing="0"/>
        <w:jc w:val="center"/>
        <w:rPr>
          <w:rFonts w:ascii="Arial" w:hAnsi="Arial" w:eastAsia="Arial" w:cs="Arial"/>
        </w:rPr>
      </w:pPr>
      <w:r>
        <w:rPr>
          <w:rFonts w:ascii="Arial" w:hAnsi="Arial" w:eastAsia="Arial" w:cs="Arial"/>
          <w:color w:val="000000"/>
          <w:sz w:val="18"/>
          <w:szCs w:val="18"/>
          <w:shd w:val="clear" w:color="auto" w:fill="FFFFFF"/>
        </w:rPr>
        <w:t> </w:t>
      </w:r>
    </w:p>
    <w:p>
      <w:pPr>
        <w:pStyle w:val="10"/>
        <w:widowControl/>
        <w:spacing w:beforeAutospacing="0" w:afterAutospacing="0"/>
        <w:jc w:val="both"/>
        <w:outlineLvl w:val="1"/>
        <w:rPr>
          <w:rFonts w:ascii="黑体" w:hAnsi="Calibri" w:eastAsia="黑体"/>
          <w:kern w:val="2"/>
          <w:sz w:val="32"/>
          <w:szCs w:val="32"/>
        </w:rPr>
      </w:pPr>
      <w:r>
        <w:rPr>
          <w:rFonts w:hint="eastAsia" w:ascii="黑体" w:hAnsi="Calibri" w:eastAsia="黑体"/>
          <w:kern w:val="2"/>
          <w:sz w:val="32"/>
          <w:szCs w:val="32"/>
        </w:rPr>
        <w:t>一、收入支出决算总体情况说明</w:t>
      </w:r>
    </w:p>
    <w:p>
      <w:pPr>
        <w:autoSpaceDE w:val="0"/>
        <w:autoSpaceDN w:val="0"/>
        <w:adjustRightInd w:val="0"/>
        <w:spacing w:line="580" w:lineRule="exact"/>
        <w:ind w:firstLine="640" w:firstLineChars="200"/>
        <w:jc w:val="left"/>
        <w:rPr>
          <w:rFonts w:ascii="Times New Roman" w:hAnsi="Times New Roman" w:eastAsia="仿宋_GB2312" w:cs="Times New Roman"/>
          <w:kern w:val="2"/>
          <w:sz w:val="32"/>
          <w:szCs w:val="32"/>
        </w:rPr>
      </w:pPr>
      <w:r>
        <w:rPr>
          <w:rFonts w:ascii="Times New Roman" w:hAnsi="Times New Roman" w:eastAsia="仿宋_GB2312" w:cs="Times New Roman"/>
          <w:kern w:val="2"/>
          <w:sz w:val="32"/>
          <w:szCs w:val="32"/>
        </w:rPr>
        <w:t>本单位</w:t>
      </w:r>
      <w:r>
        <w:rPr>
          <w:rFonts w:ascii="Times New Roman" w:hAnsi="Times New Roman" w:eastAsia="仿宋_GB2312" w:cs="Times New Roman"/>
          <w:kern w:val="2"/>
          <w:sz w:val="32"/>
          <w:szCs w:val="32"/>
          <w:lang w:val="zh-CN"/>
        </w:rPr>
        <w:t>2023年度收</w:t>
      </w:r>
      <w:r>
        <w:rPr>
          <w:rFonts w:hint="eastAsia" w:ascii="Times New Roman" w:hAnsi="Times New Roman" w:eastAsia="仿宋_GB2312" w:cs="Times New Roman"/>
          <w:kern w:val="2"/>
          <w:sz w:val="32"/>
          <w:szCs w:val="32"/>
          <w:lang w:val="zh-CN"/>
        </w:rPr>
        <w:t>、</w:t>
      </w:r>
      <w:r>
        <w:rPr>
          <w:rFonts w:hint="eastAsia" w:ascii="Times New Roman" w:hAnsi="Times New Roman" w:eastAsia="仿宋_GB2312" w:cs="Times New Roman"/>
          <w:kern w:val="2"/>
          <w:sz w:val="32"/>
          <w:szCs w:val="32"/>
        </w:rPr>
        <w:t>支</w:t>
      </w:r>
      <w:r>
        <w:rPr>
          <w:rFonts w:ascii="Times New Roman" w:hAnsi="Times New Roman" w:eastAsia="仿宋_GB2312" w:cs="Times New Roman"/>
          <w:kern w:val="2"/>
          <w:sz w:val="32"/>
          <w:szCs w:val="32"/>
          <w:lang w:val="zh-CN"/>
        </w:rPr>
        <w:t>总计</w:t>
      </w:r>
      <w:r>
        <w:rPr>
          <w:rFonts w:hint="eastAsia" w:ascii="Times New Roman" w:hAnsi="Times New Roman" w:eastAsia="仿宋_GB2312" w:cs="Times New Roman"/>
          <w:kern w:val="2"/>
          <w:sz w:val="32"/>
          <w:szCs w:val="32"/>
          <w:lang w:val="zh-CN"/>
        </w:rPr>
        <w:t>(含结转和结余)</w:t>
      </w:r>
      <w:r>
        <w:rPr>
          <w:rFonts w:ascii="Times New Roman" w:hAnsi="Times New Roman" w:eastAsia="仿宋_GB2312" w:cs="Times New Roman"/>
          <w:kern w:val="2"/>
          <w:sz w:val="32"/>
          <w:szCs w:val="32"/>
          <w:lang w:val="zh-CN"/>
        </w:rPr>
        <w:t>859.16</w:t>
      </w:r>
      <w:r>
        <w:rPr>
          <w:rFonts w:ascii="Times New Roman" w:hAnsi="Times New Roman" w:eastAsia="仿宋_GB2312" w:cs="Times New Roman"/>
          <w:kern w:val="2"/>
          <w:sz w:val="32"/>
          <w:szCs w:val="32"/>
        </w:rPr>
        <w:t>万元，与2022年度决算相比</w:t>
      </w:r>
      <w:r>
        <w:rPr>
          <w:rFonts w:hint="eastAsia" w:ascii="Times New Roman" w:hAnsi="Times New Roman" w:eastAsia="仿宋_GB2312" w:cs="Times New Roman"/>
          <w:kern w:val="2"/>
          <w:sz w:val="32"/>
          <w:szCs w:val="32"/>
        </w:rPr>
        <w:t>，</w:t>
      </w:r>
      <w:r>
        <w:rPr>
          <w:rFonts w:ascii="Times New Roman" w:hAnsi="Times New Roman" w:eastAsia="仿宋_GB2312" w:cs="Times New Roman"/>
          <w:kern w:val="2"/>
          <w:sz w:val="32"/>
          <w:szCs w:val="32"/>
        </w:rPr>
        <w:t>收支各</w:t>
      </w:r>
      <w:r>
        <w:rPr>
          <w:rFonts w:hint="eastAsia" w:ascii="Times New Roman" w:hAnsi="Times New Roman" w:eastAsia="仿宋_GB2312" w:cs="Times New Roman"/>
          <w:sz w:val="30"/>
          <w:szCs w:val="30"/>
          <w:lang w:val="zh-CN"/>
        </w:rPr>
        <w:t>减少145.64万元</w:t>
      </w:r>
      <w:r>
        <w:rPr>
          <w:rFonts w:hint="eastAsia" w:ascii="Times New Roman" w:hAnsi="Times New Roman" w:eastAsia="仿宋_GB2312" w:cs="Times New Roman"/>
          <w:sz w:val="30"/>
          <w:szCs w:val="30"/>
        </w:rPr>
        <w:t>,</w:t>
      </w:r>
      <w:r>
        <w:rPr>
          <w:rFonts w:hint="eastAsia" w:ascii="Times New Roman" w:hAnsi="Times New Roman" w:eastAsia="仿宋_GB2312" w:cs="Times New Roman"/>
          <w:sz w:val="30"/>
          <w:szCs w:val="30"/>
          <w:lang w:val="zh-CN"/>
        </w:rPr>
        <w:t>下降14.49%，</w:t>
      </w:r>
      <w:r>
        <w:rPr>
          <w:rFonts w:ascii="Times New Roman" w:hAnsi="Times New Roman" w:eastAsia="仿宋_GB2312" w:cs="Times New Roman"/>
          <w:kern w:val="2"/>
          <w:sz w:val="32"/>
          <w:szCs w:val="32"/>
        </w:rPr>
        <w:t>主要是</w:t>
      </w:r>
      <w:r>
        <w:rPr>
          <w:rFonts w:hint="eastAsia" w:ascii="仿宋_GB2312" w:hAnsi="Times New Roman" w:eastAsia="仿宋_GB2312" w:cs="Wingdings"/>
          <w:sz w:val="32"/>
          <w:szCs w:val="32"/>
        </w:rPr>
        <w:t>人员编制</w:t>
      </w:r>
      <w:r>
        <w:rPr>
          <w:rFonts w:hint="eastAsia" w:ascii="仿宋_GB2312" w:hAnsi="Times New Roman" w:eastAsia="仿宋_GB2312" w:cs="Wingdings"/>
          <w:sz w:val="32"/>
          <w:szCs w:val="32"/>
          <w:lang w:val="en-US" w:eastAsia="zh-CN"/>
        </w:rPr>
        <w:t>减少</w:t>
      </w:r>
      <w:r>
        <w:rPr>
          <w:rFonts w:hint="eastAsia" w:ascii="仿宋_GB2312" w:hAnsi="Times New Roman" w:eastAsia="仿宋_GB2312" w:cs="Wingdings"/>
          <w:sz w:val="32"/>
          <w:szCs w:val="32"/>
        </w:rPr>
        <w:t>，基本支出、办公费用资金支出规模较上年有所</w:t>
      </w:r>
      <w:r>
        <w:rPr>
          <w:rFonts w:hint="eastAsia" w:ascii="仿宋_GB2312" w:hAnsi="Times New Roman" w:eastAsia="仿宋_GB2312" w:cs="Wingdings"/>
          <w:sz w:val="32"/>
          <w:szCs w:val="32"/>
          <w:lang w:val="en-US" w:eastAsia="zh-CN"/>
        </w:rPr>
        <w:t>减少</w:t>
      </w:r>
      <w:r>
        <w:rPr>
          <w:rFonts w:hint="eastAsia" w:ascii="仿宋_GB2312" w:hAnsi="Times New Roman" w:eastAsia="仿宋_GB2312" w:cs="仿宋_GB2312"/>
          <w:sz w:val="32"/>
          <w:szCs w:val="32"/>
        </w:rPr>
        <w:t>。</w:t>
      </w:r>
    </w:p>
    <w:p>
      <w:pPr>
        <w:pStyle w:val="10"/>
        <w:widowControl/>
        <w:spacing w:beforeAutospacing="0" w:afterAutospacing="0"/>
        <w:jc w:val="center"/>
        <w:rPr>
          <w:rFonts w:ascii="Times New Roman" w:hAnsi="Times New Roman" w:eastAsia="Arial"/>
        </w:rPr>
      </w:pPr>
      <w:r>
        <w:rPr>
          <w:rFonts w:hint="eastAsia" w:ascii="Times New Roman" w:hAnsi="Times New Roman" w:eastAsia="宋体"/>
        </w:rPr>
        <w:drawing>
          <wp:inline distT="0" distB="0" distL="114300" distR="114300">
            <wp:extent cx="5256530" cy="2988310"/>
            <wp:effectExtent l="5080" t="4445" r="11430" b="9525"/>
            <wp:docPr id="5" name="图表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r>
        <w:rPr>
          <w:rFonts w:ascii="Times New Roman" w:hAnsi="Times New Roman" w:eastAsia="Arial"/>
          <w:color w:val="000000"/>
          <w:sz w:val="18"/>
          <w:szCs w:val="18"/>
          <w:shd w:val="clear" w:color="auto" w:fill="FFFFFF"/>
        </w:rPr>
        <w:t> </w:t>
      </w:r>
    </w:p>
    <w:p>
      <w:pPr>
        <w:pStyle w:val="10"/>
        <w:widowControl/>
        <w:spacing w:beforeAutospacing="0" w:afterAutospacing="0"/>
        <w:jc w:val="both"/>
        <w:outlineLvl w:val="1"/>
        <w:rPr>
          <w:rFonts w:ascii="Times New Roman" w:hAnsi="Times New Roman" w:eastAsia="黑体"/>
          <w:kern w:val="2"/>
          <w:sz w:val="32"/>
          <w:szCs w:val="32"/>
        </w:rPr>
      </w:pPr>
      <w:r>
        <w:rPr>
          <w:rFonts w:ascii="Times New Roman" w:hAnsi="Times New Roman" w:eastAsia="黑体"/>
          <w:kern w:val="2"/>
          <w:sz w:val="32"/>
          <w:szCs w:val="32"/>
        </w:rPr>
        <w:t>二、收入决算情况说明</w:t>
      </w:r>
    </w:p>
    <w:p>
      <w:pPr>
        <w:autoSpaceDE w:val="0"/>
        <w:autoSpaceDN w:val="0"/>
        <w:adjustRightInd w:val="0"/>
        <w:spacing w:line="580" w:lineRule="exact"/>
        <w:ind w:firstLine="640" w:firstLineChars="200"/>
        <w:jc w:val="left"/>
        <w:rPr>
          <w:rFonts w:hint="eastAsia" w:ascii="Times New Roman" w:hAnsi="Times New Roman" w:eastAsia="仿宋_GB2312" w:cs="Times New Roman"/>
          <w:kern w:val="2"/>
          <w:sz w:val="32"/>
          <w:szCs w:val="32"/>
          <w:lang w:val="zh-CN"/>
        </w:rPr>
      </w:pPr>
      <w:r>
        <w:rPr>
          <w:rFonts w:ascii="Times New Roman" w:hAnsi="Times New Roman" w:eastAsia="仿宋_GB2312" w:cs="Times New Roman"/>
          <w:kern w:val="2"/>
          <w:sz w:val="32"/>
          <w:szCs w:val="32"/>
          <w:lang w:val="zh-CN"/>
        </w:rPr>
        <w:t>本单位2023年度本年收入合计</w:t>
      </w:r>
      <w:r>
        <w:rPr>
          <w:rFonts w:ascii="Times New Roman" w:hAnsi="Times New Roman" w:eastAsia="仿宋_GB2312" w:cs="Times New Roman"/>
          <w:sz w:val="30"/>
          <w:szCs w:val="30"/>
        </w:rPr>
        <w:t>859.16</w:t>
      </w:r>
      <w:r>
        <w:rPr>
          <w:rFonts w:ascii="Times New Roman" w:hAnsi="Times New Roman" w:eastAsia="仿宋_GB2312" w:cs="Times New Roman"/>
          <w:kern w:val="2"/>
          <w:sz w:val="32"/>
          <w:szCs w:val="32"/>
          <w:lang w:val="zh-CN"/>
        </w:rPr>
        <w:t>万元，其中：财政拨款收入859.16万元，占100%；上级补助收入0万元，占0%；事业收入0万元，占0%；经营收入0万元，占0%；附属单位上缴收入0万元，占0%；其他收入0万元，占0%</w:t>
      </w:r>
      <w:r>
        <w:rPr>
          <w:rFonts w:hint="eastAsia" w:ascii="Times New Roman" w:hAnsi="Times New Roman" w:eastAsia="仿宋_GB2312" w:cs="Times New Roman"/>
          <w:kern w:val="2"/>
          <w:sz w:val="32"/>
          <w:szCs w:val="32"/>
          <w:lang w:val="zh-CN"/>
        </w:rPr>
        <w:t>。</w:t>
      </w:r>
    </w:p>
    <w:p>
      <w:pPr>
        <w:pStyle w:val="10"/>
        <w:widowControl/>
        <w:spacing w:beforeAutospacing="0" w:afterAutospacing="0"/>
        <w:jc w:val="both"/>
        <w:outlineLvl w:val="1"/>
        <w:rPr>
          <w:rFonts w:ascii="Times New Roman" w:hAnsi="Times New Roman" w:eastAsia="黑体"/>
          <w:kern w:val="2"/>
          <w:sz w:val="32"/>
          <w:szCs w:val="32"/>
        </w:rPr>
      </w:pPr>
      <w:r>
        <w:rPr>
          <w:rFonts w:ascii="Times New Roman" w:hAnsi="Times New Roman" w:eastAsia="黑体"/>
          <w:kern w:val="2"/>
          <w:sz w:val="32"/>
          <w:szCs w:val="32"/>
        </w:rPr>
        <w:t>三、支出决算情况说明</w:t>
      </w:r>
    </w:p>
    <w:p>
      <w:pPr>
        <w:autoSpaceDE w:val="0"/>
        <w:autoSpaceDN w:val="0"/>
        <w:adjustRightInd w:val="0"/>
        <w:spacing w:line="580" w:lineRule="exact"/>
        <w:ind w:firstLine="600"/>
        <w:jc w:val="left"/>
        <w:rPr>
          <w:rFonts w:ascii="Times New Roman" w:hAnsi="Times New Roman" w:eastAsia="仿宋_GB2312" w:cs="Times New Roman"/>
          <w:kern w:val="2"/>
          <w:sz w:val="32"/>
          <w:szCs w:val="32"/>
        </w:rPr>
      </w:pPr>
      <w:r>
        <w:rPr>
          <w:rFonts w:ascii="Times New Roman" w:hAnsi="Times New Roman" w:eastAsia="仿宋_GB2312" w:cs="Times New Roman"/>
          <w:kern w:val="2"/>
          <w:sz w:val="32"/>
          <w:szCs w:val="32"/>
          <w:lang w:val="zh-CN"/>
        </w:rPr>
        <w:t>本单位2023年度本年支出合计859.16万元，其中：基本支出753.83万元，占87.74%；项目支出105.33万元，占12.26%；上缴上级支出0万元，占0%；经营支出0万元，占0%</w:t>
      </w:r>
      <w:r>
        <w:rPr>
          <w:rFonts w:hint="eastAsia" w:ascii="Times New Roman" w:hAnsi="Times New Roman" w:eastAsia="仿宋_GB2312" w:cs="Times New Roman"/>
          <w:kern w:val="2"/>
          <w:sz w:val="32"/>
          <w:szCs w:val="32"/>
          <w:lang w:val="zh-CN"/>
        </w:rPr>
        <w:t>；</w:t>
      </w:r>
      <w:r>
        <w:rPr>
          <w:rFonts w:ascii="Times New Roman" w:hAnsi="Times New Roman" w:eastAsia="仿宋_GB2312" w:cs="Times New Roman"/>
          <w:kern w:val="2"/>
          <w:sz w:val="32"/>
          <w:szCs w:val="32"/>
          <w:lang w:val="zh-CN"/>
        </w:rPr>
        <w:t>对附属单位补助支出0万元，占0%</w:t>
      </w:r>
      <w:r>
        <w:rPr>
          <w:rFonts w:hint="eastAsia" w:ascii="Times New Roman" w:hAnsi="Times New Roman" w:eastAsia="仿宋_GB2312" w:cs="Times New Roman"/>
          <w:kern w:val="2"/>
          <w:sz w:val="32"/>
          <w:szCs w:val="32"/>
          <w:lang w:val="zh-CN"/>
        </w:rPr>
        <w:t>。</w:t>
      </w:r>
    </w:p>
    <w:p>
      <w:pPr>
        <w:pStyle w:val="10"/>
        <w:widowControl/>
        <w:spacing w:beforeAutospacing="0" w:afterAutospacing="0"/>
        <w:jc w:val="both"/>
        <w:outlineLvl w:val="1"/>
        <w:rPr>
          <w:rFonts w:ascii="Times New Roman" w:hAnsi="Times New Roman" w:eastAsia="Arial"/>
        </w:rPr>
      </w:pPr>
      <w:r>
        <w:rPr>
          <w:rFonts w:ascii="Times New Roman" w:hAnsi="Times New Roman" w:eastAsia="黑体"/>
          <w:kern w:val="2"/>
          <w:sz w:val="32"/>
          <w:szCs w:val="32"/>
        </w:rPr>
        <w:t>四、财政拨款收入支出决算总体情况说明</w:t>
      </w:r>
    </w:p>
    <w:p>
      <w:pPr>
        <w:pStyle w:val="10"/>
        <w:widowControl/>
        <w:spacing w:beforeAutospacing="0" w:afterAutospacing="0"/>
        <w:outlineLvl w:val="2"/>
        <w:rPr>
          <w:rFonts w:ascii="Times New Roman" w:hAnsi="Times New Roman" w:eastAsia="楷体_GB2312"/>
          <w:b/>
          <w:bCs/>
          <w:kern w:val="2"/>
          <w:sz w:val="32"/>
          <w:szCs w:val="32"/>
        </w:rPr>
      </w:pPr>
      <w:r>
        <w:rPr>
          <w:rFonts w:ascii="Times New Roman" w:hAnsi="Times New Roman" w:eastAsia="楷体_GB2312"/>
          <w:b/>
          <w:bCs/>
          <w:kern w:val="2"/>
          <w:sz w:val="32"/>
          <w:szCs w:val="32"/>
        </w:rPr>
        <w:t>（一）财政拨款收支与2022年度决算对比情况</w:t>
      </w:r>
    </w:p>
    <w:p>
      <w:pPr>
        <w:pStyle w:val="10"/>
        <w:widowControl/>
        <w:spacing w:beforeAutospacing="0" w:afterAutospacing="0"/>
        <w:ind w:firstLine="640" w:firstLineChars="200"/>
        <w:rPr>
          <w:rFonts w:ascii="Times New Roman" w:hAnsi="Times New Roman" w:eastAsia="仿宋_GB2312"/>
          <w:sz w:val="30"/>
          <w:szCs w:val="30"/>
        </w:rPr>
      </w:pPr>
      <w:r>
        <w:rPr>
          <w:rFonts w:ascii="Times New Roman" w:hAnsi="Times New Roman" w:eastAsia="仿宋_GB2312"/>
          <w:kern w:val="2"/>
          <w:sz w:val="32"/>
          <w:szCs w:val="32"/>
          <w:lang w:val="zh-CN"/>
        </w:rPr>
        <w:t>本单位202</w:t>
      </w:r>
      <w:r>
        <w:rPr>
          <w:rFonts w:ascii="Times New Roman" w:hAnsi="Times New Roman" w:eastAsia="仿宋_GB2312"/>
          <w:kern w:val="2"/>
          <w:sz w:val="32"/>
          <w:szCs w:val="32"/>
        </w:rPr>
        <w:t>3</w:t>
      </w:r>
      <w:r>
        <w:rPr>
          <w:rFonts w:ascii="Times New Roman" w:hAnsi="Times New Roman" w:eastAsia="仿宋_GB2312"/>
          <w:kern w:val="2"/>
          <w:sz w:val="32"/>
          <w:szCs w:val="32"/>
          <w:lang w:val="zh-CN"/>
        </w:rPr>
        <w:t>年度财政拨款本年收入859.16</w:t>
      </w:r>
      <w:r>
        <w:rPr>
          <w:rFonts w:ascii="Times New Roman" w:hAnsi="Times New Roman" w:eastAsia="仿宋_GB2312"/>
          <w:kern w:val="2"/>
          <w:sz w:val="32"/>
          <w:szCs w:val="32"/>
        </w:rPr>
        <w:t>万</w:t>
      </w:r>
      <w:r>
        <w:rPr>
          <w:rFonts w:ascii="Times New Roman" w:hAnsi="Times New Roman" w:eastAsia="仿宋_GB2312"/>
          <w:kern w:val="2"/>
          <w:sz w:val="32"/>
          <w:szCs w:val="32"/>
          <w:lang w:val="zh-CN"/>
        </w:rPr>
        <w:t>元,比上年</w:t>
      </w:r>
      <w:r>
        <w:rPr>
          <w:rFonts w:hint="eastAsia" w:ascii="Times New Roman" w:hAnsi="Times New Roman" w:eastAsia="仿宋_GB2312"/>
          <w:sz w:val="30"/>
          <w:szCs w:val="30"/>
          <w:lang w:val="zh-CN"/>
        </w:rPr>
        <w:t>减少145.64万元</w:t>
      </w:r>
      <w:r>
        <w:rPr>
          <w:rFonts w:ascii="Times New Roman" w:hAnsi="Times New Roman" w:eastAsia="仿宋_GB2312"/>
          <w:kern w:val="2"/>
          <w:sz w:val="32"/>
          <w:szCs w:val="32"/>
          <w:lang w:val="zh-CN"/>
        </w:rPr>
        <w:t>，</w:t>
      </w:r>
      <w:r>
        <w:rPr>
          <w:rFonts w:hint="eastAsia" w:ascii="Times New Roman" w:hAnsi="Times New Roman" w:eastAsia="仿宋_GB2312"/>
          <w:sz w:val="30"/>
          <w:szCs w:val="30"/>
          <w:lang w:val="zh-CN"/>
        </w:rPr>
        <w:t>降低14.49%，</w:t>
      </w:r>
      <w:r>
        <w:rPr>
          <w:rFonts w:ascii="Times New Roman" w:hAnsi="Times New Roman" w:eastAsia="仿宋_GB2312"/>
          <w:kern w:val="2"/>
          <w:sz w:val="32"/>
          <w:szCs w:val="32"/>
          <w:lang w:val="zh-CN"/>
        </w:rPr>
        <w:t>主要是</w:t>
      </w:r>
      <w:r>
        <w:rPr>
          <w:rFonts w:hint="eastAsia" w:ascii="仿宋_GB2312" w:hAnsi="Times New Roman" w:eastAsia="仿宋_GB2312" w:cs="Wingdings"/>
          <w:sz w:val="32"/>
          <w:szCs w:val="32"/>
        </w:rPr>
        <w:t>人员编制</w:t>
      </w:r>
      <w:r>
        <w:rPr>
          <w:rFonts w:hint="eastAsia" w:ascii="仿宋_GB2312" w:hAnsi="Times New Roman" w:eastAsia="仿宋_GB2312" w:cs="Wingdings"/>
          <w:sz w:val="32"/>
          <w:szCs w:val="32"/>
          <w:lang w:val="en-US" w:eastAsia="zh-CN"/>
        </w:rPr>
        <w:t>减少</w:t>
      </w:r>
      <w:r>
        <w:rPr>
          <w:rFonts w:hint="eastAsia" w:ascii="仿宋_GB2312" w:hAnsi="Times New Roman" w:eastAsia="仿宋_GB2312" w:cs="Wingdings"/>
          <w:sz w:val="32"/>
          <w:szCs w:val="32"/>
        </w:rPr>
        <w:t>，基本支出、办公费用资金支出规模较上年有所</w:t>
      </w:r>
      <w:r>
        <w:rPr>
          <w:rFonts w:hint="eastAsia" w:ascii="仿宋_GB2312" w:hAnsi="Times New Roman" w:eastAsia="仿宋_GB2312" w:cs="Wingdings"/>
          <w:sz w:val="32"/>
          <w:szCs w:val="32"/>
          <w:lang w:val="en-US" w:eastAsia="zh-CN"/>
        </w:rPr>
        <w:t>减少</w:t>
      </w:r>
      <w:r>
        <w:rPr>
          <w:rFonts w:ascii="Times New Roman" w:hAnsi="Times New Roman" w:eastAsia="仿宋_GB2312"/>
          <w:kern w:val="2"/>
          <w:sz w:val="32"/>
          <w:szCs w:val="32"/>
          <w:lang w:val="zh-CN"/>
        </w:rPr>
        <w:t>；本年支出 859.16</w:t>
      </w:r>
      <w:r>
        <w:rPr>
          <w:rFonts w:hint="eastAsia" w:ascii="Times New Roman" w:hAnsi="Times New Roman" w:eastAsia="仿宋_GB2312"/>
          <w:kern w:val="2"/>
          <w:sz w:val="32"/>
          <w:szCs w:val="32"/>
        </w:rPr>
        <w:t>万</w:t>
      </w:r>
      <w:r>
        <w:rPr>
          <w:rFonts w:ascii="Times New Roman" w:hAnsi="Times New Roman" w:eastAsia="仿宋_GB2312"/>
          <w:kern w:val="2"/>
          <w:sz w:val="32"/>
          <w:szCs w:val="32"/>
          <w:lang w:val="zh-CN"/>
        </w:rPr>
        <w:t>元，比上年</w:t>
      </w:r>
      <w:r>
        <w:rPr>
          <w:rFonts w:hint="eastAsia" w:ascii="Times New Roman" w:hAnsi="Times New Roman" w:eastAsia="仿宋_GB2312"/>
          <w:sz w:val="30"/>
          <w:szCs w:val="30"/>
          <w:lang w:val="zh-CN"/>
        </w:rPr>
        <w:t>减少145.64万元</w:t>
      </w:r>
      <w:r>
        <w:rPr>
          <w:rFonts w:ascii="Times New Roman" w:hAnsi="Times New Roman" w:eastAsia="仿宋_GB2312"/>
          <w:kern w:val="2"/>
          <w:sz w:val="32"/>
          <w:szCs w:val="32"/>
          <w:lang w:val="zh-CN"/>
        </w:rPr>
        <w:t>，</w:t>
      </w:r>
      <w:r>
        <w:rPr>
          <w:rFonts w:hint="eastAsia" w:ascii="Times New Roman" w:hAnsi="Times New Roman" w:eastAsia="仿宋_GB2312"/>
          <w:sz w:val="30"/>
          <w:szCs w:val="30"/>
          <w:lang w:val="zh-CN"/>
        </w:rPr>
        <w:t>降低14.49%，</w:t>
      </w:r>
      <w:r>
        <w:rPr>
          <w:rFonts w:ascii="Times New Roman" w:hAnsi="Times New Roman" w:eastAsia="仿宋_GB2312"/>
          <w:kern w:val="2"/>
          <w:sz w:val="32"/>
          <w:szCs w:val="32"/>
          <w:lang w:val="zh-CN"/>
        </w:rPr>
        <w:t>主要是</w:t>
      </w:r>
      <w:r>
        <w:rPr>
          <w:rFonts w:hint="eastAsia" w:ascii="仿宋_GB2312" w:hAnsi="Times New Roman" w:eastAsia="仿宋_GB2312" w:cs="Wingdings"/>
          <w:sz w:val="32"/>
          <w:szCs w:val="32"/>
        </w:rPr>
        <w:t>人员编制</w:t>
      </w:r>
      <w:r>
        <w:rPr>
          <w:rFonts w:hint="eastAsia" w:ascii="仿宋_GB2312" w:hAnsi="Times New Roman" w:eastAsia="仿宋_GB2312" w:cs="Wingdings"/>
          <w:sz w:val="32"/>
          <w:szCs w:val="32"/>
          <w:lang w:val="en-US" w:eastAsia="zh-CN"/>
        </w:rPr>
        <w:t>减少</w:t>
      </w:r>
      <w:r>
        <w:rPr>
          <w:rFonts w:hint="eastAsia" w:ascii="仿宋_GB2312" w:hAnsi="Times New Roman" w:eastAsia="仿宋_GB2312" w:cs="Wingdings"/>
          <w:sz w:val="32"/>
          <w:szCs w:val="32"/>
        </w:rPr>
        <w:t>，基本支出、办公费用资金支出规模较上年有所</w:t>
      </w:r>
      <w:r>
        <w:rPr>
          <w:rFonts w:hint="eastAsia" w:ascii="仿宋_GB2312" w:hAnsi="Times New Roman" w:eastAsia="仿宋_GB2312" w:cs="Wingdings"/>
          <w:sz w:val="32"/>
          <w:szCs w:val="32"/>
          <w:lang w:val="en-US" w:eastAsia="zh-CN"/>
        </w:rPr>
        <w:t>减少</w:t>
      </w:r>
      <w:r>
        <w:rPr>
          <w:rFonts w:ascii="Times New Roman" w:hAnsi="Times New Roman" w:eastAsia="仿宋_GB2312"/>
          <w:kern w:val="2"/>
          <w:sz w:val="32"/>
          <w:szCs w:val="32"/>
          <w:lang w:val="zh-CN"/>
        </w:rPr>
        <w:t>。具体情况如下：</w:t>
      </w:r>
    </w:p>
    <w:p>
      <w:pPr>
        <w:autoSpaceDE w:val="0"/>
        <w:autoSpaceDN w:val="0"/>
        <w:adjustRightInd w:val="0"/>
        <w:spacing w:line="580" w:lineRule="exact"/>
        <w:ind w:firstLine="640" w:firstLineChars="200"/>
        <w:jc w:val="left"/>
        <w:rPr>
          <w:rFonts w:ascii="Times New Roman" w:hAnsi="Times New Roman" w:eastAsia="仿宋_GB2312" w:cs="Times New Roman"/>
          <w:kern w:val="2"/>
          <w:sz w:val="32"/>
          <w:szCs w:val="32"/>
          <w:lang w:val="zh-CN"/>
        </w:rPr>
      </w:pPr>
      <w:r>
        <w:rPr>
          <w:rFonts w:ascii="Times New Roman" w:hAnsi="Times New Roman" w:eastAsia="仿宋_GB2312" w:cs="Times New Roman"/>
          <w:kern w:val="2"/>
          <w:sz w:val="32"/>
          <w:szCs w:val="32"/>
          <w:lang w:val="zh-CN"/>
        </w:rPr>
        <w:t>1. 一般公共预算财政拨款本年收入859.16万元,比上年</w:t>
      </w:r>
      <w:r>
        <w:rPr>
          <w:rFonts w:hint="eastAsia" w:ascii="Times New Roman" w:hAnsi="Times New Roman" w:eastAsia="仿宋_GB2312" w:cs="Times New Roman"/>
          <w:sz w:val="30"/>
          <w:szCs w:val="30"/>
          <w:lang w:val="zh-CN"/>
        </w:rPr>
        <w:t>减少145.64万元，降低14.49%，</w:t>
      </w:r>
      <w:r>
        <w:rPr>
          <w:rFonts w:hint="eastAsia" w:ascii="Times New Roman" w:hAnsi="Times New Roman" w:eastAsia="仿宋_GB2312" w:cs="Times New Roman"/>
          <w:kern w:val="2"/>
          <w:sz w:val="32"/>
          <w:szCs w:val="32"/>
          <w:lang w:val="zh-CN"/>
        </w:rPr>
        <w:t>主要是厉行节约，压缩开支</w:t>
      </w:r>
      <w:r>
        <w:rPr>
          <w:rFonts w:ascii="Times New Roman" w:hAnsi="Times New Roman" w:eastAsia="仿宋_GB2312" w:cs="Times New Roman"/>
          <w:kern w:val="2"/>
          <w:sz w:val="32"/>
          <w:szCs w:val="32"/>
          <w:lang w:val="zh-CN"/>
        </w:rPr>
        <w:t>；本年支出 859.16</w:t>
      </w:r>
      <w:r>
        <w:rPr>
          <w:rFonts w:ascii="Times New Roman" w:hAnsi="Times New Roman" w:eastAsia="仿宋_GB2312" w:cs="Times New Roman"/>
          <w:kern w:val="2"/>
          <w:sz w:val="32"/>
          <w:szCs w:val="32"/>
        </w:rPr>
        <w:t>万</w:t>
      </w:r>
      <w:r>
        <w:rPr>
          <w:rFonts w:ascii="Times New Roman" w:hAnsi="Times New Roman" w:eastAsia="仿宋_GB2312" w:cs="Times New Roman"/>
          <w:kern w:val="2"/>
          <w:sz w:val="32"/>
          <w:szCs w:val="32"/>
          <w:lang w:val="zh-CN"/>
        </w:rPr>
        <w:t>元，比上年</w:t>
      </w:r>
      <w:r>
        <w:rPr>
          <w:rFonts w:hint="eastAsia" w:ascii="Times New Roman" w:hAnsi="Times New Roman" w:eastAsia="仿宋_GB2312" w:cs="Times New Roman"/>
          <w:sz w:val="30"/>
          <w:szCs w:val="30"/>
          <w:lang w:val="zh-CN"/>
        </w:rPr>
        <w:t>减少145.64万元</w:t>
      </w:r>
      <w:r>
        <w:rPr>
          <w:rFonts w:ascii="Times New Roman" w:hAnsi="Times New Roman" w:eastAsia="仿宋_GB2312" w:cs="Times New Roman"/>
          <w:kern w:val="2"/>
          <w:sz w:val="32"/>
          <w:szCs w:val="32"/>
          <w:lang w:val="zh-CN"/>
        </w:rPr>
        <w:t>，</w:t>
      </w:r>
      <w:r>
        <w:rPr>
          <w:rFonts w:hint="eastAsia" w:ascii="Times New Roman" w:hAnsi="Times New Roman" w:eastAsia="仿宋_GB2312" w:cs="Times New Roman"/>
          <w:sz w:val="30"/>
          <w:szCs w:val="30"/>
          <w:lang w:val="zh-CN"/>
        </w:rPr>
        <w:t>降低14.49%，</w:t>
      </w:r>
      <w:r>
        <w:rPr>
          <w:rFonts w:hint="eastAsia" w:ascii="仿宋_GB2312" w:hAnsi="Times New Roman" w:eastAsia="仿宋_GB2312" w:cs="Wingdings"/>
          <w:sz w:val="32"/>
          <w:szCs w:val="32"/>
        </w:rPr>
        <w:t>主要是厉行节约，压缩开支</w:t>
      </w:r>
      <w:r>
        <w:rPr>
          <w:rFonts w:hint="eastAsia" w:ascii="仿宋_GB2312" w:hAnsi="Times New Roman" w:eastAsia="仿宋_GB2312" w:cs="仿宋_GB2312"/>
          <w:sz w:val="32"/>
          <w:szCs w:val="32"/>
        </w:rPr>
        <w:t>。</w:t>
      </w:r>
    </w:p>
    <w:p>
      <w:pPr>
        <w:autoSpaceDE w:val="0"/>
        <w:autoSpaceDN w:val="0"/>
        <w:adjustRightInd w:val="0"/>
        <w:spacing w:line="580" w:lineRule="exact"/>
        <w:ind w:firstLine="640" w:firstLineChars="200"/>
        <w:jc w:val="left"/>
        <w:rPr>
          <w:rFonts w:hint="eastAsia" w:ascii="Times New Roman" w:hAnsi="Times New Roman" w:eastAsia="仿宋_GB2312" w:cs="Times New Roman"/>
          <w:kern w:val="2"/>
          <w:sz w:val="32"/>
          <w:szCs w:val="32"/>
          <w:lang w:val="zh-CN"/>
        </w:rPr>
      </w:pPr>
      <w:r>
        <w:rPr>
          <w:rFonts w:ascii="Times New Roman" w:hAnsi="Times New Roman" w:eastAsia="仿宋_GB2312" w:cs="Times New Roman"/>
          <w:kern w:val="2"/>
          <w:sz w:val="32"/>
          <w:szCs w:val="32"/>
          <w:lang w:val="zh-CN"/>
        </w:rPr>
        <w:t>2. 政府性基金预算财政拨款本年收入0</w:t>
      </w:r>
      <w:r>
        <w:rPr>
          <w:rFonts w:ascii="Times New Roman" w:hAnsi="Times New Roman" w:eastAsia="仿宋_GB2312" w:cs="Times New Roman"/>
          <w:kern w:val="2"/>
          <w:sz w:val="32"/>
          <w:szCs w:val="32"/>
        </w:rPr>
        <w:t>万</w:t>
      </w:r>
      <w:r>
        <w:rPr>
          <w:rFonts w:ascii="Times New Roman" w:hAnsi="Times New Roman" w:eastAsia="仿宋_GB2312" w:cs="Times New Roman"/>
          <w:kern w:val="2"/>
          <w:sz w:val="32"/>
          <w:szCs w:val="32"/>
          <w:lang w:val="zh-CN"/>
        </w:rPr>
        <w:t>元，比上年</w:t>
      </w:r>
      <w:r>
        <w:rPr>
          <w:rFonts w:hint="eastAsia" w:ascii="Times New Roman" w:hAnsi="Times New Roman" w:eastAsia="仿宋_GB2312" w:cs="Times New Roman"/>
          <w:sz w:val="30"/>
          <w:szCs w:val="30"/>
          <w:lang w:val="zh-CN"/>
        </w:rPr>
        <w:t>持平，</w:t>
      </w:r>
      <w:r>
        <w:rPr>
          <w:rFonts w:hint="eastAsia" w:ascii="Times New Roman" w:hAnsi="Times New Roman" w:eastAsia="仿宋_GB2312" w:cs="Times New Roman"/>
          <w:sz w:val="30"/>
          <w:szCs w:val="30"/>
          <w:lang w:val="en-US" w:eastAsia="zh-CN"/>
        </w:rPr>
        <w:t>无增减变化</w:t>
      </w:r>
      <w:r>
        <w:rPr>
          <w:rFonts w:ascii="Times New Roman" w:hAnsi="Times New Roman" w:eastAsia="仿宋_GB2312" w:cs="Times New Roman"/>
          <w:kern w:val="2"/>
          <w:sz w:val="32"/>
          <w:szCs w:val="32"/>
          <w:lang w:val="zh-CN"/>
        </w:rPr>
        <w:t>；本年支出 0</w:t>
      </w:r>
      <w:r>
        <w:rPr>
          <w:rFonts w:ascii="Times New Roman" w:hAnsi="Times New Roman" w:eastAsia="仿宋_GB2312" w:cs="Times New Roman"/>
          <w:kern w:val="2"/>
          <w:sz w:val="32"/>
          <w:szCs w:val="32"/>
        </w:rPr>
        <w:t>万</w:t>
      </w:r>
      <w:r>
        <w:rPr>
          <w:rFonts w:ascii="Times New Roman" w:hAnsi="Times New Roman" w:eastAsia="仿宋_GB2312" w:cs="Times New Roman"/>
          <w:kern w:val="2"/>
          <w:sz w:val="32"/>
          <w:szCs w:val="32"/>
          <w:lang w:val="zh-CN"/>
        </w:rPr>
        <w:t>元，比上年</w:t>
      </w:r>
      <w:r>
        <w:rPr>
          <w:rFonts w:hint="eastAsia" w:ascii="Times New Roman" w:hAnsi="Times New Roman" w:eastAsia="仿宋_GB2312" w:cs="Times New Roman"/>
          <w:sz w:val="30"/>
          <w:szCs w:val="30"/>
          <w:lang w:val="zh-CN"/>
        </w:rPr>
        <w:t>持平</w:t>
      </w:r>
      <w:r>
        <w:rPr>
          <w:rFonts w:ascii="Times New Roman" w:hAnsi="Times New Roman" w:eastAsia="仿宋_GB2312" w:cs="Times New Roman"/>
          <w:kern w:val="2"/>
          <w:sz w:val="32"/>
          <w:szCs w:val="32"/>
          <w:lang w:val="zh-CN"/>
        </w:rPr>
        <w:t>，</w:t>
      </w:r>
      <w:r>
        <w:rPr>
          <w:rFonts w:hint="eastAsia" w:ascii="Times New Roman" w:hAnsi="Times New Roman" w:eastAsia="仿宋_GB2312" w:cs="Times New Roman"/>
          <w:kern w:val="2"/>
          <w:sz w:val="32"/>
          <w:szCs w:val="32"/>
          <w:lang w:val="zh-CN"/>
        </w:rPr>
        <w:t>无增减变化</w:t>
      </w:r>
    </w:p>
    <w:p>
      <w:pPr>
        <w:autoSpaceDE w:val="0"/>
        <w:autoSpaceDN w:val="0"/>
        <w:adjustRightInd w:val="0"/>
        <w:spacing w:line="580" w:lineRule="exact"/>
        <w:ind w:firstLine="640" w:firstLineChars="200"/>
        <w:jc w:val="left"/>
        <w:rPr>
          <w:rFonts w:ascii="Times New Roman" w:hAnsi="Times New Roman" w:eastAsia="仿宋_GB2312" w:cs="Times New Roman"/>
          <w:kern w:val="2"/>
          <w:sz w:val="32"/>
          <w:szCs w:val="32"/>
          <w:lang w:val="zh-CN"/>
        </w:rPr>
      </w:pPr>
      <w:r>
        <w:rPr>
          <w:rFonts w:ascii="Times New Roman" w:hAnsi="Times New Roman" w:eastAsia="仿宋_GB2312" w:cs="Times New Roman"/>
          <w:kern w:val="2"/>
          <w:sz w:val="32"/>
          <w:szCs w:val="32"/>
          <w:lang w:val="zh-CN"/>
        </w:rPr>
        <w:t>3. 国有资本经营预算财政拨款本年收入0</w:t>
      </w:r>
      <w:r>
        <w:rPr>
          <w:rFonts w:ascii="Times New Roman" w:hAnsi="Times New Roman" w:eastAsia="仿宋_GB2312" w:cs="Times New Roman"/>
          <w:kern w:val="2"/>
          <w:sz w:val="32"/>
          <w:szCs w:val="32"/>
        </w:rPr>
        <w:t>万</w:t>
      </w:r>
      <w:r>
        <w:rPr>
          <w:rFonts w:ascii="Times New Roman" w:hAnsi="Times New Roman" w:eastAsia="仿宋_GB2312" w:cs="Times New Roman"/>
          <w:kern w:val="2"/>
          <w:sz w:val="32"/>
          <w:szCs w:val="32"/>
          <w:lang w:val="zh-CN"/>
        </w:rPr>
        <w:t>元，比上年</w:t>
      </w:r>
      <w:r>
        <w:rPr>
          <w:rFonts w:hint="eastAsia" w:ascii="Times New Roman" w:hAnsi="Times New Roman" w:eastAsia="仿宋_GB2312" w:cs="Times New Roman"/>
          <w:sz w:val="30"/>
          <w:szCs w:val="30"/>
          <w:lang w:val="zh-CN"/>
        </w:rPr>
        <w:t>持平</w:t>
      </w:r>
      <w:r>
        <w:rPr>
          <w:rFonts w:ascii="Times New Roman" w:hAnsi="Times New Roman" w:eastAsia="仿宋_GB2312" w:cs="Times New Roman"/>
          <w:kern w:val="2"/>
          <w:sz w:val="32"/>
          <w:szCs w:val="32"/>
          <w:lang w:val="zh-CN"/>
        </w:rPr>
        <w:t>，</w:t>
      </w:r>
      <w:r>
        <w:rPr>
          <w:rFonts w:hint="eastAsia" w:ascii="Times New Roman" w:hAnsi="Times New Roman" w:eastAsia="仿宋_GB2312" w:cs="Times New Roman"/>
          <w:kern w:val="2"/>
          <w:sz w:val="32"/>
          <w:szCs w:val="32"/>
          <w:lang w:val="zh-CN"/>
        </w:rPr>
        <w:t>无增减变化</w:t>
      </w:r>
      <w:r>
        <w:rPr>
          <w:rFonts w:ascii="Times New Roman" w:hAnsi="Times New Roman" w:eastAsia="仿宋_GB2312" w:cs="Times New Roman"/>
          <w:kern w:val="2"/>
          <w:sz w:val="32"/>
          <w:szCs w:val="32"/>
          <w:lang w:val="zh-CN"/>
        </w:rPr>
        <w:t>；本年支出0</w:t>
      </w:r>
      <w:r>
        <w:rPr>
          <w:rFonts w:ascii="Times New Roman" w:hAnsi="Times New Roman" w:eastAsia="仿宋_GB2312" w:cs="Times New Roman"/>
          <w:kern w:val="2"/>
          <w:sz w:val="32"/>
          <w:szCs w:val="32"/>
        </w:rPr>
        <w:t>万</w:t>
      </w:r>
      <w:r>
        <w:rPr>
          <w:rFonts w:ascii="Times New Roman" w:hAnsi="Times New Roman" w:eastAsia="仿宋_GB2312" w:cs="Times New Roman"/>
          <w:kern w:val="2"/>
          <w:sz w:val="32"/>
          <w:szCs w:val="32"/>
          <w:lang w:val="zh-CN"/>
        </w:rPr>
        <w:t>元，比上年</w:t>
      </w:r>
      <w:r>
        <w:rPr>
          <w:rFonts w:hint="eastAsia" w:ascii="Times New Roman" w:hAnsi="Times New Roman" w:eastAsia="仿宋_GB2312" w:cs="Times New Roman"/>
          <w:sz w:val="30"/>
          <w:szCs w:val="30"/>
          <w:lang w:val="zh-CN"/>
        </w:rPr>
        <w:t>持平</w:t>
      </w:r>
      <w:r>
        <w:rPr>
          <w:rFonts w:ascii="Times New Roman" w:hAnsi="Times New Roman" w:eastAsia="仿宋_GB2312" w:cs="Times New Roman"/>
          <w:kern w:val="2"/>
          <w:sz w:val="32"/>
          <w:szCs w:val="32"/>
          <w:lang w:val="zh-CN"/>
        </w:rPr>
        <w:t>，</w:t>
      </w:r>
      <w:r>
        <w:rPr>
          <w:rFonts w:hint="eastAsia" w:ascii="Times New Roman" w:hAnsi="Times New Roman" w:eastAsia="仿宋_GB2312" w:cs="Times New Roman"/>
          <w:kern w:val="2"/>
          <w:sz w:val="32"/>
          <w:szCs w:val="32"/>
          <w:lang w:val="zh-CN"/>
        </w:rPr>
        <w:t>无增减变化</w:t>
      </w:r>
      <w:r>
        <w:rPr>
          <w:rFonts w:ascii="Times New Roman" w:hAnsi="Times New Roman" w:eastAsia="仿宋_GB2312" w:cs="Times New Roman"/>
          <w:kern w:val="2"/>
          <w:sz w:val="32"/>
          <w:szCs w:val="32"/>
          <w:lang w:val="zh-CN"/>
        </w:rPr>
        <w:t>。</w:t>
      </w:r>
    </w:p>
    <w:p>
      <w:pPr>
        <w:pStyle w:val="10"/>
        <w:widowControl/>
        <w:spacing w:beforeAutospacing="0" w:afterAutospacing="0"/>
        <w:rPr>
          <w:rFonts w:ascii="Times New Roman" w:hAnsi="Times New Roman" w:eastAsia="仿宋_GB2312"/>
          <w:sz w:val="32"/>
          <w:szCs w:val="32"/>
          <w:highlight w:val="yellow"/>
        </w:rPr>
      </w:pPr>
      <w:r>
        <w:rPr>
          <w:rFonts w:ascii="Times New Roman" w:hAnsi="Times New Roman" w:eastAsia="仿宋_GB2312"/>
          <w:sz w:val="32"/>
          <w:szCs w:val="32"/>
        </w:rPr>
        <w:drawing>
          <wp:inline distT="0" distB="0" distL="114300" distR="114300">
            <wp:extent cx="5256530" cy="2988310"/>
            <wp:effectExtent l="5080" t="4445" r="11430" b="9525"/>
            <wp:docPr id="10" name="图表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pPr>
        <w:snapToGrid w:val="0"/>
        <w:spacing w:line="580" w:lineRule="exact"/>
        <w:rPr>
          <w:rFonts w:ascii="Times New Roman" w:hAnsi="Times New Roman" w:eastAsia="楷体_GB2312" w:cs="Times New Roman"/>
          <w:b/>
          <w:bCs/>
          <w:kern w:val="2"/>
          <w:sz w:val="32"/>
          <w:szCs w:val="32"/>
        </w:rPr>
      </w:pPr>
      <w:r>
        <w:rPr>
          <w:rFonts w:ascii="Times New Roman" w:hAnsi="Times New Roman" w:eastAsia="楷体_GB2312" w:cs="Times New Roman"/>
          <w:b/>
          <w:bCs/>
          <w:kern w:val="2"/>
          <w:sz w:val="32"/>
          <w:szCs w:val="32"/>
        </w:rPr>
        <w:t>（二）财政拨款收支与年初预算数对比情况</w:t>
      </w:r>
    </w:p>
    <w:p>
      <w:pPr>
        <w:autoSpaceDE w:val="0"/>
        <w:autoSpaceDN w:val="0"/>
        <w:adjustRightInd w:val="0"/>
        <w:spacing w:line="580" w:lineRule="exact"/>
        <w:ind w:firstLine="640" w:firstLineChars="200"/>
        <w:jc w:val="left"/>
        <w:rPr>
          <w:rFonts w:ascii="Times New Roman" w:hAnsi="Times New Roman" w:eastAsia="仿宋_GB2312" w:cs="Times New Roman"/>
          <w:kern w:val="2"/>
          <w:sz w:val="32"/>
          <w:szCs w:val="32"/>
          <w:lang w:val="zh-CN"/>
        </w:rPr>
      </w:pPr>
      <w:r>
        <w:rPr>
          <w:rFonts w:ascii="Times New Roman" w:hAnsi="Times New Roman" w:eastAsia="仿宋_GB2312" w:cs="Times New Roman"/>
          <w:kern w:val="2"/>
          <w:sz w:val="32"/>
          <w:szCs w:val="32"/>
          <w:lang w:val="zh-CN"/>
        </w:rPr>
        <w:t>本单位202</w:t>
      </w:r>
      <w:r>
        <w:rPr>
          <w:rFonts w:ascii="Times New Roman" w:hAnsi="Times New Roman" w:eastAsia="仿宋_GB2312" w:cs="Times New Roman"/>
          <w:kern w:val="2"/>
          <w:sz w:val="32"/>
          <w:szCs w:val="32"/>
        </w:rPr>
        <w:t>3</w:t>
      </w:r>
      <w:r>
        <w:rPr>
          <w:rFonts w:ascii="Times New Roman" w:hAnsi="Times New Roman" w:eastAsia="仿宋_GB2312" w:cs="Times New Roman"/>
          <w:kern w:val="2"/>
          <w:sz w:val="32"/>
          <w:szCs w:val="32"/>
          <w:lang w:val="zh-CN"/>
        </w:rPr>
        <w:t>年度财政拨款本年收入859.16万元，完成年初预算的98.28%，比年初预算</w:t>
      </w:r>
      <w:r>
        <w:rPr>
          <w:rFonts w:hint="eastAsia" w:ascii="Times New Roman" w:hAnsi="Times New Roman" w:eastAsia="仿宋_GB2312" w:cs="Times New Roman"/>
          <w:sz w:val="30"/>
          <w:szCs w:val="30"/>
          <w:lang w:val="zh-CN"/>
        </w:rPr>
        <w:t>减少15.01万元</w:t>
      </w:r>
      <w:r>
        <w:rPr>
          <w:rFonts w:ascii="Times New Roman" w:hAnsi="Times New Roman" w:eastAsia="仿宋_GB2312" w:cs="Times New Roman"/>
          <w:kern w:val="2"/>
          <w:sz w:val="32"/>
          <w:szCs w:val="32"/>
          <w:lang w:val="zh-CN"/>
        </w:rPr>
        <w:t>，决算数小于预算数主要原因是</w:t>
      </w:r>
      <w:r>
        <w:rPr>
          <w:rFonts w:hint="eastAsia" w:ascii="Times New Roman" w:hAnsi="Times New Roman" w:eastAsia="仿宋_GB2312" w:cs="Times New Roman"/>
          <w:kern w:val="2"/>
          <w:sz w:val="32"/>
          <w:szCs w:val="32"/>
          <w:lang w:val="zh-CN"/>
        </w:rPr>
        <w:t>厉行节约，压缩开支</w:t>
      </w:r>
      <w:r>
        <w:rPr>
          <w:rFonts w:ascii="Times New Roman" w:hAnsi="Times New Roman" w:eastAsia="仿宋_GB2312" w:cs="Times New Roman"/>
          <w:kern w:val="2"/>
          <w:sz w:val="32"/>
          <w:szCs w:val="32"/>
          <w:lang w:val="zh-CN"/>
        </w:rPr>
        <w:t>；本年支出859.16万元，完成年初预算的98.28%，比年初预算</w:t>
      </w:r>
      <w:r>
        <w:rPr>
          <w:rFonts w:hint="eastAsia" w:ascii="Times New Roman" w:hAnsi="Times New Roman" w:eastAsia="仿宋_GB2312" w:cs="Times New Roman"/>
          <w:sz w:val="30"/>
          <w:szCs w:val="30"/>
          <w:lang w:val="zh-CN"/>
        </w:rPr>
        <w:t>减少15.01万元</w:t>
      </w:r>
      <w:r>
        <w:rPr>
          <w:rFonts w:ascii="Times New Roman" w:hAnsi="Times New Roman" w:eastAsia="仿宋_GB2312" w:cs="Times New Roman"/>
          <w:kern w:val="2"/>
          <w:sz w:val="32"/>
          <w:szCs w:val="32"/>
          <w:lang w:val="zh-CN"/>
        </w:rPr>
        <w:t>，决算数小于预算数主要原因是</w:t>
      </w:r>
      <w:r>
        <w:rPr>
          <w:rFonts w:hint="eastAsia" w:ascii="Times New Roman" w:hAnsi="Times New Roman" w:eastAsia="仿宋_GB2312" w:cs="Times New Roman"/>
          <w:kern w:val="2"/>
          <w:sz w:val="32"/>
          <w:szCs w:val="32"/>
          <w:lang w:eastAsia="zh-CN"/>
        </w:rPr>
        <w:t>厉行节约，压缩开支</w:t>
      </w:r>
      <w:r>
        <w:rPr>
          <w:rFonts w:ascii="Times New Roman" w:hAnsi="Times New Roman" w:eastAsia="仿宋_GB2312" w:cs="Times New Roman"/>
          <w:kern w:val="2"/>
          <w:sz w:val="32"/>
          <w:szCs w:val="32"/>
          <w:lang w:val="zh-CN"/>
        </w:rPr>
        <w:t>。具体情况如下：</w:t>
      </w:r>
    </w:p>
    <w:p>
      <w:pPr>
        <w:autoSpaceDE w:val="0"/>
        <w:autoSpaceDN w:val="0"/>
        <w:adjustRightInd w:val="0"/>
        <w:spacing w:line="580" w:lineRule="exact"/>
        <w:ind w:firstLine="640" w:firstLineChars="200"/>
        <w:jc w:val="left"/>
        <w:rPr>
          <w:rFonts w:ascii="Times New Roman" w:hAnsi="Times New Roman" w:eastAsia="仿宋_GB2312" w:cs="Times New Roman"/>
          <w:kern w:val="2"/>
          <w:sz w:val="32"/>
          <w:szCs w:val="32"/>
          <w:lang w:val="zh-CN"/>
        </w:rPr>
      </w:pPr>
      <w:r>
        <w:rPr>
          <w:rFonts w:ascii="Times New Roman" w:hAnsi="Times New Roman" w:eastAsia="仿宋_GB2312" w:cs="Times New Roman"/>
          <w:kern w:val="2"/>
          <w:sz w:val="32"/>
          <w:szCs w:val="32"/>
        </w:rPr>
        <w:t>1.</w:t>
      </w:r>
      <w:r>
        <w:rPr>
          <w:rFonts w:ascii="Times New Roman" w:hAnsi="Times New Roman" w:eastAsia="仿宋_GB2312" w:cs="Times New Roman"/>
          <w:kern w:val="2"/>
          <w:sz w:val="32"/>
          <w:szCs w:val="32"/>
          <w:lang w:val="zh-CN"/>
        </w:rPr>
        <w:t>一般公共预算财政拨款</w:t>
      </w:r>
      <w:r>
        <w:rPr>
          <w:rFonts w:ascii="Times New Roman" w:hAnsi="Times New Roman" w:eastAsia="仿宋_GB2312" w:cs="Times New Roman"/>
          <w:kern w:val="2"/>
          <w:sz w:val="32"/>
          <w:szCs w:val="32"/>
        </w:rPr>
        <w:t>本年</w:t>
      </w:r>
      <w:r>
        <w:rPr>
          <w:rFonts w:ascii="Times New Roman" w:hAnsi="Times New Roman" w:eastAsia="仿宋_GB2312" w:cs="Times New Roman"/>
          <w:kern w:val="2"/>
          <w:sz w:val="32"/>
          <w:szCs w:val="32"/>
          <w:lang w:val="zh-CN"/>
        </w:rPr>
        <w:t>收入859.16万元，完成年初预算的 98.28%，比年初预算</w:t>
      </w:r>
      <w:r>
        <w:rPr>
          <w:rFonts w:hint="eastAsia" w:ascii="Times New Roman" w:hAnsi="Times New Roman" w:eastAsia="仿宋_GB2312" w:cs="Times New Roman"/>
          <w:sz w:val="30"/>
          <w:szCs w:val="30"/>
          <w:lang w:val="zh-CN"/>
        </w:rPr>
        <w:t>减少15.01万元</w:t>
      </w:r>
      <w:r>
        <w:rPr>
          <w:rFonts w:ascii="Times New Roman" w:hAnsi="Times New Roman" w:eastAsia="仿宋_GB2312" w:cs="Times New Roman"/>
          <w:kern w:val="2"/>
          <w:sz w:val="32"/>
          <w:szCs w:val="32"/>
          <w:lang w:val="zh-CN"/>
        </w:rPr>
        <w:t>，主要原因</w:t>
      </w:r>
      <w:r>
        <w:rPr>
          <w:rFonts w:hint="default" w:ascii="Times New Roman" w:hAnsi="Times New Roman" w:eastAsia="仿宋_GB2312" w:cs="Times New Roman"/>
          <w:color w:val="auto"/>
          <w:kern w:val="2"/>
          <w:sz w:val="32"/>
          <w:szCs w:val="32"/>
          <w:lang w:val="zh-CN" w:eastAsia="zh-CN" w:bidi="ar-SA"/>
        </w:rPr>
        <w:t>是</w:t>
      </w:r>
      <w:r>
        <w:rPr>
          <w:rFonts w:hint="eastAsia" w:ascii="Times New Roman" w:hAnsi="Times New Roman" w:eastAsia="仿宋_GB2312" w:cs="Times New Roman"/>
          <w:kern w:val="2"/>
          <w:sz w:val="32"/>
          <w:szCs w:val="32"/>
          <w:lang w:eastAsia="zh-CN"/>
        </w:rPr>
        <w:t>厉行节约，压缩开支</w:t>
      </w:r>
      <w:r>
        <w:rPr>
          <w:rFonts w:ascii="Times New Roman" w:hAnsi="Times New Roman" w:eastAsia="仿宋_GB2312" w:cs="Times New Roman"/>
          <w:kern w:val="2"/>
          <w:sz w:val="32"/>
          <w:szCs w:val="32"/>
          <w:lang w:val="zh-CN"/>
        </w:rPr>
        <w:t>；本年支出859.16万元，完成年初预算的98.28%，比年初预算</w:t>
      </w:r>
      <w:r>
        <w:rPr>
          <w:rFonts w:hint="eastAsia" w:ascii="Times New Roman" w:hAnsi="Times New Roman" w:eastAsia="仿宋_GB2312" w:cs="Times New Roman"/>
          <w:sz w:val="30"/>
          <w:szCs w:val="30"/>
          <w:lang w:val="zh-CN"/>
        </w:rPr>
        <w:t>减少15.01万元</w:t>
      </w:r>
      <w:r>
        <w:rPr>
          <w:rFonts w:ascii="Times New Roman" w:hAnsi="Times New Roman" w:eastAsia="仿宋_GB2312" w:cs="Times New Roman"/>
          <w:kern w:val="2"/>
          <w:sz w:val="32"/>
          <w:szCs w:val="32"/>
          <w:lang w:val="zh-CN"/>
        </w:rPr>
        <w:t>，主要原因是</w:t>
      </w:r>
      <w:r>
        <w:rPr>
          <w:rFonts w:hint="eastAsia" w:ascii="Times New Roman" w:hAnsi="Times New Roman" w:eastAsia="仿宋_GB2312" w:cs="Times New Roman"/>
          <w:kern w:val="2"/>
          <w:sz w:val="32"/>
          <w:szCs w:val="32"/>
          <w:lang w:eastAsia="zh-CN"/>
        </w:rPr>
        <w:t>厉行节约，压缩开支</w:t>
      </w:r>
      <w:r>
        <w:rPr>
          <w:rFonts w:ascii="Times New Roman" w:hAnsi="Times New Roman" w:eastAsia="仿宋_GB2312" w:cs="Times New Roman"/>
          <w:kern w:val="2"/>
          <w:sz w:val="32"/>
          <w:szCs w:val="32"/>
          <w:lang w:val="zh-CN"/>
        </w:rPr>
        <w:t>。</w:t>
      </w:r>
    </w:p>
    <w:p>
      <w:pPr>
        <w:autoSpaceDE w:val="0"/>
        <w:autoSpaceDN w:val="0"/>
        <w:adjustRightInd w:val="0"/>
        <w:spacing w:line="580" w:lineRule="exact"/>
        <w:ind w:firstLine="640" w:firstLineChars="200"/>
        <w:jc w:val="left"/>
        <w:rPr>
          <w:rFonts w:hint="eastAsia" w:ascii="Times New Roman" w:hAnsi="Times New Roman" w:eastAsia="仿宋_GB2312" w:cs="Times New Roman"/>
          <w:kern w:val="2"/>
          <w:sz w:val="32"/>
          <w:szCs w:val="32"/>
          <w:lang w:val="zh-CN"/>
        </w:rPr>
      </w:pPr>
      <w:r>
        <w:rPr>
          <w:rFonts w:ascii="Times New Roman" w:hAnsi="Times New Roman" w:eastAsia="仿宋_GB2312" w:cs="Times New Roman"/>
          <w:kern w:val="2"/>
          <w:sz w:val="32"/>
          <w:szCs w:val="32"/>
          <w:lang w:val="zh-CN"/>
        </w:rPr>
        <w:t>2. 政府性基金预算财政拨款本年收入0万元，完成年初预算的0%，比年初预算</w:t>
      </w:r>
      <w:r>
        <w:rPr>
          <w:rFonts w:hint="eastAsia" w:ascii="Times New Roman" w:hAnsi="Times New Roman" w:eastAsia="仿宋_GB2312" w:cs="Times New Roman"/>
          <w:sz w:val="30"/>
          <w:szCs w:val="30"/>
          <w:lang w:val="zh-CN"/>
        </w:rPr>
        <w:t>持平</w:t>
      </w:r>
      <w:r>
        <w:rPr>
          <w:rFonts w:ascii="Times New Roman" w:hAnsi="Times New Roman" w:eastAsia="仿宋_GB2312" w:cs="Times New Roman"/>
          <w:kern w:val="2"/>
          <w:sz w:val="32"/>
          <w:szCs w:val="32"/>
          <w:lang w:val="zh-CN"/>
        </w:rPr>
        <w:t>，</w:t>
      </w:r>
      <w:r>
        <w:rPr>
          <w:rFonts w:hint="eastAsia" w:ascii="Times New Roman" w:hAnsi="Times New Roman" w:eastAsia="仿宋_GB2312" w:cs="Times New Roman"/>
          <w:kern w:val="2"/>
          <w:sz w:val="32"/>
          <w:szCs w:val="32"/>
          <w:lang w:val="en-US" w:eastAsia="zh-CN"/>
        </w:rPr>
        <w:t>无增减变化</w:t>
      </w:r>
      <w:r>
        <w:rPr>
          <w:rFonts w:ascii="Times New Roman" w:hAnsi="Times New Roman" w:eastAsia="仿宋_GB2312" w:cs="Times New Roman"/>
          <w:kern w:val="2"/>
          <w:sz w:val="32"/>
          <w:szCs w:val="32"/>
          <w:lang w:val="zh-CN"/>
        </w:rPr>
        <w:t>；本年支出0万元，完成年初预算的0%，比年初预算</w:t>
      </w:r>
      <w:r>
        <w:rPr>
          <w:rFonts w:hint="eastAsia" w:ascii="Times New Roman" w:hAnsi="Times New Roman" w:eastAsia="仿宋_GB2312" w:cs="Times New Roman"/>
          <w:sz w:val="30"/>
          <w:szCs w:val="30"/>
          <w:lang w:val="zh-CN"/>
        </w:rPr>
        <w:t>持平</w:t>
      </w:r>
      <w:r>
        <w:rPr>
          <w:rFonts w:ascii="Times New Roman" w:hAnsi="Times New Roman" w:eastAsia="仿宋_GB2312" w:cs="Times New Roman"/>
          <w:kern w:val="2"/>
          <w:sz w:val="32"/>
          <w:szCs w:val="32"/>
          <w:lang w:val="zh-CN"/>
        </w:rPr>
        <w:t>，</w:t>
      </w:r>
      <w:r>
        <w:rPr>
          <w:rFonts w:hint="eastAsia" w:ascii="Times New Roman" w:hAnsi="Times New Roman" w:eastAsia="仿宋_GB2312" w:cs="Times New Roman"/>
          <w:kern w:val="2"/>
          <w:sz w:val="32"/>
          <w:szCs w:val="32"/>
          <w:lang w:val="zh-CN"/>
        </w:rPr>
        <w:t>无增减变化。</w:t>
      </w:r>
    </w:p>
    <w:p>
      <w:pPr>
        <w:autoSpaceDE w:val="0"/>
        <w:autoSpaceDN w:val="0"/>
        <w:adjustRightInd w:val="0"/>
        <w:spacing w:line="580" w:lineRule="exact"/>
        <w:ind w:firstLine="640" w:firstLineChars="200"/>
        <w:jc w:val="left"/>
        <w:rPr>
          <w:rFonts w:ascii="Times New Roman" w:hAnsi="Times New Roman" w:eastAsia="仿宋_GB2312" w:cs="Times New Roman"/>
          <w:color w:val="000000"/>
          <w:kern w:val="2"/>
          <w:sz w:val="32"/>
          <w:szCs w:val="32"/>
          <w:shd w:val="clear" w:color="auto" w:fill="FFFFFF"/>
          <w:lang w:val="zh-CN"/>
        </w:rPr>
      </w:pPr>
      <w:r>
        <w:rPr>
          <w:rFonts w:ascii="Times New Roman" w:hAnsi="Times New Roman" w:eastAsia="仿宋_GB2312" w:cs="Times New Roman"/>
          <w:kern w:val="2"/>
          <w:sz w:val="32"/>
          <w:szCs w:val="32"/>
          <w:lang w:val="zh-CN"/>
        </w:rPr>
        <w:t>3. 国有资本经营预算财政拨款本年收入0万元，完成年初预算的0%，</w:t>
      </w:r>
      <w:r>
        <w:rPr>
          <w:rFonts w:ascii="Times New Roman" w:hAnsi="Times New Roman" w:eastAsia="仿宋_GB2312" w:cs="Times New Roman"/>
          <w:sz w:val="30"/>
          <w:szCs w:val="30"/>
          <w:lang w:val="zh-CN"/>
        </w:rPr>
        <w:t>比年初预算</w:t>
      </w:r>
      <w:r>
        <w:rPr>
          <w:rFonts w:hint="eastAsia" w:ascii="Times New Roman" w:hAnsi="Times New Roman" w:eastAsia="仿宋_GB2312" w:cs="Times New Roman"/>
          <w:sz w:val="30"/>
          <w:szCs w:val="30"/>
          <w:lang w:val="zh-CN"/>
        </w:rPr>
        <w:t>持平</w:t>
      </w:r>
      <w:r>
        <w:rPr>
          <w:rFonts w:ascii="Times New Roman" w:hAnsi="Times New Roman" w:eastAsia="仿宋_GB2312" w:cs="Times New Roman"/>
          <w:kern w:val="2"/>
          <w:sz w:val="32"/>
          <w:szCs w:val="32"/>
          <w:lang w:val="zh-CN"/>
        </w:rPr>
        <w:t>，</w:t>
      </w:r>
      <w:r>
        <w:rPr>
          <w:rFonts w:hint="eastAsia" w:ascii="Times New Roman" w:hAnsi="Times New Roman" w:eastAsia="仿宋_GB2312" w:cs="Times New Roman"/>
          <w:kern w:val="2"/>
          <w:sz w:val="32"/>
          <w:szCs w:val="32"/>
          <w:lang w:val="zh-CN"/>
        </w:rPr>
        <w:t>无增减变化</w:t>
      </w:r>
      <w:r>
        <w:rPr>
          <w:rFonts w:ascii="Times New Roman" w:hAnsi="Times New Roman" w:eastAsia="仿宋_GB2312" w:cs="Times New Roman"/>
          <w:kern w:val="2"/>
          <w:sz w:val="32"/>
          <w:szCs w:val="32"/>
          <w:lang w:val="zh-CN"/>
        </w:rPr>
        <w:t>；本年支出0万元，完成年初预算的0%，比年初预算</w:t>
      </w:r>
      <w:r>
        <w:rPr>
          <w:rFonts w:hint="eastAsia" w:ascii="Times New Roman" w:hAnsi="Times New Roman" w:eastAsia="仿宋_GB2312" w:cs="Times New Roman"/>
          <w:sz w:val="30"/>
          <w:szCs w:val="30"/>
          <w:lang w:val="zh-CN"/>
        </w:rPr>
        <w:t>持平</w:t>
      </w:r>
      <w:r>
        <w:rPr>
          <w:rFonts w:ascii="Times New Roman" w:hAnsi="Times New Roman" w:eastAsia="仿宋_GB2312" w:cs="Times New Roman"/>
          <w:kern w:val="2"/>
          <w:sz w:val="32"/>
          <w:szCs w:val="32"/>
          <w:lang w:val="zh-CN"/>
        </w:rPr>
        <w:t>，</w:t>
      </w:r>
      <w:r>
        <w:rPr>
          <w:rFonts w:hint="eastAsia" w:ascii="Times New Roman" w:hAnsi="Times New Roman" w:eastAsia="仿宋_GB2312" w:cs="Times New Roman"/>
          <w:kern w:val="2"/>
          <w:sz w:val="32"/>
          <w:szCs w:val="32"/>
          <w:lang w:val="zh-CN"/>
        </w:rPr>
        <w:t>无增减变化。</w:t>
      </w:r>
    </w:p>
    <w:p>
      <w:pPr>
        <w:pStyle w:val="10"/>
        <w:widowControl/>
        <w:spacing w:beforeAutospacing="0" w:afterAutospacing="0"/>
        <w:rPr>
          <w:rFonts w:ascii="Times New Roman" w:hAnsi="Times New Roman" w:eastAsia="Arial"/>
        </w:rPr>
      </w:pPr>
    </w:p>
    <w:p>
      <w:pPr>
        <w:pStyle w:val="10"/>
        <w:widowControl/>
        <w:spacing w:beforeAutospacing="0" w:afterAutospacing="0"/>
        <w:rPr>
          <w:rFonts w:ascii="Times New Roman" w:hAnsi="Times New Roman" w:eastAsia="仿宋_GB2312"/>
          <w:sz w:val="32"/>
          <w:szCs w:val="32"/>
          <w:highlight w:val="none"/>
        </w:rPr>
      </w:pPr>
      <w:r>
        <w:rPr>
          <w:rFonts w:ascii="Times New Roman" w:hAnsi="Times New Roman" w:eastAsia="仿宋_GB2312"/>
          <w:sz w:val="32"/>
          <w:szCs w:val="32"/>
          <w:highlight w:val="none"/>
        </w:rPr>
        <w:drawing>
          <wp:inline distT="0" distB="0" distL="114300" distR="114300">
            <wp:extent cx="5256530" cy="2988310"/>
            <wp:effectExtent l="5080" t="4445" r="11430" b="9525"/>
            <wp:docPr id="11" name="图表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pPr>
        <w:pStyle w:val="10"/>
        <w:widowControl/>
        <w:spacing w:beforeAutospacing="0" w:afterAutospacing="0"/>
        <w:jc w:val="both"/>
        <w:outlineLvl w:val="2"/>
        <w:rPr>
          <w:rFonts w:ascii="Times New Roman" w:hAnsi="Times New Roman" w:eastAsia="楷体_GB2312"/>
          <w:b/>
          <w:bCs/>
          <w:kern w:val="2"/>
          <w:sz w:val="32"/>
          <w:szCs w:val="32"/>
        </w:rPr>
      </w:pPr>
      <w:r>
        <w:rPr>
          <w:rFonts w:ascii="Times New Roman" w:hAnsi="Times New Roman" w:eastAsia="楷体_GB2312"/>
          <w:b/>
          <w:bCs/>
          <w:kern w:val="2"/>
          <w:sz w:val="32"/>
          <w:szCs w:val="32"/>
        </w:rPr>
        <w:t>（三）财政拨款支出决算结构情况</w:t>
      </w:r>
    </w:p>
    <w:p>
      <w:pPr>
        <w:adjustRightInd w:val="0"/>
        <w:snapToGrid w:val="0"/>
        <w:spacing w:line="580" w:lineRule="exact"/>
        <w:ind w:firstLine="660" w:firstLineChars="200"/>
        <w:jc w:val="left"/>
        <w:rPr>
          <w:rFonts w:ascii="Times New Roman" w:hAnsi="Times New Roman" w:eastAsia="仿宋_GB2312"/>
          <w:kern w:val="2"/>
          <w:sz w:val="32"/>
          <w:szCs w:val="32"/>
          <w:lang w:val="zh-CN"/>
        </w:rPr>
      </w:pPr>
      <w:r>
        <w:rPr>
          <w:rFonts w:ascii="Times New Roman" w:hAnsi="Times New Roman" w:eastAsia="仿宋_GB2312" w:cs="Times New Roman"/>
          <w:color w:val="000000"/>
          <w:sz w:val="33"/>
          <w:szCs w:val="33"/>
          <w:shd w:val="clear" w:color="auto" w:fill="FFFFFF"/>
        </w:rPr>
        <w:t> </w:t>
      </w:r>
      <w:r>
        <w:rPr>
          <w:rFonts w:ascii="Times New Roman" w:hAnsi="Times New Roman" w:eastAsia="仿宋_GB2312" w:cs="Times New Roman"/>
          <w:kern w:val="2"/>
          <w:sz w:val="32"/>
          <w:szCs w:val="32"/>
          <w:lang w:val="zh-CN"/>
        </w:rPr>
        <w:t> 202</w:t>
      </w:r>
      <w:r>
        <w:rPr>
          <w:rFonts w:ascii="Times New Roman" w:hAnsi="Times New Roman" w:eastAsia="仿宋_GB2312" w:cs="Times New Roman"/>
          <w:kern w:val="2"/>
          <w:sz w:val="32"/>
          <w:szCs w:val="32"/>
        </w:rPr>
        <w:t>3</w:t>
      </w:r>
      <w:r>
        <w:rPr>
          <w:rFonts w:ascii="Times New Roman" w:hAnsi="Times New Roman" w:eastAsia="仿宋_GB2312" w:cs="Times New Roman"/>
          <w:kern w:val="2"/>
          <w:sz w:val="32"/>
          <w:szCs w:val="32"/>
          <w:lang w:val="zh-CN"/>
        </w:rPr>
        <w:t>年度财政拨款支出859.16万元，主要用于以下方面：</w:t>
      </w:r>
      <w:r>
        <w:rPr>
          <w:rFonts w:ascii="Times New Roman" w:hAnsi="Times New Roman" w:eastAsia="仿宋_GB2312"/>
          <w:kern w:val="2"/>
          <w:sz w:val="32"/>
          <w:szCs w:val="32"/>
          <w:lang w:val="zh-CN"/>
        </w:rPr>
        <w:t>一般公共服务（类）支出562.23万元，占65.44%；</w:t>
      </w:r>
      <w:r>
        <w:rPr>
          <w:rFonts w:ascii="Times New Roman" w:hAnsi="Times New Roman" w:eastAsia="仿宋_GB2312"/>
          <w:kern w:val="2"/>
          <w:sz w:val="32"/>
          <w:szCs w:val="32"/>
        </w:rPr>
        <w:t>外交</w:t>
      </w:r>
      <w:r>
        <w:rPr>
          <w:rFonts w:ascii="Times New Roman" w:hAnsi="Times New Roman" w:eastAsia="仿宋_GB2312"/>
          <w:kern w:val="2"/>
          <w:sz w:val="32"/>
          <w:szCs w:val="32"/>
          <w:lang w:val="zh-CN"/>
        </w:rPr>
        <w:t>（类）支出0万元，占0%；国防（类）支出0万元，占0%；公共安全类（类）支出0万元，占0%；教育（类）支出0万元，占0%；科学技术（类）支出0万元，占0%；文化旅游体育与传媒（类）支出0万元，占0%；社会保障和就业 （类）支出228.33万元，占26.58%；卫生健康（类）支出28.69万元，占3.34%；节能环保（类）支出0万元，占0%；城乡社区（类）支出0万元，占0%；农林水（类）支出0万元，占0%；交通运输（类）支出0万元，占0%；资源勘探信息等（类）支出0万元，占0%；商业服务业等（类）支出0万元，占0%；金融（类）支出0万元，占0%；援助其他地区（类）支出0万元，占0%；自然资源海洋气象等（类）支出0万元，占0%；住房保障（类）支出39.91万元，占4.65%；粮油物资储备（类）支出0万元，占0%；国有资本经营预算支出0万元，占0%；害防治及应急管理（类）支出0万元，占0%；其他（类）支出0万元，占0%；债务</w:t>
      </w:r>
      <w:r>
        <w:rPr>
          <w:rFonts w:ascii="Times New Roman" w:hAnsi="Times New Roman" w:eastAsia="仿宋_GB2312"/>
          <w:kern w:val="2"/>
          <w:sz w:val="32"/>
          <w:szCs w:val="32"/>
        </w:rPr>
        <w:t>还本</w:t>
      </w:r>
      <w:r>
        <w:rPr>
          <w:rFonts w:ascii="Times New Roman" w:hAnsi="Times New Roman" w:eastAsia="仿宋_GB2312"/>
          <w:kern w:val="2"/>
          <w:sz w:val="32"/>
          <w:szCs w:val="32"/>
          <w:lang w:val="zh-CN"/>
        </w:rPr>
        <w:t>（类）支出0万元，占0%；债务付息（类）支出0万元，占0%；抗疫特别国债安排的支出0万元，占0%。</w:t>
      </w:r>
    </w:p>
    <w:p>
      <w:pPr>
        <w:pStyle w:val="10"/>
        <w:widowControl/>
        <w:spacing w:beforeAutospacing="0" w:afterAutospacing="0"/>
        <w:rPr>
          <w:rFonts w:ascii="Times New Roman" w:hAnsi="Times New Roman" w:eastAsia="仿宋_GB2312"/>
          <w:kern w:val="2"/>
          <w:sz w:val="32"/>
          <w:szCs w:val="32"/>
          <w:lang w:val="zh-CN"/>
        </w:rPr>
      </w:pPr>
      <w:r>
        <w:rPr>
          <w:rFonts w:ascii="Times New Roman" w:hAnsi="Times New Roman" w:eastAsia="仿宋_GB2312"/>
          <w:kern w:val="2"/>
          <w:sz w:val="32"/>
          <w:szCs w:val="32"/>
        </w:rPr>
        <w:drawing>
          <wp:inline distT="0" distB="0" distL="114300" distR="114300">
            <wp:extent cx="5256530" cy="2988310"/>
            <wp:effectExtent l="5080" t="4445" r="11430" b="9525"/>
            <wp:docPr id="13" name="图表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pPr>
        <w:pStyle w:val="10"/>
        <w:widowControl/>
        <w:numPr>
          <w:ilvl w:val="0"/>
          <w:numId w:val="2"/>
        </w:numPr>
        <w:spacing w:beforeAutospacing="0" w:afterAutospacing="0"/>
        <w:jc w:val="both"/>
        <w:outlineLvl w:val="2"/>
        <w:rPr>
          <w:rFonts w:ascii="Times New Roman" w:hAnsi="Times New Roman" w:eastAsia="楷体_GB2312"/>
          <w:b/>
          <w:bCs/>
          <w:kern w:val="2"/>
          <w:sz w:val="32"/>
          <w:szCs w:val="32"/>
        </w:rPr>
      </w:pPr>
      <w:r>
        <w:rPr>
          <w:rFonts w:ascii="Times New Roman" w:hAnsi="Times New Roman" w:eastAsia="楷体_GB2312"/>
          <w:b/>
          <w:bCs/>
          <w:kern w:val="2"/>
          <w:sz w:val="32"/>
          <w:szCs w:val="32"/>
        </w:rPr>
        <w:t>一般公共预算基本支出决算情况说明</w:t>
      </w:r>
    </w:p>
    <w:p>
      <w:pPr>
        <w:pStyle w:val="10"/>
        <w:widowControl/>
        <w:spacing w:beforeAutospacing="0" w:afterAutospacing="0"/>
        <w:ind w:firstLine="640" w:firstLineChars="200"/>
        <w:rPr>
          <w:rFonts w:ascii="Times New Roman" w:hAnsi="Times New Roman" w:eastAsia="仿宋_GB2312"/>
          <w:sz w:val="32"/>
          <w:szCs w:val="32"/>
        </w:rPr>
      </w:pPr>
      <w:r>
        <w:rPr>
          <w:rFonts w:ascii="Times New Roman" w:hAnsi="Times New Roman" w:eastAsia="仿宋_GB2312"/>
          <w:kern w:val="2"/>
          <w:sz w:val="32"/>
          <w:szCs w:val="32"/>
          <w:lang w:val="zh-CN"/>
        </w:rPr>
        <w:t>202</w:t>
      </w:r>
      <w:r>
        <w:rPr>
          <w:rFonts w:ascii="Times New Roman" w:hAnsi="Times New Roman" w:eastAsia="仿宋_GB2312"/>
          <w:kern w:val="2"/>
          <w:sz w:val="32"/>
          <w:szCs w:val="32"/>
        </w:rPr>
        <w:t>3</w:t>
      </w:r>
      <w:r>
        <w:rPr>
          <w:rFonts w:ascii="Times New Roman" w:hAnsi="Times New Roman" w:eastAsia="仿宋_GB2312"/>
          <w:kern w:val="2"/>
          <w:sz w:val="32"/>
          <w:szCs w:val="32"/>
          <w:lang w:val="zh-CN"/>
        </w:rPr>
        <w:t>年度财政拨款基本支出753.83万元，其中：人员经费613.58万元，主要包括基本工资、津贴补贴、奖金、绩效工资、机关事业部门基本养老保险缴费、职业年金缴费、职工基本医疗保险缴费、公务员医疗补助缴费、住房公积金、医疗费、其他社会保障缴费、其他工资福利支出、离休费、 退休费、 抚恤金、生活补助、医疗费补助、其他对</w:t>
      </w:r>
      <w:r>
        <w:rPr>
          <w:rFonts w:ascii="Times New Roman" w:hAnsi="Times New Roman" w:eastAsia="仿宋_GB2312"/>
          <w:color w:val="333333"/>
          <w:sz w:val="33"/>
          <w:szCs w:val="33"/>
          <w:shd w:val="clear" w:color="auto" w:fill="FFFFFF"/>
        </w:rPr>
        <w:t>个人和家庭</w:t>
      </w:r>
      <w:r>
        <w:rPr>
          <w:rFonts w:ascii="Times New Roman" w:hAnsi="Times New Roman" w:eastAsia="仿宋_GB2312"/>
          <w:kern w:val="2"/>
          <w:sz w:val="32"/>
          <w:szCs w:val="32"/>
          <w:lang w:val="zh-CN"/>
        </w:rPr>
        <w:t>的补助支出。</w:t>
      </w:r>
    </w:p>
    <w:p>
      <w:pPr>
        <w:pStyle w:val="10"/>
        <w:widowControl/>
        <w:spacing w:beforeAutospacing="0" w:afterAutospacing="0"/>
        <w:rPr>
          <w:rFonts w:ascii="Times New Roman" w:hAnsi="Times New Roman" w:eastAsia="仿宋_GB2312"/>
          <w:sz w:val="32"/>
          <w:szCs w:val="32"/>
          <w:highlight w:val="yellow"/>
        </w:rPr>
      </w:pPr>
      <w:r>
        <w:rPr>
          <w:rFonts w:ascii="Times New Roman" w:hAnsi="Times New Roman" w:eastAsia="仿宋_GB2312"/>
          <w:color w:val="333333"/>
          <w:sz w:val="33"/>
          <w:szCs w:val="33"/>
          <w:shd w:val="clear" w:color="auto" w:fill="FFFFFF"/>
        </w:rPr>
        <w:t xml:space="preserve">    </w:t>
      </w:r>
      <w:r>
        <w:rPr>
          <w:rFonts w:ascii="Times New Roman" w:hAnsi="Times New Roman" w:eastAsia="仿宋_GB2312"/>
          <w:kern w:val="2"/>
          <w:sz w:val="32"/>
          <w:szCs w:val="32"/>
          <w:lang w:val="zh-CN"/>
        </w:rPr>
        <w:t>公用经费140.24万元，主要包括办公费、印刷费、咨询费、手续费、邮电费、取暖费、物业管理费、差旅费、因公出国（境）费用、维修（护）费、租赁费、会议费、培训费、公务接待费、委托业务费、工会经费、福利费、公务用车运行维护费、其他交通费用、其他商品和服务支出、办公设备购置、信息网络及软件购置更新</w:t>
      </w:r>
      <w:r>
        <w:rPr>
          <w:rFonts w:hint="eastAsia" w:ascii="Times New Roman" w:hAnsi="Times New Roman" w:eastAsia="仿宋_GB2312"/>
          <w:kern w:val="2"/>
          <w:sz w:val="32"/>
          <w:szCs w:val="32"/>
          <w:lang w:val="zh-CN"/>
        </w:rPr>
        <w:t>。</w:t>
      </w:r>
    </w:p>
    <w:p>
      <w:pPr>
        <w:pStyle w:val="10"/>
        <w:widowControl/>
        <w:spacing w:beforeAutospacing="0" w:afterAutospacing="0"/>
        <w:jc w:val="both"/>
        <w:outlineLvl w:val="1"/>
        <w:rPr>
          <w:rFonts w:ascii="Times New Roman" w:hAnsi="Times New Roman" w:eastAsia="黑体"/>
          <w:kern w:val="2"/>
          <w:sz w:val="32"/>
          <w:szCs w:val="32"/>
        </w:rPr>
      </w:pPr>
      <w:r>
        <w:rPr>
          <w:rFonts w:ascii="Times New Roman" w:hAnsi="Times New Roman" w:eastAsia="黑体"/>
          <w:kern w:val="2"/>
          <w:sz w:val="32"/>
          <w:szCs w:val="32"/>
        </w:rPr>
        <w:t>五、财政拨款“三公” 经费支出决算情况说明</w:t>
      </w:r>
    </w:p>
    <w:p>
      <w:pPr>
        <w:pStyle w:val="10"/>
        <w:widowControl/>
        <w:spacing w:beforeAutospacing="0" w:afterAutospacing="0"/>
        <w:jc w:val="both"/>
        <w:outlineLvl w:val="2"/>
        <w:rPr>
          <w:rFonts w:ascii="Times New Roman" w:hAnsi="Times New Roman" w:eastAsia="楷体_GB2312"/>
          <w:b/>
          <w:bCs/>
          <w:kern w:val="2"/>
          <w:sz w:val="32"/>
          <w:szCs w:val="32"/>
        </w:rPr>
      </w:pPr>
      <w:r>
        <w:rPr>
          <w:rFonts w:ascii="Times New Roman" w:hAnsi="Times New Roman" w:eastAsia="楷体_GB2312"/>
          <w:b/>
          <w:bCs/>
          <w:kern w:val="2"/>
          <w:sz w:val="32"/>
          <w:szCs w:val="32"/>
        </w:rPr>
        <w:t>（一）“三公”经费财政拨款支出决算总体情况说明</w:t>
      </w:r>
    </w:p>
    <w:p>
      <w:pPr>
        <w:pStyle w:val="10"/>
        <w:widowControl/>
        <w:spacing w:beforeAutospacing="0" w:afterAutospacing="0"/>
        <w:rPr>
          <w:rFonts w:ascii="Times New Roman" w:hAnsi="Times New Roman" w:eastAsia="仿宋_GB2312"/>
          <w:kern w:val="2"/>
          <w:sz w:val="32"/>
          <w:szCs w:val="32"/>
          <w:lang w:val="zh-CN"/>
        </w:rPr>
      </w:pPr>
      <w:r>
        <w:rPr>
          <w:rFonts w:ascii="Times New Roman" w:hAnsi="Times New Roman" w:eastAsia="仿宋_GB2312"/>
          <w:color w:val="333333"/>
          <w:sz w:val="33"/>
          <w:szCs w:val="33"/>
          <w:shd w:val="clear" w:color="auto" w:fill="FFFFFF"/>
        </w:rPr>
        <w:t xml:space="preserve">    </w:t>
      </w:r>
      <w:r>
        <w:rPr>
          <w:rFonts w:ascii="Times New Roman" w:hAnsi="Times New Roman" w:eastAsia="仿宋_GB2312"/>
          <w:kern w:val="2"/>
          <w:sz w:val="32"/>
          <w:szCs w:val="32"/>
        </w:rPr>
        <w:t xml:space="preserve"> </w:t>
      </w:r>
      <w:r>
        <w:rPr>
          <w:rFonts w:ascii="Times New Roman" w:hAnsi="Times New Roman" w:eastAsia="仿宋_GB2312"/>
          <w:kern w:val="2"/>
          <w:sz w:val="32"/>
          <w:szCs w:val="32"/>
          <w:lang w:val="zh-CN"/>
        </w:rPr>
        <w:t>本单位202</w:t>
      </w:r>
      <w:r>
        <w:rPr>
          <w:rFonts w:ascii="Times New Roman" w:hAnsi="Times New Roman" w:eastAsia="仿宋_GB2312"/>
          <w:kern w:val="2"/>
          <w:sz w:val="32"/>
          <w:szCs w:val="32"/>
        </w:rPr>
        <w:t>3</w:t>
      </w:r>
      <w:r>
        <w:rPr>
          <w:rFonts w:ascii="Times New Roman" w:hAnsi="Times New Roman" w:eastAsia="仿宋_GB2312"/>
          <w:kern w:val="2"/>
          <w:sz w:val="32"/>
          <w:szCs w:val="32"/>
          <w:lang w:val="zh-CN"/>
        </w:rPr>
        <w:t>年度“三公”经费财政拨款支出预算为18.2万元，支出决算为11.37万元，完成预算的62.46%，较预算</w:t>
      </w:r>
      <w:r>
        <w:rPr>
          <w:rFonts w:hint="eastAsia" w:ascii="Times New Roman" w:hAnsi="Times New Roman" w:eastAsia="仿宋_GB2312"/>
          <w:kern w:val="2"/>
          <w:sz w:val="32"/>
          <w:szCs w:val="32"/>
          <w:lang w:val="zh-CN"/>
        </w:rPr>
        <w:t>减少6.83万元，降低37.54%，</w:t>
      </w:r>
      <w:r>
        <w:rPr>
          <w:rFonts w:ascii="Times New Roman" w:hAnsi="Times New Roman" w:eastAsia="仿宋_GB2312"/>
          <w:kern w:val="2"/>
          <w:sz w:val="32"/>
          <w:szCs w:val="32"/>
          <w:lang w:val="zh-CN"/>
        </w:rPr>
        <w:t>主要</w:t>
      </w:r>
      <w:r>
        <w:rPr>
          <w:rFonts w:hint="eastAsia" w:ascii="仿宋_GB2312" w:hAnsi="Times New Roman" w:eastAsia="仿宋_GB2312" w:cs="仿宋_GB2312"/>
          <w:sz w:val="32"/>
          <w:szCs w:val="32"/>
        </w:rPr>
        <w:t>一是加强公务用车管理；二是厉行节约，严控公务接待规模</w:t>
      </w:r>
      <w:r>
        <w:rPr>
          <w:rFonts w:ascii="Times New Roman" w:hAnsi="Times New Roman" w:eastAsia="仿宋_GB2312"/>
          <w:kern w:val="2"/>
          <w:sz w:val="32"/>
          <w:szCs w:val="32"/>
          <w:lang w:val="zh-CN"/>
        </w:rPr>
        <w:t>；较2022年度决算</w:t>
      </w:r>
      <w:r>
        <w:rPr>
          <w:rFonts w:hint="eastAsia" w:ascii="Times New Roman" w:hAnsi="Times New Roman" w:eastAsia="仿宋_GB2312"/>
          <w:kern w:val="2"/>
          <w:sz w:val="32"/>
          <w:szCs w:val="32"/>
          <w:lang w:val="zh-CN"/>
        </w:rPr>
        <w:t>减少0.05万元</w:t>
      </w:r>
      <w:r>
        <w:rPr>
          <w:rFonts w:hint="eastAsia" w:ascii="Times New Roman" w:hAnsi="Times New Roman" w:eastAsia="仿宋_GB2312" w:cs="仿宋_GB2312"/>
          <w:sz w:val="30"/>
          <w:szCs w:val="30"/>
        </w:rPr>
        <w:t>，</w:t>
      </w:r>
      <w:r>
        <w:rPr>
          <w:rFonts w:hint="eastAsia" w:ascii="Times New Roman" w:hAnsi="Times New Roman" w:eastAsia="仿宋_GB2312"/>
          <w:kern w:val="2"/>
          <w:sz w:val="32"/>
          <w:szCs w:val="32"/>
          <w:lang w:val="zh-CN"/>
        </w:rPr>
        <w:t>降低0.46%，</w:t>
      </w:r>
      <w:r>
        <w:rPr>
          <w:rFonts w:ascii="Times New Roman" w:hAnsi="Times New Roman" w:eastAsia="仿宋_GB2312"/>
          <w:kern w:val="2"/>
          <w:sz w:val="32"/>
          <w:szCs w:val="32"/>
          <w:lang w:val="zh-CN"/>
        </w:rPr>
        <w:t>主要是</w:t>
      </w:r>
      <w:r>
        <w:rPr>
          <w:rFonts w:hint="eastAsia" w:ascii="仿宋_GB2312" w:hAnsi="Times New Roman" w:eastAsia="仿宋_GB2312" w:cs="仿宋_GB2312"/>
          <w:sz w:val="32"/>
          <w:szCs w:val="32"/>
        </w:rPr>
        <w:t>厉行节约，严控公务接待规模</w:t>
      </w:r>
      <w:r>
        <w:rPr>
          <w:rFonts w:ascii="Times New Roman" w:hAnsi="Times New Roman" w:eastAsia="仿宋_GB2312"/>
          <w:kern w:val="2"/>
          <w:sz w:val="32"/>
          <w:szCs w:val="32"/>
          <w:lang w:val="zh-CN"/>
        </w:rPr>
        <w:t>。</w:t>
      </w:r>
    </w:p>
    <w:p>
      <w:pPr>
        <w:adjustRightInd w:val="0"/>
        <w:snapToGrid w:val="0"/>
        <w:spacing w:line="580" w:lineRule="exact"/>
        <w:rPr>
          <w:rFonts w:ascii="Times New Roman" w:hAnsi="Times New Roman" w:eastAsia="楷体_GB2312" w:cs="Times New Roman"/>
          <w:b/>
          <w:bCs/>
          <w:kern w:val="2"/>
          <w:sz w:val="32"/>
          <w:szCs w:val="32"/>
        </w:rPr>
      </w:pPr>
      <w:r>
        <w:rPr>
          <w:rFonts w:ascii="Times New Roman" w:hAnsi="Times New Roman" w:eastAsia="楷体_GB2312" w:cs="Times New Roman"/>
          <w:b/>
          <w:bCs/>
          <w:kern w:val="2"/>
          <w:sz w:val="32"/>
          <w:szCs w:val="32"/>
        </w:rPr>
        <w:t>（二）“三公”经费财政拨款支出决算具体情况说明</w:t>
      </w:r>
    </w:p>
    <w:p>
      <w:pPr>
        <w:pStyle w:val="10"/>
        <w:widowControl/>
        <w:spacing w:beforeAutospacing="0" w:afterAutospacing="0"/>
        <w:ind w:firstLine="643" w:firstLineChars="200"/>
        <w:rPr>
          <w:rFonts w:ascii="Times New Roman" w:hAnsi="Times New Roman" w:eastAsia="仿宋_GB2312"/>
          <w:kern w:val="2"/>
          <w:sz w:val="32"/>
          <w:szCs w:val="32"/>
        </w:rPr>
      </w:pPr>
      <w:r>
        <w:rPr>
          <w:rFonts w:ascii="Times New Roman" w:hAnsi="Times New Roman" w:eastAsia="楷体_GB2312"/>
          <w:b/>
          <w:bCs/>
          <w:kern w:val="2"/>
          <w:sz w:val="32"/>
          <w:szCs w:val="32"/>
        </w:rPr>
        <w:t>1.因公出国（境）费支出情况。</w:t>
      </w:r>
      <w:r>
        <w:rPr>
          <w:rFonts w:ascii="Times New Roman" w:hAnsi="Times New Roman" w:eastAsia="仿宋_GB2312"/>
          <w:kern w:val="2"/>
          <w:sz w:val="32"/>
          <w:szCs w:val="32"/>
          <w:lang w:val="zh-CN"/>
        </w:rPr>
        <w:t>本单位</w:t>
      </w:r>
      <w:r>
        <w:rPr>
          <w:rFonts w:ascii="Times New Roman" w:hAnsi="Times New Roman" w:eastAsia="仿宋_GB2312"/>
          <w:kern w:val="2"/>
          <w:sz w:val="32"/>
          <w:szCs w:val="32"/>
        </w:rPr>
        <w:t>2023年度因公出国（境）费支出预算为0万元,支出决算0万元。完成预算的0%。因公出国（境）费支出较预算</w:t>
      </w:r>
      <w:r>
        <w:rPr>
          <w:rFonts w:hint="eastAsia" w:ascii="Times New Roman" w:hAnsi="Times New Roman" w:eastAsia="仿宋_GB2312"/>
          <w:kern w:val="2"/>
          <w:sz w:val="32"/>
          <w:szCs w:val="32"/>
          <w:lang w:val="zh-CN"/>
        </w:rPr>
        <w:t>持平</w:t>
      </w:r>
      <w:r>
        <w:rPr>
          <w:rFonts w:ascii="Times New Roman" w:hAnsi="Times New Roman" w:eastAsia="仿宋_GB2312"/>
          <w:kern w:val="2"/>
          <w:sz w:val="32"/>
          <w:szCs w:val="32"/>
        </w:rPr>
        <w:t>，</w:t>
      </w:r>
      <w:r>
        <w:rPr>
          <w:rFonts w:hint="eastAsia" w:ascii="Times New Roman" w:hAnsi="Times New Roman" w:eastAsia="仿宋_GB2312"/>
          <w:kern w:val="2"/>
          <w:sz w:val="32"/>
          <w:szCs w:val="32"/>
          <w:lang w:val="en-US" w:eastAsia="zh-CN"/>
        </w:rPr>
        <w:t>无增减变化</w:t>
      </w:r>
      <w:r>
        <w:rPr>
          <w:rFonts w:ascii="Times New Roman" w:hAnsi="Times New Roman" w:eastAsia="仿宋_GB2312"/>
          <w:kern w:val="2"/>
          <w:sz w:val="32"/>
          <w:szCs w:val="32"/>
        </w:rPr>
        <w:t>；较上年</w:t>
      </w:r>
      <w:r>
        <w:rPr>
          <w:rFonts w:hint="eastAsia" w:ascii="Times New Roman" w:hAnsi="Times New Roman" w:eastAsia="仿宋_GB2312"/>
          <w:kern w:val="2"/>
          <w:sz w:val="32"/>
          <w:szCs w:val="32"/>
          <w:lang w:val="zh-CN"/>
        </w:rPr>
        <w:t>持平</w:t>
      </w:r>
      <w:r>
        <w:rPr>
          <w:rFonts w:ascii="Times New Roman" w:hAnsi="Times New Roman" w:eastAsia="仿宋_GB2312"/>
          <w:kern w:val="2"/>
          <w:sz w:val="32"/>
          <w:szCs w:val="32"/>
        </w:rPr>
        <w:t>，</w:t>
      </w:r>
      <w:r>
        <w:rPr>
          <w:rFonts w:hint="eastAsia" w:ascii="Times New Roman" w:hAnsi="Times New Roman" w:eastAsia="仿宋_GB2312"/>
          <w:kern w:val="2"/>
          <w:sz w:val="32"/>
          <w:szCs w:val="32"/>
        </w:rPr>
        <w:t>无增减变化</w:t>
      </w:r>
      <w:r>
        <w:rPr>
          <w:rFonts w:ascii="Times New Roman" w:hAnsi="Times New Roman" w:eastAsia="仿宋_GB2312"/>
          <w:kern w:val="2"/>
          <w:sz w:val="32"/>
          <w:szCs w:val="32"/>
        </w:rPr>
        <w:t>。因公出国（境）团组0个、共0人、参加其他单位组织的因公出国（境）团组</w:t>
      </w:r>
      <w:r>
        <w:rPr>
          <w:rFonts w:hint="eastAsia" w:ascii="Times New Roman" w:hAnsi="Times New Roman" w:eastAsia="仿宋_GB2312"/>
          <w:kern w:val="2"/>
          <w:sz w:val="32"/>
          <w:szCs w:val="32"/>
          <w:lang w:val="en-US" w:eastAsia="zh-CN"/>
        </w:rPr>
        <w:t>0</w:t>
      </w:r>
      <w:r>
        <w:rPr>
          <w:rFonts w:ascii="Times New Roman" w:hAnsi="Times New Roman" w:eastAsia="仿宋_GB2312"/>
          <w:kern w:val="2"/>
          <w:sz w:val="32"/>
          <w:szCs w:val="32"/>
        </w:rPr>
        <w:t>个、共</w:t>
      </w:r>
      <w:r>
        <w:rPr>
          <w:rFonts w:hint="eastAsia" w:ascii="Times New Roman" w:hAnsi="Times New Roman" w:eastAsia="仿宋_GB2312"/>
          <w:kern w:val="2"/>
          <w:sz w:val="32"/>
          <w:szCs w:val="32"/>
          <w:lang w:val="en-US" w:eastAsia="zh-CN"/>
        </w:rPr>
        <w:t>0</w:t>
      </w:r>
      <w:r>
        <w:rPr>
          <w:rFonts w:ascii="Times New Roman" w:hAnsi="Times New Roman" w:eastAsia="仿宋_GB2312"/>
          <w:kern w:val="2"/>
          <w:sz w:val="32"/>
          <w:szCs w:val="32"/>
        </w:rPr>
        <w:t>人/无本部门组织的出国（境）团组。</w:t>
      </w:r>
    </w:p>
    <w:p>
      <w:pPr>
        <w:adjustRightInd w:val="0"/>
        <w:snapToGrid w:val="0"/>
        <w:spacing w:line="580" w:lineRule="exact"/>
        <w:ind w:firstLine="643" w:firstLineChars="200"/>
        <w:jc w:val="left"/>
        <w:rPr>
          <w:rFonts w:ascii="Times New Roman" w:hAnsi="Times New Roman" w:eastAsia="仿宋_GB2312" w:cs="Times New Roman"/>
          <w:kern w:val="2"/>
          <w:sz w:val="32"/>
          <w:szCs w:val="32"/>
          <w:lang w:val="zh-CN"/>
        </w:rPr>
      </w:pPr>
      <w:r>
        <w:rPr>
          <w:rFonts w:ascii="Times New Roman" w:hAnsi="Times New Roman" w:eastAsia="楷体_GB2312" w:cs="Times New Roman"/>
          <w:b/>
          <w:bCs/>
          <w:kern w:val="2"/>
          <w:sz w:val="32"/>
          <w:szCs w:val="32"/>
        </w:rPr>
        <w:t>2.</w:t>
      </w:r>
      <w:r>
        <w:rPr>
          <w:rFonts w:ascii="Times New Roman" w:hAnsi="Times New Roman" w:eastAsia="楷体_GB2312" w:cs="Times New Roman"/>
          <w:b/>
          <w:bCs/>
          <w:sz w:val="32"/>
          <w:szCs w:val="32"/>
        </w:rPr>
        <w:t>公务用车购置及运行维护费支出情况。</w:t>
      </w:r>
      <w:r>
        <w:rPr>
          <w:rFonts w:ascii="Times New Roman" w:hAnsi="Times New Roman" w:eastAsia="仿宋_GB2312" w:cs="Times New Roman"/>
          <w:kern w:val="2"/>
          <w:sz w:val="32"/>
          <w:szCs w:val="32"/>
          <w:lang w:val="zh-CN"/>
        </w:rPr>
        <w:t>本单位202</w:t>
      </w:r>
      <w:r>
        <w:rPr>
          <w:rFonts w:ascii="Times New Roman" w:hAnsi="Times New Roman" w:eastAsia="仿宋_GB2312" w:cs="Times New Roman"/>
          <w:kern w:val="2"/>
          <w:sz w:val="32"/>
          <w:szCs w:val="32"/>
        </w:rPr>
        <w:t>3</w:t>
      </w:r>
      <w:r>
        <w:rPr>
          <w:rFonts w:ascii="Times New Roman" w:hAnsi="Times New Roman" w:eastAsia="仿宋_GB2312" w:cs="Times New Roman"/>
          <w:kern w:val="2"/>
          <w:sz w:val="32"/>
          <w:szCs w:val="32"/>
          <w:lang w:val="zh-CN"/>
        </w:rPr>
        <w:t>年度公务用车购置及运行维护费预算为16.2万元，支出决算 10.5万元，完成预算的64.83%,较预算</w:t>
      </w:r>
      <w:r>
        <w:rPr>
          <w:rFonts w:hint="eastAsia" w:ascii="Times New Roman" w:hAnsi="Times New Roman" w:eastAsia="仿宋_GB2312" w:cs="Times New Roman"/>
          <w:kern w:val="2"/>
          <w:sz w:val="32"/>
          <w:szCs w:val="32"/>
          <w:lang w:val="zh-CN"/>
        </w:rPr>
        <w:t>减少5.7万元</w:t>
      </w:r>
      <w:r>
        <w:rPr>
          <w:rFonts w:ascii="Times New Roman" w:hAnsi="Times New Roman" w:eastAsia="仿宋_GB2312" w:cs="Times New Roman"/>
          <w:kern w:val="2"/>
          <w:sz w:val="32"/>
          <w:szCs w:val="32"/>
          <w:lang w:val="zh-CN"/>
        </w:rPr>
        <w:t>，</w:t>
      </w:r>
      <w:r>
        <w:rPr>
          <w:rFonts w:hint="eastAsia" w:ascii="Times New Roman" w:hAnsi="Times New Roman" w:eastAsia="仿宋_GB2312" w:cs="Times New Roman"/>
          <w:kern w:val="2"/>
          <w:sz w:val="32"/>
          <w:szCs w:val="32"/>
          <w:lang w:val="zh-CN"/>
        </w:rPr>
        <w:t>降低35.17%，</w:t>
      </w:r>
      <w:r>
        <w:rPr>
          <w:rFonts w:ascii="Times New Roman" w:hAnsi="Times New Roman" w:eastAsia="仿宋_GB2312" w:cs="Times New Roman"/>
          <w:kern w:val="2"/>
          <w:sz w:val="32"/>
          <w:szCs w:val="32"/>
          <w:lang w:val="zh-CN"/>
        </w:rPr>
        <w:t>主要是</w:t>
      </w:r>
      <w:r>
        <w:rPr>
          <w:rFonts w:hint="eastAsia" w:ascii="Times New Roman" w:hAnsi="Times New Roman" w:eastAsia="仿宋_GB2312" w:cs="Times New Roman"/>
          <w:kern w:val="2"/>
          <w:sz w:val="32"/>
          <w:szCs w:val="32"/>
          <w:lang w:val="zh-CN"/>
        </w:rPr>
        <w:t>硬化预算约束，严守公务用车配备及使用纪律所致</w:t>
      </w:r>
      <w:r>
        <w:rPr>
          <w:rFonts w:ascii="Times New Roman" w:hAnsi="Times New Roman" w:eastAsia="仿宋_GB2312" w:cs="Times New Roman"/>
          <w:kern w:val="2"/>
          <w:sz w:val="32"/>
          <w:szCs w:val="32"/>
          <w:lang w:val="zh-CN"/>
        </w:rPr>
        <w:t>；较上年</w:t>
      </w:r>
      <w:r>
        <w:rPr>
          <w:rFonts w:hint="eastAsia" w:ascii="Times New Roman" w:hAnsi="Times New Roman" w:eastAsia="仿宋_GB2312" w:cs="Times New Roman"/>
          <w:kern w:val="2"/>
          <w:sz w:val="32"/>
          <w:szCs w:val="32"/>
          <w:lang w:val="zh-CN"/>
        </w:rPr>
        <w:t>减少0.92万元</w:t>
      </w:r>
      <w:r>
        <w:rPr>
          <w:rFonts w:ascii="Times New Roman" w:hAnsi="Times New Roman" w:eastAsia="仿宋_GB2312" w:cs="Times New Roman"/>
          <w:kern w:val="2"/>
          <w:sz w:val="32"/>
          <w:szCs w:val="32"/>
          <w:lang w:val="zh-CN"/>
        </w:rPr>
        <w:t>，</w:t>
      </w:r>
      <w:r>
        <w:rPr>
          <w:rFonts w:hint="eastAsia" w:ascii="Times New Roman" w:hAnsi="Times New Roman" w:eastAsia="仿宋_GB2312" w:cs="Times New Roman"/>
          <w:kern w:val="2"/>
          <w:sz w:val="32"/>
          <w:szCs w:val="32"/>
          <w:lang w:val="zh-CN"/>
        </w:rPr>
        <w:t>降低8.04%，</w:t>
      </w:r>
      <w:r>
        <w:rPr>
          <w:rFonts w:ascii="Times New Roman" w:hAnsi="Times New Roman" w:eastAsia="仿宋_GB2312" w:cs="Times New Roman"/>
          <w:kern w:val="2"/>
          <w:sz w:val="32"/>
          <w:szCs w:val="32"/>
          <w:lang w:val="zh-CN"/>
        </w:rPr>
        <w:t>主要是</w:t>
      </w:r>
      <w:r>
        <w:rPr>
          <w:rFonts w:hint="eastAsia" w:ascii="Times New Roman" w:hAnsi="Times New Roman" w:eastAsia="仿宋_GB2312" w:cs="Times New Roman"/>
          <w:kern w:val="2"/>
          <w:sz w:val="32"/>
          <w:szCs w:val="32"/>
          <w:lang w:val="zh-CN"/>
        </w:rPr>
        <w:t>严控公务用车使用</w:t>
      </w:r>
      <w:r>
        <w:rPr>
          <w:rFonts w:ascii="Times New Roman" w:hAnsi="Times New Roman" w:eastAsia="仿宋_GB2312" w:cs="Times New Roman"/>
          <w:kern w:val="2"/>
          <w:sz w:val="32"/>
          <w:szCs w:val="32"/>
          <w:lang w:val="zh-CN"/>
        </w:rPr>
        <w:t>。其中：</w:t>
      </w:r>
    </w:p>
    <w:p>
      <w:pPr>
        <w:adjustRightInd w:val="0"/>
        <w:snapToGrid w:val="0"/>
        <w:spacing w:line="580" w:lineRule="exact"/>
        <w:ind w:firstLine="643" w:firstLineChars="200"/>
        <w:rPr>
          <w:rFonts w:ascii="Times New Roman" w:hAnsi="Times New Roman" w:eastAsia="仿宋_GB2312" w:cs="Times New Roman"/>
          <w:kern w:val="2"/>
          <w:sz w:val="32"/>
          <w:szCs w:val="32"/>
          <w:lang w:val="zh-CN"/>
        </w:rPr>
      </w:pPr>
      <w:r>
        <w:rPr>
          <w:rFonts w:ascii="Times New Roman" w:hAnsi="Times New Roman" w:eastAsia="仿宋_GB2312" w:cs="Times New Roman"/>
          <w:b/>
          <w:sz w:val="32"/>
          <w:szCs w:val="32"/>
        </w:rPr>
        <w:t>公务用车购置费支出</w:t>
      </w:r>
      <w:r>
        <w:rPr>
          <w:rFonts w:hint="eastAsia" w:ascii="Times New Roman" w:hAnsi="Times New Roman" w:eastAsia="楷体_GB2312" w:cs="Times New Roman"/>
          <w:b/>
          <w:bCs/>
          <w:sz w:val="32"/>
          <w:szCs w:val="32"/>
          <w:lang w:val="en-US" w:eastAsia="zh-CN"/>
        </w:rPr>
        <w:t>0</w:t>
      </w:r>
      <w:r>
        <w:rPr>
          <w:rFonts w:ascii="Times New Roman" w:hAnsi="Times New Roman" w:eastAsia="楷体_GB2312" w:cs="Times New Roman"/>
          <w:b/>
          <w:bCs/>
          <w:sz w:val="32"/>
          <w:szCs w:val="32"/>
        </w:rPr>
        <w:t>万元</w:t>
      </w:r>
      <w:r>
        <w:rPr>
          <w:rFonts w:ascii="Times New Roman" w:hAnsi="Times New Roman" w:eastAsia="仿宋_GB2312" w:cs="Times New Roman"/>
          <w:b/>
          <w:sz w:val="32"/>
          <w:szCs w:val="32"/>
        </w:rPr>
        <w:t>：</w:t>
      </w:r>
      <w:r>
        <w:rPr>
          <w:rFonts w:ascii="Times New Roman" w:hAnsi="Times New Roman" w:eastAsia="仿宋_GB2312" w:cs="Times New Roman"/>
          <w:kern w:val="2"/>
          <w:sz w:val="32"/>
          <w:szCs w:val="32"/>
          <w:lang w:val="zh-CN"/>
        </w:rPr>
        <w:t>本单位202</w:t>
      </w:r>
      <w:r>
        <w:rPr>
          <w:rFonts w:ascii="Times New Roman" w:hAnsi="Times New Roman" w:eastAsia="仿宋_GB2312" w:cs="Times New Roman"/>
          <w:kern w:val="2"/>
          <w:sz w:val="32"/>
          <w:szCs w:val="32"/>
        </w:rPr>
        <w:t>3</w:t>
      </w:r>
      <w:r>
        <w:rPr>
          <w:rFonts w:ascii="Times New Roman" w:hAnsi="Times New Roman" w:eastAsia="仿宋_GB2312" w:cs="Times New Roman"/>
          <w:kern w:val="2"/>
          <w:sz w:val="32"/>
          <w:szCs w:val="32"/>
          <w:lang w:val="zh-CN"/>
        </w:rPr>
        <w:t>年度公务用车购置量0辆，发生“公务用车购置”经费支出 0万元。</w:t>
      </w:r>
      <w:r>
        <w:rPr>
          <w:rFonts w:hint="eastAsia" w:ascii="Times New Roman" w:hAnsi="Times New Roman" w:eastAsia="仿宋_GB2312" w:cs="Times New Roman"/>
          <w:kern w:val="2"/>
          <w:sz w:val="32"/>
          <w:szCs w:val="32"/>
          <w:lang w:val="zh-CN"/>
        </w:rPr>
        <w:t>未发生“公务用车购置”经费支出，</w:t>
      </w:r>
      <w:r>
        <w:rPr>
          <w:rFonts w:ascii="Times New Roman" w:hAnsi="Times New Roman" w:eastAsia="仿宋_GB2312" w:cs="Times New Roman"/>
          <w:kern w:val="2"/>
          <w:sz w:val="32"/>
          <w:szCs w:val="32"/>
          <w:lang w:val="zh-CN"/>
        </w:rPr>
        <w:t>公务用车购置费支出较预算</w:t>
      </w:r>
      <w:r>
        <w:rPr>
          <w:rFonts w:hint="eastAsia" w:ascii="Times New Roman" w:hAnsi="Times New Roman" w:eastAsia="仿宋_GB2312" w:cs="Times New Roman"/>
          <w:kern w:val="2"/>
          <w:sz w:val="32"/>
          <w:szCs w:val="32"/>
          <w:lang w:val="zh-CN"/>
        </w:rPr>
        <w:t>持平</w:t>
      </w:r>
      <w:r>
        <w:rPr>
          <w:rFonts w:ascii="Times New Roman" w:hAnsi="Times New Roman" w:eastAsia="仿宋_GB2312" w:cs="Times New Roman"/>
          <w:kern w:val="2"/>
          <w:sz w:val="32"/>
          <w:szCs w:val="32"/>
          <w:lang w:val="zh-CN"/>
        </w:rPr>
        <w:t>，</w:t>
      </w:r>
      <w:r>
        <w:rPr>
          <w:rFonts w:hint="eastAsia" w:ascii="Times New Roman" w:hAnsi="Times New Roman" w:eastAsia="仿宋_GB2312" w:cs="Times New Roman"/>
          <w:kern w:val="2"/>
          <w:sz w:val="32"/>
          <w:szCs w:val="32"/>
          <w:lang w:val="en-US" w:eastAsia="zh-CN"/>
        </w:rPr>
        <w:t>无增减变化</w:t>
      </w:r>
      <w:r>
        <w:rPr>
          <w:rFonts w:ascii="Times New Roman" w:hAnsi="Times New Roman" w:eastAsia="仿宋_GB2312" w:cs="Times New Roman"/>
          <w:kern w:val="2"/>
          <w:sz w:val="32"/>
          <w:szCs w:val="32"/>
          <w:lang w:val="zh-CN"/>
        </w:rPr>
        <w:t>；较上年</w:t>
      </w:r>
      <w:r>
        <w:rPr>
          <w:rFonts w:hint="eastAsia" w:ascii="Times New Roman" w:hAnsi="Times New Roman" w:eastAsia="仿宋_GB2312" w:cs="Times New Roman"/>
          <w:kern w:val="2"/>
          <w:sz w:val="32"/>
          <w:szCs w:val="32"/>
          <w:lang w:val="zh-CN"/>
        </w:rPr>
        <w:t>持平</w:t>
      </w:r>
      <w:r>
        <w:rPr>
          <w:rFonts w:ascii="Times New Roman" w:hAnsi="Times New Roman" w:eastAsia="仿宋_GB2312" w:cs="Times New Roman"/>
          <w:kern w:val="2"/>
          <w:sz w:val="32"/>
          <w:szCs w:val="32"/>
          <w:lang w:val="zh-CN"/>
        </w:rPr>
        <w:t>，</w:t>
      </w:r>
      <w:r>
        <w:rPr>
          <w:rFonts w:hint="eastAsia" w:ascii="Times New Roman" w:hAnsi="Times New Roman" w:eastAsia="仿宋_GB2312" w:cs="Times New Roman"/>
          <w:kern w:val="2"/>
          <w:sz w:val="32"/>
          <w:szCs w:val="32"/>
          <w:lang w:val="zh-CN"/>
        </w:rPr>
        <w:t>无增减变化</w:t>
      </w:r>
      <w:r>
        <w:rPr>
          <w:rFonts w:ascii="Times New Roman" w:hAnsi="Times New Roman" w:eastAsia="仿宋_GB2312" w:cs="Times New Roman"/>
          <w:kern w:val="2"/>
          <w:sz w:val="32"/>
          <w:szCs w:val="32"/>
          <w:lang w:val="zh-CN"/>
        </w:rPr>
        <w:t>。</w:t>
      </w:r>
    </w:p>
    <w:p>
      <w:pPr>
        <w:adjustRightInd w:val="0"/>
        <w:snapToGrid w:val="0"/>
        <w:spacing w:line="580" w:lineRule="exact"/>
        <w:ind w:firstLine="643" w:firstLineChars="200"/>
        <w:jc w:val="left"/>
        <w:rPr>
          <w:rFonts w:ascii="Times New Roman" w:hAnsi="Times New Roman" w:eastAsia="仿宋_GB2312" w:cs="Times New Roman"/>
          <w:kern w:val="2"/>
          <w:sz w:val="32"/>
          <w:szCs w:val="32"/>
          <w:lang w:val="zh-CN"/>
        </w:rPr>
      </w:pPr>
      <w:r>
        <w:rPr>
          <w:rFonts w:ascii="Times New Roman" w:hAnsi="Times New Roman" w:eastAsia="仿宋_GB2312" w:cs="Times New Roman"/>
          <w:b/>
          <w:sz w:val="32"/>
          <w:szCs w:val="32"/>
        </w:rPr>
        <w:t>公务用车运行维护费支出</w:t>
      </w:r>
      <w:r>
        <w:rPr>
          <w:rFonts w:hint="eastAsia" w:ascii="Times New Roman" w:hAnsi="Times New Roman" w:eastAsia="仿宋_GB2312" w:cs="Times New Roman"/>
          <w:b/>
          <w:sz w:val="32"/>
          <w:szCs w:val="32"/>
          <w:lang w:val="en-US" w:eastAsia="zh-CN"/>
        </w:rPr>
        <w:t>10.5</w:t>
      </w:r>
      <w:r>
        <w:rPr>
          <w:rFonts w:ascii="Times New Roman" w:hAnsi="Times New Roman" w:eastAsia="楷体_GB2312" w:cs="Times New Roman"/>
          <w:b/>
          <w:bCs/>
          <w:sz w:val="32"/>
          <w:szCs w:val="32"/>
        </w:rPr>
        <w:t>万元</w:t>
      </w:r>
      <w:r>
        <w:rPr>
          <w:rFonts w:ascii="Times New Roman" w:hAnsi="Times New Roman" w:eastAsia="仿宋_GB2312" w:cs="Times New Roman"/>
          <w:b/>
          <w:sz w:val="32"/>
          <w:szCs w:val="32"/>
        </w:rPr>
        <w:t>：</w:t>
      </w:r>
      <w:r>
        <w:rPr>
          <w:rFonts w:ascii="Times New Roman" w:hAnsi="Times New Roman" w:eastAsia="仿宋_GB2312" w:cs="Times New Roman"/>
          <w:kern w:val="2"/>
          <w:sz w:val="32"/>
          <w:szCs w:val="32"/>
          <w:lang w:val="zh-CN"/>
        </w:rPr>
        <w:t>本单位202</w:t>
      </w:r>
      <w:r>
        <w:rPr>
          <w:rFonts w:ascii="Times New Roman" w:hAnsi="Times New Roman" w:eastAsia="仿宋_GB2312" w:cs="Times New Roman"/>
          <w:kern w:val="2"/>
          <w:sz w:val="32"/>
          <w:szCs w:val="32"/>
        </w:rPr>
        <w:t>3</w:t>
      </w:r>
      <w:r>
        <w:rPr>
          <w:rFonts w:ascii="Times New Roman" w:hAnsi="Times New Roman" w:eastAsia="仿宋_GB2312" w:cs="Times New Roman"/>
          <w:kern w:val="2"/>
          <w:sz w:val="32"/>
          <w:szCs w:val="32"/>
          <w:lang w:val="zh-CN"/>
        </w:rPr>
        <w:t>年度单位公务用车保有量6辆，发生运行维护费支出10.5万元。公车运行维护费支出较预算</w:t>
      </w:r>
      <w:r>
        <w:rPr>
          <w:rFonts w:hint="eastAsia" w:ascii="Times New Roman" w:hAnsi="Times New Roman" w:eastAsia="仿宋_GB2312" w:cs="Times New Roman"/>
          <w:kern w:val="2"/>
          <w:sz w:val="32"/>
          <w:szCs w:val="32"/>
          <w:lang w:val="zh-CN"/>
        </w:rPr>
        <w:t>减少5.7万元</w:t>
      </w:r>
      <w:r>
        <w:rPr>
          <w:rFonts w:ascii="Times New Roman" w:hAnsi="Times New Roman" w:eastAsia="仿宋_GB2312" w:cs="Times New Roman"/>
          <w:kern w:val="2"/>
          <w:sz w:val="32"/>
          <w:szCs w:val="32"/>
          <w:lang w:val="zh-CN"/>
        </w:rPr>
        <w:t>，</w:t>
      </w:r>
      <w:r>
        <w:rPr>
          <w:rFonts w:hint="eastAsia" w:ascii="Times New Roman" w:hAnsi="Times New Roman" w:eastAsia="仿宋_GB2312" w:cs="Times New Roman"/>
          <w:kern w:val="2"/>
          <w:sz w:val="32"/>
          <w:szCs w:val="32"/>
          <w:lang w:val="zh-CN"/>
        </w:rPr>
        <w:t>降低35.17%，</w:t>
      </w:r>
      <w:r>
        <w:rPr>
          <w:rFonts w:ascii="Times New Roman" w:hAnsi="Times New Roman" w:eastAsia="仿宋_GB2312" w:cs="Times New Roman"/>
          <w:kern w:val="2"/>
          <w:sz w:val="32"/>
          <w:szCs w:val="32"/>
          <w:lang w:val="zh-CN"/>
        </w:rPr>
        <w:t>主要是</w:t>
      </w:r>
      <w:r>
        <w:rPr>
          <w:rFonts w:hint="eastAsia" w:ascii="Times New Roman" w:hAnsi="Times New Roman" w:eastAsia="仿宋_GB2312" w:cs="Times New Roman"/>
          <w:kern w:val="2"/>
          <w:sz w:val="32"/>
          <w:szCs w:val="32"/>
          <w:lang w:val="zh-CN"/>
        </w:rPr>
        <w:t>严控公务用车使用</w:t>
      </w:r>
      <w:r>
        <w:rPr>
          <w:rFonts w:ascii="Times New Roman" w:hAnsi="Times New Roman" w:eastAsia="仿宋_GB2312" w:cs="Times New Roman"/>
          <w:kern w:val="2"/>
          <w:sz w:val="32"/>
          <w:szCs w:val="32"/>
          <w:lang w:val="zh-CN"/>
        </w:rPr>
        <w:t>；较上年</w:t>
      </w:r>
      <w:r>
        <w:rPr>
          <w:rFonts w:hint="eastAsia" w:ascii="Times New Roman" w:hAnsi="Times New Roman" w:eastAsia="仿宋_GB2312" w:cs="Times New Roman"/>
          <w:kern w:val="2"/>
          <w:sz w:val="32"/>
          <w:szCs w:val="32"/>
          <w:lang w:val="zh-CN"/>
        </w:rPr>
        <w:t>减少0.92万元</w:t>
      </w:r>
      <w:r>
        <w:rPr>
          <w:rFonts w:ascii="Times New Roman" w:hAnsi="Times New Roman" w:eastAsia="仿宋_GB2312" w:cs="Times New Roman"/>
          <w:kern w:val="2"/>
          <w:sz w:val="32"/>
          <w:szCs w:val="32"/>
          <w:lang w:val="zh-CN"/>
        </w:rPr>
        <w:t>，</w:t>
      </w:r>
      <w:r>
        <w:rPr>
          <w:rFonts w:hint="eastAsia" w:ascii="Times New Roman" w:hAnsi="Times New Roman" w:eastAsia="仿宋_GB2312" w:cs="Times New Roman"/>
          <w:kern w:val="2"/>
          <w:sz w:val="32"/>
          <w:szCs w:val="32"/>
          <w:lang w:val="zh-CN"/>
        </w:rPr>
        <w:t>降低8.04%，</w:t>
      </w:r>
      <w:r>
        <w:rPr>
          <w:rFonts w:ascii="Times New Roman" w:hAnsi="Times New Roman" w:eastAsia="仿宋_GB2312" w:cs="Times New Roman"/>
          <w:kern w:val="2"/>
          <w:sz w:val="32"/>
          <w:szCs w:val="32"/>
          <w:lang w:val="zh-CN"/>
        </w:rPr>
        <w:t>主要是</w:t>
      </w:r>
      <w:r>
        <w:rPr>
          <w:rFonts w:hint="eastAsia" w:ascii="Times New Roman" w:hAnsi="Times New Roman" w:eastAsia="仿宋_GB2312" w:cs="Times New Roman"/>
          <w:kern w:val="2"/>
          <w:sz w:val="32"/>
          <w:szCs w:val="32"/>
          <w:lang w:val="zh-CN"/>
        </w:rPr>
        <w:t>严控公务用车使用</w:t>
      </w:r>
      <w:r>
        <w:rPr>
          <w:rFonts w:ascii="Times New Roman" w:hAnsi="Times New Roman" w:eastAsia="仿宋_GB2312" w:cs="Times New Roman"/>
          <w:kern w:val="2"/>
          <w:sz w:val="32"/>
          <w:szCs w:val="32"/>
          <w:lang w:val="zh-CN"/>
        </w:rPr>
        <w:t>。</w:t>
      </w:r>
    </w:p>
    <w:p>
      <w:pPr>
        <w:adjustRightInd w:val="0"/>
        <w:snapToGrid w:val="0"/>
        <w:spacing w:line="580" w:lineRule="exact"/>
        <w:ind w:firstLine="643" w:firstLineChars="200"/>
        <w:jc w:val="left"/>
        <w:rPr>
          <w:rFonts w:ascii="Times New Roman" w:hAnsi="Times New Roman" w:eastAsia="仿宋_GB2312" w:cs="Times New Roman"/>
          <w:kern w:val="2"/>
          <w:sz w:val="32"/>
          <w:szCs w:val="32"/>
          <w:lang w:val="zh-CN"/>
        </w:rPr>
      </w:pPr>
      <w:r>
        <w:rPr>
          <w:rFonts w:ascii="Times New Roman" w:hAnsi="Times New Roman" w:eastAsia="楷体_GB2312" w:cs="Times New Roman"/>
          <w:b/>
          <w:bCs/>
          <w:kern w:val="2"/>
          <w:sz w:val="32"/>
          <w:szCs w:val="32"/>
        </w:rPr>
        <w:t>3.公务接待费。</w:t>
      </w:r>
      <w:r>
        <w:rPr>
          <w:rFonts w:ascii="Times New Roman" w:hAnsi="Times New Roman" w:eastAsia="仿宋_GB2312" w:cs="Times New Roman"/>
          <w:kern w:val="2"/>
          <w:sz w:val="32"/>
          <w:szCs w:val="32"/>
          <w:lang w:val="zh-CN"/>
        </w:rPr>
        <w:t>本单位202</w:t>
      </w:r>
      <w:r>
        <w:rPr>
          <w:rFonts w:ascii="Times New Roman" w:hAnsi="Times New Roman" w:eastAsia="仿宋_GB2312" w:cs="Times New Roman"/>
          <w:kern w:val="2"/>
          <w:sz w:val="32"/>
          <w:szCs w:val="32"/>
        </w:rPr>
        <w:t>3</w:t>
      </w:r>
      <w:r>
        <w:rPr>
          <w:rFonts w:ascii="Times New Roman" w:hAnsi="Times New Roman" w:eastAsia="仿宋_GB2312" w:cs="Times New Roman"/>
          <w:kern w:val="2"/>
          <w:sz w:val="32"/>
          <w:szCs w:val="32"/>
          <w:lang w:val="zh-CN"/>
        </w:rPr>
        <w:t>年度公务接待费支出预算为2万元，支出决算0.87万元，完成预算的43.3%。公务接待费支出较预算</w:t>
      </w:r>
      <w:r>
        <w:rPr>
          <w:rFonts w:hint="eastAsia" w:ascii="Times New Roman" w:hAnsi="Times New Roman" w:eastAsia="仿宋_GB2312" w:cs="Times New Roman"/>
          <w:kern w:val="2"/>
          <w:sz w:val="32"/>
          <w:szCs w:val="32"/>
          <w:lang w:val="zh-CN"/>
        </w:rPr>
        <w:t>减少1.13万元，降低56.7%，</w:t>
      </w:r>
      <w:r>
        <w:rPr>
          <w:rFonts w:ascii="Times New Roman" w:hAnsi="Times New Roman" w:eastAsia="仿宋_GB2312" w:cs="Times New Roman"/>
          <w:kern w:val="2"/>
          <w:sz w:val="32"/>
          <w:szCs w:val="32"/>
          <w:lang w:val="zh-CN"/>
        </w:rPr>
        <w:t>主要是</w:t>
      </w:r>
      <w:r>
        <w:rPr>
          <w:rFonts w:hint="eastAsia" w:ascii="Times New Roman" w:hAnsi="Times New Roman" w:eastAsia="仿宋_GB2312" w:cs="Times New Roman"/>
          <w:kern w:val="2"/>
          <w:sz w:val="32"/>
          <w:szCs w:val="32"/>
          <w:lang w:val="zh-CN"/>
        </w:rPr>
        <w:t>厉行节约，严格规范公务接待行为和经费支出</w:t>
      </w:r>
      <w:r>
        <w:rPr>
          <w:rFonts w:ascii="Times New Roman" w:hAnsi="Times New Roman" w:eastAsia="仿宋_GB2312" w:cs="Times New Roman"/>
          <w:kern w:val="2"/>
          <w:sz w:val="32"/>
          <w:szCs w:val="32"/>
          <w:lang w:val="zh-CN"/>
        </w:rPr>
        <w:t>；较上年度</w:t>
      </w:r>
      <w:r>
        <w:rPr>
          <w:rFonts w:hint="eastAsia" w:ascii="Times New Roman" w:hAnsi="Times New Roman" w:eastAsia="仿宋_GB2312" w:cs="Times New Roman"/>
          <w:kern w:val="2"/>
          <w:sz w:val="32"/>
          <w:szCs w:val="32"/>
          <w:lang w:val="zh-CN"/>
        </w:rPr>
        <w:t>减少1.13万元，降低56.7%，</w:t>
      </w:r>
      <w:r>
        <w:rPr>
          <w:rFonts w:ascii="Times New Roman" w:hAnsi="Times New Roman" w:eastAsia="仿宋_GB2312" w:cs="Times New Roman"/>
          <w:kern w:val="2"/>
          <w:sz w:val="32"/>
          <w:szCs w:val="32"/>
          <w:lang w:val="zh-CN"/>
        </w:rPr>
        <w:t>主要是</w:t>
      </w:r>
      <w:r>
        <w:rPr>
          <w:rFonts w:hint="eastAsia" w:ascii="Times New Roman" w:hAnsi="Times New Roman" w:eastAsia="仿宋_GB2312" w:cs="Times New Roman"/>
          <w:kern w:val="2"/>
          <w:sz w:val="32"/>
          <w:szCs w:val="32"/>
          <w:lang w:val="zh-CN"/>
        </w:rPr>
        <w:t>厉行节约，严格规范公务接待行为和经费支出</w:t>
      </w:r>
      <w:r>
        <w:rPr>
          <w:rFonts w:ascii="Times New Roman" w:hAnsi="Times New Roman" w:eastAsia="仿宋_GB2312" w:cs="Times New Roman"/>
          <w:kern w:val="2"/>
          <w:sz w:val="32"/>
          <w:szCs w:val="32"/>
          <w:lang w:val="zh-CN"/>
        </w:rPr>
        <w:t>。本年度共发生公务接待</w:t>
      </w:r>
      <w:r>
        <w:rPr>
          <w:rFonts w:hint="eastAsia" w:ascii="Times New Roman" w:hAnsi="Times New Roman" w:eastAsia="仿宋_GB2312" w:cs="Times New Roman"/>
          <w:kern w:val="2"/>
          <w:sz w:val="32"/>
          <w:szCs w:val="32"/>
          <w:lang w:val="en-US" w:eastAsia="zh-CN"/>
        </w:rPr>
        <w:t>6</w:t>
      </w:r>
      <w:r>
        <w:rPr>
          <w:rFonts w:ascii="Times New Roman" w:hAnsi="Times New Roman" w:eastAsia="仿宋_GB2312" w:cs="Times New Roman"/>
          <w:kern w:val="2"/>
          <w:sz w:val="32"/>
          <w:szCs w:val="32"/>
          <w:lang w:val="zh-CN"/>
        </w:rPr>
        <w:t>批次、</w:t>
      </w:r>
      <w:r>
        <w:rPr>
          <w:rFonts w:hint="eastAsia" w:ascii="Times New Roman" w:hAnsi="Times New Roman" w:eastAsia="仿宋_GB2312" w:cs="Times New Roman"/>
          <w:kern w:val="2"/>
          <w:sz w:val="32"/>
          <w:szCs w:val="32"/>
          <w:lang w:val="en-US" w:eastAsia="zh-CN"/>
        </w:rPr>
        <w:t>59</w:t>
      </w:r>
      <w:r>
        <w:rPr>
          <w:rFonts w:ascii="Times New Roman" w:hAnsi="Times New Roman" w:eastAsia="仿宋_GB2312" w:cs="Times New Roman"/>
          <w:kern w:val="2"/>
          <w:sz w:val="32"/>
          <w:szCs w:val="32"/>
          <w:lang w:val="zh-CN"/>
        </w:rPr>
        <w:t>人次。</w:t>
      </w:r>
    </w:p>
    <w:p>
      <w:pPr>
        <w:pStyle w:val="10"/>
        <w:widowControl/>
        <w:spacing w:beforeAutospacing="0" w:afterAutospacing="0"/>
        <w:jc w:val="both"/>
        <w:outlineLvl w:val="1"/>
        <w:rPr>
          <w:rFonts w:ascii="Times New Roman" w:hAnsi="Times New Roman" w:eastAsia="仿宋_GB2312"/>
          <w:sz w:val="32"/>
          <w:szCs w:val="32"/>
          <w:highlight w:val="yellow"/>
        </w:rPr>
      </w:pPr>
      <w:r>
        <w:rPr>
          <w:rFonts w:ascii="Times New Roman" w:hAnsi="Times New Roman" w:eastAsia="黑体"/>
          <w:color w:val="333333"/>
          <w:sz w:val="33"/>
          <w:szCs w:val="33"/>
          <w:shd w:val="clear" w:color="auto" w:fill="FFFFFF"/>
        </w:rPr>
        <w:t>六、</w:t>
      </w:r>
      <w:r>
        <w:rPr>
          <w:rFonts w:ascii="Times New Roman" w:hAnsi="Times New Roman" w:eastAsia="黑体"/>
          <w:sz w:val="32"/>
          <w:szCs w:val="32"/>
        </w:rPr>
        <w:t>机关运行经费支出说明</w:t>
      </w:r>
    </w:p>
    <w:p>
      <w:pPr>
        <w:pStyle w:val="10"/>
        <w:widowControl/>
        <w:spacing w:beforeAutospacing="0" w:afterAutospacing="0"/>
        <w:rPr>
          <w:rFonts w:ascii="Times New Roman" w:hAnsi="Times New Roman" w:eastAsia="仿宋_GB2312"/>
          <w:sz w:val="32"/>
          <w:szCs w:val="32"/>
          <w:highlight w:val="yellow"/>
        </w:rPr>
      </w:pPr>
      <w:r>
        <w:rPr>
          <w:rFonts w:ascii="Times New Roman" w:hAnsi="Times New Roman" w:eastAsia="仿宋_GB2312"/>
          <w:color w:val="333333"/>
          <w:sz w:val="33"/>
          <w:szCs w:val="33"/>
          <w:shd w:val="clear" w:color="auto" w:fill="FFFFFF"/>
        </w:rPr>
        <w:t xml:space="preserve">     </w:t>
      </w:r>
      <w:r>
        <w:rPr>
          <w:rFonts w:ascii="Times New Roman" w:hAnsi="Times New Roman" w:eastAsia="仿宋_GB2312"/>
          <w:kern w:val="2"/>
          <w:sz w:val="32"/>
          <w:szCs w:val="32"/>
          <w:lang w:val="zh-CN"/>
        </w:rPr>
        <w:t>本单位202</w:t>
      </w:r>
      <w:r>
        <w:rPr>
          <w:rFonts w:ascii="Times New Roman" w:hAnsi="Times New Roman" w:eastAsia="仿宋_GB2312"/>
          <w:kern w:val="2"/>
          <w:sz w:val="32"/>
          <w:szCs w:val="32"/>
        </w:rPr>
        <w:t>3</w:t>
      </w:r>
      <w:r>
        <w:rPr>
          <w:rFonts w:ascii="Times New Roman" w:hAnsi="Times New Roman" w:eastAsia="仿宋_GB2312"/>
          <w:kern w:val="2"/>
          <w:sz w:val="32"/>
          <w:szCs w:val="32"/>
          <w:lang w:val="zh-CN"/>
        </w:rPr>
        <w:t>年度机关运行经费支出140.24万元，较2022年度</w:t>
      </w:r>
      <w:r>
        <w:rPr>
          <w:rFonts w:hint="eastAsia" w:ascii="Times New Roman" w:hAnsi="Times New Roman" w:eastAsia="仿宋_GB2312"/>
          <w:kern w:val="2"/>
          <w:sz w:val="32"/>
          <w:szCs w:val="32"/>
          <w:lang w:val="zh-CN"/>
        </w:rPr>
        <w:t>减少29.84万元，降低17.54%，</w:t>
      </w:r>
      <w:r>
        <w:rPr>
          <w:rFonts w:ascii="Times New Roman" w:hAnsi="Times New Roman" w:eastAsia="仿宋_GB2312"/>
          <w:kern w:val="2"/>
          <w:sz w:val="32"/>
          <w:szCs w:val="32"/>
          <w:lang w:val="zh-CN"/>
        </w:rPr>
        <w:t>主要原因是</w:t>
      </w:r>
      <w:r>
        <w:rPr>
          <w:rFonts w:hint="eastAsia" w:ascii="Times New Roman" w:hAnsi="Times New Roman" w:eastAsia="仿宋_GB2312"/>
          <w:kern w:val="2"/>
          <w:sz w:val="32"/>
          <w:szCs w:val="32"/>
          <w:lang w:val="zh-CN"/>
        </w:rPr>
        <w:t>厉行节约，严格规范经费支出。</w:t>
      </w:r>
    </w:p>
    <w:p>
      <w:pPr>
        <w:adjustRightInd w:val="0"/>
        <w:snapToGrid w:val="0"/>
        <w:spacing w:line="580" w:lineRule="exact"/>
        <w:ind w:firstLine="660" w:firstLineChars="200"/>
        <w:rPr>
          <w:rFonts w:ascii="Times New Roman" w:hAnsi="Times New Roman" w:eastAsia="仿宋_GB2312" w:cs="Times New Roman"/>
          <w:sz w:val="32"/>
          <w:szCs w:val="32"/>
          <w:highlight w:val="yellow"/>
        </w:rPr>
      </w:pPr>
      <w:r>
        <w:rPr>
          <w:rFonts w:ascii="Times New Roman" w:hAnsi="Times New Roman" w:eastAsia="黑体" w:cs="Times New Roman"/>
          <w:color w:val="333333"/>
          <w:sz w:val="33"/>
          <w:szCs w:val="33"/>
          <w:shd w:val="clear" w:color="auto" w:fill="FFFFFF"/>
        </w:rPr>
        <w:t>七、</w:t>
      </w:r>
      <w:r>
        <w:rPr>
          <w:rFonts w:ascii="Times New Roman" w:hAnsi="Times New Roman" w:eastAsia="黑体" w:cs="Times New Roman"/>
          <w:sz w:val="32"/>
          <w:szCs w:val="32"/>
        </w:rPr>
        <w:t>政府采购支出说明</w:t>
      </w:r>
    </w:p>
    <w:p>
      <w:pPr>
        <w:pStyle w:val="10"/>
        <w:widowControl/>
        <w:spacing w:beforeAutospacing="0" w:afterAutospacing="0"/>
        <w:rPr>
          <w:rFonts w:ascii="Times New Roman" w:hAnsi="Times New Roman" w:eastAsia="仿宋_GB2312"/>
          <w:sz w:val="32"/>
          <w:szCs w:val="32"/>
          <w:highlight w:val="yellow"/>
        </w:rPr>
      </w:pPr>
      <w:r>
        <w:rPr>
          <w:rFonts w:ascii="Times New Roman" w:hAnsi="Times New Roman" w:eastAsia="Arial"/>
          <w:color w:val="333333"/>
          <w:sz w:val="19"/>
          <w:szCs w:val="19"/>
          <w:shd w:val="clear" w:color="auto" w:fill="FFFFFF"/>
        </w:rPr>
        <w:t> </w:t>
      </w:r>
      <w:r>
        <w:rPr>
          <w:rFonts w:ascii="Times New Roman" w:hAnsi="Times New Roman" w:eastAsia="仿宋_GB2312"/>
          <w:color w:val="333333"/>
          <w:sz w:val="33"/>
          <w:szCs w:val="33"/>
          <w:shd w:val="clear" w:color="auto" w:fill="FFFFFF"/>
        </w:rPr>
        <w:t xml:space="preserve">     </w:t>
      </w:r>
      <w:r>
        <w:rPr>
          <w:rFonts w:ascii="Times New Roman" w:hAnsi="Times New Roman" w:eastAsia="仿宋_GB2312"/>
          <w:kern w:val="2"/>
          <w:sz w:val="32"/>
          <w:szCs w:val="32"/>
          <w:lang w:val="zh-CN"/>
        </w:rPr>
        <w:t>本单位202</w:t>
      </w:r>
      <w:r>
        <w:rPr>
          <w:rFonts w:ascii="Times New Roman" w:hAnsi="Times New Roman" w:eastAsia="仿宋_GB2312"/>
          <w:kern w:val="2"/>
          <w:sz w:val="32"/>
          <w:szCs w:val="32"/>
        </w:rPr>
        <w:t>3</w:t>
      </w:r>
      <w:r>
        <w:rPr>
          <w:rFonts w:ascii="Times New Roman" w:hAnsi="Times New Roman" w:eastAsia="仿宋_GB2312"/>
          <w:kern w:val="2"/>
          <w:sz w:val="32"/>
          <w:szCs w:val="32"/>
          <w:lang w:val="zh-CN"/>
        </w:rPr>
        <w:t>年度政府采购支出总额20万元，从采购类型来看，政府采购货物支出1.1万元、政府采购工程支出0万元、政府采购服务支出18.9万元。授予中小企业</w:t>
      </w:r>
      <w:r>
        <w:rPr>
          <w:rFonts w:ascii="Times New Roman" w:hAnsi="Times New Roman" w:eastAsia="仿宋_GB2312"/>
          <w:kern w:val="2"/>
          <w:sz w:val="32"/>
          <w:szCs w:val="32"/>
        </w:rPr>
        <w:t>合同金额</w:t>
      </w:r>
      <w:r>
        <w:rPr>
          <w:rFonts w:ascii="Times New Roman" w:hAnsi="Times New Roman" w:eastAsia="仿宋_GB2312"/>
          <w:kern w:val="2"/>
          <w:sz w:val="32"/>
          <w:szCs w:val="32"/>
          <w:lang w:val="zh-CN"/>
        </w:rPr>
        <w:t>20万元，占政府采购支出总额的100%，其中授予小微企业合同金额20万元，占政府采购支出总额的100%。</w:t>
      </w:r>
    </w:p>
    <w:p>
      <w:pPr>
        <w:snapToGrid w:val="0"/>
        <w:spacing w:line="580" w:lineRule="exact"/>
        <w:ind w:firstLine="660" w:firstLineChars="200"/>
        <w:jc w:val="left"/>
        <w:rPr>
          <w:rFonts w:ascii="Times New Roman" w:hAnsi="Times New Roman" w:eastAsia="仿宋_GB2312" w:cs="Times New Roman"/>
          <w:sz w:val="32"/>
          <w:szCs w:val="32"/>
          <w:highlight w:val="yellow"/>
        </w:rPr>
      </w:pPr>
      <w:r>
        <w:rPr>
          <w:rFonts w:ascii="Times New Roman" w:hAnsi="Times New Roman" w:eastAsia="黑体" w:cs="Times New Roman"/>
          <w:color w:val="333333"/>
          <w:sz w:val="33"/>
          <w:szCs w:val="33"/>
          <w:shd w:val="clear" w:color="auto" w:fill="FFFFFF"/>
        </w:rPr>
        <w:t>八、</w:t>
      </w:r>
      <w:r>
        <w:rPr>
          <w:rFonts w:ascii="Times New Roman" w:hAnsi="Times New Roman" w:eastAsia="黑体" w:cs="Times New Roman"/>
          <w:sz w:val="32"/>
          <w:szCs w:val="32"/>
        </w:rPr>
        <w:t>国有资产占用情况说明</w:t>
      </w:r>
    </w:p>
    <w:p>
      <w:pPr>
        <w:pStyle w:val="10"/>
        <w:widowControl/>
        <w:spacing w:beforeAutospacing="0" w:afterAutospacing="0"/>
        <w:rPr>
          <w:rFonts w:ascii="Times New Roman" w:hAnsi="Times New Roman" w:eastAsia="仿宋_GB2312"/>
          <w:kern w:val="2"/>
          <w:sz w:val="32"/>
          <w:szCs w:val="32"/>
          <w:lang w:val="zh-CN"/>
        </w:rPr>
      </w:pPr>
      <w:r>
        <w:rPr>
          <w:rFonts w:ascii="Times New Roman" w:hAnsi="Times New Roman" w:eastAsia="仿宋_GB2312"/>
          <w:color w:val="333333"/>
          <w:sz w:val="33"/>
          <w:szCs w:val="33"/>
          <w:shd w:val="clear" w:color="auto" w:fill="FFFFFF"/>
        </w:rPr>
        <w:t xml:space="preserve">     </w:t>
      </w:r>
      <w:r>
        <w:rPr>
          <w:rFonts w:ascii="Times New Roman" w:hAnsi="Times New Roman" w:eastAsia="仿宋_GB2312"/>
          <w:kern w:val="2"/>
          <w:sz w:val="32"/>
          <w:szCs w:val="32"/>
          <w:lang w:val="zh-CN"/>
        </w:rPr>
        <w:t>截至202</w:t>
      </w:r>
      <w:r>
        <w:rPr>
          <w:rFonts w:ascii="Times New Roman" w:hAnsi="Times New Roman" w:eastAsia="仿宋_GB2312"/>
          <w:kern w:val="2"/>
          <w:sz w:val="32"/>
          <w:szCs w:val="32"/>
        </w:rPr>
        <w:t>3</w:t>
      </w:r>
      <w:r>
        <w:rPr>
          <w:rFonts w:ascii="Times New Roman" w:hAnsi="Times New Roman" w:eastAsia="仿宋_GB2312"/>
          <w:kern w:val="2"/>
          <w:sz w:val="32"/>
          <w:szCs w:val="32"/>
          <w:lang w:val="zh-CN"/>
        </w:rPr>
        <w:t>年12月31日，本单位共有车辆6辆，比上年</w:t>
      </w:r>
      <w:r>
        <w:rPr>
          <w:rFonts w:hint="eastAsia" w:ascii="Times New Roman" w:hAnsi="Times New Roman" w:eastAsia="仿宋_GB2312"/>
          <w:kern w:val="2"/>
          <w:sz w:val="32"/>
          <w:szCs w:val="32"/>
          <w:lang w:val="zh-CN"/>
        </w:rPr>
        <w:t>持平</w:t>
      </w:r>
      <w:r>
        <w:rPr>
          <w:rFonts w:ascii="Times New Roman" w:hAnsi="Times New Roman" w:eastAsia="仿宋_GB2312"/>
          <w:kern w:val="2"/>
          <w:sz w:val="32"/>
          <w:szCs w:val="32"/>
          <w:lang w:val="zh-CN"/>
        </w:rPr>
        <w:t>辆</w:t>
      </w:r>
      <w:r>
        <w:rPr>
          <w:rFonts w:hint="eastAsia" w:ascii="Times New Roman" w:hAnsi="Times New Roman" w:eastAsia="仿宋_GB2312"/>
          <w:kern w:val="2"/>
          <w:sz w:val="32"/>
          <w:szCs w:val="32"/>
          <w:lang w:val="zh-CN"/>
        </w:rPr>
        <w:t>，</w:t>
      </w:r>
      <w:r>
        <w:rPr>
          <w:rFonts w:hint="eastAsia" w:ascii="Times New Roman" w:hAnsi="Times New Roman" w:eastAsia="仿宋_GB2312"/>
          <w:kern w:val="2"/>
          <w:sz w:val="32"/>
          <w:szCs w:val="32"/>
          <w:lang w:val="en-US" w:eastAsia="zh-CN"/>
        </w:rPr>
        <w:t>无增减变化</w:t>
      </w:r>
      <w:r>
        <w:rPr>
          <w:rFonts w:ascii="Times New Roman" w:hAnsi="Times New Roman" w:eastAsia="仿宋_GB2312"/>
          <w:kern w:val="2"/>
          <w:sz w:val="32"/>
          <w:szCs w:val="32"/>
          <w:lang w:val="zh-CN"/>
        </w:rPr>
        <w:t>。其中，副部（省）级及以上领导用车0辆，主要</w:t>
      </w:r>
      <w:r>
        <w:rPr>
          <w:rFonts w:ascii="Times New Roman" w:hAnsi="Times New Roman" w:eastAsia="仿宋_GB2312"/>
          <w:kern w:val="2"/>
          <w:sz w:val="32"/>
          <w:szCs w:val="32"/>
        </w:rPr>
        <w:t>负责人</w:t>
      </w:r>
      <w:r>
        <w:rPr>
          <w:rFonts w:ascii="Times New Roman" w:hAnsi="Times New Roman" w:eastAsia="仿宋_GB2312"/>
          <w:kern w:val="2"/>
          <w:sz w:val="32"/>
          <w:szCs w:val="32"/>
          <w:lang w:val="zh-CN"/>
        </w:rPr>
        <w:t>用车0辆，机要通信用车0辆，应急保障用车0辆，执法执勤用车0辆，特种专业技术用车0辆，离退休干部用车0辆，其他用车6辆，其他用车主要是</w:t>
      </w:r>
      <w:r>
        <w:rPr>
          <w:rFonts w:hint="eastAsia" w:ascii="仿宋_GB2312" w:eastAsia="仿宋_GB2312" w:cs="DengXian-Regular"/>
          <w:sz w:val="32"/>
          <w:szCs w:val="32"/>
          <w:highlight w:val="none"/>
        </w:rPr>
        <w:t>正</w:t>
      </w:r>
      <w:r>
        <w:rPr>
          <w:rFonts w:hint="eastAsia" w:ascii="仿宋_GB2312" w:eastAsia="仿宋_GB2312" w:cs="DengXian-Regular"/>
          <w:sz w:val="32"/>
          <w:szCs w:val="32"/>
        </w:rPr>
        <w:t>常公务用车</w:t>
      </w:r>
      <w:r>
        <w:rPr>
          <w:rFonts w:ascii="Times New Roman" w:hAnsi="Times New Roman" w:eastAsia="仿宋_GB2312"/>
          <w:kern w:val="2"/>
          <w:sz w:val="32"/>
          <w:szCs w:val="32"/>
          <w:lang w:val="zh-CN"/>
        </w:rPr>
        <w:t>。单位价值100万元（含）以上设备（不含车辆）0台（套）。</w:t>
      </w:r>
    </w:p>
    <w:p>
      <w:pPr>
        <w:pStyle w:val="10"/>
        <w:widowControl/>
        <w:spacing w:beforeAutospacing="0" w:afterAutospacing="0"/>
        <w:ind w:firstLine="640" w:firstLineChars="200"/>
        <w:jc w:val="both"/>
        <w:outlineLvl w:val="1"/>
        <w:rPr>
          <w:rFonts w:ascii="Times New Roman" w:hAnsi="Times New Roman" w:eastAsia="黑体"/>
          <w:kern w:val="2"/>
          <w:sz w:val="32"/>
          <w:szCs w:val="40"/>
        </w:rPr>
      </w:pPr>
      <w:r>
        <w:rPr>
          <w:rFonts w:ascii="Times New Roman" w:hAnsi="Times New Roman" w:eastAsia="黑体"/>
          <w:kern w:val="2"/>
          <w:sz w:val="32"/>
          <w:szCs w:val="40"/>
        </w:rPr>
        <w:t>九、预算绩效情况说明</w:t>
      </w:r>
    </w:p>
    <w:p>
      <w:pPr>
        <w:adjustRightInd w:val="0"/>
        <w:snapToGrid w:val="0"/>
        <w:spacing w:line="580" w:lineRule="exact"/>
        <w:ind w:firstLine="643" w:firstLineChars="200"/>
        <w:rPr>
          <w:rFonts w:ascii="Times New Roman" w:hAnsi="Times New Roman" w:eastAsia="仿宋_GB2312" w:cs="Times New Roman"/>
          <w:b/>
          <w:bCs/>
          <w:sz w:val="32"/>
          <w:szCs w:val="32"/>
        </w:rPr>
      </w:pPr>
      <w:r>
        <w:rPr>
          <w:rFonts w:ascii="Times New Roman" w:hAnsi="Times New Roman" w:eastAsia="仿宋_GB2312" w:cs="Times New Roman"/>
          <w:b/>
          <w:bCs/>
          <w:sz w:val="32"/>
          <w:szCs w:val="32"/>
        </w:rPr>
        <w:t>（一）预算绩效管理工作开展情况</w:t>
      </w:r>
    </w:p>
    <w:p>
      <w:pPr>
        <w:pStyle w:val="10"/>
        <w:widowControl/>
        <w:spacing w:beforeAutospacing="0" w:afterAutospacing="0"/>
        <w:ind w:firstLine="640" w:firstLineChars="200"/>
        <w:rPr>
          <w:rFonts w:ascii="Times New Roman" w:hAnsi="Times New Roman" w:eastAsia="仿宋_GB2312"/>
          <w:kern w:val="2"/>
          <w:sz w:val="32"/>
          <w:szCs w:val="32"/>
          <w:lang w:val="zh-CN"/>
        </w:rPr>
      </w:pPr>
      <w:r>
        <w:rPr>
          <w:rFonts w:ascii="Times New Roman" w:hAnsi="Times New Roman" w:eastAsia="仿宋_GB2312"/>
          <w:kern w:val="2"/>
          <w:sz w:val="32"/>
          <w:szCs w:val="32"/>
          <w:lang w:val="zh-CN"/>
        </w:rPr>
        <w:t>根据预算绩效管理要求，本单位组织对2023年度一般公共预算项目支出全面开展绩效自评，其中，一级项目</w:t>
      </w:r>
      <w:r>
        <w:rPr>
          <w:rFonts w:hint="eastAsia" w:ascii="Times New Roman" w:hAnsi="Times New Roman" w:eastAsia="仿宋_GB2312"/>
          <w:kern w:val="2"/>
          <w:sz w:val="32"/>
          <w:szCs w:val="32"/>
          <w:lang w:val="en-US" w:eastAsia="zh-CN"/>
        </w:rPr>
        <w:t>9</w:t>
      </w:r>
      <w:r>
        <w:rPr>
          <w:rFonts w:ascii="Times New Roman" w:hAnsi="Times New Roman" w:eastAsia="仿宋_GB2312"/>
          <w:kern w:val="2"/>
          <w:sz w:val="32"/>
          <w:szCs w:val="32"/>
          <w:lang w:val="zh-CN"/>
        </w:rPr>
        <w:t>个，二级项目</w:t>
      </w:r>
      <w:r>
        <w:rPr>
          <w:rFonts w:hint="eastAsia" w:ascii="Times New Roman" w:hAnsi="Times New Roman" w:eastAsia="仿宋_GB2312"/>
          <w:kern w:val="2"/>
          <w:sz w:val="32"/>
          <w:szCs w:val="32"/>
          <w:lang w:val="en-US" w:eastAsia="zh-CN"/>
        </w:rPr>
        <w:t>0</w:t>
      </w:r>
      <w:r>
        <w:rPr>
          <w:rFonts w:ascii="Times New Roman" w:hAnsi="Times New Roman" w:eastAsia="仿宋_GB2312"/>
          <w:kern w:val="2"/>
          <w:sz w:val="32"/>
          <w:szCs w:val="32"/>
          <w:lang w:val="zh-CN"/>
        </w:rPr>
        <w:t>个，共涉及资金</w:t>
      </w:r>
      <w:r>
        <w:rPr>
          <w:rFonts w:hint="eastAsia" w:ascii="Times New Roman" w:hAnsi="Times New Roman" w:eastAsia="仿宋_GB2312"/>
          <w:kern w:val="2"/>
          <w:sz w:val="32"/>
          <w:szCs w:val="32"/>
          <w:lang w:val="en-US" w:eastAsia="zh-CN"/>
        </w:rPr>
        <w:t>105.33</w:t>
      </w:r>
      <w:r>
        <w:rPr>
          <w:rFonts w:ascii="Times New Roman" w:hAnsi="Times New Roman" w:eastAsia="仿宋_GB2312"/>
          <w:kern w:val="2"/>
          <w:sz w:val="32"/>
          <w:szCs w:val="32"/>
          <w:lang w:val="zh-CN"/>
        </w:rPr>
        <w:t>万元，占一般公共预算项目支出总额的</w:t>
      </w:r>
      <w:r>
        <w:rPr>
          <w:rFonts w:hint="eastAsia" w:ascii="Times New Roman" w:hAnsi="Times New Roman" w:eastAsia="仿宋_GB2312"/>
          <w:kern w:val="2"/>
          <w:sz w:val="32"/>
          <w:szCs w:val="32"/>
          <w:lang w:val="en-US" w:eastAsia="zh-CN"/>
        </w:rPr>
        <w:t>100</w:t>
      </w:r>
      <w:r>
        <w:rPr>
          <w:rFonts w:ascii="Times New Roman" w:hAnsi="Times New Roman" w:eastAsia="仿宋_GB2312"/>
          <w:kern w:val="2"/>
          <w:sz w:val="32"/>
          <w:szCs w:val="32"/>
          <w:lang w:val="zh-CN"/>
        </w:rPr>
        <w:t>%。组织对2023年度</w:t>
      </w:r>
      <w:r>
        <w:rPr>
          <w:rFonts w:hint="eastAsia" w:ascii="Times New Roman" w:hAnsi="Times New Roman" w:eastAsia="仿宋_GB2312"/>
          <w:kern w:val="2"/>
          <w:sz w:val="32"/>
          <w:szCs w:val="32"/>
          <w:lang w:val="zh-CN"/>
        </w:rPr>
        <w:t>政协委员工作站（室）建设活动经费、政协委员专项经费、政协文史资料编印费、政协委员报刊、杂志书籍订阅费、工商联专项业务费、退役军人公益岗补贴、政协会议政务外网使用费、“智慧政协”移动云服务费、政协会议、</w:t>
      </w:r>
      <w:r>
        <w:rPr>
          <w:rFonts w:hint="eastAsia" w:ascii="Times New Roman" w:hAnsi="Times New Roman" w:eastAsia="仿宋_GB2312"/>
          <w:kern w:val="2"/>
          <w:sz w:val="32"/>
          <w:szCs w:val="32"/>
          <w:lang w:val="en-US" w:eastAsia="zh-CN"/>
        </w:rPr>
        <w:t>公务接待</w:t>
      </w:r>
      <w:r>
        <w:rPr>
          <w:rFonts w:ascii="Times New Roman" w:hAnsi="Times New Roman" w:eastAsia="仿宋_GB2312"/>
          <w:kern w:val="2"/>
          <w:sz w:val="32"/>
          <w:szCs w:val="32"/>
          <w:lang w:val="zh-CN"/>
        </w:rPr>
        <w:t>等</w:t>
      </w:r>
      <w:r>
        <w:rPr>
          <w:rFonts w:hint="eastAsia" w:ascii="Times New Roman" w:hAnsi="Times New Roman" w:eastAsia="仿宋_GB2312"/>
          <w:kern w:val="2"/>
          <w:sz w:val="32"/>
          <w:szCs w:val="32"/>
          <w:lang w:val="en-US" w:eastAsia="zh-CN"/>
        </w:rPr>
        <w:t>9</w:t>
      </w:r>
      <w:r>
        <w:rPr>
          <w:rFonts w:ascii="Times New Roman" w:hAnsi="Times New Roman" w:eastAsia="仿宋_GB2312"/>
          <w:kern w:val="2"/>
          <w:sz w:val="32"/>
          <w:szCs w:val="32"/>
          <w:lang w:val="zh-CN"/>
        </w:rPr>
        <w:t>个政府性基金预算项目支出开展绩效自评，共涉及资金</w:t>
      </w:r>
      <w:r>
        <w:rPr>
          <w:rFonts w:hint="eastAsia" w:ascii="Times New Roman" w:hAnsi="Times New Roman" w:eastAsia="仿宋_GB2312"/>
          <w:kern w:val="2"/>
          <w:sz w:val="32"/>
          <w:szCs w:val="32"/>
          <w:lang w:val="en-US" w:eastAsia="zh-CN"/>
        </w:rPr>
        <w:t>0</w:t>
      </w:r>
      <w:r>
        <w:rPr>
          <w:rFonts w:ascii="Times New Roman" w:hAnsi="Times New Roman" w:eastAsia="仿宋_GB2312"/>
          <w:kern w:val="2"/>
          <w:sz w:val="32"/>
          <w:szCs w:val="32"/>
          <w:lang w:val="zh-CN"/>
        </w:rPr>
        <w:t>万元，占政府性基金预算项目支出总额的</w:t>
      </w:r>
      <w:r>
        <w:rPr>
          <w:rFonts w:hint="eastAsia" w:ascii="Times New Roman" w:hAnsi="Times New Roman" w:eastAsia="仿宋_GB2312"/>
          <w:kern w:val="2"/>
          <w:sz w:val="32"/>
          <w:szCs w:val="32"/>
          <w:lang w:val="en-US" w:eastAsia="zh-CN"/>
        </w:rPr>
        <w:t>0</w:t>
      </w:r>
      <w:r>
        <w:rPr>
          <w:rFonts w:ascii="Times New Roman" w:hAnsi="Times New Roman" w:eastAsia="仿宋_GB2312"/>
          <w:kern w:val="2"/>
          <w:sz w:val="32"/>
          <w:szCs w:val="32"/>
          <w:lang w:val="zh-CN"/>
        </w:rPr>
        <w:t>%。组织对2023年度</w:t>
      </w:r>
      <w:r>
        <w:rPr>
          <w:rFonts w:hint="eastAsia" w:ascii="Times New Roman" w:hAnsi="Times New Roman" w:eastAsia="仿宋_GB2312"/>
          <w:kern w:val="2"/>
          <w:sz w:val="32"/>
          <w:szCs w:val="32"/>
          <w:lang w:val="zh-CN"/>
        </w:rPr>
        <w:t>政协委员工作站（室）建设活动经费、政协委员专项经费、政协文史资料编印费、政协委员报刊、杂志书籍订阅费、工商联专项业务费、退役军人公益岗补贴、政协会议政务外网使用费、“智慧政协”移动云服务费、政协会议、公务接待</w:t>
      </w:r>
      <w:r>
        <w:rPr>
          <w:rFonts w:ascii="Times New Roman" w:hAnsi="Times New Roman" w:eastAsia="仿宋_GB2312"/>
          <w:kern w:val="2"/>
          <w:sz w:val="32"/>
          <w:szCs w:val="32"/>
          <w:lang w:val="zh-CN"/>
        </w:rPr>
        <w:t>等</w:t>
      </w:r>
      <w:r>
        <w:rPr>
          <w:rFonts w:hint="eastAsia" w:ascii="Times New Roman" w:hAnsi="Times New Roman" w:eastAsia="仿宋_GB2312"/>
          <w:kern w:val="2"/>
          <w:sz w:val="32"/>
          <w:szCs w:val="32"/>
          <w:lang w:val="en-US" w:eastAsia="zh-CN"/>
        </w:rPr>
        <w:t>9</w:t>
      </w:r>
      <w:r>
        <w:rPr>
          <w:rFonts w:ascii="Times New Roman" w:hAnsi="Times New Roman" w:eastAsia="仿宋_GB2312"/>
          <w:kern w:val="2"/>
          <w:sz w:val="32"/>
          <w:szCs w:val="32"/>
          <w:lang w:val="zh-CN"/>
        </w:rPr>
        <w:t>个国有资本经营预算项目支出开展绩效自评，共涉及资金</w:t>
      </w:r>
      <w:r>
        <w:rPr>
          <w:rFonts w:hint="eastAsia" w:ascii="Times New Roman" w:hAnsi="Times New Roman" w:eastAsia="仿宋_GB2312"/>
          <w:kern w:val="2"/>
          <w:sz w:val="32"/>
          <w:szCs w:val="32"/>
          <w:lang w:val="en-US" w:eastAsia="zh-CN"/>
        </w:rPr>
        <w:t>0</w:t>
      </w:r>
      <w:r>
        <w:rPr>
          <w:rFonts w:ascii="Times New Roman" w:hAnsi="Times New Roman" w:eastAsia="仿宋_GB2312"/>
          <w:kern w:val="2"/>
          <w:sz w:val="32"/>
          <w:szCs w:val="32"/>
          <w:lang w:val="zh-CN"/>
        </w:rPr>
        <w:t>万元，占国有资本经营预算项目支出总额的</w:t>
      </w:r>
      <w:r>
        <w:rPr>
          <w:rFonts w:hint="eastAsia" w:ascii="Times New Roman" w:hAnsi="Times New Roman" w:eastAsia="仿宋_GB2312"/>
          <w:kern w:val="2"/>
          <w:sz w:val="32"/>
          <w:szCs w:val="32"/>
          <w:lang w:val="en-US" w:eastAsia="zh-CN"/>
        </w:rPr>
        <w:t>0</w:t>
      </w:r>
      <w:r>
        <w:rPr>
          <w:rFonts w:ascii="Times New Roman" w:hAnsi="Times New Roman" w:eastAsia="仿宋_GB2312"/>
          <w:kern w:val="2"/>
          <w:sz w:val="32"/>
          <w:szCs w:val="32"/>
          <w:lang w:val="zh-CN"/>
        </w:rPr>
        <w:t>%。</w:t>
      </w:r>
    </w:p>
    <w:p>
      <w:pPr>
        <w:pStyle w:val="10"/>
        <w:widowControl/>
        <w:spacing w:beforeAutospacing="0" w:afterAutospacing="0"/>
        <w:ind w:firstLine="640" w:firstLineChars="200"/>
        <w:rPr>
          <w:rFonts w:ascii="Times New Roman" w:hAnsi="Times New Roman" w:eastAsia="仿宋_GB2312"/>
          <w:sz w:val="32"/>
          <w:szCs w:val="32"/>
          <w:highlight w:val="yellow"/>
        </w:rPr>
      </w:pPr>
      <w:r>
        <w:rPr>
          <w:rFonts w:ascii="Times New Roman" w:hAnsi="Times New Roman" w:eastAsia="仿宋_GB2312"/>
          <w:kern w:val="2"/>
          <w:sz w:val="32"/>
          <w:szCs w:val="32"/>
          <w:lang w:val="zh-CN"/>
        </w:rPr>
        <w:t>组织对“</w:t>
      </w:r>
      <w:r>
        <w:rPr>
          <w:rFonts w:hint="eastAsia" w:ascii="Times New Roman" w:hAnsi="Times New Roman" w:eastAsia="仿宋_GB2312"/>
          <w:kern w:val="2"/>
          <w:sz w:val="32"/>
          <w:szCs w:val="32"/>
          <w:lang w:val="zh-CN"/>
        </w:rPr>
        <w:t>政协委员专项经费</w:t>
      </w:r>
      <w:r>
        <w:rPr>
          <w:rFonts w:ascii="Times New Roman" w:hAnsi="Times New Roman" w:eastAsia="仿宋_GB2312"/>
          <w:kern w:val="2"/>
          <w:sz w:val="32"/>
          <w:szCs w:val="32"/>
          <w:lang w:val="zh-CN"/>
        </w:rPr>
        <w:t>”“</w:t>
      </w:r>
      <w:r>
        <w:rPr>
          <w:rFonts w:hint="eastAsia" w:ascii="Times New Roman" w:hAnsi="Times New Roman" w:eastAsia="仿宋_GB2312"/>
          <w:kern w:val="2"/>
          <w:sz w:val="32"/>
          <w:szCs w:val="32"/>
          <w:lang w:val="zh-CN"/>
        </w:rPr>
        <w:t>政协文史资料编印费</w:t>
      </w:r>
      <w:r>
        <w:rPr>
          <w:rFonts w:ascii="Times New Roman" w:hAnsi="Times New Roman" w:eastAsia="仿宋_GB2312"/>
          <w:kern w:val="2"/>
          <w:sz w:val="32"/>
          <w:szCs w:val="32"/>
          <w:lang w:val="zh-CN"/>
        </w:rPr>
        <w:t>”等</w:t>
      </w:r>
      <w:r>
        <w:rPr>
          <w:rFonts w:hint="eastAsia" w:ascii="Times New Roman" w:hAnsi="Times New Roman" w:eastAsia="仿宋_GB2312"/>
          <w:kern w:val="2"/>
          <w:sz w:val="32"/>
          <w:szCs w:val="32"/>
          <w:lang w:val="en-US" w:eastAsia="zh-CN"/>
        </w:rPr>
        <w:t>9</w:t>
      </w:r>
      <w:r>
        <w:rPr>
          <w:rFonts w:ascii="Times New Roman" w:hAnsi="Times New Roman" w:eastAsia="仿宋_GB2312"/>
          <w:kern w:val="2"/>
          <w:sz w:val="32"/>
          <w:szCs w:val="32"/>
          <w:lang w:val="zh-CN"/>
        </w:rPr>
        <w:t>个项目开展了部门评价，涉及一般公共预算支出</w:t>
      </w:r>
      <w:r>
        <w:rPr>
          <w:rFonts w:hint="eastAsia" w:ascii="Times New Roman" w:hAnsi="Times New Roman" w:eastAsia="仿宋_GB2312"/>
          <w:kern w:val="2"/>
          <w:sz w:val="32"/>
          <w:szCs w:val="32"/>
          <w:lang w:val="en-US" w:eastAsia="zh-CN"/>
        </w:rPr>
        <w:t>105.33</w:t>
      </w:r>
      <w:r>
        <w:rPr>
          <w:rFonts w:ascii="Times New Roman" w:hAnsi="Times New Roman" w:eastAsia="仿宋_GB2312"/>
          <w:kern w:val="2"/>
          <w:sz w:val="32"/>
          <w:szCs w:val="32"/>
          <w:lang w:val="zh-CN"/>
        </w:rPr>
        <w:t>万元，政府性基金预算支出</w:t>
      </w:r>
      <w:r>
        <w:rPr>
          <w:rFonts w:hint="eastAsia" w:ascii="Times New Roman" w:hAnsi="Times New Roman" w:eastAsia="仿宋_GB2312"/>
          <w:kern w:val="2"/>
          <w:sz w:val="32"/>
          <w:szCs w:val="32"/>
          <w:lang w:val="en-US" w:eastAsia="zh-CN"/>
        </w:rPr>
        <w:t>0</w:t>
      </w:r>
      <w:r>
        <w:rPr>
          <w:rFonts w:ascii="Times New Roman" w:hAnsi="Times New Roman" w:eastAsia="仿宋_GB2312"/>
          <w:kern w:val="2"/>
          <w:sz w:val="32"/>
          <w:szCs w:val="32"/>
          <w:lang w:val="zh-CN"/>
        </w:rPr>
        <w:t>万元，国有资本经营预算支出</w:t>
      </w:r>
      <w:r>
        <w:rPr>
          <w:rFonts w:hint="eastAsia" w:ascii="Times New Roman" w:hAnsi="Times New Roman" w:eastAsia="仿宋_GB2312"/>
          <w:kern w:val="2"/>
          <w:sz w:val="32"/>
          <w:szCs w:val="32"/>
          <w:lang w:val="en-US" w:eastAsia="zh-CN"/>
        </w:rPr>
        <w:t>0</w:t>
      </w:r>
      <w:r>
        <w:rPr>
          <w:rFonts w:ascii="Times New Roman" w:hAnsi="Times New Roman" w:eastAsia="仿宋_GB2312"/>
          <w:kern w:val="2"/>
          <w:sz w:val="32"/>
          <w:szCs w:val="32"/>
          <w:lang w:val="zh-CN"/>
        </w:rPr>
        <w:t>万元。</w:t>
      </w:r>
    </w:p>
    <w:p>
      <w:pPr>
        <w:adjustRightInd w:val="0"/>
        <w:snapToGrid w:val="0"/>
        <w:spacing w:line="580" w:lineRule="exact"/>
        <w:ind w:firstLine="643" w:firstLineChars="200"/>
        <w:rPr>
          <w:rFonts w:ascii="Times New Roman" w:hAnsi="Times New Roman" w:eastAsia="仿宋_GB2312" w:cs="Times New Roman"/>
          <w:b/>
          <w:bCs/>
          <w:sz w:val="32"/>
          <w:szCs w:val="32"/>
        </w:rPr>
      </w:pPr>
      <w:r>
        <w:rPr>
          <w:rFonts w:ascii="Times New Roman" w:hAnsi="Times New Roman" w:eastAsia="仿宋_GB2312" w:cs="Times New Roman"/>
          <w:b/>
          <w:bCs/>
          <w:sz w:val="32"/>
          <w:szCs w:val="32"/>
        </w:rPr>
        <w:t>（二）部门决算中项目绩效自评结果</w:t>
      </w:r>
    </w:p>
    <w:p>
      <w:pPr>
        <w:pStyle w:val="10"/>
        <w:widowControl/>
        <w:spacing w:beforeAutospacing="0" w:afterAutospacing="0"/>
        <w:ind w:firstLine="660" w:firstLineChars="200"/>
        <w:rPr>
          <w:rFonts w:ascii="Times New Roman" w:hAnsi="Times New Roman" w:eastAsia="仿宋_GB2312"/>
          <w:kern w:val="2"/>
          <w:sz w:val="32"/>
          <w:szCs w:val="32"/>
          <w:lang w:val="zh-CN"/>
        </w:rPr>
      </w:pPr>
      <w:r>
        <w:rPr>
          <w:rFonts w:ascii="Times New Roman" w:hAnsi="Times New Roman" w:eastAsia="仿宋_GB2312"/>
          <w:color w:val="333333"/>
          <w:sz w:val="33"/>
          <w:szCs w:val="33"/>
          <w:shd w:val="clear" w:color="auto" w:fill="FFFFFF"/>
        </w:rPr>
        <w:t> </w:t>
      </w:r>
      <w:r>
        <w:rPr>
          <w:rFonts w:ascii="Times New Roman" w:hAnsi="Times New Roman" w:eastAsia="仿宋_GB2312"/>
          <w:kern w:val="2"/>
          <w:sz w:val="32"/>
          <w:szCs w:val="32"/>
          <w:lang w:val="zh-CN"/>
        </w:rPr>
        <w:t>本单位在今年部门决算公开中反映</w:t>
      </w:r>
      <w:r>
        <w:rPr>
          <w:rFonts w:hint="eastAsia" w:ascii="Times New Roman" w:hAnsi="Times New Roman" w:eastAsia="仿宋_GB2312"/>
          <w:kern w:val="2"/>
          <w:sz w:val="32"/>
          <w:szCs w:val="32"/>
          <w:lang w:val="zh-CN"/>
        </w:rPr>
        <w:t>政协委员报刊、杂志书籍订阅费</w:t>
      </w:r>
      <w:r>
        <w:rPr>
          <w:rFonts w:ascii="Times New Roman" w:hAnsi="Times New Roman" w:eastAsia="仿宋_GB2312"/>
          <w:kern w:val="2"/>
          <w:sz w:val="32"/>
          <w:szCs w:val="32"/>
          <w:lang w:val="zh-CN"/>
        </w:rPr>
        <w:t>项目及</w:t>
      </w:r>
      <w:r>
        <w:rPr>
          <w:rFonts w:hint="eastAsia" w:ascii="Times New Roman" w:hAnsi="Times New Roman" w:eastAsia="仿宋_GB2312"/>
          <w:kern w:val="2"/>
          <w:sz w:val="32"/>
          <w:szCs w:val="32"/>
          <w:lang w:val="zh-CN"/>
        </w:rPr>
        <w:t>政协委员专项经费</w:t>
      </w:r>
      <w:r>
        <w:rPr>
          <w:rFonts w:ascii="Times New Roman" w:hAnsi="Times New Roman" w:eastAsia="仿宋_GB2312"/>
          <w:kern w:val="2"/>
          <w:sz w:val="32"/>
          <w:szCs w:val="32"/>
          <w:lang w:val="zh-CN"/>
        </w:rPr>
        <w:t>项目等</w:t>
      </w:r>
      <w:r>
        <w:rPr>
          <w:rFonts w:hint="eastAsia" w:ascii="Times New Roman" w:hAnsi="Times New Roman" w:eastAsia="仿宋_GB2312"/>
          <w:kern w:val="2"/>
          <w:sz w:val="32"/>
          <w:szCs w:val="32"/>
          <w:lang w:val="en-US" w:eastAsia="zh-CN"/>
        </w:rPr>
        <w:t>9</w:t>
      </w:r>
      <w:r>
        <w:rPr>
          <w:rFonts w:ascii="Times New Roman" w:hAnsi="Times New Roman" w:eastAsia="仿宋_GB2312"/>
          <w:kern w:val="2"/>
          <w:sz w:val="32"/>
          <w:szCs w:val="32"/>
          <w:lang w:val="zh-CN"/>
        </w:rPr>
        <w:t>个项目绩效自评结果。</w:t>
      </w:r>
    </w:p>
    <w:p>
      <w:pPr>
        <w:rPr>
          <w:rFonts w:hint="eastAsia" w:ascii="Times New Roman" w:hAnsi="Times New Roman" w:eastAsia="仿宋_GB2312"/>
          <w:kern w:val="2"/>
          <w:sz w:val="32"/>
          <w:szCs w:val="32"/>
          <w:lang w:val="zh-CN"/>
        </w:rPr>
      </w:pPr>
      <w:r>
        <w:rPr>
          <w:rFonts w:hint="eastAsia" w:ascii="仿宋_GB2312" w:hAnsi="Times New Roman" w:eastAsia="仿宋_GB2312" w:cs="DengXian-Regular"/>
          <w:sz w:val="32"/>
          <w:szCs w:val="32"/>
        </w:rPr>
        <w:t>政协会议</w:t>
      </w:r>
      <w:r>
        <w:rPr>
          <w:rFonts w:ascii="Times New Roman" w:hAnsi="Times New Roman" w:eastAsia="仿宋_GB2312"/>
          <w:kern w:val="2"/>
          <w:sz w:val="32"/>
          <w:szCs w:val="32"/>
          <w:lang w:val="zh-CN"/>
        </w:rPr>
        <w:t>项目绩效自评情况：根据年初设定的绩效目标，</w:t>
      </w:r>
      <w:r>
        <w:rPr>
          <w:rFonts w:hint="eastAsia" w:ascii="仿宋_GB2312" w:hAnsi="Times New Roman" w:eastAsia="仿宋_GB2312" w:cs="DengXian-Regular"/>
          <w:sz w:val="32"/>
          <w:szCs w:val="32"/>
        </w:rPr>
        <w:t>政协会议</w:t>
      </w:r>
      <w:r>
        <w:rPr>
          <w:rFonts w:ascii="Times New Roman" w:hAnsi="Times New Roman" w:eastAsia="仿宋_GB2312"/>
          <w:kern w:val="2"/>
          <w:sz w:val="32"/>
          <w:szCs w:val="32"/>
          <w:lang w:val="zh-CN"/>
        </w:rPr>
        <w:t>项目绩效自评得分为</w:t>
      </w:r>
      <w:r>
        <w:rPr>
          <w:rFonts w:hint="eastAsia" w:ascii="Times New Roman" w:hAnsi="Times New Roman" w:eastAsia="仿宋_GB2312"/>
          <w:kern w:val="2"/>
          <w:sz w:val="32"/>
          <w:szCs w:val="32"/>
          <w:lang w:val="en-US" w:eastAsia="zh-CN"/>
        </w:rPr>
        <w:t>100</w:t>
      </w:r>
      <w:r>
        <w:rPr>
          <w:rFonts w:ascii="Times New Roman" w:hAnsi="Times New Roman" w:eastAsia="仿宋_GB2312"/>
          <w:kern w:val="2"/>
          <w:sz w:val="32"/>
          <w:szCs w:val="32"/>
          <w:lang w:val="zh-CN"/>
        </w:rPr>
        <w:t>分（绩效自评表附后）。全年预算数为</w:t>
      </w:r>
      <w:r>
        <w:rPr>
          <w:rFonts w:hint="eastAsia" w:ascii="Times New Roman" w:hAnsi="Times New Roman" w:eastAsia="仿宋_GB2312"/>
          <w:kern w:val="2"/>
          <w:sz w:val="32"/>
          <w:szCs w:val="32"/>
          <w:lang w:val="en-US" w:eastAsia="zh-CN"/>
        </w:rPr>
        <w:t>38.1</w:t>
      </w:r>
      <w:r>
        <w:rPr>
          <w:rFonts w:ascii="Times New Roman" w:hAnsi="Times New Roman" w:eastAsia="仿宋_GB2312"/>
          <w:kern w:val="2"/>
          <w:sz w:val="32"/>
          <w:szCs w:val="32"/>
          <w:lang w:val="zh-CN"/>
        </w:rPr>
        <w:t>万元，执行数为</w:t>
      </w:r>
      <w:r>
        <w:rPr>
          <w:rFonts w:hint="eastAsia" w:ascii="Times New Roman" w:hAnsi="Times New Roman" w:eastAsia="仿宋_GB2312"/>
          <w:kern w:val="2"/>
          <w:sz w:val="32"/>
          <w:szCs w:val="32"/>
          <w:lang w:val="en-US" w:eastAsia="zh-CN"/>
        </w:rPr>
        <w:t>38.1</w:t>
      </w:r>
      <w:r>
        <w:rPr>
          <w:rFonts w:ascii="Times New Roman" w:hAnsi="Times New Roman" w:eastAsia="仿宋_GB2312"/>
          <w:kern w:val="2"/>
          <w:sz w:val="32"/>
          <w:szCs w:val="32"/>
          <w:lang w:val="zh-CN"/>
        </w:rPr>
        <w:t>万元，完成预算的</w:t>
      </w:r>
      <w:r>
        <w:rPr>
          <w:rFonts w:hint="eastAsia" w:ascii="Times New Roman" w:hAnsi="Times New Roman" w:eastAsia="仿宋_GB2312"/>
          <w:kern w:val="2"/>
          <w:sz w:val="32"/>
          <w:szCs w:val="32"/>
          <w:lang w:val="en-US" w:eastAsia="zh-CN"/>
        </w:rPr>
        <w:t>100</w:t>
      </w:r>
      <w:r>
        <w:rPr>
          <w:rFonts w:ascii="Times New Roman" w:hAnsi="Times New Roman" w:eastAsia="仿宋_GB2312"/>
          <w:kern w:val="2"/>
          <w:sz w:val="32"/>
          <w:szCs w:val="32"/>
          <w:lang w:val="zh-CN"/>
        </w:rPr>
        <w:t>%。项目绩效目标完成情况：</w:t>
      </w:r>
      <w:r>
        <w:rPr>
          <w:rFonts w:hint="eastAsia" w:ascii="Times New Roman" w:hAnsi="Times New Roman" w:eastAsia="仿宋_GB2312"/>
          <w:kern w:val="2"/>
          <w:sz w:val="32"/>
          <w:szCs w:val="32"/>
          <w:lang w:val="zh-CN"/>
        </w:rPr>
        <w:t>完成区政协三届三次全体会顺利召开，为顺利完成政协会议提供后勤保障等工作</w:t>
      </w:r>
      <w:r>
        <w:rPr>
          <w:rFonts w:ascii="Times New Roman" w:hAnsi="Times New Roman" w:eastAsia="仿宋_GB2312"/>
          <w:kern w:val="2"/>
          <w:sz w:val="32"/>
          <w:szCs w:val="32"/>
          <w:lang w:val="zh-CN"/>
        </w:rPr>
        <w:t>。</w:t>
      </w:r>
      <w:r>
        <w:rPr>
          <w:rFonts w:hint="eastAsia" w:ascii="Times New Roman" w:hAnsi="Times New Roman" w:eastAsia="仿宋_GB2312"/>
          <w:kern w:val="2"/>
          <w:sz w:val="32"/>
          <w:szCs w:val="32"/>
          <w:lang w:val="zh-CN"/>
        </w:rPr>
        <w:t>未发现问题。</w:t>
      </w:r>
    </w:p>
    <w:p>
      <w:pPr>
        <w:ind w:firstLine="640" w:firstLineChars="200"/>
        <w:rPr>
          <w:rFonts w:hint="eastAsia" w:ascii="Times New Roman" w:hAnsi="Times New Roman" w:eastAsia="仿宋_GB2312"/>
          <w:kern w:val="2"/>
          <w:sz w:val="32"/>
          <w:szCs w:val="32"/>
          <w:lang w:val="zh-CN"/>
        </w:rPr>
      </w:pPr>
      <w:r>
        <w:rPr>
          <w:rFonts w:hint="eastAsia" w:ascii="仿宋_GB2312" w:hAnsi="仿宋_GB2312" w:eastAsia="仿宋_GB2312" w:cs="仿宋_GB2312"/>
          <w:sz w:val="32"/>
          <w:szCs w:val="32"/>
        </w:rPr>
        <w:t>政协委员订报</w:t>
      </w:r>
      <w:r>
        <w:rPr>
          <w:rFonts w:ascii="Times New Roman" w:hAnsi="Times New Roman" w:eastAsia="仿宋_GB2312"/>
          <w:kern w:val="2"/>
          <w:sz w:val="32"/>
          <w:szCs w:val="32"/>
          <w:lang w:val="zh-CN"/>
        </w:rPr>
        <w:t>项目绩效自评情况：根据年初设定的绩效目标，</w:t>
      </w:r>
      <w:r>
        <w:rPr>
          <w:rFonts w:hint="eastAsia" w:ascii="仿宋_GB2312" w:hAnsi="Times New Roman" w:eastAsia="仿宋_GB2312" w:cs="DengXian-Regular"/>
          <w:sz w:val="32"/>
          <w:szCs w:val="32"/>
        </w:rPr>
        <w:t>政协会议</w:t>
      </w:r>
      <w:r>
        <w:rPr>
          <w:rFonts w:ascii="Times New Roman" w:hAnsi="Times New Roman" w:eastAsia="仿宋_GB2312"/>
          <w:kern w:val="2"/>
          <w:sz w:val="32"/>
          <w:szCs w:val="32"/>
          <w:lang w:val="zh-CN"/>
        </w:rPr>
        <w:t>项目绩效自评得分为</w:t>
      </w:r>
      <w:r>
        <w:rPr>
          <w:rFonts w:hint="eastAsia" w:ascii="Times New Roman" w:hAnsi="Times New Roman" w:eastAsia="仿宋_GB2312"/>
          <w:kern w:val="2"/>
          <w:sz w:val="32"/>
          <w:szCs w:val="32"/>
          <w:lang w:val="en-US" w:eastAsia="zh-CN"/>
        </w:rPr>
        <w:t>100</w:t>
      </w:r>
      <w:r>
        <w:rPr>
          <w:rFonts w:ascii="Times New Roman" w:hAnsi="Times New Roman" w:eastAsia="仿宋_GB2312"/>
          <w:kern w:val="2"/>
          <w:sz w:val="32"/>
          <w:szCs w:val="32"/>
          <w:lang w:val="zh-CN"/>
        </w:rPr>
        <w:t>分（绩效自评表附后）。全年预算数为</w:t>
      </w:r>
      <w:r>
        <w:rPr>
          <w:rFonts w:hint="eastAsia" w:ascii="Times New Roman" w:hAnsi="Times New Roman" w:eastAsia="仿宋_GB2312"/>
          <w:kern w:val="2"/>
          <w:sz w:val="32"/>
          <w:szCs w:val="32"/>
          <w:lang w:val="en-US" w:eastAsia="zh-CN"/>
        </w:rPr>
        <w:t>8.6</w:t>
      </w:r>
      <w:r>
        <w:rPr>
          <w:rFonts w:ascii="Times New Roman" w:hAnsi="Times New Roman" w:eastAsia="仿宋_GB2312"/>
          <w:kern w:val="2"/>
          <w:sz w:val="32"/>
          <w:szCs w:val="32"/>
          <w:lang w:val="zh-CN"/>
        </w:rPr>
        <w:t>万元，执行数为</w:t>
      </w:r>
      <w:r>
        <w:rPr>
          <w:rFonts w:hint="eastAsia" w:ascii="Times New Roman" w:hAnsi="Times New Roman" w:eastAsia="仿宋_GB2312"/>
          <w:kern w:val="2"/>
          <w:sz w:val="32"/>
          <w:szCs w:val="32"/>
          <w:lang w:val="en-US" w:eastAsia="zh-CN"/>
        </w:rPr>
        <w:t>8.6</w:t>
      </w:r>
      <w:r>
        <w:rPr>
          <w:rFonts w:ascii="Times New Roman" w:hAnsi="Times New Roman" w:eastAsia="仿宋_GB2312"/>
          <w:kern w:val="2"/>
          <w:sz w:val="32"/>
          <w:szCs w:val="32"/>
          <w:lang w:val="zh-CN"/>
        </w:rPr>
        <w:t>万元，完成预算的</w:t>
      </w:r>
      <w:r>
        <w:rPr>
          <w:rFonts w:hint="eastAsia" w:ascii="Times New Roman" w:hAnsi="Times New Roman" w:eastAsia="仿宋_GB2312"/>
          <w:kern w:val="2"/>
          <w:sz w:val="32"/>
          <w:szCs w:val="32"/>
          <w:lang w:val="en-US" w:eastAsia="zh-CN"/>
        </w:rPr>
        <w:t>100</w:t>
      </w:r>
      <w:r>
        <w:rPr>
          <w:rFonts w:ascii="Times New Roman" w:hAnsi="Times New Roman" w:eastAsia="仿宋_GB2312"/>
          <w:kern w:val="2"/>
          <w:sz w:val="32"/>
          <w:szCs w:val="32"/>
          <w:lang w:val="zh-CN"/>
        </w:rPr>
        <w:t>%。项目绩效目标完成情况：</w:t>
      </w:r>
      <w:r>
        <w:rPr>
          <w:rFonts w:hint="eastAsia" w:ascii="Times New Roman" w:hAnsi="Times New Roman" w:eastAsia="仿宋_GB2312"/>
          <w:kern w:val="2"/>
          <w:sz w:val="32"/>
          <w:szCs w:val="32"/>
          <w:lang w:val="zh-CN"/>
        </w:rPr>
        <w:t>保证为广大政协委员订阅政协相关报刊杂志，提高委员参政议政水平和能力。未发现问题。</w:t>
      </w:r>
    </w:p>
    <w:p>
      <w:pPr>
        <w:ind w:firstLine="640" w:firstLineChars="200"/>
        <w:rPr>
          <w:rFonts w:hint="eastAsia" w:ascii="Times New Roman" w:hAnsi="Times New Roman" w:eastAsia="仿宋_GB2312"/>
          <w:kern w:val="2"/>
          <w:sz w:val="32"/>
          <w:szCs w:val="32"/>
          <w:lang w:val="zh-CN"/>
        </w:rPr>
      </w:pPr>
      <w:r>
        <w:rPr>
          <w:rFonts w:hint="eastAsia" w:ascii="仿宋_GB2312" w:hAnsi="仿宋_GB2312" w:eastAsia="仿宋_GB2312" w:cs="仿宋_GB2312"/>
          <w:sz w:val="32"/>
          <w:szCs w:val="32"/>
        </w:rPr>
        <w:t>政协文史资料编印费</w:t>
      </w:r>
      <w:r>
        <w:rPr>
          <w:rFonts w:ascii="Times New Roman" w:hAnsi="Times New Roman" w:eastAsia="仿宋_GB2312"/>
          <w:kern w:val="2"/>
          <w:sz w:val="32"/>
          <w:szCs w:val="32"/>
          <w:lang w:val="zh-CN"/>
        </w:rPr>
        <w:t>项目绩效自评情况：根据年初设定的绩效目标，</w:t>
      </w:r>
      <w:r>
        <w:rPr>
          <w:rFonts w:hint="eastAsia" w:ascii="仿宋_GB2312" w:hAnsi="Times New Roman" w:eastAsia="仿宋_GB2312" w:cs="DengXian-Regular"/>
          <w:sz w:val="32"/>
          <w:szCs w:val="32"/>
        </w:rPr>
        <w:t>政协会议</w:t>
      </w:r>
      <w:r>
        <w:rPr>
          <w:rFonts w:ascii="Times New Roman" w:hAnsi="Times New Roman" w:eastAsia="仿宋_GB2312"/>
          <w:kern w:val="2"/>
          <w:sz w:val="32"/>
          <w:szCs w:val="32"/>
          <w:lang w:val="zh-CN"/>
        </w:rPr>
        <w:t>项目绩效自评得分为</w:t>
      </w:r>
      <w:r>
        <w:rPr>
          <w:rFonts w:hint="eastAsia" w:ascii="Times New Roman" w:hAnsi="Times New Roman" w:eastAsia="仿宋_GB2312"/>
          <w:kern w:val="2"/>
          <w:sz w:val="32"/>
          <w:szCs w:val="32"/>
          <w:lang w:val="en-US" w:eastAsia="zh-CN"/>
        </w:rPr>
        <w:t>100</w:t>
      </w:r>
      <w:r>
        <w:rPr>
          <w:rFonts w:ascii="Times New Roman" w:hAnsi="Times New Roman" w:eastAsia="仿宋_GB2312"/>
          <w:kern w:val="2"/>
          <w:sz w:val="32"/>
          <w:szCs w:val="32"/>
          <w:lang w:val="zh-CN"/>
        </w:rPr>
        <w:t>分（绩效自评表附后）。全年预算数为</w:t>
      </w:r>
      <w:r>
        <w:rPr>
          <w:rFonts w:hint="eastAsia" w:ascii="Times New Roman" w:hAnsi="Times New Roman" w:eastAsia="仿宋_GB2312"/>
          <w:kern w:val="2"/>
          <w:sz w:val="32"/>
          <w:szCs w:val="32"/>
          <w:lang w:val="en-US" w:eastAsia="zh-CN"/>
        </w:rPr>
        <w:t>10</w:t>
      </w:r>
      <w:r>
        <w:rPr>
          <w:rFonts w:ascii="Times New Roman" w:hAnsi="Times New Roman" w:eastAsia="仿宋_GB2312"/>
          <w:kern w:val="2"/>
          <w:sz w:val="32"/>
          <w:szCs w:val="32"/>
          <w:lang w:val="zh-CN"/>
        </w:rPr>
        <w:t>万元，执行数为</w:t>
      </w:r>
      <w:r>
        <w:rPr>
          <w:rFonts w:hint="eastAsia" w:ascii="Times New Roman" w:hAnsi="Times New Roman" w:eastAsia="仿宋_GB2312"/>
          <w:kern w:val="2"/>
          <w:sz w:val="32"/>
          <w:szCs w:val="32"/>
          <w:lang w:val="en-US" w:eastAsia="zh-CN"/>
        </w:rPr>
        <w:t>10</w:t>
      </w:r>
      <w:r>
        <w:rPr>
          <w:rFonts w:ascii="Times New Roman" w:hAnsi="Times New Roman" w:eastAsia="仿宋_GB2312"/>
          <w:kern w:val="2"/>
          <w:sz w:val="32"/>
          <w:szCs w:val="32"/>
          <w:lang w:val="zh-CN"/>
        </w:rPr>
        <w:t>万元，完成预算的</w:t>
      </w:r>
      <w:r>
        <w:rPr>
          <w:rFonts w:hint="eastAsia" w:ascii="Times New Roman" w:hAnsi="Times New Roman" w:eastAsia="仿宋_GB2312"/>
          <w:kern w:val="2"/>
          <w:sz w:val="32"/>
          <w:szCs w:val="32"/>
          <w:lang w:val="en-US" w:eastAsia="zh-CN"/>
        </w:rPr>
        <w:t>100</w:t>
      </w:r>
      <w:r>
        <w:rPr>
          <w:rFonts w:ascii="Times New Roman" w:hAnsi="Times New Roman" w:eastAsia="仿宋_GB2312"/>
          <w:kern w:val="2"/>
          <w:sz w:val="32"/>
          <w:szCs w:val="32"/>
          <w:lang w:val="zh-CN"/>
        </w:rPr>
        <w:t>%。项目绩效目标完成情况：</w:t>
      </w:r>
      <w:r>
        <w:rPr>
          <w:rFonts w:hint="eastAsia" w:ascii="Times New Roman" w:hAnsi="Times New Roman" w:eastAsia="仿宋_GB2312"/>
          <w:kern w:val="2"/>
          <w:sz w:val="32"/>
          <w:szCs w:val="32"/>
          <w:lang w:val="zh-CN"/>
        </w:rPr>
        <w:t>按照区委、区政府要求编辑、撰写鹿泉文化、历史资料等宣传。未发现问题。</w:t>
      </w:r>
    </w:p>
    <w:p>
      <w:pPr>
        <w:ind w:firstLine="640" w:firstLineChars="200"/>
        <w:rPr>
          <w:rFonts w:hint="eastAsia" w:ascii="Times New Roman" w:hAnsi="Times New Roman" w:eastAsia="仿宋_GB2312"/>
          <w:kern w:val="2"/>
          <w:sz w:val="32"/>
          <w:szCs w:val="32"/>
          <w:lang w:val="zh-CN"/>
        </w:rPr>
      </w:pPr>
      <w:r>
        <w:rPr>
          <w:rFonts w:hint="eastAsia" w:ascii="仿宋_GB2312" w:hAnsi="仿宋_GB2312" w:eastAsia="仿宋_GB2312" w:cs="仿宋_GB2312"/>
          <w:sz w:val="32"/>
          <w:szCs w:val="32"/>
        </w:rPr>
        <w:t>政协委员专项经费</w:t>
      </w:r>
      <w:r>
        <w:rPr>
          <w:rFonts w:ascii="Times New Roman" w:hAnsi="Times New Roman" w:eastAsia="仿宋_GB2312"/>
          <w:kern w:val="2"/>
          <w:sz w:val="32"/>
          <w:szCs w:val="32"/>
          <w:lang w:val="zh-CN"/>
        </w:rPr>
        <w:t>项目绩效自评情况：根据年初设定的绩效目标，</w:t>
      </w:r>
      <w:r>
        <w:rPr>
          <w:rFonts w:hint="eastAsia" w:ascii="仿宋_GB2312" w:hAnsi="Times New Roman" w:eastAsia="仿宋_GB2312" w:cs="DengXian-Regular"/>
          <w:sz w:val="32"/>
          <w:szCs w:val="32"/>
        </w:rPr>
        <w:t>政协会议</w:t>
      </w:r>
      <w:r>
        <w:rPr>
          <w:rFonts w:ascii="Times New Roman" w:hAnsi="Times New Roman" w:eastAsia="仿宋_GB2312"/>
          <w:kern w:val="2"/>
          <w:sz w:val="32"/>
          <w:szCs w:val="32"/>
          <w:lang w:val="zh-CN"/>
        </w:rPr>
        <w:t>项目绩效自评得分为</w:t>
      </w:r>
      <w:r>
        <w:rPr>
          <w:rFonts w:hint="eastAsia" w:ascii="Times New Roman" w:hAnsi="Times New Roman" w:eastAsia="仿宋_GB2312"/>
          <w:kern w:val="2"/>
          <w:sz w:val="32"/>
          <w:szCs w:val="32"/>
          <w:lang w:val="en-US" w:eastAsia="zh-CN"/>
        </w:rPr>
        <w:t>100</w:t>
      </w:r>
      <w:r>
        <w:rPr>
          <w:rFonts w:ascii="Times New Roman" w:hAnsi="Times New Roman" w:eastAsia="仿宋_GB2312"/>
          <w:kern w:val="2"/>
          <w:sz w:val="32"/>
          <w:szCs w:val="32"/>
          <w:lang w:val="zh-CN"/>
        </w:rPr>
        <w:t>分（绩效自评表附后）。全年预算数为</w:t>
      </w:r>
      <w:r>
        <w:rPr>
          <w:rFonts w:hint="eastAsia" w:ascii="Times New Roman" w:hAnsi="Times New Roman" w:eastAsia="仿宋_GB2312"/>
          <w:kern w:val="2"/>
          <w:sz w:val="32"/>
          <w:szCs w:val="32"/>
          <w:lang w:val="en-US" w:eastAsia="zh-CN"/>
        </w:rPr>
        <w:t>20</w:t>
      </w:r>
      <w:r>
        <w:rPr>
          <w:rFonts w:ascii="Times New Roman" w:hAnsi="Times New Roman" w:eastAsia="仿宋_GB2312"/>
          <w:kern w:val="2"/>
          <w:sz w:val="32"/>
          <w:szCs w:val="32"/>
          <w:lang w:val="zh-CN"/>
        </w:rPr>
        <w:t>万元，执行数为</w:t>
      </w:r>
      <w:r>
        <w:rPr>
          <w:rFonts w:hint="eastAsia" w:ascii="Times New Roman" w:hAnsi="Times New Roman" w:eastAsia="仿宋_GB2312"/>
          <w:kern w:val="2"/>
          <w:sz w:val="32"/>
          <w:szCs w:val="32"/>
          <w:lang w:val="en-US" w:eastAsia="zh-CN"/>
        </w:rPr>
        <w:t>20</w:t>
      </w:r>
      <w:r>
        <w:rPr>
          <w:rFonts w:ascii="Times New Roman" w:hAnsi="Times New Roman" w:eastAsia="仿宋_GB2312"/>
          <w:kern w:val="2"/>
          <w:sz w:val="32"/>
          <w:szCs w:val="32"/>
          <w:lang w:val="zh-CN"/>
        </w:rPr>
        <w:t>万元，完成预算的</w:t>
      </w:r>
      <w:r>
        <w:rPr>
          <w:rFonts w:hint="eastAsia" w:ascii="Times New Roman" w:hAnsi="Times New Roman" w:eastAsia="仿宋_GB2312"/>
          <w:kern w:val="2"/>
          <w:sz w:val="32"/>
          <w:szCs w:val="32"/>
          <w:lang w:val="en-US" w:eastAsia="zh-CN"/>
        </w:rPr>
        <w:t>100</w:t>
      </w:r>
      <w:r>
        <w:rPr>
          <w:rFonts w:ascii="Times New Roman" w:hAnsi="Times New Roman" w:eastAsia="仿宋_GB2312"/>
          <w:kern w:val="2"/>
          <w:sz w:val="32"/>
          <w:szCs w:val="32"/>
          <w:lang w:val="zh-CN"/>
        </w:rPr>
        <w:t>%。项目绩效目标完成情况：</w:t>
      </w:r>
      <w:r>
        <w:rPr>
          <w:rFonts w:hint="eastAsia" w:ascii="Times New Roman" w:hAnsi="Times New Roman" w:eastAsia="仿宋_GB2312"/>
          <w:kern w:val="2"/>
          <w:sz w:val="32"/>
          <w:szCs w:val="32"/>
          <w:lang w:val="zh-CN"/>
        </w:rPr>
        <w:t>根据上级政协及区委、区政府要求，政协委员安排政协委员调研、视察等活动。未发现问题。</w:t>
      </w:r>
    </w:p>
    <w:p>
      <w:pPr>
        <w:ind w:firstLine="640" w:firstLineChars="200"/>
        <w:rPr>
          <w:rFonts w:hint="eastAsia" w:ascii="Times New Roman" w:hAnsi="Times New Roman" w:eastAsia="仿宋_GB2312"/>
          <w:kern w:val="2"/>
          <w:sz w:val="32"/>
          <w:szCs w:val="32"/>
          <w:lang w:val="zh-CN"/>
        </w:rPr>
      </w:pPr>
      <w:r>
        <w:rPr>
          <w:rFonts w:hint="eastAsia" w:ascii="仿宋_GB2312" w:hAnsi="仿宋_GB2312" w:eastAsia="仿宋_GB2312" w:cs="仿宋_GB2312"/>
          <w:sz w:val="32"/>
          <w:szCs w:val="32"/>
        </w:rPr>
        <w:t>政协会议政务外网使用费、“智慧政协”移动云服务费</w:t>
      </w:r>
      <w:r>
        <w:rPr>
          <w:rFonts w:ascii="Times New Roman" w:hAnsi="Times New Roman" w:eastAsia="仿宋_GB2312"/>
          <w:kern w:val="2"/>
          <w:sz w:val="32"/>
          <w:szCs w:val="32"/>
          <w:lang w:val="zh-CN"/>
        </w:rPr>
        <w:t>项目绩效自评情况：根据年初设定的绩效目标，</w:t>
      </w:r>
      <w:r>
        <w:rPr>
          <w:rFonts w:hint="eastAsia" w:ascii="仿宋_GB2312" w:hAnsi="Times New Roman" w:eastAsia="仿宋_GB2312" w:cs="DengXian-Regular"/>
          <w:sz w:val="32"/>
          <w:szCs w:val="32"/>
        </w:rPr>
        <w:t>政协会议</w:t>
      </w:r>
      <w:r>
        <w:rPr>
          <w:rFonts w:ascii="Times New Roman" w:hAnsi="Times New Roman" w:eastAsia="仿宋_GB2312"/>
          <w:kern w:val="2"/>
          <w:sz w:val="32"/>
          <w:szCs w:val="32"/>
          <w:lang w:val="zh-CN"/>
        </w:rPr>
        <w:t>项目绩效自评得分为</w:t>
      </w:r>
      <w:r>
        <w:rPr>
          <w:rFonts w:hint="eastAsia" w:ascii="Times New Roman" w:hAnsi="Times New Roman" w:eastAsia="仿宋_GB2312"/>
          <w:kern w:val="2"/>
          <w:sz w:val="32"/>
          <w:szCs w:val="32"/>
          <w:lang w:val="en-US" w:eastAsia="zh-CN"/>
        </w:rPr>
        <w:t>100</w:t>
      </w:r>
      <w:r>
        <w:rPr>
          <w:rFonts w:ascii="Times New Roman" w:hAnsi="Times New Roman" w:eastAsia="仿宋_GB2312"/>
          <w:kern w:val="2"/>
          <w:sz w:val="32"/>
          <w:szCs w:val="32"/>
          <w:lang w:val="zh-CN"/>
        </w:rPr>
        <w:t>分（绩效自评表附后）。全年预算数为</w:t>
      </w:r>
      <w:r>
        <w:rPr>
          <w:rFonts w:hint="eastAsia" w:ascii="Times New Roman" w:hAnsi="Times New Roman" w:eastAsia="仿宋_GB2312"/>
          <w:kern w:val="2"/>
          <w:sz w:val="32"/>
          <w:szCs w:val="32"/>
          <w:lang w:val="en-US" w:eastAsia="zh-CN"/>
        </w:rPr>
        <w:t>3.8</w:t>
      </w:r>
      <w:r>
        <w:rPr>
          <w:rFonts w:ascii="Times New Roman" w:hAnsi="Times New Roman" w:eastAsia="仿宋_GB2312"/>
          <w:kern w:val="2"/>
          <w:sz w:val="32"/>
          <w:szCs w:val="32"/>
          <w:lang w:val="zh-CN"/>
        </w:rPr>
        <w:t>万元，执行数为</w:t>
      </w:r>
      <w:r>
        <w:rPr>
          <w:rFonts w:hint="eastAsia" w:ascii="Times New Roman" w:hAnsi="Times New Roman" w:eastAsia="仿宋_GB2312"/>
          <w:kern w:val="2"/>
          <w:sz w:val="32"/>
          <w:szCs w:val="32"/>
          <w:lang w:val="en-US" w:eastAsia="zh-CN"/>
        </w:rPr>
        <w:t>3.8</w:t>
      </w:r>
      <w:r>
        <w:rPr>
          <w:rFonts w:ascii="Times New Roman" w:hAnsi="Times New Roman" w:eastAsia="仿宋_GB2312"/>
          <w:kern w:val="2"/>
          <w:sz w:val="32"/>
          <w:szCs w:val="32"/>
          <w:lang w:val="zh-CN"/>
        </w:rPr>
        <w:t>万元，完成预算的</w:t>
      </w:r>
      <w:r>
        <w:rPr>
          <w:rFonts w:hint="eastAsia" w:ascii="Times New Roman" w:hAnsi="Times New Roman" w:eastAsia="仿宋_GB2312"/>
          <w:kern w:val="2"/>
          <w:sz w:val="32"/>
          <w:szCs w:val="32"/>
          <w:lang w:val="en-US" w:eastAsia="zh-CN"/>
        </w:rPr>
        <w:t>100</w:t>
      </w:r>
      <w:r>
        <w:rPr>
          <w:rFonts w:ascii="Times New Roman" w:hAnsi="Times New Roman" w:eastAsia="仿宋_GB2312"/>
          <w:kern w:val="2"/>
          <w:sz w:val="32"/>
          <w:szCs w:val="32"/>
          <w:lang w:val="zh-CN"/>
        </w:rPr>
        <w:t>%。项目绩效目标完成情况：</w:t>
      </w:r>
      <w:r>
        <w:rPr>
          <w:rFonts w:hint="eastAsia" w:ascii="Times New Roman" w:hAnsi="Times New Roman" w:eastAsia="仿宋_GB2312"/>
          <w:kern w:val="2"/>
          <w:sz w:val="32"/>
          <w:szCs w:val="32"/>
          <w:lang w:val="zh-CN"/>
        </w:rPr>
        <w:t>保证云服务外网正常使用。未发现问题。</w:t>
      </w:r>
    </w:p>
    <w:p>
      <w:pPr>
        <w:numPr>
          <w:ilvl w:val="0"/>
          <w:numId w:val="0"/>
        </w:numPr>
        <w:adjustRightInd w:val="0"/>
        <w:snapToGrid w:val="0"/>
        <w:spacing w:line="580" w:lineRule="exact"/>
        <w:ind w:firstLine="640" w:firstLineChars="200"/>
        <w:rPr>
          <w:rFonts w:hint="eastAsia" w:ascii="Times New Roman" w:hAnsi="Times New Roman" w:eastAsia="仿宋_GB2312"/>
          <w:kern w:val="2"/>
          <w:sz w:val="32"/>
          <w:szCs w:val="32"/>
          <w:lang w:val="zh-CN"/>
        </w:rPr>
      </w:pPr>
      <w:r>
        <w:rPr>
          <w:rFonts w:hint="eastAsia" w:ascii="仿宋_GB2312" w:hAnsi="仿宋_GB2312" w:eastAsia="仿宋_GB2312" w:cs="仿宋_GB2312"/>
          <w:sz w:val="32"/>
          <w:szCs w:val="32"/>
        </w:rPr>
        <w:t>工商联专项业务</w:t>
      </w:r>
      <w:r>
        <w:rPr>
          <w:rFonts w:hint="eastAsia" w:ascii="仿宋_GB2312" w:hAnsi="Times New Roman" w:eastAsia="仿宋_GB2312" w:cs="DengXian-Regular"/>
          <w:sz w:val="32"/>
          <w:szCs w:val="32"/>
        </w:rPr>
        <w:t>经费</w:t>
      </w:r>
      <w:r>
        <w:rPr>
          <w:rFonts w:ascii="Times New Roman" w:hAnsi="Times New Roman" w:eastAsia="仿宋_GB2312"/>
          <w:kern w:val="2"/>
          <w:sz w:val="32"/>
          <w:szCs w:val="32"/>
          <w:lang w:val="zh-CN"/>
        </w:rPr>
        <w:t>项目绩效自评情况：根据年初设定的绩效目标，</w:t>
      </w:r>
      <w:r>
        <w:rPr>
          <w:rFonts w:hint="eastAsia" w:ascii="仿宋_GB2312" w:hAnsi="Times New Roman" w:eastAsia="仿宋_GB2312" w:cs="DengXian-Regular"/>
          <w:sz w:val="32"/>
          <w:szCs w:val="32"/>
        </w:rPr>
        <w:t>政协会议</w:t>
      </w:r>
      <w:r>
        <w:rPr>
          <w:rFonts w:ascii="Times New Roman" w:hAnsi="Times New Roman" w:eastAsia="仿宋_GB2312"/>
          <w:kern w:val="2"/>
          <w:sz w:val="32"/>
          <w:szCs w:val="32"/>
          <w:lang w:val="zh-CN"/>
        </w:rPr>
        <w:t>项目绩效自评得分为</w:t>
      </w:r>
      <w:r>
        <w:rPr>
          <w:rFonts w:hint="eastAsia" w:ascii="Times New Roman" w:hAnsi="Times New Roman" w:eastAsia="仿宋_GB2312"/>
          <w:kern w:val="2"/>
          <w:sz w:val="32"/>
          <w:szCs w:val="32"/>
          <w:lang w:val="en-US" w:eastAsia="zh-CN"/>
        </w:rPr>
        <w:t>100</w:t>
      </w:r>
      <w:r>
        <w:rPr>
          <w:rFonts w:ascii="Times New Roman" w:hAnsi="Times New Roman" w:eastAsia="仿宋_GB2312"/>
          <w:kern w:val="2"/>
          <w:sz w:val="32"/>
          <w:szCs w:val="32"/>
          <w:lang w:val="zh-CN"/>
        </w:rPr>
        <w:t>分（绩效自评表附后）。全年预算数为</w:t>
      </w:r>
      <w:r>
        <w:rPr>
          <w:rFonts w:hint="eastAsia" w:ascii="Times New Roman" w:hAnsi="Times New Roman" w:eastAsia="仿宋_GB2312"/>
          <w:kern w:val="2"/>
          <w:sz w:val="32"/>
          <w:szCs w:val="32"/>
          <w:lang w:val="en-US" w:eastAsia="zh-CN"/>
        </w:rPr>
        <w:t>5</w:t>
      </w:r>
      <w:r>
        <w:rPr>
          <w:rFonts w:ascii="Times New Roman" w:hAnsi="Times New Roman" w:eastAsia="仿宋_GB2312"/>
          <w:kern w:val="2"/>
          <w:sz w:val="32"/>
          <w:szCs w:val="32"/>
          <w:lang w:val="zh-CN"/>
        </w:rPr>
        <w:t>万元，执行数为</w:t>
      </w:r>
      <w:r>
        <w:rPr>
          <w:rFonts w:hint="eastAsia" w:ascii="Times New Roman" w:hAnsi="Times New Roman" w:eastAsia="仿宋_GB2312"/>
          <w:kern w:val="2"/>
          <w:sz w:val="32"/>
          <w:szCs w:val="32"/>
          <w:lang w:val="en-US" w:eastAsia="zh-CN"/>
        </w:rPr>
        <w:t>5</w:t>
      </w:r>
      <w:r>
        <w:rPr>
          <w:rFonts w:ascii="Times New Roman" w:hAnsi="Times New Roman" w:eastAsia="仿宋_GB2312"/>
          <w:kern w:val="2"/>
          <w:sz w:val="32"/>
          <w:szCs w:val="32"/>
          <w:lang w:val="zh-CN"/>
        </w:rPr>
        <w:t>万元，完成预算的</w:t>
      </w:r>
      <w:r>
        <w:rPr>
          <w:rFonts w:hint="eastAsia" w:ascii="Times New Roman" w:hAnsi="Times New Roman" w:eastAsia="仿宋_GB2312"/>
          <w:kern w:val="2"/>
          <w:sz w:val="32"/>
          <w:szCs w:val="32"/>
          <w:lang w:val="en-US" w:eastAsia="zh-CN"/>
        </w:rPr>
        <w:t>100</w:t>
      </w:r>
      <w:r>
        <w:rPr>
          <w:rFonts w:ascii="Times New Roman" w:hAnsi="Times New Roman" w:eastAsia="仿宋_GB2312"/>
          <w:kern w:val="2"/>
          <w:sz w:val="32"/>
          <w:szCs w:val="32"/>
          <w:lang w:val="zh-CN"/>
        </w:rPr>
        <w:t>%。项目绩效目标完成情况：</w:t>
      </w:r>
      <w:r>
        <w:rPr>
          <w:rFonts w:hint="eastAsia" w:ascii="仿宋_GB2312" w:hAnsi="Times New Roman" w:eastAsia="仿宋_GB2312" w:cs="DengXian-Regular"/>
          <w:sz w:val="32"/>
          <w:szCs w:val="32"/>
        </w:rPr>
        <w:t>根据区委、区政府要求，</w:t>
      </w:r>
      <w:r>
        <w:rPr>
          <w:rFonts w:hint="eastAsia" w:ascii="仿宋_GB2312" w:hAnsi="Times New Roman" w:eastAsia="仿宋_GB2312" w:cs="DengXian-Regular"/>
          <w:sz w:val="32"/>
          <w:szCs w:val="32"/>
          <w:lang w:val="en-US" w:eastAsia="zh-CN"/>
        </w:rPr>
        <w:t>完成</w:t>
      </w:r>
      <w:r>
        <w:rPr>
          <w:rFonts w:hint="eastAsia" w:ascii="仿宋_GB2312" w:hAnsi="Times New Roman" w:eastAsia="仿宋_GB2312" w:cs="DengXian-Regular"/>
          <w:sz w:val="32"/>
          <w:szCs w:val="32"/>
        </w:rPr>
        <w:t>专项业务经费。</w:t>
      </w:r>
      <w:r>
        <w:rPr>
          <w:rFonts w:hint="eastAsia" w:ascii="Times New Roman" w:hAnsi="Times New Roman" w:eastAsia="仿宋_GB2312"/>
          <w:kern w:val="2"/>
          <w:sz w:val="32"/>
          <w:szCs w:val="32"/>
          <w:lang w:val="zh-CN"/>
        </w:rPr>
        <w:t>未发现问题。</w:t>
      </w:r>
    </w:p>
    <w:p>
      <w:pPr>
        <w:numPr>
          <w:ilvl w:val="0"/>
          <w:numId w:val="0"/>
        </w:numPr>
        <w:adjustRightInd w:val="0"/>
        <w:snapToGrid w:val="0"/>
        <w:spacing w:line="580" w:lineRule="exact"/>
        <w:ind w:firstLine="640" w:firstLineChars="200"/>
        <w:rPr>
          <w:rFonts w:hint="eastAsia" w:ascii="Times New Roman" w:hAnsi="Times New Roman" w:eastAsia="仿宋_GB2312"/>
          <w:kern w:val="2"/>
          <w:sz w:val="32"/>
          <w:szCs w:val="32"/>
          <w:lang w:val="zh-CN"/>
        </w:rPr>
      </w:pPr>
      <w:r>
        <w:rPr>
          <w:rFonts w:hint="eastAsia" w:ascii="仿宋_GB2312" w:hAnsi="仿宋_GB2312" w:eastAsia="仿宋_GB2312" w:cs="仿宋_GB2312"/>
          <w:sz w:val="32"/>
          <w:szCs w:val="32"/>
          <w:lang w:val="en-US" w:eastAsia="zh-CN"/>
        </w:rPr>
        <w:t>政协委员工作站（室）建设活动经费</w:t>
      </w:r>
      <w:r>
        <w:rPr>
          <w:rFonts w:ascii="Times New Roman" w:hAnsi="Times New Roman" w:eastAsia="仿宋_GB2312"/>
          <w:kern w:val="2"/>
          <w:sz w:val="32"/>
          <w:szCs w:val="32"/>
          <w:lang w:val="zh-CN"/>
        </w:rPr>
        <w:t>项目绩效自评情况：根据年初设定的绩效目标，</w:t>
      </w:r>
      <w:r>
        <w:rPr>
          <w:rFonts w:hint="eastAsia" w:ascii="仿宋_GB2312" w:hAnsi="Times New Roman" w:eastAsia="仿宋_GB2312" w:cs="DengXian-Regular"/>
          <w:sz w:val="32"/>
          <w:szCs w:val="32"/>
        </w:rPr>
        <w:t>政协会议</w:t>
      </w:r>
      <w:r>
        <w:rPr>
          <w:rFonts w:ascii="Times New Roman" w:hAnsi="Times New Roman" w:eastAsia="仿宋_GB2312"/>
          <w:kern w:val="2"/>
          <w:sz w:val="32"/>
          <w:szCs w:val="32"/>
          <w:lang w:val="zh-CN"/>
        </w:rPr>
        <w:t>项目绩效自评得分为</w:t>
      </w:r>
      <w:r>
        <w:rPr>
          <w:rFonts w:hint="eastAsia" w:ascii="Times New Roman" w:hAnsi="Times New Roman" w:eastAsia="仿宋_GB2312"/>
          <w:kern w:val="2"/>
          <w:sz w:val="32"/>
          <w:szCs w:val="32"/>
          <w:lang w:val="en-US" w:eastAsia="zh-CN"/>
        </w:rPr>
        <w:t>100</w:t>
      </w:r>
      <w:r>
        <w:rPr>
          <w:rFonts w:ascii="Times New Roman" w:hAnsi="Times New Roman" w:eastAsia="仿宋_GB2312"/>
          <w:kern w:val="2"/>
          <w:sz w:val="32"/>
          <w:szCs w:val="32"/>
          <w:lang w:val="zh-CN"/>
        </w:rPr>
        <w:t>分（绩效自评表附后）。全年预算数为</w:t>
      </w:r>
      <w:r>
        <w:rPr>
          <w:rFonts w:hint="eastAsia" w:ascii="Times New Roman" w:hAnsi="Times New Roman" w:eastAsia="仿宋_GB2312"/>
          <w:kern w:val="2"/>
          <w:sz w:val="32"/>
          <w:szCs w:val="32"/>
          <w:lang w:val="en-US" w:eastAsia="zh-CN"/>
        </w:rPr>
        <w:t>10.5</w:t>
      </w:r>
      <w:r>
        <w:rPr>
          <w:rFonts w:ascii="Times New Roman" w:hAnsi="Times New Roman" w:eastAsia="仿宋_GB2312"/>
          <w:kern w:val="2"/>
          <w:sz w:val="32"/>
          <w:szCs w:val="32"/>
          <w:lang w:val="zh-CN"/>
        </w:rPr>
        <w:t>万元，执行数为</w:t>
      </w:r>
      <w:r>
        <w:rPr>
          <w:rFonts w:hint="eastAsia" w:ascii="Times New Roman" w:hAnsi="Times New Roman" w:eastAsia="仿宋_GB2312"/>
          <w:kern w:val="2"/>
          <w:sz w:val="32"/>
          <w:szCs w:val="32"/>
          <w:lang w:val="en-US" w:eastAsia="zh-CN"/>
        </w:rPr>
        <w:t>10.5</w:t>
      </w:r>
      <w:r>
        <w:rPr>
          <w:rFonts w:ascii="Times New Roman" w:hAnsi="Times New Roman" w:eastAsia="仿宋_GB2312"/>
          <w:kern w:val="2"/>
          <w:sz w:val="32"/>
          <w:szCs w:val="32"/>
          <w:lang w:val="zh-CN"/>
        </w:rPr>
        <w:t>万元，完成预算的</w:t>
      </w:r>
      <w:r>
        <w:rPr>
          <w:rFonts w:hint="eastAsia" w:ascii="Times New Roman" w:hAnsi="Times New Roman" w:eastAsia="仿宋_GB2312"/>
          <w:kern w:val="2"/>
          <w:sz w:val="32"/>
          <w:szCs w:val="32"/>
          <w:lang w:val="en-US" w:eastAsia="zh-CN"/>
        </w:rPr>
        <w:t>100</w:t>
      </w:r>
      <w:r>
        <w:rPr>
          <w:rFonts w:ascii="Times New Roman" w:hAnsi="Times New Roman" w:eastAsia="仿宋_GB2312"/>
          <w:kern w:val="2"/>
          <w:sz w:val="32"/>
          <w:szCs w:val="32"/>
          <w:lang w:val="zh-CN"/>
        </w:rPr>
        <w:t>%。项目绩效目标完成情况：</w:t>
      </w:r>
      <w:r>
        <w:rPr>
          <w:rFonts w:hint="eastAsia" w:ascii="仿宋_GB2312" w:hAnsi="仿宋_GB2312" w:eastAsia="仿宋_GB2312" w:cs="仿宋_GB2312"/>
          <w:sz w:val="32"/>
          <w:szCs w:val="32"/>
        </w:rPr>
        <w:t>方便</w:t>
      </w:r>
      <w:r>
        <w:rPr>
          <w:rFonts w:hint="eastAsia" w:ascii="仿宋_GB2312" w:hAnsi="仿宋_GB2312" w:eastAsia="仿宋_GB2312" w:cs="仿宋_GB2312"/>
          <w:sz w:val="32"/>
          <w:szCs w:val="32"/>
          <w:lang w:val="en-US" w:eastAsia="zh-CN"/>
        </w:rPr>
        <w:t>了</w:t>
      </w:r>
      <w:r>
        <w:rPr>
          <w:rFonts w:hint="eastAsia" w:ascii="仿宋_GB2312" w:hAnsi="仿宋_GB2312" w:eastAsia="仿宋_GB2312" w:cs="仿宋_GB2312"/>
          <w:sz w:val="32"/>
          <w:szCs w:val="32"/>
        </w:rPr>
        <w:t>政协委员相关工作与活动，达到工作正常进行。</w:t>
      </w:r>
      <w:r>
        <w:rPr>
          <w:rFonts w:hint="eastAsia" w:ascii="Times New Roman" w:hAnsi="Times New Roman" w:eastAsia="仿宋_GB2312"/>
          <w:kern w:val="2"/>
          <w:sz w:val="32"/>
          <w:szCs w:val="32"/>
          <w:lang w:val="zh-CN"/>
        </w:rPr>
        <w:t>未发现问题。</w:t>
      </w:r>
    </w:p>
    <w:p>
      <w:pPr>
        <w:numPr>
          <w:ilvl w:val="0"/>
          <w:numId w:val="0"/>
        </w:numPr>
        <w:adjustRightInd w:val="0"/>
        <w:snapToGrid w:val="0"/>
        <w:spacing w:line="580" w:lineRule="exact"/>
        <w:ind w:firstLine="640" w:firstLineChars="200"/>
        <w:rPr>
          <w:rFonts w:hint="eastAsia" w:ascii="Times New Roman" w:hAnsi="Times New Roman" w:eastAsia="仿宋_GB2312"/>
          <w:kern w:val="2"/>
          <w:sz w:val="32"/>
          <w:szCs w:val="32"/>
          <w:lang w:val="zh-CN"/>
        </w:rPr>
      </w:pPr>
      <w:r>
        <w:rPr>
          <w:rFonts w:hint="eastAsia" w:ascii="仿宋_GB2312" w:hAnsi="仿宋_GB2312" w:eastAsia="仿宋_GB2312" w:cs="仿宋_GB2312"/>
          <w:sz w:val="32"/>
          <w:szCs w:val="32"/>
          <w:lang w:val="en-US" w:eastAsia="zh-CN"/>
        </w:rPr>
        <w:t>退役军人公益岗补贴</w:t>
      </w:r>
      <w:r>
        <w:rPr>
          <w:rFonts w:ascii="Times New Roman" w:hAnsi="Times New Roman" w:eastAsia="仿宋_GB2312"/>
          <w:kern w:val="2"/>
          <w:sz w:val="32"/>
          <w:szCs w:val="32"/>
          <w:lang w:val="zh-CN"/>
        </w:rPr>
        <w:t>项目绩效自评情况：根据年初设定的绩效目标，</w:t>
      </w:r>
      <w:r>
        <w:rPr>
          <w:rFonts w:hint="eastAsia" w:ascii="仿宋_GB2312" w:hAnsi="Times New Roman" w:eastAsia="仿宋_GB2312" w:cs="DengXian-Regular"/>
          <w:sz w:val="32"/>
          <w:szCs w:val="32"/>
        </w:rPr>
        <w:t>政协会议</w:t>
      </w:r>
      <w:r>
        <w:rPr>
          <w:rFonts w:ascii="Times New Roman" w:hAnsi="Times New Roman" w:eastAsia="仿宋_GB2312"/>
          <w:kern w:val="2"/>
          <w:sz w:val="32"/>
          <w:szCs w:val="32"/>
          <w:lang w:val="zh-CN"/>
        </w:rPr>
        <w:t>项目绩效自评得分为</w:t>
      </w:r>
      <w:r>
        <w:rPr>
          <w:rFonts w:hint="eastAsia" w:ascii="Times New Roman" w:hAnsi="Times New Roman" w:eastAsia="仿宋_GB2312"/>
          <w:kern w:val="2"/>
          <w:sz w:val="32"/>
          <w:szCs w:val="32"/>
          <w:lang w:val="en-US" w:eastAsia="zh-CN"/>
        </w:rPr>
        <w:t>100</w:t>
      </w:r>
      <w:r>
        <w:rPr>
          <w:rFonts w:ascii="Times New Roman" w:hAnsi="Times New Roman" w:eastAsia="仿宋_GB2312"/>
          <w:kern w:val="2"/>
          <w:sz w:val="32"/>
          <w:szCs w:val="32"/>
          <w:lang w:val="zh-CN"/>
        </w:rPr>
        <w:t>分（绩效自评表附后）。全年预算数为</w:t>
      </w:r>
      <w:r>
        <w:rPr>
          <w:rFonts w:hint="eastAsia" w:ascii="Times New Roman" w:hAnsi="Times New Roman" w:eastAsia="仿宋_GB2312"/>
          <w:kern w:val="2"/>
          <w:sz w:val="32"/>
          <w:szCs w:val="32"/>
          <w:lang w:val="en-US" w:eastAsia="zh-CN"/>
        </w:rPr>
        <w:t>8.46</w:t>
      </w:r>
      <w:r>
        <w:rPr>
          <w:rFonts w:ascii="Times New Roman" w:hAnsi="Times New Roman" w:eastAsia="仿宋_GB2312"/>
          <w:kern w:val="2"/>
          <w:sz w:val="32"/>
          <w:szCs w:val="32"/>
          <w:lang w:val="zh-CN"/>
        </w:rPr>
        <w:t>万元，执行数为</w:t>
      </w:r>
      <w:r>
        <w:rPr>
          <w:rFonts w:hint="eastAsia" w:ascii="Times New Roman" w:hAnsi="Times New Roman" w:eastAsia="仿宋_GB2312"/>
          <w:kern w:val="2"/>
          <w:sz w:val="32"/>
          <w:szCs w:val="32"/>
          <w:lang w:val="en-US" w:eastAsia="zh-CN"/>
        </w:rPr>
        <w:t>8.46</w:t>
      </w:r>
      <w:r>
        <w:rPr>
          <w:rFonts w:ascii="Times New Roman" w:hAnsi="Times New Roman" w:eastAsia="仿宋_GB2312"/>
          <w:kern w:val="2"/>
          <w:sz w:val="32"/>
          <w:szCs w:val="32"/>
          <w:lang w:val="zh-CN"/>
        </w:rPr>
        <w:t>万元，完成预算的</w:t>
      </w:r>
      <w:r>
        <w:rPr>
          <w:rFonts w:hint="eastAsia" w:ascii="Times New Roman" w:hAnsi="Times New Roman" w:eastAsia="仿宋_GB2312"/>
          <w:kern w:val="2"/>
          <w:sz w:val="32"/>
          <w:szCs w:val="32"/>
          <w:lang w:val="en-US" w:eastAsia="zh-CN"/>
        </w:rPr>
        <w:t>100</w:t>
      </w:r>
      <w:r>
        <w:rPr>
          <w:rFonts w:ascii="Times New Roman" w:hAnsi="Times New Roman" w:eastAsia="仿宋_GB2312"/>
          <w:kern w:val="2"/>
          <w:sz w:val="32"/>
          <w:szCs w:val="32"/>
          <w:lang w:val="zh-CN"/>
        </w:rPr>
        <w:t>%。项目绩效目标完成情况：</w:t>
      </w:r>
      <w:r>
        <w:rPr>
          <w:rFonts w:hint="eastAsia" w:ascii="仿宋_GB2312" w:hAnsi="仿宋_GB2312" w:eastAsia="仿宋_GB2312" w:cs="仿宋_GB2312"/>
          <w:sz w:val="32"/>
          <w:szCs w:val="32"/>
        </w:rPr>
        <w:t>发放两名涉军公益岗岗位人员补助工资，保障办公正常运转。</w:t>
      </w:r>
      <w:r>
        <w:rPr>
          <w:rFonts w:hint="eastAsia" w:ascii="Times New Roman" w:hAnsi="Times New Roman" w:eastAsia="仿宋_GB2312"/>
          <w:kern w:val="2"/>
          <w:sz w:val="32"/>
          <w:szCs w:val="32"/>
          <w:lang w:val="zh-CN"/>
        </w:rPr>
        <w:t>未发现问题。</w:t>
      </w:r>
    </w:p>
    <w:p>
      <w:pPr>
        <w:ind w:firstLine="640" w:firstLineChars="200"/>
        <w:rPr>
          <w:rFonts w:hint="eastAsia" w:ascii="Times New Roman" w:hAnsi="Times New Roman" w:eastAsia="仿宋_GB2312" w:cs="Times New Roman"/>
          <w:color w:val="auto"/>
          <w:kern w:val="2"/>
          <w:sz w:val="32"/>
          <w:szCs w:val="32"/>
          <w:lang w:val="zh-CN" w:eastAsia="zh-CN" w:bidi="ar-SA"/>
        </w:rPr>
      </w:pPr>
      <w:r>
        <w:rPr>
          <w:rFonts w:hint="eastAsia" w:ascii="仿宋_GB2312" w:hAnsi="仿宋_GB2312" w:eastAsia="仿宋_GB2312" w:cs="仿宋_GB2312"/>
          <w:sz w:val="32"/>
          <w:szCs w:val="32"/>
          <w:lang w:val="en-US" w:eastAsia="zh-CN"/>
        </w:rPr>
        <w:t>公务接待</w:t>
      </w:r>
      <w:r>
        <w:rPr>
          <w:rFonts w:ascii="Times New Roman" w:hAnsi="Times New Roman" w:eastAsia="仿宋_GB2312"/>
          <w:kern w:val="2"/>
          <w:sz w:val="32"/>
          <w:szCs w:val="32"/>
          <w:lang w:val="zh-CN"/>
        </w:rPr>
        <w:t>项目绩效自评情况：根据年初设定的绩效目标，</w:t>
      </w:r>
      <w:r>
        <w:rPr>
          <w:rFonts w:hint="eastAsia" w:ascii="仿宋_GB2312" w:hAnsi="Times New Roman" w:eastAsia="仿宋_GB2312" w:cs="DengXian-Regular"/>
          <w:sz w:val="32"/>
          <w:szCs w:val="32"/>
        </w:rPr>
        <w:t>政协会议</w:t>
      </w:r>
      <w:r>
        <w:rPr>
          <w:rFonts w:ascii="Times New Roman" w:hAnsi="Times New Roman" w:eastAsia="仿宋_GB2312"/>
          <w:kern w:val="2"/>
          <w:sz w:val="32"/>
          <w:szCs w:val="32"/>
          <w:lang w:val="zh-CN"/>
        </w:rPr>
        <w:t>项目绩效自评得分为</w:t>
      </w:r>
      <w:r>
        <w:rPr>
          <w:rFonts w:hint="eastAsia" w:ascii="Times New Roman" w:hAnsi="Times New Roman" w:eastAsia="仿宋_GB2312"/>
          <w:kern w:val="2"/>
          <w:sz w:val="32"/>
          <w:szCs w:val="32"/>
          <w:lang w:val="en-US" w:eastAsia="zh-CN"/>
        </w:rPr>
        <w:t>100</w:t>
      </w:r>
      <w:r>
        <w:rPr>
          <w:rFonts w:ascii="Times New Roman" w:hAnsi="Times New Roman" w:eastAsia="仿宋_GB2312"/>
          <w:kern w:val="2"/>
          <w:sz w:val="32"/>
          <w:szCs w:val="32"/>
          <w:lang w:val="zh-CN"/>
        </w:rPr>
        <w:t>分（绩效自评表附后）。全年预算数为</w:t>
      </w:r>
      <w:r>
        <w:rPr>
          <w:rFonts w:hint="eastAsia" w:ascii="Times New Roman" w:hAnsi="Times New Roman" w:eastAsia="仿宋_GB2312"/>
          <w:kern w:val="2"/>
          <w:sz w:val="32"/>
          <w:szCs w:val="32"/>
          <w:lang w:val="en-US" w:eastAsia="zh-CN"/>
        </w:rPr>
        <w:t>0.87</w:t>
      </w:r>
      <w:r>
        <w:rPr>
          <w:rFonts w:ascii="Times New Roman" w:hAnsi="Times New Roman" w:eastAsia="仿宋_GB2312"/>
          <w:kern w:val="2"/>
          <w:sz w:val="32"/>
          <w:szCs w:val="32"/>
          <w:lang w:val="zh-CN"/>
        </w:rPr>
        <w:t>万元，执行数为</w:t>
      </w:r>
      <w:r>
        <w:rPr>
          <w:rFonts w:hint="eastAsia" w:ascii="Times New Roman" w:hAnsi="Times New Roman" w:eastAsia="仿宋_GB2312"/>
          <w:kern w:val="2"/>
          <w:sz w:val="32"/>
          <w:szCs w:val="32"/>
          <w:lang w:val="en-US" w:eastAsia="zh-CN"/>
        </w:rPr>
        <w:t>0.87</w:t>
      </w:r>
      <w:r>
        <w:rPr>
          <w:rFonts w:ascii="Times New Roman" w:hAnsi="Times New Roman" w:eastAsia="仿宋_GB2312"/>
          <w:kern w:val="2"/>
          <w:sz w:val="32"/>
          <w:szCs w:val="32"/>
          <w:lang w:val="zh-CN"/>
        </w:rPr>
        <w:t>万元，完成预算的</w:t>
      </w:r>
      <w:r>
        <w:rPr>
          <w:rFonts w:hint="eastAsia" w:ascii="Times New Roman" w:hAnsi="Times New Roman" w:eastAsia="仿宋_GB2312"/>
          <w:kern w:val="2"/>
          <w:sz w:val="32"/>
          <w:szCs w:val="32"/>
          <w:lang w:val="en-US" w:eastAsia="zh-CN"/>
        </w:rPr>
        <w:t>100</w:t>
      </w:r>
      <w:r>
        <w:rPr>
          <w:rFonts w:ascii="Times New Roman" w:hAnsi="Times New Roman" w:eastAsia="仿宋_GB2312"/>
          <w:kern w:val="2"/>
          <w:sz w:val="32"/>
          <w:szCs w:val="32"/>
          <w:lang w:val="zh-CN"/>
        </w:rPr>
        <w:t>%。项目绩效目标完成情况：</w:t>
      </w:r>
      <w:r>
        <w:rPr>
          <w:rFonts w:hint="eastAsia" w:ascii="仿宋_GB2312" w:hAnsi="仿宋_GB2312" w:eastAsia="仿宋_GB2312" w:cs="仿宋_GB2312"/>
          <w:sz w:val="32"/>
          <w:szCs w:val="32"/>
          <w:lang w:eastAsia="zh-CN"/>
        </w:rPr>
        <w:t>迎接上级</w:t>
      </w:r>
      <w:r>
        <w:rPr>
          <w:rFonts w:hint="eastAsia" w:ascii="仿宋_GB2312" w:hAnsi="仿宋_GB2312" w:eastAsia="仿宋_GB2312" w:cs="仿宋_GB2312"/>
          <w:sz w:val="32"/>
          <w:szCs w:val="32"/>
          <w:lang w:val="en-US" w:eastAsia="zh-CN"/>
        </w:rPr>
        <w:t>政协</w:t>
      </w:r>
      <w:r>
        <w:rPr>
          <w:rFonts w:hint="eastAsia" w:ascii="仿宋_GB2312" w:hAnsi="仿宋_GB2312" w:eastAsia="仿宋_GB2312" w:cs="仿宋_GB2312"/>
          <w:sz w:val="32"/>
          <w:szCs w:val="32"/>
          <w:lang w:eastAsia="zh-CN"/>
        </w:rPr>
        <w:t>安排的调研、视察，接待兄弟县市</w:t>
      </w:r>
      <w:r>
        <w:rPr>
          <w:rFonts w:hint="eastAsia" w:ascii="仿宋_GB2312" w:hAnsi="仿宋_GB2312" w:eastAsia="仿宋_GB2312" w:cs="仿宋_GB2312"/>
          <w:sz w:val="32"/>
          <w:szCs w:val="32"/>
          <w:lang w:val="en-US" w:eastAsia="zh-CN"/>
        </w:rPr>
        <w:t>政协</w:t>
      </w:r>
      <w:r>
        <w:rPr>
          <w:rFonts w:hint="eastAsia" w:ascii="仿宋_GB2312" w:hAnsi="仿宋_GB2312" w:eastAsia="仿宋_GB2312" w:cs="仿宋_GB2312"/>
          <w:sz w:val="32"/>
          <w:szCs w:val="32"/>
          <w:lang w:eastAsia="zh-CN"/>
        </w:rPr>
        <w:t>到我区工作交流、参观考察</w:t>
      </w:r>
      <w:r>
        <w:rPr>
          <w:rFonts w:hint="default" w:ascii="Times New Roman" w:hAnsi="Times New Roman" w:eastAsia="仿宋_GB2312" w:cs="Times New Roman"/>
          <w:color w:val="auto"/>
          <w:kern w:val="2"/>
          <w:sz w:val="32"/>
          <w:szCs w:val="32"/>
          <w:lang w:val="zh-CN" w:eastAsia="zh-CN" w:bidi="ar-SA"/>
        </w:rPr>
        <w:t>。</w:t>
      </w:r>
      <w:r>
        <w:rPr>
          <w:rFonts w:hint="eastAsia" w:ascii="Times New Roman" w:hAnsi="Times New Roman" w:eastAsia="仿宋_GB2312" w:cs="Times New Roman"/>
          <w:color w:val="auto"/>
          <w:kern w:val="2"/>
          <w:sz w:val="32"/>
          <w:szCs w:val="32"/>
          <w:lang w:val="zh-CN" w:eastAsia="zh-CN" w:bidi="ar-SA"/>
        </w:rPr>
        <w:t>未发现问题。</w:t>
      </w:r>
    </w:p>
    <w:p>
      <w:pPr>
        <w:ind w:firstLine="640" w:firstLineChars="200"/>
        <w:rPr>
          <w:rFonts w:ascii="Times New Roman" w:hAnsi="Times New Roman" w:eastAsia="仿宋_GB2312" w:cs="Times New Roman"/>
          <w:sz w:val="32"/>
          <w:szCs w:val="32"/>
          <w:highlight w:val="none"/>
        </w:rPr>
      </w:pPr>
      <w:r>
        <w:rPr>
          <w:rFonts w:ascii="Times New Roman" w:hAnsi="Times New Roman" w:eastAsia="仿宋_GB2312" w:cs="Times New Roman"/>
          <w:sz w:val="32"/>
          <w:szCs w:val="32"/>
          <w:highlight w:val="none"/>
        </w:rPr>
        <w:t>附</w:t>
      </w:r>
      <w:r>
        <w:rPr>
          <w:rFonts w:hint="eastAsia" w:ascii="Times New Roman" w:hAnsi="Times New Roman" w:eastAsia="仿宋_GB2312" w:cs="Times New Roman"/>
          <w:sz w:val="32"/>
          <w:szCs w:val="32"/>
          <w:highlight w:val="none"/>
          <w:lang w:eastAsia="zh-CN"/>
        </w:rPr>
        <w:t>：</w:t>
      </w:r>
      <w:r>
        <w:rPr>
          <w:rFonts w:ascii="Times New Roman" w:hAnsi="Times New Roman" w:eastAsia="仿宋_GB2312" w:cs="Times New Roman"/>
          <w:sz w:val="32"/>
          <w:szCs w:val="32"/>
          <w:highlight w:val="none"/>
        </w:rPr>
        <w:t>项目支出绩效自评表</w:t>
      </w:r>
    </w:p>
    <w:tbl>
      <w:tblPr>
        <w:tblStyle w:val="11"/>
        <w:tblW w:w="10140"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0" w:type="dxa"/>
          <w:bottom w:w="0" w:type="dxa"/>
          <w:right w:w="0" w:type="dxa"/>
        </w:tblCellMar>
      </w:tblPr>
      <w:tblGrid>
        <w:gridCol w:w="1638"/>
        <w:gridCol w:w="1058"/>
        <w:gridCol w:w="569"/>
        <w:gridCol w:w="1021"/>
        <w:gridCol w:w="1026"/>
        <w:gridCol w:w="1074"/>
        <w:gridCol w:w="2109"/>
        <w:gridCol w:w="1645"/>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34" w:hRule="atLeast"/>
          <w:jc w:val="center"/>
        </w:trPr>
        <w:tc>
          <w:tcPr>
            <w:tcW w:w="10140" w:type="dxa"/>
            <w:gridSpan w:val="8"/>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ascii="方正小标宋_GBK" w:hAnsi="方正小标宋_GBK" w:eastAsia="方正小标宋_GBK" w:cs="方正小标宋_GBK"/>
                <w:i w:val="0"/>
                <w:color w:val="000000"/>
                <w:sz w:val="44"/>
                <w:szCs w:val="44"/>
                <w:u w:val="none"/>
              </w:rPr>
            </w:pPr>
            <w:r>
              <w:rPr>
                <w:rFonts w:hint="default" w:ascii="方正小标宋_GBK" w:hAnsi="方正小标宋_GBK" w:eastAsia="方正小标宋_GBK" w:cs="方正小标宋_GBK"/>
                <w:i w:val="0"/>
                <w:color w:val="000000"/>
                <w:kern w:val="0"/>
                <w:sz w:val="44"/>
                <w:szCs w:val="44"/>
                <w:u w:val="none"/>
                <w:lang w:val="en-US" w:eastAsia="zh-CN" w:bidi="ar"/>
              </w:rPr>
              <w:t>区级部门预算项目绩效自评表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90" w:hRule="atLeast"/>
          <w:jc w:val="center"/>
        </w:trPr>
        <w:tc>
          <w:tcPr>
            <w:tcW w:w="0" w:type="auto"/>
            <w:gridSpan w:val="8"/>
            <w:tcBorders>
              <w:top w:val="nil"/>
              <w:left w:val="nil"/>
              <w:bottom w:val="nil"/>
              <w:right w:val="nil"/>
            </w:tcBorders>
            <w:shd w:val="clear" w:color="auto" w:fill="auto"/>
            <w:noWrap/>
            <w:tcMar>
              <w:top w:w="15" w:type="dxa"/>
              <w:left w:w="15" w:type="dxa"/>
              <w:right w:w="15" w:type="dxa"/>
            </w:tcMar>
            <w:vAlign w:val="bottom"/>
          </w:tcPr>
          <w:p>
            <w:pPr>
              <w:keepNext w:val="0"/>
              <w:keepLines w:val="0"/>
              <w:widowControl/>
              <w:suppressLineNumbers w:val="0"/>
              <w:jc w:val="center"/>
              <w:textAlignment w:val="bottom"/>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   2023   年度）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90" w:hRule="atLeast"/>
          <w:jc w:val="center"/>
        </w:trPr>
        <w:tc>
          <w:tcPr>
            <w:tcW w:w="0" w:type="auto"/>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填报单位：</w:t>
            </w:r>
          </w:p>
        </w:tc>
        <w:tc>
          <w:tcPr>
            <w:tcW w:w="0" w:type="auto"/>
            <w:gridSpan w:val="6"/>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中国人民政治协商会议河北省石家庄市鹿泉区委员会</w:t>
            </w:r>
          </w:p>
        </w:tc>
        <w:tc>
          <w:tcPr>
            <w:tcW w:w="0" w:type="auto"/>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160" w:hRule="atLeast"/>
          <w:jc w:val="center"/>
        </w:trPr>
        <w:tc>
          <w:tcPr>
            <w:tcW w:w="1638" w:type="dxa"/>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一、</w:t>
            </w:r>
            <w:r>
              <w:rPr>
                <w:rFonts w:ascii="Calibri" w:hAnsi="Calibri" w:eastAsia="宋体" w:cs="Calibri"/>
                <w:i w:val="0"/>
                <w:color w:val="000000"/>
                <w:kern w:val="0"/>
                <w:sz w:val="20"/>
                <w:szCs w:val="20"/>
                <w:u w:val="none"/>
                <w:lang w:val="en-US" w:eastAsia="zh-CN" w:bidi="ar"/>
              </w:rPr>
              <w:t xml:space="preserve"> </w:t>
            </w:r>
            <w:r>
              <w:rPr>
                <w:rFonts w:hint="eastAsia" w:ascii="宋体" w:hAnsi="宋体" w:eastAsia="宋体" w:cs="宋体"/>
                <w:i w:val="0"/>
                <w:color w:val="000000"/>
                <w:kern w:val="0"/>
                <w:sz w:val="20"/>
                <w:szCs w:val="20"/>
                <w:u w:val="none"/>
                <w:lang w:val="en-US" w:eastAsia="zh-CN" w:bidi="ar"/>
              </w:rPr>
              <w:t>基本情况</w:t>
            </w:r>
          </w:p>
        </w:tc>
        <w:tc>
          <w:tcPr>
            <w:tcW w:w="105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项目名称</w:t>
            </w:r>
          </w:p>
        </w:tc>
        <w:tc>
          <w:tcPr>
            <w:tcW w:w="159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工商联专项业务费</w:t>
            </w:r>
          </w:p>
        </w:tc>
        <w:tc>
          <w:tcPr>
            <w:tcW w:w="102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实施(主管）单位</w:t>
            </w:r>
          </w:p>
        </w:tc>
        <w:tc>
          <w:tcPr>
            <w:tcW w:w="4828"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中国人民政治协商会议河北省石家庄市鹿泉区委员会本级</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160" w:hRule="atLeast"/>
          <w:jc w:val="center"/>
        </w:trPr>
        <w:tc>
          <w:tcPr>
            <w:tcW w:w="1638"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二、预算执行情况</w:t>
            </w:r>
          </w:p>
        </w:tc>
        <w:tc>
          <w:tcPr>
            <w:tcW w:w="1627"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预算安排情况（调整后）</w:t>
            </w:r>
          </w:p>
        </w:tc>
        <w:tc>
          <w:tcPr>
            <w:tcW w:w="2047"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资金到位情况</w:t>
            </w:r>
          </w:p>
        </w:tc>
        <w:tc>
          <w:tcPr>
            <w:tcW w:w="3183"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资金执行情况</w:t>
            </w:r>
          </w:p>
        </w:tc>
        <w:tc>
          <w:tcPr>
            <w:tcW w:w="1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预算执行进度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90" w:hRule="atLeast"/>
          <w:jc w:val="center"/>
        </w:trPr>
        <w:tc>
          <w:tcPr>
            <w:tcW w:w="163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05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预算数：</w:t>
            </w:r>
          </w:p>
        </w:tc>
        <w:tc>
          <w:tcPr>
            <w:tcW w:w="56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5</w:t>
            </w:r>
          </w:p>
        </w:tc>
        <w:tc>
          <w:tcPr>
            <w:tcW w:w="102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到位数：</w:t>
            </w:r>
          </w:p>
        </w:tc>
        <w:tc>
          <w:tcPr>
            <w:tcW w:w="102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5</w:t>
            </w:r>
          </w:p>
        </w:tc>
        <w:tc>
          <w:tcPr>
            <w:tcW w:w="107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执行数：</w:t>
            </w:r>
          </w:p>
        </w:tc>
        <w:tc>
          <w:tcPr>
            <w:tcW w:w="210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5</w:t>
            </w:r>
          </w:p>
        </w:tc>
        <w:tc>
          <w:tcPr>
            <w:tcW w:w="164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160" w:hRule="atLeast"/>
          <w:jc w:val="center"/>
        </w:trPr>
        <w:tc>
          <w:tcPr>
            <w:tcW w:w="163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05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其中：                 财政资金</w:t>
            </w:r>
          </w:p>
        </w:tc>
        <w:tc>
          <w:tcPr>
            <w:tcW w:w="56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02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其中：                      财政资金</w:t>
            </w:r>
          </w:p>
        </w:tc>
        <w:tc>
          <w:tcPr>
            <w:tcW w:w="102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07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其中：                     财政资金</w:t>
            </w:r>
          </w:p>
        </w:tc>
        <w:tc>
          <w:tcPr>
            <w:tcW w:w="210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64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90" w:hRule="atLeast"/>
          <w:jc w:val="center"/>
        </w:trPr>
        <w:tc>
          <w:tcPr>
            <w:tcW w:w="163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05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其他</w:t>
            </w:r>
          </w:p>
        </w:tc>
        <w:tc>
          <w:tcPr>
            <w:tcW w:w="56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default" w:ascii="Calibri" w:hAnsi="Calibri" w:eastAsia="宋体" w:cs="Calibri"/>
                <w:i w:val="0"/>
                <w:color w:val="000000"/>
                <w:sz w:val="20"/>
                <w:szCs w:val="20"/>
                <w:u w:val="none"/>
              </w:rPr>
            </w:pPr>
          </w:p>
        </w:tc>
        <w:tc>
          <w:tcPr>
            <w:tcW w:w="102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其他</w:t>
            </w:r>
          </w:p>
        </w:tc>
        <w:tc>
          <w:tcPr>
            <w:tcW w:w="102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c>
          <w:tcPr>
            <w:tcW w:w="107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其他</w:t>
            </w:r>
          </w:p>
        </w:tc>
        <w:tc>
          <w:tcPr>
            <w:tcW w:w="210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c>
          <w:tcPr>
            <w:tcW w:w="164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90" w:hRule="atLeast"/>
          <w:jc w:val="center"/>
        </w:trPr>
        <w:tc>
          <w:tcPr>
            <w:tcW w:w="1638"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三、目标完成情况</w:t>
            </w:r>
          </w:p>
        </w:tc>
        <w:tc>
          <w:tcPr>
            <w:tcW w:w="2648"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年度预期目标</w:t>
            </w:r>
          </w:p>
        </w:tc>
        <w:tc>
          <w:tcPr>
            <w:tcW w:w="4209"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具体完成情况</w:t>
            </w:r>
          </w:p>
        </w:tc>
        <w:tc>
          <w:tcPr>
            <w:tcW w:w="1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12" w:hRule="atLeast"/>
          <w:jc w:val="center"/>
        </w:trPr>
        <w:tc>
          <w:tcPr>
            <w:tcW w:w="163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2648" w:type="dxa"/>
            <w:gridSpan w:val="3"/>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 xml:space="preserve">通过组织5次培训会交流，为参加政治协商，发挥民主监督作用，积极参政议政，参与政府相关的经济活动，推动经济交流和协作，促进经济社会发展。     </w:t>
            </w:r>
          </w:p>
        </w:tc>
        <w:tc>
          <w:tcPr>
            <w:tcW w:w="4209" w:type="dxa"/>
            <w:gridSpan w:val="3"/>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 xml:space="preserve">通过组织5次培训会交流，为参加政治协商，发挥民主监督作用，积极参政议政，参与政府相关的经济活动，推动经济交流和协作，促进经济社会发展。     </w:t>
            </w:r>
          </w:p>
        </w:tc>
        <w:tc>
          <w:tcPr>
            <w:tcW w:w="164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12" w:hRule="atLeast"/>
          <w:jc w:val="center"/>
        </w:trPr>
        <w:tc>
          <w:tcPr>
            <w:tcW w:w="163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2648"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4209"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64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12" w:hRule="atLeast"/>
          <w:jc w:val="center"/>
        </w:trPr>
        <w:tc>
          <w:tcPr>
            <w:tcW w:w="163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2648"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4209"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64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160" w:hRule="atLeast"/>
          <w:jc w:val="center"/>
        </w:trPr>
        <w:tc>
          <w:tcPr>
            <w:tcW w:w="1638" w:type="dxa"/>
            <w:vMerge w:val="restart"/>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四、</w:t>
            </w:r>
            <w:r>
              <w:rPr>
                <w:rFonts w:ascii="Calibri" w:hAnsi="Calibri" w:eastAsia="宋体" w:cs="Calibri"/>
                <w:i w:val="0"/>
                <w:color w:val="000000"/>
                <w:kern w:val="0"/>
                <w:sz w:val="20"/>
                <w:szCs w:val="20"/>
                <w:u w:val="none"/>
                <w:lang w:val="en-US" w:eastAsia="zh-CN" w:bidi="ar"/>
              </w:rPr>
              <w:t xml:space="preserve"> </w:t>
            </w:r>
            <w:r>
              <w:rPr>
                <w:rFonts w:hint="eastAsia" w:ascii="宋体" w:hAnsi="宋体" w:eastAsia="宋体" w:cs="宋体"/>
                <w:i w:val="0"/>
                <w:color w:val="000000"/>
                <w:kern w:val="0"/>
                <w:sz w:val="20"/>
                <w:szCs w:val="20"/>
                <w:u w:val="none"/>
                <w:lang w:val="en-US" w:eastAsia="zh-CN" w:bidi="ar"/>
              </w:rPr>
              <w:t>年度绩效指标完成情况</w:t>
            </w:r>
          </w:p>
        </w:tc>
        <w:tc>
          <w:tcPr>
            <w:tcW w:w="105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一级指标</w:t>
            </w:r>
          </w:p>
        </w:tc>
        <w:tc>
          <w:tcPr>
            <w:tcW w:w="56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二级指标</w:t>
            </w:r>
          </w:p>
        </w:tc>
        <w:tc>
          <w:tcPr>
            <w:tcW w:w="2047"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三级指标</w:t>
            </w:r>
          </w:p>
        </w:tc>
        <w:tc>
          <w:tcPr>
            <w:tcW w:w="107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预期指标值</w:t>
            </w:r>
          </w:p>
        </w:tc>
        <w:tc>
          <w:tcPr>
            <w:tcW w:w="210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实际完成值</w:t>
            </w:r>
          </w:p>
        </w:tc>
        <w:tc>
          <w:tcPr>
            <w:tcW w:w="1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自评得分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160" w:hRule="atLeast"/>
          <w:jc w:val="center"/>
        </w:trPr>
        <w:tc>
          <w:tcPr>
            <w:tcW w:w="1638"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058" w:type="dxa"/>
            <w:vMerge w:val="restart"/>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产出指标（40）</w:t>
            </w:r>
          </w:p>
        </w:tc>
        <w:tc>
          <w:tcPr>
            <w:tcW w:w="569" w:type="dxa"/>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数量指标</w:t>
            </w:r>
          </w:p>
        </w:tc>
        <w:tc>
          <w:tcPr>
            <w:tcW w:w="2047"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组织培训会交流对接次数</w:t>
            </w:r>
          </w:p>
        </w:tc>
        <w:tc>
          <w:tcPr>
            <w:tcW w:w="107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5次</w:t>
            </w:r>
          </w:p>
        </w:tc>
        <w:tc>
          <w:tcPr>
            <w:tcW w:w="210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5次</w:t>
            </w:r>
          </w:p>
        </w:tc>
        <w:tc>
          <w:tcPr>
            <w:tcW w:w="1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160" w:hRule="atLeast"/>
          <w:jc w:val="center"/>
        </w:trPr>
        <w:tc>
          <w:tcPr>
            <w:tcW w:w="1638"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058"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56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质量指标</w:t>
            </w:r>
          </w:p>
        </w:tc>
        <w:tc>
          <w:tcPr>
            <w:tcW w:w="2047"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工作完成质量</w:t>
            </w:r>
          </w:p>
        </w:tc>
        <w:tc>
          <w:tcPr>
            <w:tcW w:w="107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≥95%</w:t>
            </w:r>
          </w:p>
        </w:tc>
        <w:tc>
          <w:tcPr>
            <w:tcW w:w="210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95%</w:t>
            </w:r>
          </w:p>
        </w:tc>
        <w:tc>
          <w:tcPr>
            <w:tcW w:w="1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160" w:hRule="atLeast"/>
          <w:jc w:val="center"/>
        </w:trPr>
        <w:tc>
          <w:tcPr>
            <w:tcW w:w="1638"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058"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56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时效指标</w:t>
            </w:r>
          </w:p>
        </w:tc>
        <w:tc>
          <w:tcPr>
            <w:tcW w:w="2047"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工作的及时性</w:t>
            </w:r>
          </w:p>
        </w:tc>
        <w:tc>
          <w:tcPr>
            <w:tcW w:w="107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≥95%</w:t>
            </w:r>
          </w:p>
        </w:tc>
        <w:tc>
          <w:tcPr>
            <w:tcW w:w="210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96%</w:t>
            </w:r>
          </w:p>
        </w:tc>
        <w:tc>
          <w:tcPr>
            <w:tcW w:w="1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160" w:hRule="atLeast"/>
          <w:jc w:val="center"/>
        </w:trPr>
        <w:tc>
          <w:tcPr>
            <w:tcW w:w="1638"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058"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56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成本指标</w:t>
            </w:r>
          </w:p>
        </w:tc>
        <w:tc>
          <w:tcPr>
            <w:tcW w:w="2047"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专项业务费的成本</w:t>
            </w:r>
          </w:p>
        </w:tc>
        <w:tc>
          <w:tcPr>
            <w:tcW w:w="107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5</w:t>
            </w:r>
            <w:r>
              <w:rPr>
                <w:rFonts w:hint="eastAsia" w:ascii="宋体" w:hAnsi="宋体" w:eastAsia="宋体" w:cs="宋体"/>
                <w:i w:val="0"/>
                <w:color w:val="000000"/>
                <w:kern w:val="0"/>
                <w:sz w:val="20"/>
                <w:szCs w:val="20"/>
                <w:u w:val="none"/>
                <w:lang w:val="en-US" w:eastAsia="zh-CN" w:bidi="ar"/>
              </w:rPr>
              <w:t>万元</w:t>
            </w:r>
          </w:p>
        </w:tc>
        <w:tc>
          <w:tcPr>
            <w:tcW w:w="210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5</w:t>
            </w:r>
            <w:r>
              <w:rPr>
                <w:rFonts w:hint="eastAsia" w:ascii="宋体" w:hAnsi="宋体" w:eastAsia="宋体" w:cs="宋体"/>
                <w:i w:val="0"/>
                <w:color w:val="000000"/>
                <w:kern w:val="0"/>
                <w:sz w:val="20"/>
                <w:szCs w:val="20"/>
                <w:u w:val="none"/>
                <w:lang w:val="en-US" w:eastAsia="zh-CN" w:bidi="ar"/>
              </w:rPr>
              <w:t>万元</w:t>
            </w:r>
          </w:p>
        </w:tc>
        <w:tc>
          <w:tcPr>
            <w:tcW w:w="1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37" w:hRule="atLeast"/>
          <w:jc w:val="center"/>
        </w:trPr>
        <w:tc>
          <w:tcPr>
            <w:tcW w:w="1638"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05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预算执行率指标</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（10分）</w:t>
            </w:r>
          </w:p>
        </w:tc>
        <w:tc>
          <w:tcPr>
            <w:tcW w:w="5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预算执行率</w:t>
            </w:r>
          </w:p>
        </w:tc>
        <w:tc>
          <w:tcPr>
            <w:tcW w:w="2047"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07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100%</w:t>
            </w:r>
          </w:p>
        </w:tc>
        <w:tc>
          <w:tcPr>
            <w:tcW w:w="210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100%</w:t>
            </w:r>
          </w:p>
        </w:tc>
        <w:tc>
          <w:tcPr>
            <w:tcW w:w="1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37" w:hRule="atLeast"/>
          <w:jc w:val="center"/>
        </w:trPr>
        <w:tc>
          <w:tcPr>
            <w:tcW w:w="1638"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058" w:type="dxa"/>
            <w:vMerge w:val="restart"/>
            <w:tcBorders>
              <w:top w:val="nil"/>
              <w:left w:val="single" w:color="000000" w:sz="4" w:space="0"/>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效益指标（40）</w:t>
            </w:r>
          </w:p>
        </w:tc>
        <w:tc>
          <w:tcPr>
            <w:tcW w:w="569"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经济效益指标</w:t>
            </w:r>
          </w:p>
        </w:tc>
        <w:tc>
          <w:tcPr>
            <w:tcW w:w="2047"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提高工作效率</w:t>
            </w:r>
          </w:p>
        </w:tc>
        <w:tc>
          <w:tcPr>
            <w:tcW w:w="107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≥95%</w:t>
            </w:r>
          </w:p>
        </w:tc>
        <w:tc>
          <w:tcPr>
            <w:tcW w:w="210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95%</w:t>
            </w:r>
          </w:p>
        </w:tc>
        <w:tc>
          <w:tcPr>
            <w:tcW w:w="1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15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37" w:hRule="atLeast"/>
          <w:jc w:val="center"/>
        </w:trPr>
        <w:tc>
          <w:tcPr>
            <w:tcW w:w="1638"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058" w:type="dxa"/>
            <w:vMerge w:val="continue"/>
            <w:tcBorders>
              <w:top w:val="nil"/>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569"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社会效益指标</w:t>
            </w:r>
          </w:p>
        </w:tc>
        <w:tc>
          <w:tcPr>
            <w:tcW w:w="2047"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监督覆盖率</w:t>
            </w:r>
          </w:p>
        </w:tc>
        <w:tc>
          <w:tcPr>
            <w:tcW w:w="107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≥96%</w:t>
            </w:r>
          </w:p>
        </w:tc>
        <w:tc>
          <w:tcPr>
            <w:tcW w:w="210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96%</w:t>
            </w:r>
          </w:p>
        </w:tc>
        <w:tc>
          <w:tcPr>
            <w:tcW w:w="1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15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14" w:hRule="atLeast"/>
          <w:jc w:val="center"/>
        </w:trPr>
        <w:tc>
          <w:tcPr>
            <w:tcW w:w="1638"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058" w:type="dxa"/>
            <w:vMerge w:val="continue"/>
            <w:tcBorders>
              <w:top w:val="nil"/>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569"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可持续影响指标</w:t>
            </w:r>
          </w:p>
        </w:tc>
        <w:tc>
          <w:tcPr>
            <w:tcW w:w="2047"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工作水平</w:t>
            </w:r>
          </w:p>
        </w:tc>
        <w:tc>
          <w:tcPr>
            <w:tcW w:w="107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≥97%</w:t>
            </w:r>
          </w:p>
        </w:tc>
        <w:tc>
          <w:tcPr>
            <w:tcW w:w="210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97%</w:t>
            </w:r>
          </w:p>
        </w:tc>
        <w:tc>
          <w:tcPr>
            <w:tcW w:w="1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37" w:hRule="atLeast"/>
          <w:jc w:val="center"/>
        </w:trPr>
        <w:tc>
          <w:tcPr>
            <w:tcW w:w="1638"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05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满意度指标</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（10分）</w:t>
            </w:r>
          </w:p>
        </w:tc>
        <w:tc>
          <w:tcPr>
            <w:tcW w:w="569"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满意度指标</w:t>
            </w:r>
          </w:p>
        </w:tc>
        <w:tc>
          <w:tcPr>
            <w:tcW w:w="2047"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满意度</w:t>
            </w:r>
          </w:p>
        </w:tc>
        <w:tc>
          <w:tcPr>
            <w:tcW w:w="107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≥98%</w:t>
            </w:r>
          </w:p>
        </w:tc>
        <w:tc>
          <w:tcPr>
            <w:tcW w:w="210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98%</w:t>
            </w:r>
          </w:p>
        </w:tc>
        <w:tc>
          <w:tcPr>
            <w:tcW w:w="1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90" w:hRule="atLeast"/>
          <w:jc w:val="center"/>
        </w:trPr>
        <w:tc>
          <w:tcPr>
            <w:tcW w:w="1638"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6857"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总分</w:t>
            </w:r>
          </w:p>
        </w:tc>
        <w:tc>
          <w:tcPr>
            <w:tcW w:w="1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37" w:hRule="atLeast"/>
          <w:jc w:val="center"/>
        </w:trPr>
        <w:tc>
          <w:tcPr>
            <w:tcW w:w="163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五、</w:t>
            </w:r>
            <w:r>
              <w:rPr>
                <w:rFonts w:ascii="Calibri" w:hAnsi="Calibri" w:eastAsia="宋体" w:cs="Calibri"/>
                <w:i w:val="0"/>
                <w:color w:val="000000"/>
                <w:kern w:val="0"/>
                <w:sz w:val="20"/>
                <w:szCs w:val="20"/>
                <w:u w:val="none"/>
                <w:lang w:val="en-US" w:eastAsia="zh-CN" w:bidi="ar"/>
              </w:rPr>
              <w:t xml:space="preserve"> </w:t>
            </w:r>
            <w:r>
              <w:rPr>
                <w:rFonts w:hint="eastAsia" w:ascii="宋体" w:hAnsi="宋体" w:eastAsia="宋体" w:cs="宋体"/>
                <w:i w:val="0"/>
                <w:color w:val="000000"/>
                <w:kern w:val="0"/>
                <w:sz w:val="20"/>
                <w:szCs w:val="20"/>
                <w:u w:val="none"/>
                <w:lang w:val="en-US" w:eastAsia="zh-CN" w:bidi="ar"/>
              </w:rPr>
              <w:t>存在问题、原因及下一步整改措施</w:t>
            </w:r>
          </w:p>
        </w:tc>
        <w:tc>
          <w:tcPr>
            <w:tcW w:w="8502" w:type="dxa"/>
            <w:gridSpan w:val="7"/>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无</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90" w:hRule="atLeast"/>
          <w:jc w:val="center"/>
        </w:trPr>
        <w:tc>
          <w:tcPr>
            <w:tcW w:w="0" w:type="auto"/>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填报人：王爱华</w:t>
            </w:r>
          </w:p>
        </w:tc>
        <w:tc>
          <w:tcPr>
            <w:tcW w:w="0" w:type="auto"/>
            <w:tcBorders>
              <w:top w:val="nil"/>
              <w:left w:val="nil"/>
              <w:bottom w:val="nil"/>
              <w:right w:val="nil"/>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联系电话：82181404</w:t>
            </w:r>
          </w:p>
        </w:tc>
        <w:tc>
          <w:tcPr>
            <w:tcW w:w="0" w:type="auto"/>
            <w:tcBorders>
              <w:top w:val="nil"/>
              <w:left w:val="nil"/>
              <w:bottom w:val="nil"/>
              <w:right w:val="nil"/>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r>
    </w:tbl>
    <w:p>
      <w:pPr>
        <w:rPr>
          <w:rFonts w:hint="eastAsia"/>
          <w:lang w:val="zh-CN" w:eastAsia="zh-CN"/>
        </w:rPr>
      </w:pPr>
    </w:p>
    <w:p>
      <w:pPr>
        <w:pStyle w:val="2"/>
        <w:numPr>
          <w:ilvl w:val="0"/>
          <w:numId w:val="0"/>
        </w:numPr>
        <w:ind w:leftChars="0"/>
        <w:rPr>
          <w:rFonts w:hint="default"/>
        </w:rPr>
      </w:pPr>
    </w:p>
    <w:tbl>
      <w:tblPr>
        <w:tblStyle w:val="11"/>
        <w:tblpPr w:leftFromText="180" w:rightFromText="180" w:vertAnchor="text" w:horzAnchor="page" w:tblpX="885" w:tblpY="1176"/>
        <w:tblOverlap w:val="never"/>
        <w:tblW w:w="10360"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0" w:type="dxa"/>
          <w:bottom w:w="0" w:type="dxa"/>
          <w:right w:w="0" w:type="dxa"/>
        </w:tblCellMar>
      </w:tblPr>
      <w:tblGrid>
        <w:gridCol w:w="1472"/>
        <w:gridCol w:w="1083"/>
        <w:gridCol w:w="885"/>
        <w:gridCol w:w="1162"/>
        <w:gridCol w:w="1176"/>
        <w:gridCol w:w="1169"/>
        <w:gridCol w:w="1887"/>
        <w:gridCol w:w="1526"/>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954" w:hRule="atLeast"/>
        </w:trPr>
        <w:tc>
          <w:tcPr>
            <w:tcW w:w="10360" w:type="dxa"/>
            <w:gridSpan w:val="8"/>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ascii="方正小标宋_GBK" w:hAnsi="方正小标宋_GBK" w:eastAsia="方正小标宋_GBK" w:cs="方正小标宋_GBK"/>
                <w:i w:val="0"/>
                <w:color w:val="000000"/>
                <w:sz w:val="44"/>
                <w:szCs w:val="44"/>
                <w:u w:val="none"/>
              </w:rPr>
            </w:pPr>
            <w:r>
              <w:rPr>
                <w:rFonts w:hint="default" w:ascii="方正小标宋_GBK" w:hAnsi="方正小标宋_GBK" w:eastAsia="方正小标宋_GBK" w:cs="方正小标宋_GBK"/>
                <w:i w:val="0"/>
                <w:color w:val="000000"/>
                <w:kern w:val="0"/>
                <w:sz w:val="44"/>
                <w:szCs w:val="44"/>
                <w:u w:val="none"/>
                <w:lang w:val="en-US" w:eastAsia="zh-CN" w:bidi="ar"/>
              </w:rPr>
              <w:t>区级部门预算项目绩效自评表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28" w:hRule="atLeast"/>
        </w:trPr>
        <w:tc>
          <w:tcPr>
            <w:tcW w:w="0" w:type="auto"/>
            <w:gridSpan w:val="8"/>
            <w:tcBorders>
              <w:top w:val="nil"/>
              <w:left w:val="nil"/>
              <w:bottom w:val="nil"/>
              <w:right w:val="nil"/>
            </w:tcBorders>
            <w:shd w:val="clear" w:color="auto" w:fill="auto"/>
            <w:noWrap/>
            <w:tcMar>
              <w:top w:w="15" w:type="dxa"/>
              <w:left w:w="15" w:type="dxa"/>
              <w:right w:w="15" w:type="dxa"/>
            </w:tcMar>
            <w:vAlign w:val="bottom"/>
          </w:tcPr>
          <w:p>
            <w:pPr>
              <w:keepNext w:val="0"/>
              <w:keepLines w:val="0"/>
              <w:widowControl/>
              <w:suppressLineNumbers w:val="0"/>
              <w:jc w:val="center"/>
              <w:textAlignment w:val="bottom"/>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   2023   年度）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66" w:hRule="atLeast"/>
        </w:trPr>
        <w:tc>
          <w:tcPr>
            <w:tcW w:w="0" w:type="auto"/>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填报单位：</w:t>
            </w:r>
          </w:p>
        </w:tc>
        <w:tc>
          <w:tcPr>
            <w:tcW w:w="0" w:type="auto"/>
            <w:gridSpan w:val="6"/>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中国人民政治协商会议河北省石家庄市鹿泉区委员会</w:t>
            </w:r>
          </w:p>
        </w:tc>
        <w:tc>
          <w:tcPr>
            <w:tcW w:w="0" w:type="auto"/>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51" w:hRule="atLeast"/>
        </w:trPr>
        <w:tc>
          <w:tcPr>
            <w:tcW w:w="1472" w:type="dxa"/>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一、</w:t>
            </w:r>
            <w:r>
              <w:rPr>
                <w:rFonts w:ascii="Calibri" w:hAnsi="Calibri" w:eastAsia="宋体" w:cs="Calibri"/>
                <w:i w:val="0"/>
                <w:color w:val="000000"/>
                <w:kern w:val="0"/>
                <w:sz w:val="20"/>
                <w:szCs w:val="20"/>
                <w:u w:val="none"/>
                <w:lang w:val="en-US" w:eastAsia="zh-CN" w:bidi="ar"/>
              </w:rPr>
              <w:t xml:space="preserve"> </w:t>
            </w:r>
            <w:r>
              <w:rPr>
                <w:rFonts w:hint="eastAsia" w:ascii="宋体" w:hAnsi="宋体" w:eastAsia="宋体" w:cs="宋体"/>
                <w:i w:val="0"/>
                <w:color w:val="000000"/>
                <w:kern w:val="0"/>
                <w:sz w:val="20"/>
                <w:szCs w:val="20"/>
                <w:u w:val="none"/>
                <w:lang w:val="en-US" w:eastAsia="zh-CN" w:bidi="ar"/>
              </w:rPr>
              <w:t>基本情况</w:t>
            </w:r>
          </w:p>
        </w:tc>
        <w:tc>
          <w:tcPr>
            <w:tcW w:w="108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项目名称</w:t>
            </w:r>
          </w:p>
        </w:tc>
        <w:tc>
          <w:tcPr>
            <w:tcW w:w="2047"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政协委员报刊、杂志书籍订阅费</w:t>
            </w:r>
          </w:p>
        </w:tc>
        <w:tc>
          <w:tcPr>
            <w:tcW w:w="117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实施(主管）单位</w:t>
            </w:r>
          </w:p>
        </w:tc>
        <w:tc>
          <w:tcPr>
            <w:tcW w:w="4582"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中国人民政治协商会议河北省石家庄市鹿泉区委员会本级</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51" w:hRule="atLeast"/>
        </w:trPr>
        <w:tc>
          <w:tcPr>
            <w:tcW w:w="1472"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二、预算执行情况</w:t>
            </w:r>
          </w:p>
        </w:tc>
        <w:tc>
          <w:tcPr>
            <w:tcW w:w="1968"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预算安排情况（调整后）</w:t>
            </w:r>
          </w:p>
        </w:tc>
        <w:tc>
          <w:tcPr>
            <w:tcW w:w="2338"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资金到位情况</w:t>
            </w:r>
          </w:p>
        </w:tc>
        <w:tc>
          <w:tcPr>
            <w:tcW w:w="3056"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资金执行情况</w:t>
            </w:r>
          </w:p>
        </w:tc>
        <w:tc>
          <w:tcPr>
            <w:tcW w:w="152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预算执行进度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41" w:hRule="atLeast"/>
        </w:trPr>
        <w:tc>
          <w:tcPr>
            <w:tcW w:w="147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08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预算数：</w:t>
            </w:r>
          </w:p>
        </w:tc>
        <w:tc>
          <w:tcPr>
            <w:tcW w:w="8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8.6</w:t>
            </w:r>
          </w:p>
        </w:tc>
        <w:tc>
          <w:tcPr>
            <w:tcW w:w="116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到位数：</w:t>
            </w:r>
          </w:p>
        </w:tc>
        <w:tc>
          <w:tcPr>
            <w:tcW w:w="117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8.6</w:t>
            </w:r>
          </w:p>
        </w:tc>
        <w:tc>
          <w:tcPr>
            <w:tcW w:w="116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执行数：</w:t>
            </w:r>
          </w:p>
        </w:tc>
        <w:tc>
          <w:tcPr>
            <w:tcW w:w="188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8.6</w:t>
            </w:r>
          </w:p>
        </w:tc>
        <w:tc>
          <w:tcPr>
            <w:tcW w:w="1526"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51" w:hRule="atLeast"/>
        </w:trPr>
        <w:tc>
          <w:tcPr>
            <w:tcW w:w="147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08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其中：                 财政资金</w:t>
            </w:r>
          </w:p>
        </w:tc>
        <w:tc>
          <w:tcPr>
            <w:tcW w:w="8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16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其中：                      财政资金</w:t>
            </w:r>
          </w:p>
        </w:tc>
        <w:tc>
          <w:tcPr>
            <w:tcW w:w="117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16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其中：                     财政资金</w:t>
            </w:r>
          </w:p>
        </w:tc>
        <w:tc>
          <w:tcPr>
            <w:tcW w:w="188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52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27" w:hRule="atLeast"/>
        </w:trPr>
        <w:tc>
          <w:tcPr>
            <w:tcW w:w="147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08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其他</w:t>
            </w:r>
          </w:p>
        </w:tc>
        <w:tc>
          <w:tcPr>
            <w:tcW w:w="8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default" w:ascii="Calibri" w:hAnsi="Calibri" w:eastAsia="宋体" w:cs="Calibri"/>
                <w:i w:val="0"/>
                <w:color w:val="000000"/>
                <w:sz w:val="20"/>
                <w:szCs w:val="20"/>
                <w:u w:val="none"/>
              </w:rPr>
            </w:pPr>
          </w:p>
        </w:tc>
        <w:tc>
          <w:tcPr>
            <w:tcW w:w="116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其他</w:t>
            </w:r>
          </w:p>
        </w:tc>
        <w:tc>
          <w:tcPr>
            <w:tcW w:w="117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c>
          <w:tcPr>
            <w:tcW w:w="116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其他</w:t>
            </w:r>
          </w:p>
        </w:tc>
        <w:tc>
          <w:tcPr>
            <w:tcW w:w="188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c>
          <w:tcPr>
            <w:tcW w:w="152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83" w:hRule="atLeast"/>
        </w:trPr>
        <w:tc>
          <w:tcPr>
            <w:tcW w:w="1472"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三、目标完成情况</w:t>
            </w:r>
          </w:p>
        </w:tc>
        <w:tc>
          <w:tcPr>
            <w:tcW w:w="3130"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年度预期目标</w:t>
            </w:r>
          </w:p>
        </w:tc>
        <w:tc>
          <w:tcPr>
            <w:tcW w:w="4232"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具体完成情况</w:t>
            </w:r>
          </w:p>
        </w:tc>
        <w:tc>
          <w:tcPr>
            <w:tcW w:w="152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总体完成率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38" w:hRule="atLeast"/>
        </w:trPr>
        <w:tc>
          <w:tcPr>
            <w:tcW w:w="147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3130" w:type="dxa"/>
            <w:gridSpan w:val="3"/>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 xml:space="preserve">政协委员报刊、杂志书籍订阅数量205份，用于政协委员报刊杂志订阅等费用，为保障工作正常运行。     </w:t>
            </w:r>
          </w:p>
        </w:tc>
        <w:tc>
          <w:tcPr>
            <w:tcW w:w="4232" w:type="dxa"/>
            <w:gridSpan w:val="3"/>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 xml:space="preserve">政协委员报刊、杂志书籍订阅数量205份，用于政协委员报刊杂志订阅等费用，为保障工作正常运行。     </w:t>
            </w:r>
          </w:p>
        </w:tc>
        <w:tc>
          <w:tcPr>
            <w:tcW w:w="1526"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1058" w:hRule="atLeast"/>
        </w:trPr>
        <w:tc>
          <w:tcPr>
            <w:tcW w:w="147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313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4232"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52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38" w:hRule="atLeast"/>
        </w:trPr>
        <w:tc>
          <w:tcPr>
            <w:tcW w:w="147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313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4232"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52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441" w:hRule="atLeast"/>
        </w:trPr>
        <w:tc>
          <w:tcPr>
            <w:tcW w:w="1472" w:type="dxa"/>
            <w:vMerge w:val="restart"/>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四、</w:t>
            </w:r>
            <w:r>
              <w:rPr>
                <w:rFonts w:ascii="Calibri" w:hAnsi="Calibri" w:eastAsia="宋体" w:cs="Calibri"/>
                <w:i w:val="0"/>
                <w:color w:val="000000"/>
                <w:kern w:val="0"/>
                <w:sz w:val="20"/>
                <w:szCs w:val="20"/>
                <w:u w:val="none"/>
                <w:lang w:val="en-US" w:eastAsia="zh-CN" w:bidi="ar"/>
              </w:rPr>
              <w:t xml:space="preserve"> </w:t>
            </w:r>
            <w:r>
              <w:rPr>
                <w:rFonts w:hint="eastAsia" w:ascii="宋体" w:hAnsi="宋体" w:eastAsia="宋体" w:cs="宋体"/>
                <w:i w:val="0"/>
                <w:color w:val="000000"/>
                <w:kern w:val="0"/>
                <w:sz w:val="20"/>
                <w:szCs w:val="20"/>
                <w:u w:val="none"/>
                <w:lang w:val="en-US" w:eastAsia="zh-CN" w:bidi="ar"/>
              </w:rPr>
              <w:t>年度绩效指标完成情况</w:t>
            </w:r>
          </w:p>
        </w:tc>
        <w:tc>
          <w:tcPr>
            <w:tcW w:w="108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一级指标</w:t>
            </w:r>
          </w:p>
        </w:tc>
        <w:tc>
          <w:tcPr>
            <w:tcW w:w="8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二级指标</w:t>
            </w:r>
          </w:p>
        </w:tc>
        <w:tc>
          <w:tcPr>
            <w:tcW w:w="2338"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三级指标</w:t>
            </w:r>
          </w:p>
        </w:tc>
        <w:tc>
          <w:tcPr>
            <w:tcW w:w="116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预期指标值</w:t>
            </w:r>
          </w:p>
        </w:tc>
        <w:tc>
          <w:tcPr>
            <w:tcW w:w="188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实际完成值</w:t>
            </w:r>
          </w:p>
        </w:tc>
        <w:tc>
          <w:tcPr>
            <w:tcW w:w="152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自评得分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65" w:hRule="atLeast"/>
        </w:trPr>
        <w:tc>
          <w:tcPr>
            <w:tcW w:w="1472"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083" w:type="dxa"/>
            <w:vMerge w:val="restart"/>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产出指标（40）</w:t>
            </w:r>
          </w:p>
        </w:tc>
        <w:tc>
          <w:tcPr>
            <w:tcW w:w="885" w:type="dxa"/>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数量指标</w:t>
            </w:r>
          </w:p>
        </w:tc>
        <w:tc>
          <w:tcPr>
            <w:tcW w:w="2338"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报刊杂志订阅数量</w:t>
            </w:r>
          </w:p>
        </w:tc>
        <w:tc>
          <w:tcPr>
            <w:tcW w:w="116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205份</w:t>
            </w:r>
          </w:p>
        </w:tc>
        <w:tc>
          <w:tcPr>
            <w:tcW w:w="188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205份</w:t>
            </w:r>
          </w:p>
        </w:tc>
        <w:tc>
          <w:tcPr>
            <w:tcW w:w="152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16" w:hRule="atLeast"/>
        </w:trPr>
        <w:tc>
          <w:tcPr>
            <w:tcW w:w="1472"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083"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8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质量指标</w:t>
            </w:r>
          </w:p>
        </w:tc>
        <w:tc>
          <w:tcPr>
            <w:tcW w:w="2338"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工作完成质量</w:t>
            </w:r>
          </w:p>
        </w:tc>
        <w:tc>
          <w:tcPr>
            <w:tcW w:w="116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≥95%</w:t>
            </w:r>
          </w:p>
        </w:tc>
        <w:tc>
          <w:tcPr>
            <w:tcW w:w="188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95%</w:t>
            </w:r>
          </w:p>
        </w:tc>
        <w:tc>
          <w:tcPr>
            <w:tcW w:w="152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702" w:hRule="atLeast"/>
        </w:trPr>
        <w:tc>
          <w:tcPr>
            <w:tcW w:w="1472"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083"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8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时效指标</w:t>
            </w:r>
          </w:p>
        </w:tc>
        <w:tc>
          <w:tcPr>
            <w:tcW w:w="2338"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订阅的及时性</w:t>
            </w:r>
          </w:p>
        </w:tc>
        <w:tc>
          <w:tcPr>
            <w:tcW w:w="116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≥95%</w:t>
            </w:r>
          </w:p>
        </w:tc>
        <w:tc>
          <w:tcPr>
            <w:tcW w:w="188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95%</w:t>
            </w:r>
          </w:p>
        </w:tc>
        <w:tc>
          <w:tcPr>
            <w:tcW w:w="152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09" w:hRule="atLeast"/>
        </w:trPr>
        <w:tc>
          <w:tcPr>
            <w:tcW w:w="1472"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083"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8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成本指标</w:t>
            </w:r>
          </w:p>
        </w:tc>
        <w:tc>
          <w:tcPr>
            <w:tcW w:w="2338"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资金成本</w:t>
            </w:r>
          </w:p>
        </w:tc>
        <w:tc>
          <w:tcPr>
            <w:tcW w:w="116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8.6</w:t>
            </w:r>
            <w:r>
              <w:rPr>
                <w:rFonts w:hint="eastAsia" w:ascii="宋体" w:hAnsi="宋体" w:eastAsia="宋体" w:cs="宋体"/>
                <w:i w:val="0"/>
                <w:color w:val="000000"/>
                <w:kern w:val="0"/>
                <w:sz w:val="20"/>
                <w:szCs w:val="20"/>
                <w:u w:val="none"/>
                <w:lang w:val="en-US" w:eastAsia="zh-CN" w:bidi="ar"/>
              </w:rPr>
              <w:t>万元</w:t>
            </w:r>
          </w:p>
        </w:tc>
        <w:tc>
          <w:tcPr>
            <w:tcW w:w="188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8.6</w:t>
            </w:r>
            <w:r>
              <w:rPr>
                <w:rFonts w:hint="eastAsia" w:ascii="宋体" w:hAnsi="宋体" w:eastAsia="宋体" w:cs="宋体"/>
                <w:i w:val="0"/>
                <w:color w:val="000000"/>
                <w:kern w:val="0"/>
                <w:sz w:val="20"/>
                <w:szCs w:val="20"/>
                <w:u w:val="none"/>
                <w:lang w:val="en-US" w:eastAsia="zh-CN" w:bidi="ar"/>
              </w:rPr>
              <w:t>万元</w:t>
            </w:r>
          </w:p>
        </w:tc>
        <w:tc>
          <w:tcPr>
            <w:tcW w:w="152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64" w:hRule="atLeast"/>
        </w:trPr>
        <w:tc>
          <w:tcPr>
            <w:tcW w:w="1472"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08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预算执行率指标</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（10分）</w:t>
            </w:r>
          </w:p>
        </w:tc>
        <w:tc>
          <w:tcPr>
            <w:tcW w:w="88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预算执行率</w:t>
            </w:r>
          </w:p>
        </w:tc>
        <w:tc>
          <w:tcPr>
            <w:tcW w:w="2338"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16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100%</w:t>
            </w:r>
          </w:p>
        </w:tc>
        <w:tc>
          <w:tcPr>
            <w:tcW w:w="188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100%</w:t>
            </w:r>
          </w:p>
        </w:tc>
        <w:tc>
          <w:tcPr>
            <w:tcW w:w="152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51" w:hRule="atLeast"/>
        </w:trPr>
        <w:tc>
          <w:tcPr>
            <w:tcW w:w="1472"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083" w:type="dxa"/>
            <w:vMerge w:val="restart"/>
            <w:tcBorders>
              <w:top w:val="nil"/>
              <w:left w:val="single" w:color="000000" w:sz="4" w:space="0"/>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效益指标（40）</w:t>
            </w:r>
          </w:p>
        </w:tc>
        <w:tc>
          <w:tcPr>
            <w:tcW w:w="885"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经济效益指标</w:t>
            </w:r>
          </w:p>
        </w:tc>
        <w:tc>
          <w:tcPr>
            <w:tcW w:w="2338"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成本利用率</w:t>
            </w:r>
          </w:p>
        </w:tc>
        <w:tc>
          <w:tcPr>
            <w:tcW w:w="116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≥95%</w:t>
            </w:r>
          </w:p>
        </w:tc>
        <w:tc>
          <w:tcPr>
            <w:tcW w:w="188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95%</w:t>
            </w:r>
          </w:p>
        </w:tc>
        <w:tc>
          <w:tcPr>
            <w:tcW w:w="152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51" w:hRule="atLeast"/>
        </w:trPr>
        <w:tc>
          <w:tcPr>
            <w:tcW w:w="1472"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083" w:type="dxa"/>
            <w:vMerge w:val="continue"/>
            <w:tcBorders>
              <w:top w:val="nil"/>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885"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社会效益指标</w:t>
            </w:r>
          </w:p>
        </w:tc>
        <w:tc>
          <w:tcPr>
            <w:tcW w:w="2338"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委员参与率</w:t>
            </w:r>
          </w:p>
        </w:tc>
        <w:tc>
          <w:tcPr>
            <w:tcW w:w="116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≥97%</w:t>
            </w:r>
          </w:p>
        </w:tc>
        <w:tc>
          <w:tcPr>
            <w:tcW w:w="188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97%</w:t>
            </w:r>
          </w:p>
        </w:tc>
        <w:tc>
          <w:tcPr>
            <w:tcW w:w="152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51" w:hRule="atLeast"/>
        </w:trPr>
        <w:tc>
          <w:tcPr>
            <w:tcW w:w="1472"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083" w:type="dxa"/>
            <w:vMerge w:val="continue"/>
            <w:tcBorders>
              <w:top w:val="nil"/>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885"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生态效益指标</w:t>
            </w:r>
          </w:p>
        </w:tc>
        <w:tc>
          <w:tcPr>
            <w:tcW w:w="2338"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加强节约利用</w:t>
            </w:r>
          </w:p>
        </w:tc>
        <w:tc>
          <w:tcPr>
            <w:tcW w:w="116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≥98%</w:t>
            </w:r>
          </w:p>
        </w:tc>
        <w:tc>
          <w:tcPr>
            <w:tcW w:w="188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98%</w:t>
            </w:r>
          </w:p>
        </w:tc>
        <w:tc>
          <w:tcPr>
            <w:tcW w:w="152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51" w:hRule="atLeast"/>
        </w:trPr>
        <w:tc>
          <w:tcPr>
            <w:tcW w:w="1472"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083" w:type="dxa"/>
            <w:vMerge w:val="continue"/>
            <w:tcBorders>
              <w:top w:val="nil"/>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885"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可持续影响指标</w:t>
            </w:r>
          </w:p>
        </w:tc>
        <w:tc>
          <w:tcPr>
            <w:tcW w:w="2338"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长期发展</w:t>
            </w:r>
          </w:p>
        </w:tc>
        <w:tc>
          <w:tcPr>
            <w:tcW w:w="116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1</w:t>
            </w:r>
            <w:r>
              <w:rPr>
                <w:rFonts w:hint="eastAsia" w:ascii="宋体" w:hAnsi="宋体" w:eastAsia="宋体" w:cs="宋体"/>
                <w:i w:val="0"/>
                <w:color w:val="000000"/>
                <w:kern w:val="0"/>
                <w:sz w:val="20"/>
                <w:szCs w:val="20"/>
                <w:u w:val="none"/>
                <w:lang w:val="en-US" w:eastAsia="zh-CN" w:bidi="ar"/>
              </w:rPr>
              <w:t>年</w:t>
            </w:r>
          </w:p>
        </w:tc>
        <w:tc>
          <w:tcPr>
            <w:tcW w:w="188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1</w:t>
            </w:r>
            <w:r>
              <w:rPr>
                <w:rFonts w:hint="eastAsia" w:ascii="宋体" w:hAnsi="宋体" w:eastAsia="宋体" w:cs="宋体"/>
                <w:i w:val="0"/>
                <w:color w:val="000000"/>
                <w:kern w:val="0"/>
                <w:sz w:val="20"/>
                <w:szCs w:val="20"/>
                <w:u w:val="none"/>
                <w:lang w:val="en-US" w:eastAsia="zh-CN" w:bidi="ar"/>
              </w:rPr>
              <w:t>年</w:t>
            </w:r>
          </w:p>
        </w:tc>
        <w:tc>
          <w:tcPr>
            <w:tcW w:w="152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51" w:hRule="atLeast"/>
        </w:trPr>
        <w:tc>
          <w:tcPr>
            <w:tcW w:w="1472"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08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满意度指标</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（10分）</w:t>
            </w:r>
          </w:p>
        </w:tc>
        <w:tc>
          <w:tcPr>
            <w:tcW w:w="885"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满意度指标</w:t>
            </w:r>
          </w:p>
        </w:tc>
        <w:tc>
          <w:tcPr>
            <w:tcW w:w="2338"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政协委员满意度</w:t>
            </w:r>
          </w:p>
        </w:tc>
        <w:tc>
          <w:tcPr>
            <w:tcW w:w="116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≥95%</w:t>
            </w:r>
          </w:p>
        </w:tc>
        <w:tc>
          <w:tcPr>
            <w:tcW w:w="188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95%</w:t>
            </w:r>
          </w:p>
        </w:tc>
        <w:tc>
          <w:tcPr>
            <w:tcW w:w="152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91" w:hRule="atLeast"/>
        </w:trPr>
        <w:tc>
          <w:tcPr>
            <w:tcW w:w="1472"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7362"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总分</w:t>
            </w:r>
          </w:p>
        </w:tc>
        <w:tc>
          <w:tcPr>
            <w:tcW w:w="152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964" w:hRule="atLeast"/>
        </w:trPr>
        <w:tc>
          <w:tcPr>
            <w:tcW w:w="147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五、</w:t>
            </w:r>
            <w:r>
              <w:rPr>
                <w:rFonts w:ascii="Calibri" w:hAnsi="Calibri" w:eastAsia="宋体" w:cs="Calibri"/>
                <w:i w:val="0"/>
                <w:color w:val="000000"/>
                <w:kern w:val="0"/>
                <w:sz w:val="20"/>
                <w:szCs w:val="20"/>
                <w:u w:val="none"/>
                <w:lang w:val="en-US" w:eastAsia="zh-CN" w:bidi="ar"/>
              </w:rPr>
              <w:t xml:space="preserve"> </w:t>
            </w:r>
            <w:r>
              <w:rPr>
                <w:rFonts w:hint="eastAsia" w:ascii="宋体" w:hAnsi="宋体" w:eastAsia="宋体" w:cs="宋体"/>
                <w:i w:val="0"/>
                <w:color w:val="000000"/>
                <w:kern w:val="0"/>
                <w:sz w:val="20"/>
                <w:szCs w:val="20"/>
                <w:u w:val="none"/>
                <w:lang w:val="en-US" w:eastAsia="zh-CN" w:bidi="ar"/>
              </w:rPr>
              <w:t>存在问题、原因及下一步整改措施</w:t>
            </w:r>
          </w:p>
        </w:tc>
        <w:tc>
          <w:tcPr>
            <w:tcW w:w="8888" w:type="dxa"/>
            <w:gridSpan w:val="7"/>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无</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407" w:hRule="atLeast"/>
        </w:trPr>
        <w:tc>
          <w:tcPr>
            <w:tcW w:w="0" w:type="auto"/>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填报人：王爱华</w:t>
            </w:r>
          </w:p>
        </w:tc>
        <w:tc>
          <w:tcPr>
            <w:tcW w:w="0" w:type="auto"/>
            <w:tcBorders>
              <w:top w:val="nil"/>
              <w:left w:val="nil"/>
              <w:bottom w:val="nil"/>
              <w:right w:val="nil"/>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联系电话：82181404</w:t>
            </w:r>
          </w:p>
        </w:tc>
        <w:tc>
          <w:tcPr>
            <w:tcW w:w="0" w:type="auto"/>
            <w:tcBorders>
              <w:top w:val="nil"/>
              <w:left w:val="nil"/>
              <w:bottom w:val="nil"/>
              <w:right w:val="nil"/>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r>
    </w:tbl>
    <w:p>
      <w:pPr>
        <w:rPr>
          <w:rFonts w:hint="default"/>
        </w:rPr>
      </w:pPr>
    </w:p>
    <w:p>
      <w:pPr>
        <w:numPr>
          <w:ilvl w:val="0"/>
          <w:numId w:val="0"/>
        </w:numPr>
        <w:adjustRightInd w:val="0"/>
        <w:snapToGrid w:val="0"/>
        <w:spacing w:line="580" w:lineRule="exact"/>
        <w:ind w:firstLine="640" w:firstLineChars="200"/>
        <w:rPr>
          <w:rFonts w:hint="eastAsia" w:ascii="Times New Roman" w:hAnsi="Times New Roman" w:eastAsia="仿宋_GB2312"/>
          <w:kern w:val="2"/>
          <w:sz w:val="32"/>
          <w:szCs w:val="32"/>
          <w:lang w:val="zh-CN"/>
        </w:rPr>
      </w:pPr>
    </w:p>
    <w:tbl>
      <w:tblPr>
        <w:tblStyle w:val="11"/>
        <w:tblpPr w:leftFromText="180" w:rightFromText="180" w:vertAnchor="text" w:horzAnchor="page" w:tblpX="896" w:tblpY="615"/>
        <w:tblOverlap w:val="never"/>
        <w:tblW w:w="10260"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0" w:type="dxa"/>
          <w:bottom w:w="0" w:type="dxa"/>
          <w:right w:w="0" w:type="dxa"/>
        </w:tblCellMar>
      </w:tblPr>
      <w:tblGrid>
        <w:gridCol w:w="1430"/>
        <w:gridCol w:w="1074"/>
        <w:gridCol w:w="1061"/>
        <w:gridCol w:w="1038"/>
        <w:gridCol w:w="1236"/>
        <w:gridCol w:w="1083"/>
        <w:gridCol w:w="1830"/>
        <w:gridCol w:w="1509"/>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921" w:hRule="atLeast"/>
        </w:trPr>
        <w:tc>
          <w:tcPr>
            <w:tcW w:w="10260" w:type="dxa"/>
            <w:gridSpan w:val="8"/>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ascii="方正小标宋_GBK" w:hAnsi="方正小标宋_GBK" w:eastAsia="方正小标宋_GBK" w:cs="方正小标宋_GBK"/>
                <w:i w:val="0"/>
                <w:color w:val="000000"/>
                <w:sz w:val="44"/>
                <w:szCs w:val="44"/>
                <w:u w:val="none"/>
              </w:rPr>
            </w:pPr>
            <w:r>
              <w:rPr>
                <w:rFonts w:hint="default" w:ascii="方正小标宋_GBK" w:hAnsi="方正小标宋_GBK" w:eastAsia="方正小标宋_GBK" w:cs="方正小标宋_GBK"/>
                <w:i w:val="0"/>
                <w:color w:val="000000"/>
                <w:kern w:val="0"/>
                <w:sz w:val="44"/>
                <w:szCs w:val="44"/>
                <w:u w:val="none"/>
                <w:lang w:val="en-US" w:eastAsia="zh-CN" w:bidi="ar"/>
              </w:rPr>
              <w:t>区级部门预算项目绩效自评表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20" w:hRule="atLeast"/>
        </w:trPr>
        <w:tc>
          <w:tcPr>
            <w:tcW w:w="0" w:type="auto"/>
            <w:gridSpan w:val="8"/>
            <w:tcBorders>
              <w:top w:val="nil"/>
              <w:left w:val="nil"/>
              <w:bottom w:val="nil"/>
              <w:right w:val="nil"/>
            </w:tcBorders>
            <w:shd w:val="clear" w:color="auto" w:fill="auto"/>
            <w:noWrap/>
            <w:tcMar>
              <w:top w:w="15" w:type="dxa"/>
              <w:left w:w="15" w:type="dxa"/>
              <w:right w:w="15" w:type="dxa"/>
            </w:tcMar>
            <w:vAlign w:val="bottom"/>
          </w:tcPr>
          <w:p>
            <w:pPr>
              <w:keepNext w:val="0"/>
              <w:keepLines w:val="0"/>
              <w:widowControl/>
              <w:suppressLineNumbers w:val="0"/>
              <w:jc w:val="center"/>
              <w:textAlignment w:val="bottom"/>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    2023  年度）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64" w:hRule="atLeast"/>
        </w:trPr>
        <w:tc>
          <w:tcPr>
            <w:tcW w:w="0" w:type="auto"/>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填报单位：</w:t>
            </w:r>
          </w:p>
        </w:tc>
        <w:tc>
          <w:tcPr>
            <w:tcW w:w="0" w:type="auto"/>
            <w:gridSpan w:val="6"/>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中国人民政治协商会议河北省石家庄市鹿泉区委员会</w:t>
            </w:r>
          </w:p>
        </w:tc>
        <w:tc>
          <w:tcPr>
            <w:tcW w:w="0" w:type="auto"/>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29" w:hRule="atLeast"/>
        </w:trPr>
        <w:tc>
          <w:tcPr>
            <w:tcW w:w="1330" w:type="dxa"/>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一、</w:t>
            </w:r>
            <w:r>
              <w:rPr>
                <w:rFonts w:ascii="Calibri" w:hAnsi="Calibri" w:eastAsia="宋体" w:cs="Calibri"/>
                <w:i w:val="0"/>
                <w:color w:val="000000"/>
                <w:kern w:val="0"/>
                <w:sz w:val="20"/>
                <w:szCs w:val="20"/>
                <w:u w:val="none"/>
                <w:lang w:val="en-US" w:eastAsia="zh-CN" w:bidi="ar"/>
              </w:rPr>
              <w:t xml:space="preserve"> </w:t>
            </w:r>
            <w:r>
              <w:rPr>
                <w:rFonts w:hint="eastAsia" w:ascii="宋体" w:hAnsi="宋体" w:eastAsia="宋体" w:cs="宋体"/>
                <w:i w:val="0"/>
                <w:color w:val="000000"/>
                <w:kern w:val="0"/>
                <w:sz w:val="20"/>
                <w:szCs w:val="20"/>
                <w:u w:val="none"/>
                <w:lang w:val="en-US" w:eastAsia="zh-CN" w:bidi="ar"/>
              </w:rPr>
              <w:t>基本情况</w:t>
            </w:r>
          </w:p>
        </w:tc>
        <w:tc>
          <w:tcPr>
            <w:tcW w:w="107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项目名称</w:t>
            </w:r>
          </w:p>
        </w:tc>
        <w:tc>
          <w:tcPr>
            <w:tcW w:w="222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公务接待费</w:t>
            </w:r>
          </w:p>
        </w:tc>
        <w:tc>
          <w:tcPr>
            <w:tcW w:w="131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实施(主管）单位</w:t>
            </w:r>
          </w:p>
        </w:tc>
        <w:tc>
          <w:tcPr>
            <w:tcW w:w="4319"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中国人民政治协商会议河北省石家庄市鹿泉区委员会本级</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489" w:hRule="atLeast"/>
        </w:trPr>
        <w:tc>
          <w:tcPr>
            <w:tcW w:w="133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二、预算执行情况</w:t>
            </w:r>
          </w:p>
        </w:tc>
        <w:tc>
          <w:tcPr>
            <w:tcW w:w="213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预算安排情况（调整后）</w:t>
            </w:r>
          </w:p>
        </w:tc>
        <w:tc>
          <w:tcPr>
            <w:tcW w:w="2476"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资金到位情况</w:t>
            </w:r>
          </w:p>
        </w:tc>
        <w:tc>
          <w:tcPr>
            <w:tcW w:w="281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资金执行情况</w:t>
            </w:r>
          </w:p>
        </w:tc>
        <w:tc>
          <w:tcPr>
            <w:tcW w:w="150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预算执行进度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431" w:hRule="atLeast"/>
        </w:trPr>
        <w:tc>
          <w:tcPr>
            <w:tcW w:w="13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07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预算数：</w:t>
            </w:r>
          </w:p>
        </w:tc>
        <w:tc>
          <w:tcPr>
            <w:tcW w:w="106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0.866</w:t>
            </w:r>
          </w:p>
        </w:tc>
        <w:tc>
          <w:tcPr>
            <w:tcW w:w="115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到位数：</w:t>
            </w:r>
          </w:p>
        </w:tc>
        <w:tc>
          <w:tcPr>
            <w:tcW w:w="131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0.866</w:t>
            </w:r>
          </w:p>
        </w:tc>
        <w:tc>
          <w:tcPr>
            <w:tcW w:w="11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执行数：</w:t>
            </w:r>
          </w:p>
        </w:tc>
        <w:tc>
          <w:tcPr>
            <w:tcW w:w="17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0.866</w:t>
            </w:r>
          </w:p>
        </w:tc>
        <w:tc>
          <w:tcPr>
            <w:tcW w:w="1509"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29" w:hRule="atLeast"/>
        </w:trPr>
        <w:tc>
          <w:tcPr>
            <w:tcW w:w="13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07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其中：                 财政资金</w:t>
            </w:r>
          </w:p>
        </w:tc>
        <w:tc>
          <w:tcPr>
            <w:tcW w:w="106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15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其中：                      财政资金</w:t>
            </w:r>
          </w:p>
        </w:tc>
        <w:tc>
          <w:tcPr>
            <w:tcW w:w="131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1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其中：                     财政资金</w:t>
            </w:r>
          </w:p>
        </w:tc>
        <w:tc>
          <w:tcPr>
            <w:tcW w:w="17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50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417" w:hRule="atLeast"/>
        </w:trPr>
        <w:tc>
          <w:tcPr>
            <w:tcW w:w="13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07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其他</w:t>
            </w:r>
          </w:p>
        </w:tc>
        <w:tc>
          <w:tcPr>
            <w:tcW w:w="106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default" w:ascii="Calibri" w:hAnsi="Calibri" w:eastAsia="宋体" w:cs="Calibri"/>
                <w:i w:val="0"/>
                <w:color w:val="000000"/>
                <w:sz w:val="20"/>
                <w:szCs w:val="20"/>
                <w:u w:val="none"/>
              </w:rPr>
            </w:pPr>
          </w:p>
        </w:tc>
        <w:tc>
          <w:tcPr>
            <w:tcW w:w="115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其他</w:t>
            </w:r>
          </w:p>
        </w:tc>
        <w:tc>
          <w:tcPr>
            <w:tcW w:w="131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c>
          <w:tcPr>
            <w:tcW w:w="11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其他</w:t>
            </w:r>
          </w:p>
        </w:tc>
        <w:tc>
          <w:tcPr>
            <w:tcW w:w="17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c>
          <w:tcPr>
            <w:tcW w:w="150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75" w:hRule="atLeast"/>
        </w:trPr>
        <w:tc>
          <w:tcPr>
            <w:tcW w:w="133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三、目标完成情况</w:t>
            </w:r>
          </w:p>
        </w:tc>
        <w:tc>
          <w:tcPr>
            <w:tcW w:w="3294"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年度预期目标</w:t>
            </w:r>
          </w:p>
        </w:tc>
        <w:tc>
          <w:tcPr>
            <w:tcW w:w="4127"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具体完成情况</w:t>
            </w:r>
          </w:p>
        </w:tc>
        <w:tc>
          <w:tcPr>
            <w:tcW w:w="150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总体完成率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12" w:hRule="atLeast"/>
        </w:trPr>
        <w:tc>
          <w:tcPr>
            <w:tcW w:w="13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3294" w:type="dxa"/>
            <w:gridSpan w:val="3"/>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 xml:space="preserve">积极组织委员开展带调研、视察撰写高质量提按报告，充分发挥委员各界别作用，为经建设服务使人民群众获得满意。     </w:t>
            </w:r>
          </w:p>
        </w:tc>
        <w:tc>
          <w:tcPr>
            <w:tcW w:w="4127" w:type="dxa"/>
            <w:gridSpan w:val="3"/>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 xml:space="preserve">积极组织委员开展带调研、视察撰写高质量提按报告，充分发挥委员各界别作用，为经建设服务使人民群众获得满意。     </w:t>
            </w:r>
          </w:p>
        </w:tc>
        <w:tc>
          <w:tcPr>
            <w:tcW w:w="1509"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1070" w:hRule="atLeast"/>
        </w:trPr>
        <w:tc>
          <w:tcPr>
            <w:tcW w:w="13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3294"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4127"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50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12" w:hRule="atLeast"/>
        </w:trPr>
        <w:tc>
          <w:tcPr>
            <w:tcW w:w="13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3294"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4127"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50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431" w:hRule="atLeast"/>
        </w:trPr>
        <w:tc>
          <w:tcPr>
            <w:tcW w:w="1330" w:type="dxa"/>
            <w:vMerge w:val="restart"/>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四、</w:t>
            </w:r>
            <w:r>
              <w:rPr>
                <w:rFonts w:ascii="Calibri" w:hAnsi="Calibri" w:eastAsia="宋体" w:cs="Calibri"/>
                <w:i w:val="0"/>
                <w:color w:val="000000"/>
                <w:kern w:val="0"/>
                <w:sz w:val="20"/>
                <w:szCs w:val="20"/>
                <w:u w:val="none"/>
                <w:lang w:val="en-US" w:eastAsia="zh-CN" w:bidi="ar"/>
              </w:rPr>
              <w:t xml:space="preserve"> </w:t>
            </w:r>
            <w:r>
              <w:rPr>
                <w:rFonts w:hint="eastAsia" w:ascii="宋体" w:hAnsi="宋体" w:eastAsia="宋体" w:cs="宋体"/>
                <w:i w:val="0"/>
                <w:color w:val="000000"/>
                <w:kern w:val="0"/>
                <w:sz w:val="20"/>
                <w:szCs w:val="20"/>
                <w:u w:val="none"/>
                <w:lang w:val="en-US" w:eastAsia="zh-CN" w:bidi="ar"/>
              </w:rPr>
              <w:t>年度绩效指标完成情况</w:t>
            </w:r>
          </w:p>
        </w:tc>
        <w:tc>
          <w:tcPr>
            <w:tcW w:w="107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一级指标</w:t>
            </w:r>
          </w:p>
        </w:tc>
        <w:tc>
          <w:tcPr>
            <w:tcW w:w="106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二级指标</w:t>
            </w:r>
          </w:p>
        </w:tc>
        <w:tc>
          <w:tcPr>
            <w:tcW w:w="2476"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三级指标</w:t>
            </w:r>
          </w:p>
        </w:tc>
        <w:tc>
          <w:tcPr>
            <w:tcW w:w="11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预期指标值</w:t>
            </w:r>
          </w:p>
        </w:tc>
        <w:tc>
          <w:tcPr>
            <w:tcW w:w="17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实际完成值</w:t>
            </w:r>
          </w:p>
        </w:tc>
        <w:tc>
          <w:tcPr>
            <w:tcW w:w="150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自评得分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64" w:hRule="atLeast"/>
        </w:trPr>
        <w:tc>
          <w:tcPr>
            <w:tcW w:w="1330"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074" w:type="dxa"/>
            <w:vMerge w:val="restart"/>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产出指标（40）</w:t>
            </w:r>
          </w:p>
        </w:tc>
        <w:tc>
          <w:tcPr>
            <w:tcW w:w="1061" w:type="dxa"/>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数量指标</w:t>
            </w:r>
          </w:p>
        </w:tc>
        <w:tc>
          <w:tcPr>
            <w:tcW w:w="2476"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接待来访和考察交流批次</w:t>
            </w:r>
          </w:p>
        </w:tc>
        <w:tc>
          <w:tcPr>
            <w:tcW w:w="11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20次</w:t>
            </w:r>
          </w:p>
        </w:tc>
        <w:tc>
          <w:tcPr>
            <w:tcW w:w="17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20次</w:t>
            </w:r>
          </w:p>
        </w:tc>
        <w:tc>
          <w:tcPr>
            <w:tcW w:w="150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09" w:hRule="atLeast"/>
        </w:trPr>
        <w:tc>
          <w:tcPr>
            <w:tcW w:w="1330"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074"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06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质量指标</w:t>
            </w:r>
          </w:p>
        </w:tc>
        <w:tc>
          <w:tcPr>
            <w:tcW w:w="2476"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计划公务接待次数完成率</w:t>
            </w:r>
          </w:p>
        </w:tc>
        <w:tc>
          <w:tcPr>
            <w:tcW w:w="11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全部完成</w:t>
            </w:r>
          </w:p>
        </w:tc>
        <w:tc>
          <w:tcPr>
            <w:tcW w:w="17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全部完成</w:t>
            </w:r>
          </w:p>
        </w:tc>
        <w:tc>
          <w:tcPr>
            <w:tcW w:w="150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702" w:hRule="atLeast"/>
        </w:trPr>
        <w:tc>
          <w:tcPr>
            <w:tcW w:w="1330"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074"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06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时效指标</w:t>
            </w:r>
          </w:p>
        </w:tc>
        <w:tc>
          <w:tcPr>
            <w:tcW w:w="2476"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工作按时完成率</w:t>
            </w:r>
          </w:p>
        </w:tc>
        <w:tc>
          <w:tcPr>
            <w:tcW w:w="11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≥95%</w:t>
            </w:r>
          </w:p>
        </w:tc>
        <w:tc>
          <w:tcPr>
            <w:tcW w:w="17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95%</w:t>
            </w:r>
          </w:p>
        </w:tc>
        <w:tc>
          <w:tcPr>
            <w:tcW w:w="150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06" w:hRule="atLeast"/>
        </w:trPr>
        <w:tc>
          <w:tcPr>
            <w:tcW w:w="1330"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074"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06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成本指标</w:t>
            </w:r>
          </w:p>
        </w:tc>
        <w:tc>
          <w:tcPr>
            <w:tcW w:w="2476"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人均接待标准</w:t>
            </w:r>
          </w:p>
        </w:tc>
        <w:tc>
          <w:tcPr>
            <w:tcW w:w="11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≤80</w:t>
            </w:r>
          </w:p>
        </w:tc>
        <w:tc>
          <w:tcPr>
            <w:tcW w:w="17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元</w:t>
            </w:r>
            <w:r>
              <w:rPr>
                <w:rFonts w:ascii="Calibri" w:hAnsi="Calibri" w:eastAsia="宋体" w:cs="Calibri"/>
                <w:i w:val="0"/>
                <w:color w:val="000000"/>
                <w:kern w:val="0"/>
                <w:sz w:val="20"/>
                <w:szCs w:val="20"/>
                <w:u w:val="none"/>
                <w:lang w:val="en-US" w:eastAsia="zh-CN" w:bidi="ar"/>
              </w:rPr>
              <w:t>/</w:t>
            </w:r>
            <w:r>
              <w:rPr>
                <w:rFonts w:hint="eastAsia" w:ascii="宋体" w:hAnsi="宋体" w:eastAsia="宋体" w:cs="宋体"/>
                <w:i w:val="0"/>
                <w:color w:val="000000"/>
                <w:kern w:val="0"/>
                <w:sz w:val="20"/>
                <w:szCs w:val="20"/>
                <w:u w:val="none"/>
                <w:lang w:val="en-US" w:eastAsia="zh-CN" w:bidi="ar"/>
              </w:rPr>
              <w:t>人</w:t>
            </w:r>
          </w:p>
        </w:tc>
        <w:tc>
          <w:tcPr>
            <w:tcW w:w="150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931" w:hRule="atLeast"/>
        </w:trPr>
        <w:tc>
          <w:tcPr>
            <w:tcW w:w="1330"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07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预算执行率指标</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（10分）</w:t>
            </w:r>
          </w:p>
        </w:tc>
        <w:tc>
          <w:tcPr>
            <w:tcW w:w="10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预算执行率</w:t>
            </w:r>
          </w:p>
        </w:tc>
        <w:tc>
          <w:tcPr>
            <w:tcW w:w="2476"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1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100%</w:t>
            </w:r>
          </w:p>
        </w:tc>
        <w:tc>
          <w:tcPr>
            <w:tcW w:w="17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100%</w:t>
            </w:r>
          </w:p>
        </w:tc>
        <w:tc>
          <w:tcPr>
            <w:tcW w:w="150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29" w:hRule="atLeast"/>
        </w:trPr>
        <w:tc>
          <w:tcPr>
            <w:tcW w:w="1330"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074" w:type="dxa"/>
            <w:tcBorders>
              <w:top w:val="nil"/>
              <w:left w:val="single" w:color="000000" w:sz="4" w:space="0"/>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效益指标（40分）</w:t>
            </w:r>
          </w:p>
        </w:tc>
        <w:tc>
          <w:tcPr>
            <w:tcW w:w="1061"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可持续影响指标</w:t>
            </w:r>
          </w:p>
        </w:tc>
        <w:tc>
          <w:tcPr>
            <w:tcW w:w="2476"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公共服务水平</w:t>
            </w:r>
          </w:p>
        </w:tc>
        <w:tc>
          <w:tcPr>
            <w:tcW w:w="11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≥98%</w:t>
            </w:r>
          </w:p>
        </w:tc>
        <w:tc>
          <w:tcPr>
            <w:tcW w:w="17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98%</w:t>
            </w:r>
          </w:p>
        </w:tc>
        <w:tc>
          <w:tcPr>
            <w:tcW w:w="150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40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64" w:hRule="atLeast"/>
        </w:trPr>
        <w:tc>
          <w:tcPr>
            <w:tcW w:w="1330"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07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满意度指标</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（10分）</w:t>
            </w:r>
          </w:p>
        </w:tc>
        <w:tc>
          <w:tcPr>
            <w:tcW w:w="1061"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满意度指标</w:t>
            </w:r>
          </w:p>
        </w:tc>
        <w:tc>
          <w:tcPr>
            <w:tcW w:w="2476"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服务对象满意度</w:t>
            </w:r>
          </w:p>
        </w:tc>
        <w:tc>
          <w:tcPr>
            <w:tcW w:w="11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≥98%</w:t>
            </w:r>
          </w:p>
        </w:tc>
        <w:tc>
          <w:tcPr>
            <w:tcW w:w="17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98%</w:t>
            </w:r>
          </w:p>
        </w:tc>
        <w:tc>
          <w:tcPr>
            <w:tcW w:w="150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86" w:hRule="atLeast"/>
        </w:trPr>
        <w:tc>
          <w:tcPr>
            <w:tcW w:w="1330"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7421"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总分</w:t>
            </w:r>
          </w:p>
        </w:tc>
        <w:tc>
          <w:tcPr>
            <w:tcW w:w="150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931" w:hRule="atLeast"/>
        </w:trPr>
        <w:tc>
          <w:tcPr>
            <w:tcW w:w="133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五、</w:t>
            </w:r>
            <w:r>
              <w:rPr>
                <w:rFonts w:ascii="Calibri" w:hAnsi="Calibri" w:eastAsia="宋体" w:cs="Calibri"/>
                <w:i w:val="0"/>
                <w:color w:val="000000"/>
                <w:kern w:val="0"/>
                <w:sz w:val="20"/>
                <w:szCs w:val="20"/>
                <w:u w:val="none"/>
                <w:lang w:val="en-US" w:eastAsia="zh-CN" w:bidi="ar"/>
              </w:rPr>
              <w:t xml:space="preserve"> </w:t>
            </w:r>
            <w:r>
              <w:rPr>
                <w:rFonts w:hint="eastAsia" w:ascii="宋体" w:hAnsi="宋体" w:eastAsia="宋体" w:cs="宋体"/>
                <w:i w:val="0"/>
                <w:color w:val="000000"/>
                <w:kern w:val="0"/>
                <w:sz w:val="20"/>
                <w:szCs w:val="20"/>
                <w:u w:val="none"/>
                <w:lang w:val="en-US" w:eastAsia="zh-CN" w:bidi="ar"/>
              </w:rPr>
              <w:t>存在问题、原因及下一步整改措施</w:t>
            </w:r>
          </w:p>
        </w:tc>
        <w:tc>
          <w:tcPr>
            <w:tcW w:w="8930" w:type="dxa"/>
            <w:gridSpan w:val="7"/>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无</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407" w:hRule="atLeast"/>
        </w:trPr>
        <w:tc>
          <w:tcPr>
            <w:tcW w:w="0" w:type="auto"/>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填报人：王爱华</w:t>
            </w:r>
          </w:p>
        </w:tc>
        <w:tc>
          <w:tcPr>
            <w:tcW w:w="0" w:type="auto"/>
            <w:tcBorders>
              <w:top w:val="nil"/>
              <w:left w:val="nil"/>
              <w:bottom w:val="nil"/>
              <w:right w:val="nil"/>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联系电话：82181404</w:t>
            </w:r>
          </w:p>
        </w:tc>
        <w:tc>
          <w:tcPr>
            <w:tcW w:w="0" w:type="auto"/>
            <w:tcBorders>
              <w:top w:val="nil"/>
              <w:left w:val="nil"/>
              <w:bottom w:val="nil"/>
              <w:right w:val="nil"/>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r>
    </w:tbl>
    <w:p>
      <w:pPr>
        <w:rPr>
          <w:rFonts w:hint="eastAsia"/>
          <w:lang w:val="zh-CN"/>
        </w:rPr>
      </w:pPr>
    </w:p>
    <w:tbl>
      <w:tblPr>
        <w:tblStyle w:val="11"/>
        <w:tblpPr w:leftFromText="180" w:rightFromText="180" w:vertAnchor="text" w:horzAnchor="page" w:tblpX="1421" w:tblpY="463"/>
        <w:tblOverlap w:val="never"/>
        <w:tblW w:w="9780"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0" w:type="dxa"/>
          <w:bottom w:w="0" w:type="dxa"/>
          <w:right w:w="0" w:type="dxa"/>
        </w:tblCellMar>
      </w:tblPr>
      <w:tblGrid>
        <w:gridCol w:w="1464"/>
        <w:gridCol w:w="955"/>
        <w:gridCol w:w="1012"/>
        <w:gridCol w:w="691"/>
        <w:gridCol w:w="1267"/>
        <w:gridCol w:w="1043"/>
        <w:gridCol w:w="1880"/>
        <w:gridCol w:w="1468"/>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949" w:hRule="atLeast"/>
        </w:trPr>
        <w:tc>
          <w:tcPr>
            <w:tcW w:w="9780" w:type="dxa"/>
            <w:gridSpan w:val="8"/>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ascii="方正小标宋_GBK" w:hAnsi="方正小标宋_GBK" w:eastAsia="方正小标宋_GBK" w:cs="方正小标宋_GBK"/>
                <w:i w:val="0"/>
                <w:color w:val="000000"/>
                <w:sz w:val="44"/>
                <w:szCs w:val="44"/>
                <w:u w:val="none"/>
              </w:rPr>
            </w:pPr>
            <w:r>
              <w:rPr>
                <w:rFonts w:hint="default" w:ascii="方正小标宋_GBK" w:hAnsi="方正小标宋_GBK" w:eastAsia="方正小标宋_GBK" w:cs="方正小标宋_GBK"/>
                <w:i w:val="0"/>
                <w:color w:val="000000"/>
                <w:kern w:val="0"/>
                <w:sz w:val="44"/>
                <w:szCs w:val="44"/>
                <w:u w:val="none"/>
                <w:lang w:val="en-US" w:eastAsia="zh-CN" w:bidi="ar"/>
              </w:rPr>
              <w:t>区级部门预算项目绩效自评表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35" w:hRule="atLeast"/>
        </w:trPr>
        <w:tc>
          <w:tcPr>
            <w:tcW w:w="9780" w:type="dxa"/>
            <w:gridSpan w:val="8"/>
            <w:tcBorders>
              <w:top w:val="nil"/>
              <w:left w:val="nil"/>
              <w:bottom w:val="nil"/>
              <w:right w:val="nil"/>
            </w:tcBorders>
            <w:shd w:val="clear" w:color="auto" w:fill="auto"/>
            <w:noWrap/>
            <w:tcMar>
              <w:top w:w="15" w:type="dxa"/>
              <w:left w:w="15" w:type="dxa"/>
              <w:right w:w="15" w:type="dxa"/>
            </w:tcMar>
            <w:vAlign w:val="bottom"/>
          </w:tcPr>
          <w:p>
            <w:pPr>
              <w:keepNext w:val="0"/>
              <w:keepLines w:val="0"/>
              <w:widowControl/>
              <w:suppressLineNumbers w:val="0"/>
              <w:jc w:val="center"/>
              <w:textAlignment w:val="bottom"/>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   2023   年度）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35" w:hRule="atLeast"/>
        </w:trPr>
        <w:tc>
          <w:tcPr>
            <w:tcW w:w="1464" w:type="dxa"/>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填报单位：</w:t>
            </w:r>
          </w:p>
        </w:tc>
        <w:tc>
          <w:tcPr>
            <w:tcW w:w="6848" w:type="dxa"/>
            <w:gridSpan w:val="6"/>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中国人民政治协商会议河北省石家庄市鹿泉区委员会</w:t>
            </w:r>
          </w:p>
        </w:tc>
        <w:tc>
          <w:tcPr>
            <w:tcW w:w="1468" w:type="dxa"/>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62" w:hRule="atLeast"/>
        </w:trPr>
        <w:tc>
          <w:tcPr>
            <w:tcW w:w="1464" w:type="dxa"/>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一、</w:t>
            </w:r>
            <w:r>
              <w:rPr>
                <w:rFonts w:ascii="Calibri" w:hAnsi="Calibri" w:eastAsia="宋体" w:cs="Calibri"/>
                <w:i w:val="0"/>
                <w:color w:val="000000"/>
                <w:kern w:val="0"/>
                <w:sz w:val="20"/>
                <w:szCs w:val="20"/>
                <w:u w:val="none"/>
                <w:lang w:val="en-US" w:eastAsia="zh-CN" w:bidi="ar"/>
              </w:rPr>
              <w:t xml:space="preserve"> </w:t>
            </w:r>
            <w:r>
              <w:rPr>
                <w:rFonts w:hint="eastAsia" w:ascii="宋体" w:hAnsi="宋体" w:eastAsia="宋体" w:cs="宋体"/>
                <w:i w:val="0"/>
                <w:color w:val="000000"/>
                <w:kern w:val="0"/>
                <w:sz w:val="20"/>
                <w:szCs w:val="20"/>
                <w:u w:val="none"/>
                <w:lang w:val="en-US" w:eastAsia="zh-CN" w:bidi="ar"/>
              </w:rPr>
              <w:t>基本情况</w:t>
            </w:r>
          </w:p>
        </w:tc>
        <w:tc>
          <w:tcPr>
            <w:tcW w:w="9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项目名称</w:t>
            </w:r>
          </w:p>
        </w:tc>
        <w:tc>
          <w:tcPr>
            <w:tcW w:w="1703"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涉军公益岗工资</w:t>
            </w:r>
          </w:p>
        </w:tc>
        <w:tc>
          <w:tcPr>
            <w:tcW w:w="126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实施(主管）单位</w:t>
            </w:r>
          </w:p>
        </w:tc>
        <w:tc>
          <w:tcPr>
            <w:tcW w:w="4391"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中国人民政治协商会议河北省石家庄市鹿泉区委员会本级</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62" w:hRule="atLeast"/>
        </w:trPr>
        <w:tc>
          <w:tcPr>
            <w:tcW w:w="1464"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二、预算执行情况</w:t>
            </w:r>
          </w:p>
        </w:tc>
        <w:tc>
          <w:tcPr>
            <w:tcW w:w="1967"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预算安排情况（调整后）</w:t>
            </w:r>
          </w:p>
        </w:tc>
        <w:tc>
          <w:tcPr>
            <w:tcW w:w="1958"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资金到位情况</w:t>
            </w:r>
          </w:p>
        </w:tc>
        <w:tc>
          <w:tcPr>
            <w:tcW w:w="2923"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资金执行情况</w:t>
            </w:r>
          </w:p>
        </w:tc>
        <w:tc>
          <w:tcPr>
            <w:tcW w:w="146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预算执行进度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62" w:hRule="atLeast"/>
        </w:trPr>
        <w:tc>
          <w:tcPr>
            <w:tcW w:w="146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9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预算数：</w:t>
            </w:r>
          </w:p>
        </w:tc>
        <w:tc>
          <w:tcPr>
            <w:tcW w:w="101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8.463648</w:t>
            </w:r>
          </w:p>
        </w:tc>
        <w:tc>
          <w:tcPr>
            <w:tcW w:w="69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到位数：</w:t>
            </w:r>
          </w:p>
        </w:tc>
        <w:tc>
          <w:tcPr>
            <w:tcW w:w="126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8.463648</w:t>
            </w:r>
          </w:p>
        </w:tc>
        <w:tc>
          <w:tcPr>
            <w:tcW w:w="104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执行数：</w:t>
            </w:r>
          </w:p>
        </w:tc>
        <w:tc>
          <w:tcPr>
            <w:tcW w:w="18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8.463648</w:t>
            </w:r>
          </w:p>
        </w:tc>
        <w:tc>
          <w:tcPr>
            <w:tcW w:w="1468"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968" w:hRule="atLeast"/>
        </w:trPr>
        <w:tc>
          <w:tcPr>
            <w:tcW w:w="146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9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其中：                 财政资金</w:t>
            </w:r>
          </w:p>
        </w:tc>
        <w:tc>
          <w:tcPr>
            <w:tcW w:w="101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69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其中：                      财政资金</w:t>
            </w:r>
          </w:p>
        </w:tc>
        <w:tc>
          <w:tcPr>
            <w:tcW w:w="126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04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其中：                     财政资金</w:t>
            </w:r>
          </w:p>
        </w:tc>
        <w:tc>
          <w:tcPr>
            <w:tcW w:w="18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46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55" w:hRule="atLeast"/>
        </w:trPr>
        <w:tc>
          <w:tcPr>
            <w:tcW w:w="146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9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其他</w:t>
            </w:r>
          </w:p>
        </w:tc>
        <w:tc>
          <w:tcPr>
            <w:tcW w:w="101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default" w:ascii="Calibri" w:hAnsi="Calibri" w:eastAsia="宋体" w:cs="Calibri"/>
                <w:i w:val="0"/>
                <w:color w:val="000000"/>
                <w:sz w:val="20"/>
                <w:szCs w:val="20"/>
                <w:u w:val="none"/>
              </w:rPr>
            </w:pPr>
          </w:p>
        </w:tc>
        <w:tc>
          <w:tcPr>
            <w:tcW w:w="69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其他</w:t>
            </w:r>
          </w:p>
        </w:tc>
        <w:tc>
          <w:tcPr>
            <w:tcW w:w="126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c>
          <w:tcPr>
            <w:tcW w:w="104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其他</w:t>
            </w:r>
          </w:p>
        </w:tc>
        <w:tc>
          <w:tcPr>
            <w:tcW w:w="18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c>
          <w:tcPr>
            <w:tcW w:w="146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71" w:hRule="atLeast"/>
        </w:trPr>
        <w:tc>
          <w:tcPr>
            <w:tcW w:w="1464"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三、目标完成情况</w:t>
            </w:r>
          </w:p>
        </w:tc>
        <w:tc>
          <w:tcPr>
            <w:tcW w:w="2658"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年度预期目标</w:t>
            </w:r>
          </w:p>
        </w:tc>
        <w:tc>
          <w:tcPr>
            <w:tcW w:w="4190"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具体完成情况</w:t>
            </w:r>
          </w:p>
        </w:tc>
        <w:tc>
          <w:tcPr>
            <w:tcW w:w="146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总体完成率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55" w:hRule="atLeast"/>
        </w:trPr>
        <w:tc>
          <w:tcPr>
            <w:tcW w:w="146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2658" w:type="dxa"/>
            <w:gridSpan w:val="3"/>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 xml:space="preserve">发放两名涉军公益岗岗位人员补助工资，保障办公正常运转。     </w:t>
            </w:r>
          </w:p>
        </w:tc>
        <w:tc>
          <w:tcPr>
            <w:tcW w:w="4190" w:type="dxa"/>
            <w:gridSpan w:val="3"/>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 xml:space="preserve">发放两名涉军公益岗岗位人员补助工资，保障办公正常运转。     </w:t>
            </w:r>
          </w:p>
        </w:tc>
        <w:tc>
          <w:tcPr>
            <w:tcW w:w="1468"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777" w:hRule="atLeast"/>
        </w:trPr>
        <w:tc>
          <w:tcPr>
            <w:tcW w:w="146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2658"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419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46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55" w:hRule="atLeast"/>
        </w:trPr>
        <w:tc>
          <w:tcPr>
            <w:tcW w:w="146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2658"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419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46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62" w:hRule="atLeast"/>
        </w:trPr>
        <w:tc>
          <w:tcPr>
            <w:tcW w:w="1464" w:type="dxa"/>
            <w:vMerge w:val="restart"/>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四、</w:t>
            </w:r>
            <w:r>
              <w:rPr>
                <w:rFonts w:ascii="Calibri" w:hAnsi="Calibri" w:eastAsia="宋体" w:cs="Calibri"/>
                <w:i w:val="0"/>
                <w:color w:val="000000"/>
                <w:kern w:val="0"/>
                <w:sz w:val="20"/>
                <w:szCs w:val="20"/>
                <w:u w:val="none"/>
                <w:lang w:val="en-US" w:eastAsia="zh-CN" w:bidi="ar"/>
              </w:rPr>
              <w:t xml:space="preserve"> </w:t>
            </w:r>
            <w:r>
              <w:rPr>
                <w:rFonts w:hint="eastAsia" w:ascii="宋体" w:hAnsi="宋体" w:eastAsia="宋体" w:cs="宋体"/>
                <w:i w:val="0"/>
                <w:color w:val="000000"/>
                <w:kern w:val="0"/>
                <w:sz w:val="20"/>
                <w:szCs w:val="20"/>
                <w:u w:val="none"/>
                <w:lang w:val="en-US" w:eastAsia="zh-CN" w:bidi="ar"/>
              </w:rPr>
              <w:t>年度绩效指标完成情况</w:t>
            </w:r>
          </w:p>
        </w:tc>
        <w:tc>
          <w:tcPr>
            <w:tcW w:w="9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一级指标</w:t>
            </w:r>
          </w:p>
        </w:tc>
        <w:tc>
          <w:tcPr>
            <w:tcW w:w="101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二级指标</w:t>
            </w:r>
          </w:p>
        </w:tc>
        <w:tc>
          <w:tcPr>
            <w:tcW w:w="1958"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三级指标</w:t>
            </w:r>
          </w:p>
        </w:tc>
        <w:tc>
          <w:tcPr>
            <w:tcW w:w="104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预期指标值</w:t>
            </w:r>
          </w:p>
        </w:tc>
        <w:tc>
          <w:tcPr>
            <w:tcW w:w="18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实际完成值</w:t>
            </w:r>
          </w:p>
        </w:tc>
        <w:tc>
          <w:tcPr>
            <w:tcW w:w="146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自评得分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00" w:hRule="atLeast"/>
        </w:trPr>
        <w:tc>
          <w:tcPr>
            <w:tcW w:w="1464"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955" w:type="dxa"/>
            <w:vMerge w:val="restart"/>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产出指标（40）</w:t>
            </w:r>
          </w:p>
        </w:tc>
        <w:tc>
          <w:tcPr>
            <w:tcW w:w="1012" w:type="dxa"/>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数量指标</w:t>
            </w:r>
          </w:p>
        </w:tc>
        <w:tc>
          <w:tcPr>
            <w:tcW w:w="1958"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发放人数</w:t>
            </w:r>
          </w:p>
        </w:tc>
        <w:tc>
          <w:tcPr>
            <w:tcW w:w="104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2人</w:t>
            </w:r>
          </w:p>
        </w:tc>
        <w:tc>
          <w:tcPr>
            <w:tcW w:w="18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2人</w:t>
            </w:r>
          </w:p>
        </w:tc>
        <w:tc>
          <w:tcPr>
            <w:tcW w:w="146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94" w:hRule="atLeast"/>
        </w:trPr>
        <w:tc>
          <w:tcPr>
            <w:tcW w:w="1464"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955"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01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质量指标</w:t>
            </w:r>
          </w:p>
        </w:tc>
        <w:tc>
          <w:tcPr>
            <w:tcW w:w="1958"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退役军人补助覆盖率</w:t>
            </w:r>
          </w:p>
        </w:tc>
        <w:tc>
          <w:tcPr>
            <w:tcW w:w="104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≥98%</w:t>
            </w:r>
          </w:p>
        </w:tc>
        <w:tc>
          <w:tcPr>
            <w:tcW w:w="18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98%</w:t>
            </w:r>
          </w:p>
        </w:tc>
        <w:tc>
          <w:tcPr>
            <w:tcW w:w="146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7" w:hRule="atLeast"/>
        </w:trPr>
        <w:tc>
          <w:tcPr>
            <w:tcW w:w="1464"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955"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01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时效指标</w:t>
            </w:r>
          </w:p>
        </w:tc>
        <w:tc>
          <w:tcPr>
            <w:tcW w:w="1958"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补贴发放及时率</w:t>
            </w:r>
          </w:p>
        </w:tc>
        <w:tc>
          <w:tcPr>
            <w:tcW w:w="104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1</w:t>
            </w:r>
          </w:p>
        </w:tc>
        <w:tc>
          <w:tcPr>
            <w:tcW w:w="18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1</w:t>
            </w:r>
          </w:p>
        </w:tc>
        <w:tc>
          <w:tcPr>
            <w:tcW w:w="146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62" w:hRule="atLeast"/>
        </w:trPr>
        <w:tc>
          <w:tcPr>
            <w:tcW w:w="1464"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955"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01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成本指标</w:t>
            </w:r>
          </w:p>
        </w:tc>
        <w:tc>
          <w:tcPr>
            <w:tcW w:w="1958"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公益性岗位补贴人均标准</w:t>
            </w:r>
          </w:p>
        </w:tc>
        <w:tc>
          <w:tcPr>
            <w:tcW w:w="104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每月1157.68元</w:t>
            </w:r>
          </w:p>
        </w:tc>
        <w:tc>
          <w:tcPr>
            <w:tcW w:w="18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每月1157.68元</w:t>
            </w:r>
          </w:p>
        </w:tc>
        <w:tc>
          <w:tcPr>
            <w:tcW w:w="146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68" w:hRule="atLeast"/>
        </w:trPr>
        <w:tc>
          <w:tcPr>
            <w:tcW w:w="1464"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9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预算执行率指标</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（10分）</w:t>
            </w:r>
          </w:p>
        </w:tc>
        <w:tc>
          <w:tcPr>
            <w:tcW w:w="101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预算执行率</w:t>
            </w:r>
          </w:p>
        </w:tc>
        <w:tc>
          <w:tcPr>
            <w:tcW w:w="1958"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04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100%</w:t>
            </w:r>
          </w:p>
        </w:tc>
        <w:tc>
          <w:tcPr>
            <w:tcW w:w="18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100%</w:t>
            </w:r>
          </w:p>
        </w:tc>
        <w:tc>
          <w:tcPr>
            <w:tcW w:w="146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62" w:hRule="atLeast"/>
        </w:trPr>
        <w:tc>
          <w:tcPr>
            <w:tcW w:w="1464"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955" w:type="dxa"/>
            <w:vMerge w:val="restart"/>
            <w:tcBorders>
              <w:top w:val="nil"/>
              <w:left w:val="single" w:color="000000" w:sz="4" w:space="0"/>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效益指标（40）</w:t>
            </w:r>
          </w:p>
        </w:tc>
        <w:tc>
          <w:tcPr>
            <w:tcW w:w="1012"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经济效益指标</w:t>
            </w:r>
          </w:p>
        </w:tc>
        <w:tc>
          <w:tcPr>
            <w:tcW w:w="1958"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服务水平提升情况</w:t>
            </w:r>
          </w:p>
        </w:tc>
        <w:tc>
          <w:tcPr>
            <w:tcW w:w="104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≥98%</w:t>
            </w:r>
          </w:p>
        </w:tc>
        <w:tc>
          <w:tcPr>
            <w:tcW w:w="18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98%</w:t>
            </w:r>
          </w:p>
        </w:tc>
        <w:tc>
          <w:tcPr>
            <w:tcW w:w="146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62" w:hRule="atLeast"/>
        </w:trPr>
        <w:tc>
          <w:tcPr>
            <w:tcW w:w="1464"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955" w:type="dxa"/>
            <w:vMerge w:val="continue"/>
            <w:tcBorders>
              <w:top w:val="nil"/>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012"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社会效益指标</w:t>
            </w:r>
          </w:p>
        </w:tc>
        <w:tc>
          <w:tcPr>
            <w:tcW w:w="1958"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享受补助人数</w:t>
            </w:r>
          </w:p>
        </w:tc>
        <w:tc>
          <w:tcPr>
            <w:tcW w:w="104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2人</w:t>
            </w:r>
          </w:p>
        </w:tc>
        <w:tc>
          <w:tcPr>
            <w:tcW w:w="18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2人</w:t>
            </w:r>
          </w:p>
        </w:tc>
        <w:tc>
          <w:tcPr>
            <w:tcW w:w="146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62" w:hRule="atLeast"/>
        </w:trPr>
        <w:tc>
          <w:tcPr>
            <w:tcW w:w="1464"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955" w:type="dxa"/>
            <w:vMerge w:val="continue"/>
            <w:tcBorders>
              <w:top w:val="nil"/>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012"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生态效益指标</w:t>
            </w:r>
          </w:p>
        </w:tc>
        <w:tc>
          <w:tcPr>
            <w:tcW w:w="1958"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公共服务水平</w:t>
            </w:r>
          </w:p>
        </w:tc>
        <w:tc>
          <w:tcPr>
            <w:tcW w:w="104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≥95%</w:t>
            </w:r>
          </w:p>
        </w:tc>
        <w:tc>
          <w:tcPr>
            <w:tcW w:w="18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95%</w:t>
            </w:r>
          </w:p>
        </w:tc>
        <w:tc>
          <w:tcPr>
            <w:tcW w:w="146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62" w:hRule="atLeast"/>
        </w:trPr>
        <w:tc>
          <w:tcPr>
            <w:tcW w:w="1464"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955" w:type="dxa"/>
            <w:vMerge w:val="continue"/>
            <w:tcBorders>
              <w:top w:val="nil"/>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012"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可持续影响指标</w:t>
            </w:r>
          </w:p>
        </w:tc>
        <w:tc>
          <w:tcPr>
            <w:tcW w:w="1958"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资源消耗</w:t>
            </w:r>
          </w:p>
        </w:tc>
        <w:tc>
          <w:tcPr>
            <w:tcW w:w="104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无</w:t>
            </w:r>
          </w:p>
        </w:tc>
        <w:tc>
          <w:tcPr>
            <w:tcW w:w="18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无</w:t>
            </w:r>
          </w:p>
        </w:tc>
        <w:tc>
          <w:tcPr>
            <w:tcW w:w="146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889" w:hRule="atLeast"/>
        </w:trPr>
        <w:tc>
          <w:tcPr>
            <w:tcW w:w="1464"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9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满意度指标</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（10分）</w:t>
            </w:r>
          </w:p>
        </w:tc>
        <w:tc>
          <w:tcPr>
            <w:tcW w:w="1012"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满意度指标</w:t>
            </w:r>
          </w:p>
        </w:tc>
        <w:tc>
          <w:tcPr>
            <w:tcW w:w="1958"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满意度</w:t>
            </w:r>
          </w:p>
        </w:tc>
        <w:tc>
          <w:tcPr>
            <w:tcW w:w="104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≥97%</w:t>
            </w:r>
          </w:p>
        </w:tc>
        <w:tc>
          <w:tcPr>
            <w:tcW w:w="18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97%</w:t>
            </w:r>
          </w:p>
        </w:tc>
        <w:tc>
          <w:tcPr>
            <w:tcW w:w="146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447" w:hRule="atLeast"/>
        </w:trPr>
        <w:tc>
          <w:tcPr>
            <w:tcW w:w="1464"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6848"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总分</w:t>
            </w:r>
          </w:p>
        </w:tc>
        <w:tc>
          <w:tcPr>
            <w:tcW w:w="146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968" w:hRule="atLeast"/>
        </w:trPr>
        <w:tc>
          <w:tcPr>
            <w:tcW w:w="1464"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五、</w:t>
            </w:r>
            <w:r>
              <w:rPr>
                <w:rFonts w:ascii="Calibri" w:hAnsi="Calibri" w:eastAsia="宋体" w:cs="Calibri"/>
                <w:i w:val="0"/>
                <w:color w:val="000000"/>
                <w:kern w:val="0"/>
                <w:sz w:val="20"/>
                <w:szCs w:val="20"/>
                <w:u w:val="none"/>
                <w:lang w:val="en-US" w:eastAsia="zh-CN" w:bidi="ar"/>
              </w:rPr>
              <w:t xml:space="preserve"> </w:t>
            </w:r>
            <w:r>
              <w:rPr>
                <w:rFonts w:hint="eastAsia" w:ascii="宋体" w:hAnsi="宋体" w:eastAsia="宋体" w:cs="宋体"/>
                <w:i w:val="0"/>
                <w:color w:val="000000"/>
                <w:kern w:val="0"/>
                <w:sz w:val="20"/>
                <w:szCs w:val="20"/>
                <w:u w:val="none"/>
                <w:lang w:val="en-US" w:eastAsia="zh-CN" w:bidi="ar"/>
              </w:rPr>
              <w:t>存在问题、原因及下一步整改措施</w:t>
            </w:r>
          </w:p>
        </w:tc>
        <w:tc>
          <w:tcPr>
            <w:tcW w:w="8316" w:type="dxa"/>
            <w:gridSpan w:val="7"/>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无</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35" w:hRule="atLeast"/>
        </w:trPr>
        <w:tc>
          <w:tcPr>
            <w:tcW w:w="1464" w:type="dxa"/>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填报人：王爱华</w:t>
            </w:r>
          </w:p>
        </w:tc>
        <w:tc>
          <w:tcPr>
            <w:tcW w:w="955" w:type="dxa"/>
            <w:tcBorders>
              <w:top w:val="nil"/>
              <w:left w:val="nil"/>
              <w:bottom w:val="nil"/>
              <w:right w:val="nil"/>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012" w:type="dxa"/>
            <w:tcBorders>
              <w:top w:val="nil"/>
              <w:left w:val="nil"/>
              <w:bottom w:val="nil"/>
              <w:right w:val="nil"/>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691" w:type="dxa"/>
            <w:tcBorders>
              <w:top w:val="nil"/>
              <w:left w:val="nil"/>
              <w:bottom w:val="nil"/>
              <w:right w:val="nil"/>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267" w:type="dxa"/>
            <w:tcBorders>
              <w:top w:val="nil"/>
              <w:left w:val="nil"/>
              <w:bottom w:val="nil"/>
              <w:right w:val="nil"/>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043" w:type="dxa"/>
            <w:tcBorders>
              <w:top w:val="nil"/>
              <w:left w:val="nil"/>
              <w:bottom w:val="nil"/>
              <w:right w:val="nil"/>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880" w:type="dxa"/>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联系电话：82181404</w:t>
            </w:r>
          </w:p>
        </w:tc>
        <w:tc>
          <w:tcPr>
            <w:tcW w:w="1468" w:type="dxa"/>
            <w:tcBorders>
              <w:top w:val="nil"/>
              <w:left w:val="nil"/>
              <w:bottom w:val="nil"/>
              <w:right w:val="nil"/>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r>
    </w:tbl>
    <w:p>
      <w:pPr>
        <w:pStyle w:val="2"/>
        <w:numPr>
          <w:ilvl w:val="0"/>
          <w:numId w:val="0"/>
        </w:numPr>
        <w:ind w:leftChars="0"/>
        <w:rPr>
          <w:rFonts w:hint="eastAsia"/>
          <w:sz w:val="15"/>
          <w:szCs w:val="15"/>
          <w:lang w:val="zh-CN"/>
        </w:rPr>
      </w:pPr>
    </w:p>
    <w:tbl>
      <w:tblPr>
        <w:tblStyle w:val="11"/>
        <w:tblpPr w:leftFromText="180" w:rightFromText="180" w:vertAnchor="text" w:horzAnchor="page" w:tblpX="885" w:tblpY="606"/>
        <w:tblOverlap w:val="never"/>
        <w:tblW w:w="10700"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0" w:type="dxa"/>
          <w:bottom w:w="0" w:type="dxa"/>
          <w:right w:w="0" w:type="dxa"/>
        </w:tblCellMar>
      </w:tblPr>
      <w:tblGrid>
        <w:gridCol w:w="1430"/>
        <w:gridCol w:w="1120"/>
        <w:gridCol w:w="1088"/>
        <w:gridCol w:w="1230"/>
        <w:gridCol w:w="1229"/>
        <w:gridCol w:w="1200"/>
        <w:gridCol w:w="1830"/>
        <w:gridCol w:w="1573"/>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854" w:hRule="atLeast"/>
        </w:trPr>
        <w:tc>
          <w:tcPr>
            <w:tcW w:w="10700" w:type="dxa"/>
            <w:gridSpan w:val="8"/>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ascii="方正小标宋_GBK" w:hAnsi="方正小标宋_GBK" w:eastAsia="方正小标宋_GBK" w:cs="方正小标宋_GBK"/>
                <w:i w:val="0"/>
                <w:color w:val="000000"/>
                <w:sz w:val="44"/>
                <w:szCs w:val="44"/>
                <w:u w:val="none"/>
              </w:rPr>
            </w:pPr>
            <w:r>
              <w:rPr>
                <w:rFonts w:hint="default" w:ascii="方正小标宋_GBK" w:hAnsi="方正小标宋_GBK" w:eastAsia="方正小标宋_GBK" w:cs="方正小标宋_GBK"/>
                <w:i w:val="0"/>
                <w:color w:val="000000"/>
                <w:kern w:val="0"/>
                <w:sz w:val="44"/>
                <w:szCs w:val="44"/>
                <w:u w:val="none"/>
                <w:lang w:val="en-US" w:eastAsia="zh-CN" w:bidi="ar"/>
              </w:rPr>
              <w:t>区级部门预算项目绩效自评表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97" w:hRule="atLeast"/>
        </w:trPr>
        <w:tc>
          <w:tcPr>
            <w:tcW w:w="0" w:type="auto"/>
            <w:gridSpan w:val="8"/>
            <w:tcBorders>
              <w:top w:val="nil"/>
              <w:left w:val="nil"/>
              <w:bottom w:val="nil"/>
              <w:right w:val="nil"/>
            </w:tcBorders>
            <w:shd w:val="clear" w:color="auto" w:fill="auto"/>
            <w:noWrap/>
            <w:tcMar>
              <w:top w:w="15" w:type="dxa"/>
              <w:left w:w="15" w:type="dxa"/>
              <w:right w:w="15" w:type="dxa"/>
            </w:tcMar>
            <w:vAlign w:val="bottom"/>
          </w:tcPr>
          <w:p>
            <w:pPr>
              <w:keepNext w:val="0"/>
              <w:keepLines w:val="0"/>
              <w:widowControl/>
              <w:suppressLineNumbers w:val="0"/>
              <w:jc w:val="center"/>
              <w:textAlignment w:val="bottom"/>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    2023  年度）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37" w:hRule="atLeast"/>
        </w:trPr>
        <w:tc>
          <w:tcPr>
            <w:tcW w:w="0" w:type="auto"/>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填报单位：</w:t>
            </w:r>
          </w:p>
        </w:tc>
        <w:tc>
          <w:tcPr>
            <w:tcW w:w="0" w:type="auto"/>
            <w:gridSpan w:val="6"/>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中国人民政治协商会议河北省石家庄市鹿泉区委员会</w:t>
            </w:r>
          </w:p>
        </w:tc>
        <w:tc>
          <w:tcPr>
            <w:tcW w:w="0" w:type="auto"/>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83" w:hRule="atLeast"/>
        </w:trPr>
        <w:tc>
          <w:tcPr>
            <w:tcW w:w="1387" w:type="dxa"/>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一、</w:t>
            </w:r>
            <w:r>
              <w:rPr>
                <w:rFonts w:ascii="Calibri" w:hAnsi="Calibri" w:eastAsia="宋体" w:cs="Calibri"/>
                <w:i w:val="0"/>
                <w:color w:val="000000"/>
                <w:kern w:val="0"/>
                <w:sz w:val="20"/>
                <w:szCs w:val="20"/>
                <w:u w:val="none"/>
                <w:lang w:val="en-US" w:eastAsia="zh-CN" w:bidi="ar"/>
              </w:rPr>
              <w:t xml:space="preserve"> </w:t>
            </w:r>
            <w:r>
              <w:rPr>
                <w:rFonts w:hint="eastAsia" w:ascii="宋体" w:hAnsi="宋体" w:eastAsia="宋体" w:cs="宋体"/>
                <w:i w:val="0"/>
                <w:color w:val="000000"/>
                <w:kern w:val="0"/>
                <w:sz w:val="20"/>
                <w:szCs w:val="20"/>
                <w:u w:val="none"/>
                <w:lang w:val="en-US" w:eastAsia="zh-CN" w:bidi="ar"/>
              </w:rPr>
              <w:t>基本情况</w:t>
            </w:r>
          </w:p>
        </w:tc>
        <w:tc>
          <w:tcPr>
            <w:tcW w:w="11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项目名称</w:t>
            </w:r>
          </w:p>
        </w:tc>
        <w:tc>
          <w:tcPr>
            <w:tcW w:w="2349"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政协委员工作站（室）建设活动经费</w:t>
            </w:r>
          </w:p>
        </w:tc>
        <w:tc>
          <w:tcPr>
            <w:tcW w:w="129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实施(主管）单位</w:t>
            </w:r>
          </w:p>
        </w:tc>
        <w:tc>
          <w:tcPr>
            <w:tcW w:w="4551"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中国人民政治协商会议河北省石家庄市鹿泉区委员会本级</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54" w:hRule="atLeast"/>
        </w:trPr>
        <w:tc>
          <w:tcPr>
            <w:tcW w:w="138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二、预算执行情况</w:t>
            </w:r>
          </w:p>
        </w:tc>
        <w:tc>
          <w:tcPr>
            <w:tcW w:w="2208"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预算安排情况（调整后）</w:t>
            </w:r>
          </w:p>
        </w:tc>
        <w:tc>
          <w:tcPr>
            <w:tcW w:w="2554"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资金到位情况</w:t>
            </w:r>
          </w:p>
        </w:tc>
        <w:tc>
          <w:tcPr>
            <w:tcW w:w="2978"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资金执行情况</w:t>
            </w:r>
          </w:p>
        </w:tc>
        <w:tc>
          <w:tcPr>
            <w:tcW w:w="157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预算执行进度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00" w:hRule="atLeast"/>
        </w:trPr>
        <w:tc>
          <w:tcPr>
            <w:tcW w:w="138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1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预算数：</w:t>
            </w:r>
          </w:p>
        </w:tc>
        <w:tc>
          <w:tcPr>
            <w:tcW w:w="108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10.5</w:t>
            </w:r>
          </w:p>
        </w:tc>
        <w:tc>
          <w:tcPr>
            <w:tcW w:w="126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到位数：</w:t>
            </w:r>
          </w:p>
        </w:tc>
        <w:tc>
          <w:tcPr>
            <w:tcW w:w="129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10.5</w:t>
            </w:r>
          </w:p>
        </w:tc>
        <w:tc>
          <w:tcPr>
            <w:tcW w:w="12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执行数：</w:t>
            </w:r>
          </w:p>
        </w:tc>
        <w:tc>
          <w:tcPr>
            <w:tcW w:w="177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10.5</w:t>
            </w:r>
          </w:p>
        </w:tc>
        <w:tc>
          <w:tcPr>
            <w:tcW w:w="1573"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83" w:hRule="atLeast"/>
        </w:trPr>
        <w:tc>
          <w:tcPr>
            <w:tcW w:w="138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1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其中：                 财政资金</w:t>
            </w:r>
          </w:p>
        </w:tc>
        <w:tc>
          <w:tcPr>
            <w:tcW w:w="108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26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其中：                      财政资金</w:t>
            </w:r>
          </w:p>
        </w:tc>
        <w:tc>
          <w:tcPr>
            <w:tcW w:w="129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2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其中：                     财政资金</w:t>
            </w:r>
          </w:p>
        </w:tc>
        <w:tc>
          <w:tcPr>
            <w:tcW w:w="177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57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87" w:hRule="atLeast"/>
        </w:trPr>
        <w:tc>
          <w:tcPr>
            <w:tcW w:w="138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1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其他</w:t>
            </w:r>
          </w:p>
        </w:tc>
        <w:tc>
          <w:tcPr>
            <w:tcW w:w="108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default" w:ascii="Calibri" w:hAnsi="Calibri" w:eastAsia="宋体" w:cs="Calibri"/>
                <w:i w:val="0"/>
                <w:color w:val="000000"/>
                <w:sz w:val="20"/>
                <w:szCs w:val="20"/>
                <w:u w:val="none"/>
              </w:rPr>
            </w:pPr>
          </w:p>
        </w:tc>
        <w:tc>
          <w:tcPr>
            <w:tcW w:w="126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其他</w:t>
            </w:r>
          </w:p>
        </w:tc>
        <w:tc>
          <w:tcPr>
            <w:tcW w:w="129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c>
          <w:tcPr>
            <w:tcW w:w="12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其他</w:t>
            </w:r>
          </w:p>
        </w:tc>
        <w:tc>
          <w:tcPr>
            <w:tcW w:w="177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c>
          <w:tcPr>
            <w:tcW w:w="157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440" w:hRule="atLeast"/>
        </w:trPr>
        <w:tc>
          <w:tcPr>
            <w:tcW w:w="138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三、目标完成情况</w:t>
            </w:r>
          </w:p>
        </w:tc>
        <w:tc>
          <w:tcPr>
            <w:tcW w:w="3469"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年度预期目标</w:t>
            </w:r>
          </w:p>
        </w:tc>
        <w:tc>
          <w:tcPr>
            <w:tcW w:w="4271"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具体完成情况</w:t>
            </w:r>
          </w:p>
        </w:tc>
        <w:tc>
          <w:tcPr>
            <w:tcW w:w="157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总体完成率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12" w:hRule="atLeast"/>
        </w:trPr>
        <w:tc>
          <w:tcPr>
            <w:tcW w:w="138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3469" w:type="dxa"/>
            <w:gridSpan w:val="3"/>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 xml:space="preserve">通过建立25个政协基层委员工作站，深入推进政协协商向基层延伸，拓展政协协商范围，指导基层开展协商议事活动，使区政协专门协商作用得到切实发挥，不断推进全区基层协商，达到委员工作站顺利进行。     </w:t>
            </w:r>
          </w:p>
        </w:tc>
        <w:tc>
          <w:tcPr>
            <w:tcW w:w="4271" w:type="dxa"/>
            <w:gridSpan w:val="3"/>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 xml:space="preserve">通过建立25个政协基层委员工作站，深入推进政协协商向基层延伸，拓展政协协商范围，指导基层开展协商议事活动，使区政协专门协商作用得到切实发挥，不断推进全区基层协商，达到委员工作站顺利进行。     </w:t>
            </w:r>
          </w:p>
        </w:tc>
        <w:tc>
          <w:tcPr>
            <w:tcW w:w="1573"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1208" w:hRule="atLeast"/>
        </w:trPr>
        <w:tc>
          <w:tcPr>
            <w:tcW w:w="138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3469"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4271"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57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66" w:hRule="atLeast"/>
        </w:trPr>
        <w:tc>
          <w:tcPr>
            <w:tcW w:w="138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3469"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4271"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57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400" w:hRule="atLeast"/>
        </w:trPr>
        <w:tc>
          <w:tcPr>
            <w:tcW w:w="1387" w:type="dxa"/>
            <w:vMerge w:val="restart"/>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四、</w:t>
            </w:r>
            <w:r>
              <w:rPr>
                <w:rFonts w:ascii="Calibri" w:hAnsi="Calibri" w:eastAsia="宋体" w:cs="Calibri"/>
                <w:i w:val="0"/>
                <w:color w:val="000000"/>
                <w:kern w:val="0"/>
                <w:sz w:val="20"/>
                <w:szCs w:val="20"/>
                <w:u w:val="none"/>
                <w:lang w:val="en-US" w:eastAsia="zh-CN" w:bidi="ar"/>
              </w:rPr>
              <w:t xml:space="preserve"> </w:t>
            </w:r>
            <w:r>
              <w:rPr>
                <w:rFonts w:hint="eastAsia" w:ascii="宋体" w:hAnsi="宋体" w:eastAsia="宋体" w:cs="宋体"/>
                <w:i w:val="0"/>
                <w:color w:val="000000"/>
                <w:kern w:val="0"/>
                <w:sz w:val="20"/>
                <w:szCs w:val="20"/>
                <w:u w:val="none"/>
                <w:lang w:val="en-US" w:eastAsia="zh-CN" w:bidi="ar"/>
              </w:rPr>
              <w:t>年度绩效指标完成情况</w:t>
            </w:r>
          </w:p>
        </w:tc>
        <w:tc>
          <w:tcPr>
            <w:tcW w:w="11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一级指标</w:t>
            </w:r>
          </w:p>
        </w:tc>
        <w:tc>
          <w:tcPr>
            <w:tcW w:w="108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二级指标</w:t>
            </w:r>
          </w:p>
        </w:tc>
        <w:tc>
          <w:tcPr>
            <w:tcW w:w="2554"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三级指标</w:t>
            </w:r>
          </w:p>
        </w:tc>
        <w:tc>
          <w:tcPr>
            <w:tcW w:w="12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预期指标值</w:t>
            </w:r>
          </w:p>
        </w:tc>
        <w:tc>
          <w:tcPr>
            <w:tcW w:w="177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实际完成值</w:t>
            </w:r>
          </w:p>
        </w:tc>
        <w:tc>
          <w:tcPr>
            <w:tcW w:w="157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自评得分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15" w:hRule="atLeast"/>
        </w:trPr>
        <w:tc>
          <w:tcPr>
            <w:tcW w:w="1387"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120" w:type="dxa"/>
            <w:vMerge w:val="restart"/>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产出指标（40）</w:t>
            </w:r>
          </w:p>
        </w:tc>
        <w:tc>
          <w:tcPr>
            <w:tcW w:w="1088" w:type="dxa"/>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数量指标</w:t>
            </w:r>
          </w:p>
        </w:tc>
        <w:tc>
          <w:tcPr>
            <w:tcW w:w="2554"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建立政协基层委员工作站数量</w:t>
            </w:r>
          </w:p>
        </w:tc>
        <w:tc>
          <w:tcPr>
            <w:tcW w:w="12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25个</w:t>
            </w:r>
          </w:p>
        </w:tc>
        <w:tc>
          <w:tcPr>
            <w:tcW w:w="177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25个</w:t>
            </w:r>
          </w:p>
        </w:tc>
        <w:tc>
          <w:tcPr>
            <w:tcW w:w="157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83" w:hRule="atLeast"/>
        </w:trPr>
        <w:tc>
          <w:tcPr>
            <w:tcW w:w="1387"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120"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08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质量指标</w:t>
            </w:r>
          </w:p>
        </w:tc>
        <w:tc>
          <w:tcPr>
            <w:tcW w:w="2554"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建立政协基层委员工作站完成率</w:t>
            </w:r>
          </w:p>
        </w:tc>
        <w:tc>
          <w:tcPr>
            <w:tcW w:w="12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≥95%</w:t>
            </w:r>
          </w:p>
        </w:tc>
        <w:tc>
          <w:tcPr>
            <w:tcW w:w="177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95%</w:t>
            </w:r>
          </w:p>
        </w:tc>
        <w:tc>
          <w:tcPr>
            <w:tcW w:w="157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51" w:hRule="atLeast"/>
        </w:trPr>
        <w:tc>
          <w:tcPr>
            <w:tcW w:w="1387"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120"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08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时效指标</w:t>
            </w:r>
          </w:p>
        </w:tc>
        <w:tc>
          <w:tcPr>
            <w:tcW w:w="2554"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建立政协基层委员工作站完成时间</w:t>
            </w:r>
          </w:p>
        </w:tc>
        <w:tc>
          <w:tcPr>
            <w:tcW w:w="12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2022年底前完成</w:t>
            </w:r>
          </w:p>
        </w:tc>
        <w:tc>
          <w:tcPr>
            <w:tcW w:w="177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2022年底前完成</w:t>
            </w:r>
          </w:p>
        </w:tc>
        <w:tc>
          <w:tcPr>
            <w:tcW w:w="157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62" w:hRule="atLeast"/>
        </w:trPr>
        <w:tc>
          <w:tcPr>
            <w:tcW w:w="1387"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120"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08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成本指标</w:t>
            </w:r>
          </w:p>
        </w:tc>
        <w:tc>
          <w:tcPr>
            <w:tcW w:w="2554"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建立政协委员工作站的总成本</w:t>
            </w:r>
          </w:p>
        </w:tc>
        <w:tc>
          <w:tcPr>
            <w:tcW w:w="12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6万元</w:t>
            </w:r>
          </w:p>
        </w:tc>
        <w:tc>
          <w:tcPr>
            <w:tcW w:w="177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6万元</w:t>
            </w:r>
          </w:p>
        </w:tc>
        <w:tc>
          <w:tcPr>
            <w:tcW w:w="157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863" w:hRule="atLeast"/>
        </w:trPr>
        <w:tc>
          <w:tcPr>
            <w:tcW w:w="1387"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1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预算执行率指标</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（10分）</w:t>
            </w:r>
          </w:p>
        </w:tc>
        <w:tc>
          <w:tcPr>
            <w:tcW w:w="10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预算执行率</w:t>
            </w:r>
          </w:p>
        </w:tc>
        <w:tc>
          <w:tcPr>
            <w:tcW w:w="2554"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2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100%</w:t>
            </w:r>
          </w:p>
        </w:tc>
        <w:tc>
          <w:tcPr>
            <w:tcW w:w="177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100%</w:t>
            </w:r>
          </w:p>
        </w:tc>
        <w:tc>
          <w:tcPr>
            <w:tcW w:w="157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83" w:hRule="atLeast"/>
        </w:trPr>
        <w:tc>
          <w:tcPr>
            <w:tcW w:w="1387"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120" w:type="dxa"/>
            <w:vMerge w:val="restart"/>
            <w:tcBorders>
              <w:top w:val="nil"/>
              <w:left w:val="single" w:color="000000" w:sz="4" w:space="0"/>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效益指标（40）</w:t>
            </w:r>
          </w:p>
        </w:tc>
        <w:tc>
          <w:tcPr>
            <w:tcW w:w="1088"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经济效益指标</w:t>
            </w:r>
          </w:p>
        </w:tc>
        <w:tc>
          <w:tcPr>
            <w:tcW w:w="2554"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服务水平提升情况</w:t>
            </w:r>
          </w:p>
        </w:tc>
        <w:tc>
          <w:tcPr>
            <w:tcW w:w="12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≥95%</w:t>
            </w:r>
          </w:p>
        </w:tc>
        <w:tc>
          <w:tcPr>
            <w:tcW w:w="177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95%</w:t>
            </w:r>
          </w:p>
        </w:tc>
        <w:tc>
          <w:tcPr>
            <w:tcW w:w="157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83" w:hRule="atLeast"/>
        </w:trPr>
        <w:tc>
          <w:tcPr>
            <w:tcW w:w="1387"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120" w:type="dxa"/>
            <w:vMerge w:val="continue"/>
            <w:tcBorders>
              <w:top w:val="nil"/>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088"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社会效益指标</w:t>
            </w:r>
          </w:p>
        </w:tc>
        <w:tc>
          <w:tcPr>
            <w:tcW w:w="2554"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社会影响力</w:t>
            </w:r>
          </w:p>
        </w:tc>
        <w:tc>
          <w:tcPr>
            <w:tcW w:w="12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≥95%</w:t>
            </w:r>
          </w:p>
        </w:tc>
        <w:tc>
          <w:tcPr>
            <w:tcW w:w="177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95%</w:t>
            </w:r>
          </w:p>
        </w:tc>
        <w:tc>
          <w:tcPr>
            <w:tcW w:w="157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83" w:hRule="atLeast"/>
        </w:trPr>
        <w:tc>
          <w:tcPr>
            <w:tcW w:w="1387"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120" w:type="dxa"/>
            <w:vMerge w:val="continue"/>
            <w:tcBorders>
              <w:top w:val="nil"/>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088"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生态效益指标</w:t>
            </w:r>
          </w:p>
        </w:tc>
        <w:tc>
          <w:tcPr>
            <w:tcW w:w="2554"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资源消耗</w:t>
            </w:r>
          </w:p>
        </w:tc>
        <w:tc>
          <w:tcPr>
            <w:tcW w:w="12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≤90%</w:t>
            </w:r>
          </w:p>
        </w:tc>
        <w:tc>
          <w:tcPr>
            <w:tcW w:w="177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90%</w:t>
            </w:r>
          </w:p>
        </w:tc>
        <w:tc>
          <w:tcPr>
            <w:tcW w:w="157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83" w:hRule="atLeast"/>
        </w:trPr>
        <w:tc>
          <w:tcPr>
            <w:tcW w:w="1387"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120" w:type="dxa"/>
            <w:vMerge w:val="continue"/>
            <w:tcBorders>
              <w:top w:val="nil"/>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088"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可持续影响指标</w:t>
            </w:r>
          </w:p>
        </w:tc>
        <w:tc>
          <w:tcPr>
            <w:tcW w:w="2554"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项目建成效果</w:t>
            </w:r>
          </w:p>
        </w:tc>
        <w:tc>
          <w:tcPr>
            <w:tcW w:w="12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≥95%</w:t>
            </w:r>
          </w:p>
        </w:tc>
        <w:tc>
          <w:tcPr>
            <w:tcW w:w="177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95%</w:t>
            </w:r>
          </w:p>
        </w:tc>
        <w:tc>
          <w:tcPr>
            <w:tcW w:w="157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83" w:hRule="atLeast"/>
        </w:trPr>
        <w:tc>
          <w:tcPr>
            <w:tcW w:w="1387"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1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满意度指标</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（10分）</w:t>
            </w:r>
          </w:p>
        </w:tc>
        <w:tc>
          <w:tcPr>
            <w:tcW w:w="1088"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满意度指标</w:t>
            </w:r>
          </w:p>
        </w:tc>
        <w:tc>
          <w:tcPr>
            <w:tcW w:w="2554"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满意度</w:t>
            </w:r>
          </w:p>
        </w:tc>
        <w:tc>
          <w:tcPr>
            <w:tcW w:w="12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≥95%</w:t>
            </w:r>
          </w:p>
        </w:tc>
        <w:tc>
          <w:tcPr>
            <w:tcW w:w="177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95%</w:t>
            </w:r>
          </w:p>
        </w:tc>
        <w:tc>
          <w:tcPr>
            <w:tcW w:w="157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44" w:hRule="atLeast"/>
        </w:trPr>
        <w:tc>
          <w:tcPr>
            <w:tcW w:w="1387"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7740"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总分</w:t>
            </w:r>
          </w:p>
        </w:tc>
        <w:tc>
          <w:tcPr>
            <w:tcW w:w="157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863" w:hRule="atLeast"/>
        </w:trPr>
        <w:tc>
          <w:tcPr>
            <w:tcW w:w="1387"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五、</w:t>
            </w:r>
            <w:r>
              <w:rPr>
                <w:rFonts w:ascii="Calibri" w:hAnsi="Calibri" w:eastAsia="宋体" w:cs="Calibri"/>
                <w:i w:val="0"/>
                <w:color w:val="000000"/>
                <w:kern w:val="0"/>
                <w:sz w:val="20"/>
                <w:szCs w:val="20"/>
                <w:u w:val="none"/>
                <w:lang w:val="en-US" w:eastAsia="zh-CN" w:bidi="ar"/>
              </w:rPr>
              <w:t xml:space="preserve"> </w:t>
            </w:r>
            <w:r>
              <w:rPr>
                <w:rFonts w:hint="eastAsia" w:ascii="宋体" w:hAnsi="宋体" w:eastAsia="宋体" w:cs="宋体"/>
                <w:i w:val="0"/>
                <w:color w:val="000000"/>
                <w:kern w:val="0"/>
                <w:sz w:val="20"/>
                <w:szCs w:val="20"/>
                <w:u w:val="none"/>
                <w:lang w:val="en-US" w:eastAsia="zh-CN" w:bidi="ar"/>
              </w:rPr>
              <w:t>存在问题、原因及下一步整改措施</w:t>
            </w:r>
          </w:p>
        </w:tc>
        <w:tc>
          <w:tcPr>
            <w:tcW w:w="9313" w:type="dxa"/>
            <w:gridSpan w:val="7"/>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无</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78" w:hRule="atLeast"/>
        </w:trPr>
        <w:tc>
          <w:tcPr>
            <w:tcW w:w="0" w:type="auto"/>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填报人：王爱华</w:t>
            </w:r>
          </w:p>
        </w:tc>
        <w:tc>
          <w:tcPr>
            <w:tcW w:w="0" w:type="auto"/>
            <w:tcBorders>
              <w:top w:val="nil"/>
              <w:left w:val="nil"/>
              <w:bottom w:val="nil"/>
              <w:right w:val="nil"/>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联系电话：82181404</w:t>
            </w:r>
          </w:p>
        </w:tc>
        <w:tc>
          <w:tcPr>
            <w:tcW w:w="0" w:type="auto"/>
            <w:tcBorders>
              <w:top w:val="nil"/>
              <w:left w:val="nil"/>
              <w:bottom w:val="nil"/>
              <w:right w:val="nil"/>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r>
    </w:tbl>
    <w:tbl>
      <w:tblPr>
        <w:tblStyle w:val="11"/>
        <w:tblpPr w:leftFromText="180" w:rightFromText="180" w:vertAnchor="text" w:horzAnchor="page" w:tblpX="885" w:tblpY="1106"/>
        <w:tblOverlap w:val="never"/>
        <w:tblW w:w="10700"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0" w:type="dxa"/>
          <w:bottom w:w="0" w:type="dxa"/>
          <w:right w:w="0" w:type="dxa"/>
        </w:tblCellMar>
      </w:tblPr>
      <w:tblGrid>
        <w:gridCol w:w="1386"/>
        <w:gridCol w:w="1119"/>
        <w:gridCol w:w="878"/>
        <w:gridCol w:w="1358"/>
        <w:gridCol w:w="1396"/>
        <w:gridCol w:w="1207"/>
        <w:gridCol w:w="1781"/>
        <w:gridCol w:w="1575"/>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968" w:hRule="atLeast"/>
        </w:trPr>
        <w:tc>
          <w:tcPr>
            <w:tcW w:w="10700" w:type="dxa"/>
            <w:gridSpan w:val="8"/>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ascii="方正小标宋_GBK" w:hAnsi="方正小标宋_GBK" w:eastAsia="方正小标宋_GBK" w:cs="方正小标宋_GBK"/>
                <w:i w:val="0"/>
                <w:color w:val="000000"/>
                <w:sz w:val="44"/>
                <w:szCs w:val="44"/>
                <w:u w:val="none"/>
              </w:rPr>
            </w:pPr>
            <w:r>
              <w:rPr>
                <w:rFonts w:hint="default" w:ascii="方正小标宋_GBK" w:hAnsi="方正小标宋_GBK" w:eastAsia="方正小标宋_GBK" w:cs="方正小标宋_GBK"/>
                <w:i w:val="0"/>
                <w:color w:val="000000"/>
                <w:kern w:val="0"/>
                <w:sz w:val="44"/>
                <w:szCs w:val="44"/>
                <w:u w:val="none"/>
                <w:lang w:val="en-US" w:eastAsia="zh-CN" w:bidi="ar"/>
              </w:rPr>
              <w:t>区级部门预算项目绩效自评表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43" w:hRule="atLeast"/>
        </w:trPr>
        <w:tc>
          <w:tcPr>
            <w:tcW w:w="10700" w:type="dxa"/>
            <w:gridSpan w:val="8"/>
            <w:tcBorders>
              <w:top w:val="nil"/>
              <w:left w:val="nil"/>
              <w:bottom w:val="nil"/>
              <w:right w:val="nil"/>
            </w:tcBorders>
            <w:shd w:val="clear" w:color="auto" w:fill="auto"/>
            <w:noWrap/>
            <w:tcMar>
              <w:top w:w="15" w:type="dxa"/>
              <w:left w:w="15" w:type="dxa"/>
              <w:right w:w="15" w:type="dxa"/>
            </w:tcMar>
            <w:vAlign w:val="bottom"/>
          </w:tcPr>
          <w:p>
            <w:pPr>
              <w:keepNext w:val="0"/>
              <w:keepLines w:val="0"/>
              <w:widowControl/>
              <w:suppressLineNumbers w:val="0"/>
              <w:jc w:val="center"/>
              <w:textAlignment w:val="bottom"/>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    2023  年度）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77" w:hRule="atLeast"/>
        </w:trPr>
        <w:tc>
          <w:tcPr>
            <w:tcW w:w="1386" w:type="dxa"/>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填报单位：</w:t>
            </w:r>
          </w:p>
        </w:tc>
        <w:tc>
          <w:tcPr>
            <w:tcW w:w="7739" w:type="dxa"/>
            <w:gridSpan w:val="6"/>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中国人民政治协商会议河北省石家庄市鹿泉区委员会</w:t>
            </w:r>
          </w:p>
        </w:tc>
        <w:tc>
          <w:tcPr>
            <w:tcW w:w="1575" w:type="dxa"/>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76" w:hRule="atLeast"/>
        </w:trPr>
        <w:tc>
          <w:tcPr>
            <w:tcW w:w="1386" w:type="dxa"/>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一、</w:t>
            </w:r>
            <w:r>
              <w:rPr>
                <w:rFonts w:ascii="Calibri" w:hAnsi="Calibri" w:eastAsia="宋体" w:cs="Calibri"/>
                <w:i w:val="0"/>
                <w:color w:val="000000"/>
                <w:kern w:val="0"/>
                <w:sz w:val="20"/>
                <w:szCs w:val="20"/>
                <w:u w:val="none"/>
                <w:lang w:val="en-US" w:eastAsia="zh-CN" w:bidi="ar"/>
              </w:rPr>
              <w:t xml:space="preserve"> </w:t>
            </w:r>
            <w:r>
              <w:rPr>
                <w:rFonts w:hint="eastAsia" w:ascii="宋体" w:hAnsi="宋体" w:eastAsia="宋体" w:cs="宋体"/>
                <w:i w:val="0"/>
                <w:color w:val="000000"/>
                <w:kern w:val="0"/>
                <w:sz w:val="20"/>
                <w:szCs w:val="20"/>
                <w:u w:val="none"/>
                <w:lang w:val="en-US" w:eastAsia="zh-CN" w:bidi="ar"/>
              </w:rPr>
              <w:t>基本情况</w:t>
            </w:r>
          </w:p>
        </w:tc>
        <w:tc>
          <w:tcPr>
            <w:tcW w:w="111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项目名称</w:t>
            </w:r>
          </w:p>
        </w:tc>
        <w:tc>
          <w:tcPr>
            <w:tcW w:w="2236"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政协委员专项经费</w:t>
            </w:r>
          </w:p>
        </w:tc>
        <w:tc>
          <w:tcPr>
            <w:tcW w:w="139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实施(主管）单位</w:t>
            </w:r>
          </w:p>
        </w:tc>
        <w:tc>
          <w:tcPr>
            <w:tcW w:w="4563"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中国人民政治协商会议河北省石家庄市鹿泉区委员会本级</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76" w:hRule="atLeast"/>
        </w:trPr>
        <w:tc>
          <w:tcPr>
            <w:tcW w:w="1386"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二、预算执行情况</w:t>
            </w:r>
          </w:p>
        </w:tc>
        <w:tc>
          <w:tcPr>
            <w:tcW w:w="1997"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预算安排情况（调整后）</w:t>
            </w:r>
          </w:p>
        </w:tc>
        <w:tc>
          <w:tcPr>
            <w:tcW w:w="2754"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资金到位情况</w:t>
            </w:r>
          </w:p>
        </w:tc>
        <w:tc>
          <w:tcPr>
            <w:tcW w:w="2988"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资金执行情况</w:t>
            </w:r>
          </w:p>
        </w:tc>
        <w:tc>
          <w:tcPr>
            <w:tcW w:w="15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预算执行进度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462" w:hRule="atLeast"/>
        </w:trPr>
        <w:tc>
          <w:tcPr>
            <w:tcW w:w="138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11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预算数：</w:t>
            </w:r>
          </w:p>
        </w:tc>
        <w:tc>
          <w:tcPr>
            <w:tcW w:w="87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20</w:t>
            </w:r>
          </w:p>
        </w:tc>
        <w:tc>
          <w:tcPr>
            <w:tcW w:w="135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到位数：</w:t>
            </w:r>
          </w:p>
        </w:tc>
        <w:tc>
          <w:tcPr>
            <w:tcW w:w="139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20</w:t>
            </w:r>
          </w:p>
        </w:tc>
        <w:tc>
          <w:tcPr>
            <w:tcW w:w="120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执行数：</w:t>
            </w:r>
          </w:p>
        </w:tc>
        <w:tc>
          <w:tcPr>
            <w:tcW w:w="178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20</w:t>
            </w:r>
          </w:p>
        </w:tc>
        <w:tc>
          <w:tcPr>
            <w:tcW w:w="157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6" w:hRule="atLeast"/>
        </w:trPr>
        <w:tc>
          <w:tcPr>
            <w:tcW w:w="138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11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其中：                 财政资金</w:t>
            </w:r>
          </w:p>
        </w:tc>
        <w:tc>
          <w:tcPr>
            <w:tcW w:w="87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35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其中：                      财政资金</w:t>
            </w:r>
          </w:p>
        </w:tc>
        <w:tc>
          <w:tcPr>
            <w:tcW w:w="139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20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其中：                     财政资金</w:t>
            </w:r>
          </w:p>
        </w:tc>
        <w:tc>
          <w:tcPr>
            <w:tcW w:w="178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57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48" w:hRule="atLeast"/>
        </w:trPr>
        <w:tc>
          <w:tcPr>
            <w:tcW w:w="138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11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其他</w:t>
            </w:r>
          </w:p>
        </w:tc>
        <w:tc>
          <w:tcPr>
            <w:tcW w:w="87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default" w:ascii="Calibri" w:hAnsi="Calibri" w:eastAsia="宋体" w:cs="Calibri"/>
                <w:i w:val="0"/>
                <w:color w:val="000000"/>
                <w:sz w:val="20"/>
                <w:szCs w:val="20"/>
                <w:u w:val="none"/>
              </w:rPr>
            </w:pPr>
          </w:p>
        </w:tc>
        <w:tc>
          <w:tcPr>
            <w:tcW w:w="135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其他</w:t>
            </w:r>
          </w:p>
        </w:tc>
        <w:tc>
          <w:tcPr>
            <w:tcW w:w="139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c>
          <w:tcPr>
            <w:tcW w:w="120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其他</w:t>
            </w:r>
          </w:p>
        </w:tc>
        <w:tc>
          <w:tcPr>
            <w:tcW w:w="178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c>
          <w:tcPr>
            <w:tcW w:w="157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03" w:hRule="atLeast"/>
        </w:trPr>
        <w:tc>
          <w:tcPr>
            <w:tcW w:w="1386"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三、目标完成情况</w:t>
            </w:r>
          </w:p>
        </w:tc>
        <w:tc>
          <w:tcPr>
            <w:tcW w:w="3355"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年度预期目标</w:t>
            </w:r>
          </w:p>
        </w:tc>
        <w:tc>
          <w:tcPr>
            <w:tcW w:w="4384"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具体完成情况</w:t>
            </w:r>
          </w:p>
        </w:tc>
        <w:tc>
          <w:tcPr>
            <w:tcW w:w="15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总体完成率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63" w:hRule="atLeast"/>
        </w:trPr>
        <w:tc>
          <w:tcPr>
            <w:tcW w:w="138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3355" w:type="dxa"/>
            <w:gridSpan w:val="3"/>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积极组织委员开展带调研、视察撰写高质量提按报告，充分发挥委员各界别作用，为经建设服务使人民群众获得满意</w:t>
            </w:r>
          </w:p>
        </w:tc>
        <w:tc>
          <w:tcPr>
            <w:tcW w:w="4384" w:type="dxa"/>
            <w:gridSpan w:val="3"/>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积极组织委员开展带调研、视察撰写高质量提按报告，充分发挥委员各界别作用，为经建设服务使人民群众获得满意</w:t>
            </w:r>
          </w:p>
        </w:tc>
        <w:tc>
          <w:tcPr>
            <w:tcW w:w="157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1072" w:hRule="atLeast"/>
        </w:trPr>
        <w:tc>
          <w:tcPr>
            <w:tcW w:w="138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3355"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4384"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57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63" w:hRule="atLeast"/>
        </w:trPr>
        <w:tc>
          <w:tcPr>
            <w:tcW w:w="138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3355"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4384"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57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462" w:hRule="atLeast"/>
        </w:trPr>
        <w:tc>
          <w:tcPr>
            <w:tcW w:w="1386" w:type="dxa"/>
            <w:vMerge w:val="restart"/>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四、</w:t>
            </w:r>
            <w:r>
              <w:rPr>
                <w:rFonts w:ascii="Calibri" w:hAnsi="Calibri" w:eastAsia="宋体" w:cs="Calibri"/>
                <w:i w:val="0"/>
                <w:color w:val="000000"/>
                <w:kern w:val="0"/>
                <w:sz w:val="20"/>
                <w:szCs w:val="20"/>
                <w:u w:val="none"/>
                <w:lang w:val="en-US" w:eastAsia="zh-CN" w:bidi="ar"/>
              </w:rPr>
              <w:t xml:space="preserve"> </w:t>
            </w:r>
            <w:r>
              <w:rPr>
                <w:rFonts w:hint="eastAsia" w:ascii="宋体" w:hAnsi="宋体" w:eastAsia="宋体" w:cs="宋体"/>
                <w:i w:val="0"/>
                <w:color w:val="000000"/>
                <w:kern w:val="0"/>
                <w:sz w:val="20"/>
                <w:szCs w:val="20"/>
                <w:u w:val="none"/>
                <w:lang w:val="en-US" w:eastAsia="zh-CN" w:bidi="ar"/>
              </w:rPr>
              <w:t>年度绩效指标完成情况</w:t>
            </w:r>
          </w:p>
        </w:tc>
        <w:tc>
          <w:tcPr>
            <w:tcW w:w="111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一级指标</w:t>
            </w:r>
          </w:p>
        </w:tc>
        <w:tc>
          <w:tcPr>
            <w:tcW w:w="87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二级指标</w:t>
            </w:r>
          </w:p>
        </w:tc>
        <w:tc>
          <w:tcPr>
            <w:tcW w:w="2754"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三级指标</w:t>
            </w:r>
          </w:p>
        </w:tc>
        <w:tc>
          <w:tcPr>
            <w:tcW w:w="120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预期指标值</w:t>
            </w:r>
          </w:p>
        </w:tc>
        <w:tc>
          <w:tcPr>
            <w:tcW w:w="178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实际完成值</w:t>
            </w:r>
          </w:p>
        </w:tc>
        <w:tc>
          <w:tcPr>
            <w:tcW w:w="15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自评得分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84" w:hRule="atLeast"/>
        </w:trPr>
        <w:tc>
          <w:tcPr>
            <w:tcW w:w="1386"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119" w:type="dxa"/>
            <w:vMerge w:val="restart"/>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产出指标（40）</w:t>
            </w:r>
          </w:p>
        </w:tc>
        <w:tc>
          <w:tcPr>
            <w:tcW w:w="878" w:type="dxa"/>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数量指标</w:t>
            </w:r>
          </w:p>
        </w:tc>
        <w:tc>
          <w:tcPr>
            <w:tcW w:w="2754"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调研活动次数</w:t>
            </w:r>
          </w:p>
        </w:tc>
        <w:tc>
          <w:tcPr>
            <w:tcW w:w="120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≥5次</w:t>
            </w:r>
          </w:p>
        </w:tc>
        <w:tc>
          <w:tcPr>
            <w:tcW w:w="178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6次</w:t>
            </w:r>
          </w:p>
        </w:tc>
        <w:tc>
          <w:tcPr>
            <w:tcW w:w="15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739" w:hRule="atLeast"/>
        </w:trPr>
        <w:tc>
          <w:tcPr>
            <w:tcW w:w="1386"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119"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87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质量指标</w:t>
            </w:r>
          </w:p>
        </w:tc>
        <w:tc>
          <w:tcPr>
            <w:tcW w:w="2754"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调研结果真实率</w:t>
            </w:r>
          </w:p>
        </w:tc>
        <w:tc>
          <w:tcPr>
            <w:tcW w:w="120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=100%</w:t>
            </w:r>
          </w:p>
        </w:tc>
        <w:tc>
          <w:tcPr>
            <w:tcW w:w="178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100%</w:t>
            </w:r>
          </w:p>
        </w:tc>
        <w:tc>
          <w:tcPr>
            <w:tcW w:w="15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721" w:hRule="atLeast"/>
        </w:trPr>
        <w:tc>
          <w:tcPr>
            <w:tcW w:w="1386"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119"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87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时效指标</w:t>
            </w:r>
          </w:p>
        </w:tc>
        <w:tc>
          <w:tcPr>
            <w:tcW w:w="2754"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项目完成及时率</w:t>
            </w:r>
          </w:p>
        </w:tc>
        <w:tc>
          <w:tcPr>
            <w:tcW w:w="120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=100%</w:t>
            </w:r>
          </w:p>
        </w:tc>
        <w:tc>
          <w:tcPr>
            <w:tcW w:w="178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100%</w:t>
            </w:r>
          </w:p>
        </w:tc>
        <w:tc>
          <w:tcPr>
            <w:tcW w:w="15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15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988" w:hRule="atLeast"/>
        </w:trPr>
        <w:tc>
          <w:tcPr>
            <w:tcW w:w="1386"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11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预算执行率指标</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（10分）</w:t>
            </w:r>
          </w:p>
        </w:tc>
        <w:tc>
          <w:tcPr>
            <w:tcW w:w="87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预算执行率</w:t>
            </w:r>
          </w:p>
        </w:tc>
        <w:tc>
          <w:tcPr>
            <w:tcW w:w="2754"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20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100%</w:t>
            </w:r>
          </w:p>
        </w:tc>
        <w:tc>
          <w:tcPr>
            <w:tcW w:w="178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100%</w:t>
            </w:r>
          </w:p>
        </w:tc>
        <w:tc>
          <w:tcPr>
            <w:tcW w:w="15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739" w:hRule="atLeast"/>
        </w:trPr>
        <w:tc>
          <w:tcPr>
            <w:tcW w:w="1386"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119" w:type="dxa"/>
            <w:vMerge w:val="restart"/>
            <w:tcBorders>
              <w:top w:val="nil"/>
              <w:left w:val="single" w:color="000000" w:sz="4" w:space="0"/>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效益指标（40）</w:t>
            </w:r>
          </w:p>
        </w:tc>
        <w:tc>
          <w:tcPr>
            <w:tcW w:w="878"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经济效益指标</w:t>
            </w:r>
          </w:p>
        </w:tc>
        <w:tc>
          <w:tcPr>
            <w:tcW w:w="2754"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为我区发展做出了积极贡献</w:t>
            </w:r>
          </w:p>
        </w:tc>
        <w:tc>
          <w:tcPr>
            <w:tcW w:w="120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有所贡献</w:t>
            </w:r>
          </w:p>
        </w:tc>
        <w:tc>
          <w:tcPr>
            <w:tcW w:w="178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有所贡献</w:t>
            </w:r>
          </w:p>
        </w:tc>
        <w:tc>
          <w:tcPr>
            <w:tcW w:w="15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15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88" w:hRule="atLeast"/>
        </w:trPr>
        <w:tc>
          <w:tcPr>
            <w:tcW w:w="1386"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119" w:type="dxa"/>
            <w:vMerge w:val="continue"/>
            <w:tcBorders>
              <w:top w:val="nil"/>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878"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社会效益指标</w:t>
            </w:r>
          </w:p>
        </w:tc>
        <w:tc>
          <w:tcPr>
            <w:tcW w:w="2754"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形成了政治协商、民主监督、参政议政浓厚氛围，有效推进了我区民主建设</w:t>
            </w:r>
          </w:p>
        </w:tc>
        <w:tc>
          <w:tcPr>
            <w:tcW w:w="120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有所建设</w:t>
            </w:r>
          </w:p>
        </w:tc>
        <w:tc>
          <w:tcPr>
            <w:tcW w:w="178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有所建设</w:t>
            </w:r>
          </w:p>
        </w:tc>
        <w:tc>
          <w:tcPr>
            <w:tcW w:w="15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84" w:hRule="atLeast"/>
        </w:trPr>
        <w:tc>
          <w:tcPr>
            <w:tcW w:w="1386"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119" w:type="dxa"/>
            <w:vMerge w:val="continue"/>
            <w:tcBorders>
              <w:top w:val="nil"/>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878"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可持续影响指标</w:t>
            </w:r>
          </w:p>
        </w:tc>
        <w:tc>
          <w:tcPr>
            <w:tcW w:w="2754"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对工作发展影响力</w:t>
            </w:r>
          </w:p>
        </w:tc>
        <w:tc>
          <w:tcPr>
            <w:tcW w:w="120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进一步提升</w:t>
            </w:r>
          </w:p>
        </w:tc>
        <w:tc>
          <w:tcPr>
            <w:tcW w:w="178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进一步提升</w:t>
            </w:r>
          </w:p>
        </w:tc>
        <w:tc>
          <w:tcPr>
            <w:tcW w:w="15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15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721" w:hRule="atLeast"/>
        </w:trPr>
        <w:tc>
          <w:tcPr>
            <w:tcW w:w="1386"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11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满意度指标</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（10分）</w:t>
            </w:r>
          </w:p>
        </w:tc>
        <w:tc>
          <w:tcPr>
            <w:tcW w:w="878"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满意度指标</w:t>
            </w:r>
          </w:p>
        </w:tc>
        <w:tc>
          <w:tcPr>
            <w:tcW w:w="2754"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满意度</w:t>
            </w:r>
          </w:p>
        </w:tc>
        <w:tc>
          <w:tcPr>
            <w:tcW w:w="120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受益群体满意度</w:t>
            </w:r>
          </w:p>
        </w:tc>
        <w:tc>
          <w:tcPr>
            <w:tcW w:w="178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受益群体满意度</w:t>
            </w:r>
          </w:p>
        </w:tc>
        <w:tc>
          <w:tcPr>
            <w:tcW w:w="15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10" w:hRule="atLeast"/>
        </w:trPr>
        <w:tc>
          <w:tcPr>
            <w:tcW w:w="1386"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7739"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总分</w:t>
            </w:r>
          </w:p>
        </w:tc>
        <w:tc>
          <w:tcPr>
            <w:tcW w:w="15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988" w:hRule="atLeast"/>
        </w:trPr>
        <w:tc>
          <w:tcPr>
            <w:tcW w:w="138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五、</w:t>
            </w:r>
            <w:r>
              <w:rPr>
                <w:rFonts w:ascii="Calibri" w:hAnsi="Calibri" w:eastAsia="宋体" w:cs="Calibri"/>
                <w:i w:val="0"/>
                <w:color w:val="000000"/>
                <w:kern w:val="0"/>
                <w:sz w:val="20"/>
                <w:szCs w:val="20"/>
                <w:u w:val="none"/>
                <w:lang w:val="en-US" w:eastAsia="zh-CN" w:bidi="ar"/>
              </w:rPr>
              <w:t xml:space="preserve"> </w:t>
            </w:r>
            <w:r>
              <w:rPr>
                <w:rFonts w:hint="eastAsia" w:ascii="宋体" w:hAnsi="宋体" w:eastAsia="宋体" w:cs="宋体"/>
                <w:i w:val="0"/>
                <w:color w:val="000000"/>
                <w:kern w:val="0"/>
                <w:sz w:val="20"/>
                <w:szCs w:val="20"/>
                <w:u w:val="none"/>
                <w:lang w:val="en-US" w:eastAsia="zh-CN" w:bidi="ar"/>
              </w:rPr>
              <w:t>存在问题、原因及下一步整改措施</w:t>
            </w:r>
          </w:p>
        </w:tc>
        <w:tc>
          <w:tcPr>
            <w:tcW w:w="9314" w:type="dxa"/>
            <w:gridSpan w:val="7"/>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无</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419" w:hRule="atLeast"/>
        </w:trPr>
        <w:tc>
          <w:tcPr>
            <w:tcW w:w="1386" w:type="dxa"/>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填报人：王爱华</w:t>
            </w:r>
          </w:p>
        </w:tc>
        <w:tc>
          <w:tcPr>
            <w:tcW w:w="1119" w:type="dxa"/>
            <w:tcBorders>
              <w:top w:val="nil"/>
              <w:left w:val="nil"/>
              <w:bottom w:val="nil"/>
              <w:right w:val="nil"/>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878" w:type="dxa"/>
            <w:tcBorders>
              <w:top w:val="nil"/>
              <w:left w:val="nil"/>
              <w:bottom w:val="nil"/>
              <w:right w:val="nil"/>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358" w:type="dxa"/>
            <w:tcBorders>
              <w:top w:val="nil"/>
              <w:left w:val="nil"/>
              <w:bottom w:val="nil"/>
              <w:right w:val="nil"/>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396" w:type="dxa"/>
            <w:tcBorders>
              <w:top w:val="nil"/>
              <w:left w:val="nil"/>
              <w:bottom w:val="nil"/>
              <w:right w:val="nil"/>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207" w:type="dxa"/>
            <w:tcBorders>
              <w:top w:val="nil"/>
              <w:left w:val="nil"/>
              <w:bottom w:val="nil"/>
              <w:right w:val="nil"/>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781" w:type="dxa"/>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联系电话：82181404</w:t>
            </w:r>
          </w:p>
        </w:tc>
        <w:tc>
          <w:tcPr>
            <w:tcW w:w="1575" w:type="dxa"/>
            <w:tcBorders>
              <w:top w:val="nil"/>
              <w:left w:val="nil"/>
              <w:bottom w:val="nil"/>
              <w:right w:val="nil"/>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r>
    </w:tbl>
    <w:p>
      <w:pPr>
        <w:pStyle w:val="2"/>
        <w:numPr>
          <w:ilvl w:val="0"/>
          <w:numId w:val="0"/>
        </w:numPr>
        <w:ind w:leftChars="0"/>
        <w:jc w:val="both"/>
        <w:rPr>
          <w:rFonts w:hint="eastAsia"/>
          <w:lang w:val="zh-CN"/>
        </w:rPr>
      </w:pPr>
    </w:p>
    <w:p>
      <w:pPr>
        <w:rPr>
          <w:rFonts w:hint="eastAsia"/>
          <w:lang w:val="zh-CN"/>
        </w:rPr>
      </w:pPr>
    </w:p>
    <w:tbl>
      <w:tblPr>
        <w:tblStyle w:val="11"/>
        <w:tblpPr w:leftFromText="180" w:rightFromText="180" w:vertAnchor="text" w:horzAnchor="page" w:tblpX="885" w:tblpY="366"/>
        <w:tblOverlap w:val="never"/>
        <w:tblW w:w="10560"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0" w:type="dxa"/>
          <w:bottom w:w="0" w:type="dxa"/>
          <w:right w:w="0" w:type="dxa"/>
        </w:tblCellMar>
      </w:tblPr>
      <w:tblGrid>
        <w:gridCol w:w="1435"/>
        <w:gridCol w:w="1105"/>
        <w:gridCol w:w="780"/>
        <w:gridCol w:w="1320"/>
        <w:gridCol w:w="1337"/>
        <w:gridCol w:w="1191"/>
        <w:gridCol w:w="1838"/>
        <w:gridCol w:w="1554"/>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39" w:hRule="atLeast"/>
        </w:trPr>
        <w:tc>
          <w:tcPr>
            <w:tcW w:w="10560" w:type="dxa"/>
            <w:gridSpan w:val="8"/>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ascii="方正小标宋_GBK" w:hAnsi="方正小标宋_GBK" w:eastAsia="方正小标宋_GBK" w:cs="方正小标宋_GBK"/>
                <w:i w:val="0"/>
                <w:color w:val="000000"/>
                <w:sz w:val="44"/>
                <w:szCs w:val="44"/>
                <w:u w:val="none"/>
              </w:rPr>
            </w:pPr>
            <w:r>
              <w:rPr>
                <w:rFonts w:hint="default" w:ascii="方正小标宋_GBK" w:hAnsi="方正小标宋_GBK" w:eastAsia="方正小标宋_GBK" w:cs="方正小标宋_GBK"/>
                <w:i w:val="0"/>
                <w:color w:val="000000"/>
                <w:kern w:val="0"/>
                <w:sz w:val="44"/>
                <w:szCs w:val="44"/>
                <w:u w:val="none"/>
                <w:lang w:val="en-US" w:eastAsia="zh-CN" w:bidi="ar"/>
              </w:rPr>
              <w:t>区级部门预算项目绩效自评表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118" w:hRule="atLeast"/>
        </w:trPr>
        <w:tc>
          <w:tcPr>
            <w:tcW w:w="0" w:type="auto"/>
            <w:gridSpan w:val="8"/>
            <w:tcBorders>
              <w:top w:val="nil"/>
              <w:left w:val="nil"/>
              <w:bottom w:val="nil"/>
              <w:right w:val="nil"/>
            </w:tcBorders>
            <w:shd w:val="clear" w:color="auto" w:fill="auto"/>
            <w:noWrap/>
            <w:tcMar>
              <w:top w:w="15" w:type="dxa"/>
              <w:left w:w="15" w:type="dxa"/>
              <w:right w:w="15" w:type="dxa"/>
            </w:tcMar>
            <w:vAlign w:val="bottom"/>
          </w:tcPr>
          <w:p>
            <w:pPr>
              <w:keepNext w:val="0"/>
              <w:keepLines w:val="0"/>
              <w:widowControl/>
              <w:suppressLineNumbers w:val="0"/>
              <w:jc w:val="center"/>
              <w:textAlignment w:val="bottom"/>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    2023  年度）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133" w:hRule="atLeast"/>
        </w:trPr>
        <w:tc>
          <w:tcPr>
            <w:tcW w:w="0" w:type="auto"/>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填报单位：</w:t>
            </w:r>
          </w:p>
        </w:tc>
        <w:tc>
          <w:tcPr>
            <w:tcW w:w="0" w:type="auto"/>
            <w:gridSpan w:val="6"/>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中国人民政治协商会议河北省石家庄市鹿泉区委员会</w:t>
            </w:r>
          </w:p>
        </w:tc>
        <w:tc>
          <w:tcPr>
            <w:tcW w:w="0" w:type="auto"/>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31" w:hRule="atLeast"/>
        </w:trPr>
        <w:tc>
          <w:tcPr>
            <w:tcW w:w="1435" w:type="dxa"/>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一、</w:t>
            </w:r>
            <w:r>
              <w:rPr>
                <w:rFonts w:ascii="Calibri" w:hAnsi="Calibri" w:eastAsia="宋体" w:cs="Calibri"/>
                <w:i w:val="0"/>
                <w:color w:val="000000"/>
                <w:kern w:val="0"/>
                <w:sz w:val="20"/>
                <w:szCs w:val="20"/>
                <w:u w:val="none"/>
                <w:lang w:val="en-US" w:eastAsia="zh-CN" w:bidi="ar"/>
              </w:rPr>
              <w:t xml:space="preserve"> </w:t>
            </w:r>
            <w:r>
              <w:rPr>
                <w:rFonts w:hint="eastAsia" w:ascii="宋体" w:hAnsi="宋体" w:eastAsia="宋体" w:cs="宋体"/>
                <w:i w:val="0"/>
                <w:color w:val="000000"/>
                <w:kern w:val="0"/>
                <w:sz w:val="20"/>
                <w:szCs w:val="20"/>
                <w:u w:val="none"/>
                <w:lang w:val="en-US" w:eastAsia="zh-CN" w:bidi="ar"/>
              </w:rPr>
              <w:t>基本情况</w:t>
            </w:r>
          </w:p>
        </w:tc>
        <w:tc>
          <w:tcPr>
            <w:tcW w:w="11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项目名称</w:t>
            </w:r>
          </w:p>
        </w:tc>
        <w:tc>
          <w:tcPr>
            <w:tcW w:w="210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政协文史资料编印费</w:t>
            </w:r>
          </w:p>
        </w:tc>
        <w:tc>
          <w:tcPr>
            <w:tcW w:w="133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实施(主管）单位</w:t>
            </w:r>
          </w:p>
        </w:tc>
        <w:tc>
          <w:tcPr>
            <w:tcW w:w="4583"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中国人民政治协商会议河北省石家庄市鹿泉区委员会本级</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31" w:hRule="atLeast"/>
        </w:trPr>
        <w:tc>
          <w:tcPr>
            <w:tcW w:w="143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二、预算执行情况</w:t>
            </w:r>
          </w:p>
        </w:tc>
        <w:tc>
          <w:tcPr>
            <w:tcW w:w="188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预算安排情况（调整后）</w:t>
            </w:r>
          </w:p>
        </w:tc>
        <w:tc>
          <w:tcPr>
            <w:tcW w:w="2657"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资金到位情况</w:t>
            </w:r>
          </w:p>
        </w:tc>
        <w:tc>
          <w:tcPr>
            <w:tcW w:w="3029"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资金执行情况</w:t>
            </w:r>
          </w:p>
        </w:tc>
        <w:tc>
          <w:tcPr>
            <w:tcW w:w="155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预算执行进度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161" w:hRule="atLeast"/>
        </w:trPr>
        <w:tc>
          <w:tcPr>
            <w:tcW w:w="143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1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预算数：</w:t>
            </w:r>
          </w:p>
        </w:tc>
        <w:tc>
          <w:tcPr>
            <w:tcW w:w="7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w:t>
            </w:r>
          </w:p>
        </w:tc>
        <w:tc>
          <w:tcPr>
            <w:tcW w:w="13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到位数：</w:t>
            </w:r>
          </w:p>
        </w:tc>
        <w:tc>
          <w:tcPr>
            <w:tcW w:w="133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w:t>
            </w:r>
          </w:p>
        </w:tc>
        <w:tc>
          <w:tcPr>
            <w:tcW w:w="119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执行数：</w:t>
            </w:r>
          </w:p>
        </w:tc>
        <w:tc>
          <w:tcPr>
            <w:tcW w:w="183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10</w:t>
            </w:r>
          </w:p>
        </w:tc>
        <w:tc>
          <w:tcPr>
            <w:tcW w:w="1554"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31" w:hRule="atLeast"/>
        </w:trPr>
        <w:tc>
          <w:tcPr>
            <w:tcW w:w="143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1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其中：                 财政资金</w:t>
            </w:r>
          </w:p>
        </w:tc>
        <w:tc>
          <w:tcPr>
            <w:tcW w:w="7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3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其中：                      财政资金</w:t>
            </w:r>
          </w:p>
        </w:tc>
        <w:tc>
          <w:tcPr>
            <w:tcW w:w="133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19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其中：                     财政资金</w:t>
            </w:r>
          </w:p>
        </w:tc>
        <w:tc>
          <w:tcPr>
            <w:tcW w:w="183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55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156" w:hRule="atLeast"/>
        </w:trPr>
        <w:tc>
          <w:tcPr>
            <w:tcW w:w="143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1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其他</w:t>
            </w:r>
          </w:p>
        </w:tc>
        <w:tc>
          <w:tcPr>
            <w:tcW w:w="7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default" w:ascii="Calibri" w:hAnsi="Calibri" w:eastAsia="宋体" w:cs="Calibri"/>
                <w:i w:val="0"/>
                <w:color w:val="000000"/>
                <w:sz w:val="20"/>
                <w:szCs w:val="20"/>
                <w:u w:val="none"/>
              </w:rPr>
            </w:pPr>
          </w:p>
        </w:tc>
        <w:tc>
          <w:tcPr>
            <w:tcW w:w="13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其他</w:t>
            </w:r>
          </w:p>
        </w:tc>
        <w:tc>
          <w:tcPr>
            <w:tcW w:w="133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c>
          <w:tcPr>
            <w:tcW w:w="119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其他</w:t>
            </w:r>
          </w:p>
        </w:tc>
        <w:tc>
          <w:tcPr>
            <w:tcW w:w="183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c>
          <w:tcPr>
            <w:tcW w:w="155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176" w:hRule="atLeast"/>
        </w:trPr>
        <w:tc>
          <w:tcPr>
            <w:tcW w:w="143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三、目标完成情况</w:t>
            </w:r>
          </w:p>
        </w:tc>
        <w:tc>
          <w:tcPr>
            <w:tcW w:w="3205"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年度预期目标</w:t>
            </w:r>
          </w:p>
        </w:tc>
        <w:tc>
          <w:tcPr>
            <w:tcW w:w="4366"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具体完成情况</w:t>
            </w:r>
          </w:p>
        </w:tc>
        <w:tc>
          <w:tcPr>
            <w:tcW w:w="155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总体完成率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12" w:hRule="atLeast"/>
        </w:trPr>
        <w:tc>
          <w:tcPr>
            <w:tcW w:w="143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3205" w:type="dxa"/>
            <w:gridSpan w:val="3"/>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 xml:space="preserve">政协文史书籍编印量不少于210册，为了提高委员履职能力水平为经济建设服务，达到工作顺利进行。     </w:t>
            </w:r>
          </w:p>
        </w:tc>
        <w:tc>
          <w:tcPr>
            <w:tcW w:w="4366" w:type="dxa"/>
            <w:gridSpan w:val="3"/>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 xml:space="preserve">政协文史书籍编印量不少于210册，为了提高委员履职能力水平为经济建设服务，达到工作顺利进行。     </w:t>
            </w:r>
          </w:p>
        </w:tc>
        <w:tc>
          <w:tcPr>
            <w:tcW w:w="1554"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85" w:hRule="atLeast"/>
        </w:trPr>
        <w:tc>
          <w:tcPr>
            <w:tcW w:w="143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3205"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4366"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55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12" w:hRule="atLeast"/>
        </w:trPr>
        <w:tc>
          <w:tcPr>
            <w:tcW w:w="143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3205"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4366"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55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31" w:hRule="atLeast"/>
        </w:trPr>
        <w:tc>
          <w:tcPr>
            <w:tcW w:w="1435" w:type="dxa"/>
            <w:vMerge w:val="restart"/>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四、</w:t>
            </w:r>
            <w:r>
              <w:rPr>
                <w:rFonts w:ascii="Calibri" w:hAnsi="Calibri" w:eastAsia="宋体" w:cs="Calibri"/>
                <w:i w:val="0"/>
                <w:color w:val="000000"/>
                <w:kern w:val="0"/>
                <w:sz w:val="20"/>
                <w:szCs w:val="20"/>
                <w:u w:val="none"/>
                <w:lang w:val="en-US" w:eastAsia="zh-CN" w:bidi="ar"/>
              </w:rPr>
              <w:t xml:space="preserve"> </w:t>
            </w:r>
            <w:r>
              <w:rPr>
                <w:rFonts w:hint="eastAsia" w:ascii="宋体" w:hAnsi="宋体" w:eastAsia="宋体" w:cs="宋体"/>
                <w:i w:val="0"/>
                <w:color w:val="000000"/>
                <w:kern w:val="0"/>
                <w:sz w:val="20"/>
                <w:szCs w:val="20"/>
                <w:u w:val="none"/>
                <w:lang w:val="en-US" w:eastAsia="zh-CN" w:bidi="ar"/>
              </w:rPr>
              <w:t>年度绩效指标完成情况</w:t>
            </w:r>
          </w:p>
        </w:tc>
        <w:tc>
          <w:tcPr>
            <w:tcW w:w="11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一级指标</w:t>
            </w:r>
          </w:p>
        </w:tc>
        <w:tc>
          <w:tcPr>
            <w:tcW w:w="7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二级指标</w:t>
            </w:r>
          </w:p>
        </w:tc>
        <w:tc>
          <w:tcPr>
            <w:tcW w:w="2657"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三级指标</w:t>
            </w:r>
          </w:p>
        </w:tc>
        <w:tc>
          <w:tcPr>
            <w:tcW w:w="119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预期指标值</w:t>
            </w:r>
          </w:p>
        </w:tc>
        <w:tc>
          <w:tcPr>
            <w:tcW w:w="183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实际完成值</w:t>
            </w:r>
          </w:p>
        </w:tc>
        <w:tc>
          <w:tcPr>
            <w:tcW w:w="155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自评得分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42" w:hRule="atLeast"/>
        </w:trPr>
        <w:tc>
          <w:tcPr>
            <w:tcW w:w="1435"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105" w:type="dxa"/>
            <w:vMerge w:val="restart"/>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产出指标（40）</w:t>
            </w:r>
          </w:p>
        </w:tc>
        <w:tc>
          <w:tcPr>
            <w:tcW w:w="780" w:type="dxa"/>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数量指标</w:t>
            </w:r>
          </w:p>
        </w:tc>
        <w:tc>
          <w:tcPr>
            <w:tcW w:w="2657"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年度内政协文史书籍编印量</w:t>
            </w:r>
          </w:p>
        </w:tc>
        <w:tc>
          <w:tcPr>
            <w:tcW w:w="119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≥210册</w:t>
            </w:r>
          </w:p>
        </w:tc>
        <w:tc>
          <w:tcPr>
            <w:tcW w:w="183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210册</w:t>
            </w:r>
          </w:p>
        </w:tc>
        <w:tc>
          <w:tcPr>
            <w:tcW w:w="155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31" w:hRule="atLeast"/>
        </w:trPr>
        <w:tc>
          <w:tcPr>
            <w:tcW w:w="1435"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105"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7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质量指标</w:t>
            </w:r>
          </w:p>
        </w:tc>
        <w:tc>
          <w:tcPr>
            <w:tcW w:w="2657"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编印的合格率</w:t>
            </w:r>
          </w:p>
        </w:tc>
        <w:tc>
          <w:tcPr>
            <w:tcW w:w="119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≥95%</w:t>
            </w:r>
          </w:p>
        </w:tc>
        <w:tc>
          <w:tcPr>
            <w:tcW w:w="183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95%</w:t>
            </w:r>
          </w:p>
        </w:tc>
        <w:tc>
          <w:tcPr>
            <w:tcW w:w="155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56" w:hRule="atLeast"/>
        </w:trPr>
        <w:tc>
          <w:tcPr>
            <w:tcW w:w="1435"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105"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7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时效指标</w:t>
            </w:r>
          </w:p>
        </w:tc>
        <w:tc>
          <w:tcPr>
            <w:tcW w:w="2657"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编印的及时率</w:t>
            </w:r>
          </w:p>
        </w:tc>
        <w:tc>
          <w:tcPr>
            <w:tcW w:w="119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≥96%</w:t>
            </w:r>
          </w:p>
        </w:tc>
        <w:tc>
          <w:tcPr>
            <w:tcW w:w="183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96%</w:t>
            </w:r>
          </w:p>
        </w:tc>
        <w:tc>
          <w:tcPr>
            <w:tcW w:w="155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31" w:hRule="atLeast"/>
        </w:trPr>
        <w:tc>
          <w:tcPr>
            <w:tcW w:w="1435"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105"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7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成本指标</w:t>
            </w:r>
          </w:p>
        </w:tc>
        <w:tc>
          <w:tcPr>
            <w:tcW w:w="2657"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资金成本</w:t>
            </w:r>
          </w:p>
        </w:tc>
        <w:tc>
          <w:tcPr>
            <w:tcW w:w="119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10</w:t>
            </w:r>
            <w:r>
              <w:rPr>
                <w:rFonts w:hint="eastAsia" w:ascii="宋体" w:hAnsi="宋体" w:eastAsia="宋体" w:cs="宋体"/>
                <w:i w:val="0"/>
                <w:color w:val="000000"/>
                <w:kern w:val="0"/>
                <w:sz w:val="20"/>
                <w:szCs w:val="20"/>
                <w:u w:val="none"/>
                <w:lang w:val="en-US" w:eastAsia="zh-CN" w:bidi="ar"/>
              </w:rPr>
              <w:t>万元</w:t>
            </w:r>
          </w:p>
        </w:tc>
        <w:tc>
          <w:tcPr>
            <w:tcW w:w="183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10</w:t>
            </w:r>
            <w:r>
              <w:rPr>
                <w:rFonts w:hint="eastAsia" w:ascii="宋体" w:hAnsi="宋体" w:eastAsia="宋体" w:cs="宋体"/>
                <w:i w:val="0"/>
                <w:color w:val="000000"/>
                <w:kern w:val="0"/>
                <w:sz w:val="20"/>
                <w:szCs w:val="20"/>
                <w:u w:val="none"/>
                <w:lang w:val="en-US" w:eastAsia="zh-CN" w:bidi="ar"/>
              </w:rPr>
              <w:t>万元</w:t>
            </w:r>
          </w:p>
        </w:tc>
        <w:tc>
          <w:tcPr>
            <w:tcW w:w="155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42" w:hRule="atLeast"/>
        </w:trPr>
        <w:tc>
          <w:tcPr>
            <w:tcW w:w="1435"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1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预算执行率指标</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（10分）</w:t>
            </w:r>
          </w:p>
        </w:tc>
        <w:tc>
          <w:tcPr>
            <w:tcW w:w="78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预算执行率</w:t>
            </w:r>
          </w:p>
        </w:tc>
        <w:tc>
          <w:tcPr>
            <w:tcW w:w="2657"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19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100%</w:t>
            </w:r>
          </w:p>
        </w:tc>
        <w:tc>
          <w:tcPr>
            <w:tcW w:w="183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100%</w:t>
            </w:r>
          </w:p>
        </w:tc>
        <w:tc>
          <w:tcPr>
            <w:tcW w:w="155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31" w:hRule="atLeast"/>
        </w:trPr>
        <w:tc>
          <w:tcPr>
            <w:tcW w:w="1435"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105" w:type="dxa"/>
            <w:vMerge w:val="restart"/>
            <w:tcBorders>
              <w:top w:val="nil"/>
              <w:left w:val="single" w:color="000000" w:sz="4" w:space="0"/>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效益指标（40）</w:t>
            </w:r>
          </w:p>
        </w:tc>
        <w:tc>
          <w:tcPr>
            <w:tcW w:w="780"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经济效益指标</w:t>
            </w:r>
          </w:p>
        </w:tc>
        <w:tc>
          <w:tcPr>
            <w:tcW w:w="2657"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经济发展贡献率</w:t>
            </w:r>
          </w:p>
        </w:tc>
        <w:tc>
          <w:tcPr>
            <w:tcW w:w="119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高</w:t>
            </w:r>
          </w:p>
        </w:tc>
        <w:tc>
          <w:tcPr>
            <w:tcW w:w="183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高</w:t>
            </w:r>
          </w:p>
        </w:tc>
        <w:tc>
          <w:tcPr>
            <w:tcW w:w="155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31" w:hRule="atLeast"/>
        </w:trPr>
        <w:tc>
          <w:tcPr>
            <w:tcW w:w="1435"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105" w:type="dxa"/>
            <w:vMerge w:val="continue"/>
            <w:tcBorders>
              <w:top w:val="nil"/>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780"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社会效益指标</w:t>
            </w:r>
          </w:p>
        </w:tc>
        <w:tc>
          <w:tcPr>
            <w:tcW w:w="2657"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委员参与率</w:t>
            </w:r>
          </w:p>
        </w:tc>
        <w:tc>
          <w:tcPr>
            <w:tcW w:w="119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≥95%</w:t>
            </w:r>
          </w:p>
        </w:tc>
        <w:tc>
          <w:tcPr>
            <w:tcW w:w="183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95%</w:t>
            </w:r>
          </w:p>
        </w:tc>
        <w:tc>
          <w:tcPr>
            <w:tcW w:w="155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31" w:hRule="atLeast"/>
        </w:trPr>
        <w:tc>
          <w:tcPr>
            <w:tcW w:w="1435"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105" w:type="dxa"/>
            <w:vMerge w:val="continue"/>
            <w:tcBorders>
              <w:top w:val="nil"/>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780"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生态效益指标</w:t>
            </w:r>
          </w:p>
        </w:tc>
        <w:tc>
          <w:tcPr>
            <w:tcW w:w="2657"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加强节约利用</w:t>
            </w:r>
          </w:p>
        </w:tc>
        <w:tc>
          <w:tcPr>
            <w:tcW w:w="119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≥98%</w:t>
            </w:r>
          </w:p>
        </w:tc>
        <w:tc>
          <w:tcPr>
            <w:tcW w:w="183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98%</w:t>
            </w:r>
          </w:p>
        </w:tc>
        <w:tc>
          <w:tcPr>
            <w:tcW w:w="155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42" w:hRule="atLeast"/>
        </w:trPr>
        <w:tc>
          <w:tcPr>
            <w:tcW w:w="1435"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105" w:type="dxa"/>
            <w:vMerge w:val="continue"/>
            <w:tcBorders>
              <w:top w:val="nil"/>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780"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可持续影响指标</w:t>
            </w:r>
          </w:p>
        </w:tc>
        <w:tc>
          <w:tcPr>
            <w:tcW w:w="2657"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持续发展作用力</w:t>
            </w:r>
          </w:p>
        </w:tc>
        <w:tc>
          <w:tcPr>
            <w:tcW w:w="119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对我区发展有所影响</w:t>
            </w:r>
          </w:p>
        </w:tc>
        <w:tc>
          <w:tcPr>
            <w:tcW w:w="183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对我区发展有所影响</w:t>
            </w:r>
          </w:p>
        </w:tc>
        <w:tc>
          <w:tcPr>
            <w:tcW w:w="155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31" w:hRule="atLeast"/>
        </w:trPr>
        <w:tc>
          <w:tcPr>
            <w:tcW w:w="1435"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1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满意度指标</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（10分）</w:t>
            </w:r>
          </w:p>
        </w:tc>
        <w:tc>
          <w:tcPr>
            <w:tcW w:w="780"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满意度指标</w:t>
            </w:r>
          </w:p>
        </w:tc>
        <w:tc>
          <w:tcPr>
            <w:tcW w:w="2657"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满意率</w:t>
            </w:r>
          </w:p>
        </w:tc>
        <w:tc>
          <w:tcPr>
            <w:tcW w:w="119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≥98%</w:t>
            </w:r>
          </w:p>
        </w:tc>
        <w:tc>
          <w:tcPr>
            <w:tcW w:w="183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98%</w:t>
            </w:r>
          </w:p>
        </w:tc>
        <w:tc>
          <w:tcPr>
            <w:tcW w:w="155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15" w:hRule="atLeast"/>
        </w:trPr>
        <w:tc>
          <w:tcPr>
            <w:tcW w:w="1435"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7571"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总分</w:t>
            </w:r>
          </w:p>
        </w:tc>
        <w:tc>
          <w:tcPr>
            <w:tcW w:w="155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42" w:hRule="atLeast"/>
        </w:trPr>
        <w:tc>
          <w:tcPr>
            <w:tcW w:w="1435"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五、</w:t>
            </w:r>
            <w:r>
              <w:rPr>
                <w:rFonts w:ascii="Calibri" w:hAnsi="Calibri" w:eastAsia="宋体" w:cs="Calibri"/>
                <w:i w:val="0"/>
                <w:color w:val="000000"/>
                <w:kern w:val="0"/>
                <w:sz w:val="20"/>
                <w:szCs w:val="20"/>
                <w:u w:val="none"/>
                <w:lang w:val="en-US" w:eastAsia="zh-CN" w:bidi="ar"/>
              </w:rPr>
              <w:t xml:space="preserve"> </w:t>
            </w:r>
            <w:r>
              <w:rPr>
                <w:rFonts w:hint="eastAsia" w:ascii="宋体" w:hAnsi="宋体" w:eastAsia="宋体" w:cs="宋体"/>
                <w:i w:val="0"/>
                <w:color w:val="000000"/>
                <w:kern w:val="0"/>
                <w:sz w:val="20"/>
                <w:szCs w:val="20"/>
                <w:u w:val="none"/>
                <w:lang w:val="en-US" w:eastAsia="zh-CN" w:bidi="ar"/>
              </w:rPr>
              <w:t>存在问题、原因及下一步整改措施</w:t>
            </w:r>
          </w:p>
        </w:tc>
        <w:tc>
          <w:tcPr>
            <w:tcW w:w="9125" w:type="dxa"/>
            <w:gridSpan w:val="7"/>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无</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148" w:hRule="atLeast"/>
        </w:trPr>
        <w:tc>
          <w:tcPr>
            <w:tcW w:w="0" w:type="auto"/>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填报人：王爱华</w:t>
            </w:r>
          </w:p>
        </w:tc>
        <w:tc>
          <w:tcPr>
            <w:tcW w:w="0" w:type="auto"/>
            <w:tcBorders>
              <w:top w:val="nil"/>
              <w:left w:val="nil"/>
              <w:bottom w:val="nil"/>
              <w:right w:val="nil"/>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联系电话：82181404</w:t>
            </w:r>
          </w:p>
        </w:tc>
        <w:tc>
          <w:tcPr>
            <w:tcW w:w="0" w:type="auto"/>
            <w:tcBorders>
              <w:top w:val="nil"/>
              <w:left w:val="nil"/>
              <w:bottom w:val="nil"/>
              <w:right w:val="nil"/>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r>
    </w:tbl>
    <w:tbl>
      <w:tblPr>
        <w:tblStyle w:val="11"/>
        <w:tblpPr w:leftFromText="180" w:rightFromText="180" w:vertAnchor="text" w:horzAnchor="page" w:tblpX="885" w:tblpY="1109"/>
        <w:tblOverlap w:val="never"/>
        <w:tblW w:w="10680"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0" w:type="dxa"/>
          <w:bottom w:w="0" w:type="dxa"/>
          <w:right w:w="0" w:type="dxa"/>
        </w:tblCellMar>
      </w:tblPr>
      <w:tblGrid>
        <w:gridCol w:w="1385"/>
        <w:gridCol w:w="1118"/>
        <w:gridCol w:w="981"/>
        <w:gridCol w:w="1306"/>
        <w:gridCol w:w="1339"/>
        <w:gridCol w:w="1205"/>
        <w:gridCol w:w="1775"/>
        <w:gridCol w:w="1571"/>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960" w:hRule="atLeast"/>
        </w:trPr>
        <w:tc>
          <w:tcPr>
            <w:tcW w:w="10680" w:type="dxa"/>
            <w:gridSpan w:val="8"/>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ascii="方正小标宋_GBK" w:hAnsi="方正小标宋_GBK" w:eastAsia="方正小标宋_GBK" w:cs="方正小标宋_GBK"/>
                <w:i w:val="0"/>
                <w:color w:val="000000"/>
                <w:sz w:val="44"/>
                <w:szCs w:val="44"/>
                <w:u w:val="none"/>
              </w:rPr>
            </w:pPr>
            <w:r>
              <w:rPr>
                <w:rFonts w:hint="default" w:ascii="方正小标宋_GBK" w:hAnsi="方正小标宋_GBK" w:eastAsia="方正小标宋_GBK" w:cs="方正小标宋_GBK"/>
                <w:i w:val="0"/>
                <w:color w:val="000000"/>
                <w:kern w:val="0"/>
                <w:sz w:val="44"/>
                <w:szCs w:val="44"/>
                <w:u w:val="none"/>
                <w:lang w:val="en-US" w:eastAsia="zh-CN" w:bidi="ar"/>
              </w:rPr>
              <w:t>区级部门预算项目绩效自评表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30" w:hRule="atLeast"/>
        </w:trPr>
        <w:tc>
          <w:tcPr>
            <w:tcW w:w="10680" w:type="dxa"/>
            <w:gridSpan w:val="8"/>
            <w:tcBorders>
              <w:top w:val="nil"/>
              <w:left w:val="nil"/>
              <w:bottom w:val="nil"/>
              <w:right w:val="nil"/>
            </w:tcBorders>
            <w:shd w:val="clear" w:color="auto" w:fill="auto"/>
            <w:noWrap/>
            <w:tcMar>
              <w:top w:w="15" w:type="dxa"/>
              <w:left w:w="15" w:type="dxa"/>
              <w:right w:w="15" w:type="dxa"/>
            </w:tcMar>
            <w:vAlign w:val="bottom"/>
          </w:tcPr>
          <w:p>
            <w:pPr>
              <w:keepNext w:val="0"/>
              <w:keepLines w:val="0"/>
              <w:widowControl/>
              <w:suppressLineNumbers w:val="0"/>
              <w:jc w:val="center"/>
              <w:textAlignment w:val="bottom"/>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    2023  年度）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30" w:hRule="atLeast"/>
        </w:trPr>
        <w:tc>
          <w:tcPr>
            <w:tcW w:w="1385" w:type="dxa"/>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填报单位：</w:t>
            </w:r>
          </w:p>
        </w:tc>
        <w:tc>
          <w:tcPr>
            <w:tcW w:w="7724" w:type="dxa"/>
            <w:gridSpan w:val="6"/>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中国人民政治协商会议河北省石家庄市鹿泉区委员会</w:t>
            </w:r>
          </w:p>
        </w:tc>
        <w:tc>
          <w:tcPr>
            <w:tcW w:w="1571" w:type="dxa"/>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70" w:hRule="atLeast"/>
        </w:trPr>
        <w:tc>
          <w:tcPr>
            <w:tcW w:w="1385" w:type="dxa"/>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一、</w:t>
            </w:r>
            <w:r>
              <w:rPr>
                <w:rFonts w:ascii="Calibri" w:hAnsi="Calibri" w:eastAsia="宋体" w:cs="Calibri"/>
                <w:i w:val="0"/>
                <w:color w:val="000000"/>
                <w:kern w:val="0"/>
                <w:sz w:val="20"/>
                <w:szCs w:val="20"/>
                <w:u w:val="none"/>
                <w:lang w:val="en-US" w:eastAsia="zh-CN" w:bidi="ar"/>
              </w:rPr>
              <w:t xml:space="preserve"> </w:t>
            </w:r>
            <w:r>
              <w:rPr>
                <w:rFonts w:hint="eastAsia" w:ascii="宋体" w:hAnsi="宋体" w:eastAsia="宋体" w:cs="宋体"/>
                <w:i w:val="0"/>
                <w:color w:val="000000"/>
                <w:kern w:val="0"/>
                <w:sz w:val="20"/>
                <w:szCs w:val="20"/>
                <w:u w:val="none"/>
                <w:lang w:val="en-US" w:eastAsia="zh-CN" w:bidi="ar"/>
              </w:rPr>
              <w:t>基本情况</w:t>
            </w:r>
          </w:p>
        </w:tc>
        <w:tc>
          <w:tcPr>
            <w:tcW w:w="111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项目名称</w:t>
            </w:r>
          </w:p>
        </w:tc>
        <w:tc>
          <w:tcPr>
            <w:tcW w:w="2287"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政协会议政务外网使用费、“智慧政协”移动云服务费</w:t>
            </w:r>
          </w:p>
        </w:tc>
        <w:tc>
          <w:tcPr>
            <w:tcW w:w="133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实施(主管）单位</w:t>
            </w:r>
          </w:p>
        </w:tc>
        <w:tc>
          <w:tcPr>
            <w:tcW w:w="4551"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中国人民政治协商会议河北省石家庄市鹿泉区委员会本级</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atLeast"/>
        </w:trPr>
        <w:tc>
          <w:tcPr>
            <w:tcW w:w="138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二、预算执行情况</w:t>
            </w:r>
          </w:p>
        </w:tc>
        <w:tc>
          <w:tcPr>
            <w:tcW w:w="2099"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预算安排情况（调整后）</w:t>
            </w:r>
          </w:p>
        </w:tc>
        <w:tc>
          <w:tcPr>
            <w:tcW w:w="264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资金到位情况</w:t>
            </w:r>
          </w:p>
        </w:tc>
        <w:tc>
          <w:tcPr>
            <w:tcW w:w="298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资金执行情况</w:t>
            </w:r>
          </w:p>
        </w:tc>
        <w:tc>
          <w:tcPr>
            <w:tcW w:w="157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预算执行进度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40" w:hRule="atLeast"/>
        </w:trPr>
        <w:tc>
          <w:tcPr>
            <w:tcW w:w="138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11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预算数：</w:t>
            </w:r>
          </w:p>
        </w:tc>
        <w:tc>
          <w:tcPr>
            <w:tcW w:w="98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3.8</w:t>
            </w:r>
          </w:p>
        </w:tc>
        <w:tc>
          <w:tcPr>
            <w:tcW w:w="130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到位数：</w:t>
            </w:r>
          </w:p>
        </w:tc>
        <w:tc>
          <w:tcPr>
            <w:tcW w:w="133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3.8</w:t>
            </w:r>
          </w:p>
        </w:tc>
        <w:tc>
          <w:tcPr>
            <w:tcW w:w="12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执行数：</w:t>
            </w:r>
          </w:p>
        </w:tc>
        <w:tc>
          <w:tcPr>
            <w:tcW w:w="17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3.8</w:t>
            </w:r>
          </w:p>
        </w:tc>
        <w:tc>
          <w:tcPr>
            <w:tcW w:w="1571"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55" w:hRule="atLeast"/>
        </w:trPr>
        <w:tc>
          <w:tcPr>
            <w:tcW w:w="138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11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其中：                 财政资金</w:t>
            </w:r>
          </w:p>
        </w:tc>
        <w:tc>
          <w:tcPr>
            <w:tcW w:w="98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30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其中：                      财政资金</w:t>
            </w:r>
          </w:p>
        </w:tc>
        <w:tc>
          <w:tcPr>
            <w:tcW w:w="133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2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其中：                     财政资金</w:t>
            </w:r>
          </w:p>
        </w:tc>
        <w:tc>
          <w:tcPr>
            <w:tcW w:w="17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57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40" w:hRule="atLeast"/>
        </w:trPr>
        <w:tc>
          <w:tcPr>
            <w:tcW w:w="138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11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其他</w:t>
            </w:r>
          </w:p>
        </w:tc>
        <w:tc>
          <w:tcPr>
            <w:tcW w:w="98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default" w:ascii="Calibri" w:hAnsi="Calibri" w:eastAsia="宋体" w:cs="Calibri"/>
                <w:i w:val="0"/>
                <w:color w:val="000000"/>
                <w:sz w:val="20"/>
                <w:szCs w:val="20"/>
                <w:u w:val="none"/>
              </w:rPr>
            </w:pPr>
          </w:p>
        </w:tc>
        <w:tc>
          <w:tcPr>
            <w:tcW w:w="130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其他</w:t>
            </w:r>
          </w:p>
        </w:tc>
        <w:tc>
          <w:tcPr>
            <w:tcW w:w="133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c>
          <w:tcPr>
            <w:tcW w:w="12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其他</w:t>
            </w:r>
          </w:p>
        </w:tc>
        <w:tc>
          <w:tcPr>
            <w:tcW w:w="17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c>
          <w:tcPr>
            <w:tcW w:w="157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40" w:hRule="atLeast"/>
        </w:trPr>
        <w:tc>
          <w:tcPr>
            <w:tcW w:w="138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三、目标完成情况</w:t>
            </w:r>
          </w:p>
        </w:tc>
        <w:tc>
          <w:tcPr>
            <w:tcW w:w="3405"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年度预期目标</w:t>
            </w:r>
          </w:p>
        </w:tc>
        <w:tc>
          <w:tcPr>
            <w:tcW w:w="4319"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具体完成情况</w:t>
            </w:r>
          </w:p>
        </w:tc>
        <w:tc>
          <w:tcPr>
            <w:tcW w:w="157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总体完成率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40" w:hRule="atLeast"/>
        </w:trPr>
        <w:tc>
          <w:tcPr>
            <w:tcW w:w="138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3405" w:type="dxa"/>
            <w:gridSpan w:val="3"/>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 xml:space="preserve">通过购买1个外网使用费，为了保障2023年政协会议政务外网使用费及“智慧政协”移动云服务费工作正常运转，达到工作按期完成。     </w:t>
            </w:r>
          </w:p>
        </w:tc>
        <w:tc>
          <w:tcPr>
            <w:tcW w:w="4319" w:type="dxa"/>
            <w:gridSpan w:val="3"/>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 xml:space="preserve">通过购买1个外网使用费，为了保障2022年政协会议政务外网使用费及“智慧政协”移动云服务费工作正常运转，达到工作按期完成。     </w:t>
            </w:r>
          </w:p>
        </w:tc>
        <w:tc>
          <w:tcPr>
            <w:tcW w:w="1571"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439" w:hRule="atLeast"/>
        </w:trPr>
        <w:tc>
          <w:tcPr>
            <w:tcW w:w="138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3405"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4319"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57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06" w:hRule="atLeast"/>
        </w:trPr>
        <w:tc>
          <w:tcPr>
            <w:tcW w:w="138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3405"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4319"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57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40" w:hRule="atLeast"/>
        </w:trPr>
        <w:tc>
          <w:tcPr>
            <w:tcW w:w="1385" w:type="dxa"/>
            <w:vMerge w:val="restart"/>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四、</w:t>
            </w:r>
            <w:r>
              <w:rPr>
                <w:rFonts w:ascii="Calibri" w:hAnsi="Calibri" w:eastAsia="宋体" w:cs="Calibri"/>
                <w:i w:val="0"/>
                <w:color w:val="000000"/>
                <w:kern w:val="0"/>
                <w:sz w:val="20"/>
                <w:szCs w:val="20"/>
                <w:u w:val="none"/>
                <w:lang w:val="en-US" w:eastAsia="zh-CN" w:bidi="ar"/>
              </w:rPr>
              <w:t xml:space="preserve"> </w:t>
            </w:r>
            <w:r>
              <w:rPr>
                <w:rFonts w:hint="eastAsia" w:ascii="宋体" w:hAnsi="宋体" w:eastAsia="宋体" w:cs="宋体"/>
                <w:i w:val="0"/>
                <w:color w:val="000000"/>
                <w:kern w:val="0"/>
                <w:sz w:val="20"/>
                <w:szCs w:val="20"/>
                <w:u w:val="none"/>
                <w:lang w:val="en-US" w:eastAsia="zh-CN" w:bidi="ar"/>
              </w:rPr>
              <w:t>年度绩效指标完成情况</w:t>
            </w:r>
          </w:p>
        </w:tc>
        <w:tc>
          <w:tcPr>
            <w:tcW w:w="111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一级指标</w:t>
            </w:r>
          </w:p>
        </w:tc>
        <w:tc>
          <w:tcPr>
            <w:tcW w:w="98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二级指标</w:t>
            </w:r>
          </w:p>
        </w:tc>
        <w:tc>
          <w:tcPr>
            <w:tcW w:w="264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三级指标</w:t>
            </w:r>
          </w:p>
        </w:tc>
        <w:tc>
          <w:tcPr>
            <w:tcW w:w="12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预期指标值</w:t>
            </w:r>
          </w:p>
        </w:tc>
        <w:tc>
          <w:tcPr>
            <w:tcW w:w="17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实际完成值</w:t>
            </w:r>
          </w:p>
        </w:tc>
        <w:tc>
          <w:tcPr>
            <w:tcW w:w="157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自评得分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40" w:hRule="atLeast"/>
        </w:trPr>
        <w:tc>
          <w:tcPr>
            <w:tcW w:w="1385"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118" w:type="dxa"/>
            <w:vMerge w:val="restart"/>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产出指标（40）</w:t>
            </w:r>
          </w:p>
        </w:tc>
        <w:tc>
          <w:tcPr>
            <w:tcW w:w="981" w:type="dxa"/>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数量指标</w:t>
            </w:r>
          </w:p>
        </w:tc>
        <w:tc>
          <w:tcPr>
            <w:tcW w:w="264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购买数量</w:t>
            </w:r>
          </w:p>
        </w:tc>
        <w:tc>
          <w:tcPr>
            <w:tcW w:w="12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1个</w:t>
            </w:r>
          </w:p>
        </w:tc>
        <w:tc>
          <w:tcPr>
            <w:tcW w:w="17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1个</w:t>
            </w:r>
          </w:p>
        </w:tc>
        <w:tc>
          <w:tcPr>
            <w:tcW w:w="157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atLeast"/>
        </w:trPr>
        <w:tc>
          <w:tcPr>
            <w:tcW w:w="1385"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118"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98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质量指标</w:t>
            </w:r>
          </w:p>
        </w:tc>
        <w:tc>
          <w:tcPr>
            <w:tcW w:w="264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智慧政协的完成率</w:t>
            </w:r>
          </w:p>
        </w:tc>
        <w:tc>
          <w:tcPr>
            <w:tcW w:w="12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≥99%</w:t>
            </w:r>
          </w:p>
        </w:tc>
        <w:tc>
          <w:tcPr>
            <w:tcW w:w="17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99%</w:t>
            </w:r>
          </w:p>
        </w:tc>
        <w:tc>
          <w:tcPr>
            <w:tcW w:w="157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40" w:hRule="atLeast"/>
        </w:trPr>
        <w:tc>
          <w:tcPr>
            <w:tcW w:w="1385"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118"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98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时效指标</w:t>
            </w:r>
          </w:p>
        </w:tc>
        <w:tc>
          <w:tcPr>
            <w:tcW w:w="264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确保工作按期完成率</w:t>
            </w:r>
          </w:p>
        </w:tc>
        <w:tc>
          <w:tcPr>
            <w:tcW w:w="12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≥98%</w:t>
            </w:r>
          </w:p>
        </w:tc>
        <w:tc>
          <w:tcPr>
            <w:tcW w:w="17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98%</w:t>
            </w:r>
          </w:p>
        </w:tc>
        <w:tc>
          <w:tcPr>
            <w:tcW w:w="157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atLeast"/>
        </w:trPr>
        <w:tc>
          <w:tcPr>
            <w:tcW w:w="1385"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118"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98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成本指标</w:t>
            </w:r>
          </w:p>
        </w:tc>
        <w:tc>
          <w:tcPr>
            <w:tcW w:w="264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资金成本</w:t>
            </w:r>
          </w:p>
        </w:tc>
        <w:tc>
          <w:tcPr>
            <w:tcW w:w="12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3.8万元</w:t>
            </w:r>
          </w:p>
        </w:tc>
        <w:tc>
          <w:tcPr>
            <w:tcW w:w="17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3.8万元</w:t>
            </w:r>
          </w:p>
        </w:tc>
        <w:tc>
          <w:tcPr>
            <w:tcW w:w="157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970" w:hRule="atLeast"/>
        </w:trPr>
        <w:tc>
          <w:tcPr>
            <w:tcW w:w="1385"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11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预算执行率指标</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（10分）</w:t>
            </w:r>
          </w:p>
        </w:tc>
        <w:tc>
          <w:tcPr>
            <w:tcW w:w="98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预算执行率</w:t>
            </w:r>
          </w:p>
        </w:tc>
        <w:tc>
          <w:tcPr>
            <w:tcW w:w="264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2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100%</w:t>
            </w:r>
          </w:p>
        </w:tc>
        <w:tc>
          <w:tcPr>
            <w:tcW w:w="17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100%</w:t>
            </w:r>
          </w:p>
        </w:tc>
        <w:tc>
          <w:tcPr>
            <w:tcW w:w="157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55" w:hRule="atLeast"/>
        </w:trPr>
        <w:tc>
          <w:tcPr>
            <w:tcW w:w="1385"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118" w:type="dxa"/>
            <w:vMerge w:val="restart"/>
            <w:tcBorders>
              <w:top w:val="nil"/>
              <w:left w:val="single" w:color="000000" w:sz="4" w:space="0"/>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效益指标（40）</w:t>
            </w:r>
          </w:p>
        </w:tc>
        <w:tc>
          <w:tcPr>
            <w:tcW w:w="981"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经济效益指标</w:t>
            </w:r>
          </w:p>
        </w:tc>
        <w:tc>
          <w:tcPr>
            <w:tcW w:w="264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提高单位政务水平</w:t>
            </w:r>
          </w:p>
        </w:tc>
        <w:tc>
          <w:tcPr>
            <w:tcW w:w="12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≥95%</w:t>
            </w:r>
          </w:p>
        </w:tc>
        <w:tc>
          <w:tcPr>
            <w:tcW w:w="17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95%</w:t>
            </w:r>
          </w:p>
        </w:tc>
        <w:tc>
          <w:tcPr>
            <w:tcW w:w="157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55" w:hRule="atLeast"/>
        </w:trPr>
        <w:tc>
          <w:tcPr>
            <w:tcW w:w="1385"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118" w:type="dxa"/>
            <w:vMerge w:val="continue"/>
            <w:tcBorders>
              <w:top w:val="nil"/>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981"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社会效益指标</w:t>
            </w:r>
          </w:p>
        </w:tc>
        <w:tc>
          <w:tcPr>
            <w:tcW w:w="264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提升工作效益</w:t>
            </w:r>
          </w:p>
        </w:tc>
        <w:tc>
          <w:tcPr>
            <w:tcW w:w="12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≥95%</w:t>
            </w:r>
          </w:p>
        </w:tc>
        <w:tc>
          <w:tcPr>
            <w:tcW w:w="17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95%</w:t>
            </w:r>
          </w:p>
        </w:tc>
        <w:tc>
          <w:tcPr>
            <w:tcW w:w="157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55" w:hRule="atLeast"/>
        </w:trPr>
        <w:tc>
          <w:tcPr>
            <w:tcW w:w="1385"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118" w:type="dxa"/>
            <w:vMerge w:val="continue"/>
            <w:tcBorders>
              <w:top w:val="nil"/>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981"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生态效益指标</w:t>
            </w:r>
          </w:p>
        </w:tc>
        <w:tc>
          <w:tcPr>
            <w:tcW w:w="264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采用无纸化办公，节能环保</w:t>
            </w:r>
          </w:p>
        </w:tc>
        <w:tc>
          <w:tcPr>
            <w:tcW w:w="12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效果显著</w:t>
            </w:r>
          </w:p>
        </w:tc>
        <w:tc>
          <w:tcPr>
            <w:tcW w:w="17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效果显著</w:t>
            </w:r>
          </w:p>
        </w:tc>
        <w:tc>
          <w:tcPr>
            <w:tcW w:w="157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55" w:hRule="atLeast"/>
        </w:trPr>
        <w:tc>
          <w:tcPr>
            <w:tcW w:w="1385"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118" w:type="dxa"/>
            <w:vMerge w:val="continue"/>
            <w:tcBorders>
              <w:top w:val="nil"/>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981"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可持续影响指标</w:t>
            </w:r>
          </w:p>
        </w:tc>
        <w:tc>
          <w:tcPr>
            <w:tcW w:w="264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推动2023年度工作顺利开展</w:t>
            </w:r>
          </w:p>
        </w:tc>
        <w:tc>
          <w:tcPr>
            <w:tcW w:w="12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工作保障</w:t>
            </w:r>
          </w:p>
        </w:tc>
        <w:tc>
          <w:tcPr>
            <w:tcW w:w="17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工作保障</w:t>
            </w:r>
          </w:p>
        </w:tc>
        <w:tc>
          <w:tcPr>
            <w:tcW w:w="157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55" w:hRule="atLeast"/>
        </w:trPr>
        <w:tc>
          <w:tcPr>
            <w:tcW w:w="1385"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11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满意度指标</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（10分）</w:t>
            </w:r>
          </w:p>
        </w:tc>
        <w:tc>
          <w:tcPr>
            <w:tcW w:w="981"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满意度指标</w:t>
            </w:r>
          </w:p>
        </w:tc>
        <w:tc>
          <w:tcPr>
            <w:tcW w:w="264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服务对象满意度</w:t>
            </w:r>
          </w:p>
        </w:tc>
        <w:tc>
          <w:tcPr>
            <w:tcW w:w="12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≥98%</w:t>
            </w:r>
          </w:p>
        </w:tc>
        <w:tc>
          <w:tcPr>
            <w:tcW w:w="17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98%</w:t>
            </w:r>
          </w:p>
        </w:tc>
        <w:tc>
          <w:tcPr>
            <w:tcW w:w="157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40" w:hRule="atLeast"/>
        </w:trPr>
        <w:tc>
          <w:tcPr>
            <w:tcW w:w="1385"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7724"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总分</w:t>
            </w:r>
          </w:p>
        </w:tc>
        <w:tc>
          <w:tcPr>
            <w:tcW w:w="157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970" w:hRule="atLeast"/>
        </w:trPr>
        <w:tc>
          <w:tcPr>
            <w:tcW w:w="1385"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五、</w:t>
            </w:r>
            <w:r>
              <w:rPr>
                <w:rFonts w:ascii="Calibri" w:hAnsi="Calibri" w:eastAsia="宋体" w:cs="Calibri"/>
                <w:i w:val="0"/>
                <w:color w:val="000000"/>
                <w:kern w:val="0"/>
                <w:sz w:val="20"/>
                <w:szCs w:val="20"/>
                <w:u w:val="none"/>
                <w:lang w:val="en-US" w:eastAsia="zh-CN" w:bidi="ar"/>
              </w:rPr>
              <w:t xml:space="preserve"> </w:t>
            </w:r>
            <w:r>
              <w:rPr>
                <w:rFonts w:hint="eastAsia" w:ascii="宋体" w:hAnsi="宋体" w:eastAsia="宋体" w:cs="宋体"/>
                <w:i w:val="0"/>
                <w:color w:val="000000"/>
                <w:kern w:val="0"/>
                <w:sz w:val="20"/>
                <w:szCs w:val="20"/>
                <w:u w:val="none"/>
                <w:lang w:val="en-US" w:eastAsia="zh-CN" w:bidi="ar"/>
              </w:rPr>
              <w:t>存在问题、原因及下一步整改措施</w:t>
            </w:r>
          </w:p>
        </w:tc>
        <w:tc>
          <w:tcPr>
            <w:tcW w:w="9295" w:type="dxa"/>
            <w:gridSpan w:val="7"/>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无</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30" w:hRule="atLeast"/>
        </w:trPr>
        <w:tc>
          <w:tcPr>
            <w:tcW w:w="1385" w:type="dxa"/>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填报人：王爱华</w:t>
            </w:r>
          </w:p>
        </w:tc>
        <w:tc>
          <w:tcPr>
            <w:tcW w:w="1118" w:type="dxa"/>
            <w:tcBorders>
              <w:top w:val="nil"/>
              <w:left w:val="nil"/>
              <w:bottom w:val="nil"/>
              <w:right w:val="nil"/>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981" w:type="dxa"/>
            <w:tcBorders>
              <w:top w:val="nil"/>
              <w:left w:val="nil"/>
              <w:bottom w:val="nil"/>
              <w:right w:val="nil"/>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306" w:type="dxa"/>
            <w:tcBorders>
              <w:top w:val="nil"/>
              <w:left w:val="nil"/>
              <w:bottom w:val="nil"/>
              <w:right w:val="nil"/>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339" w:type="dxa"/>
            <w:tcBorders>
              <w:top w:val="nil"/>
              <w:left w:val="nil"/>
              <w:bottom w:val="nil"/>
              <w:right w:val="nil"/>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205" w:type="dxa"/>
            <w:tcBorders>
              <w:top w:val="nil"/>
              <w:left w:val="nil"/>
              <w:bottom w:val="nil"/>
              <w:right w:val="nil"/>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775" w:type="dxa"/>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联系电话：82181404</w:t>
            </w:r>
          </w:p>
        </w:tc>
        <w:tc>
          <w:tcPr>
            <w:tcW w:w="1571" w:type="dxa"/>
            <w:tcBorders>
              <w:top w:val="nil"/>
              <w:left w:val="nil"/>
              <w:bottom w:val="nil"/>
              <w:right w:val="nil"/>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r>
    </w:tbl>
    <w:tbl>
      <w:tblPr>
        <w:tblStyle w:val="11"/>
        <w:tblpPr w:leftFromText="180" w:rightFromText="180" w:vertAnchor="text" w:horzAnchor="page" w:tblpX="885" w:tblpY="1069"/>
        <w:tblOverlap w:val="never"/>
        <w:tblW w:w="10740"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0" w:type="dxa"/>
          <w:bottom w:w="0" w:type="dxa"/>
          <w:right w:w="0" w:type="dxa"/>
        </w:tblCellMar>
      </w:tblPr>
      <w:tblGrid>
        <w:gridCol w:w="1392"/>
        <w:gridCol w:w="1125"/>
        <w:gridCol w:w="1091"/>
        <w:gridCol w:w="1267"/>
        <w:gridCol w:w="1298"/>
        <w:gridCol w:w="1204"/>
        <w:gridCol w:w="1784"/>
        <w:gridCol w:w="1579"/>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36" w:hRule="atLeast"/>
        </w:trPr>
        <w:tc>
          <w:tcPr>
            <w:tcW w:w="10740" w:type="dxa"/>
            <w:gridSpan w:val="8"/>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ascii="方正小标宋_GBK" w:hAnsi="方正小标宋_GBK" w:eastAsia="方正小标宋_GBK" w:cs="方正小标宋_GBK"/>
                <w:i w:val="0"/>
                <w:color w:val="000000"/>
                <w:sz w:val="44"/>
                <w:szCs w:val="44"/>
                <w:u w:val="none"/>
              </w:rPr>
            </w:pPr>
            <w:r>
              <w:rPr>
                <w:rFonts w:hint="default" w:ascii="方正小标宋_GBK" w:hAnsi="方正小标宋_GBK" w:eastAsia="方正小标宋_GBK" w:cs="方正小标宋_GBK"/>
                <w:i w:val="0"/>
                <w:color w:val="000000"/>
                <w:kern w:val="0"/>
                <w:sz w:val="44"/>
                <w:szCs w:val="44"/>
                <w:u w:val="none"/>
                <w:lang w:val="en-US" w:eastAsia="zh-CN" w:bidi="ar"/>
              </w:rPr>
              <w:t>区级部门预算项目绩效自评表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25" w:hRule="atLeast"/>
        </w:trPr>
        <w:tc>
          <w:tcPr>
            <w:tcW w:w="10740" w:type="dxa"/>
            <w:gridSpan w:val="8"/>
            <w:tcBorders>
              <w:top w:val="nil"/>
              <w:left w:val="nil"/>
              <w:bottom w:val="nil"/>
              <w:right w:val="nil"/>
            </w:tcBorders>
            <w:shd w:val="clear" w:color="auto" w:fill="auto"/>
            <w:noWrap/>
            <w:tcMar>
              <w:top w:w="15" w:type="dxa"/>
              <w:left w:w="15" w:type="dxa"/>
              <w:right w:w="15" w:type="dxa"/>
            </w:tcMar>
            <w:vAlign w:val="bottom"/>
          </w:tcPr>
          <w:p>
            <w:pPr>
              <w:keepNext w:val="0"/>
              <w:keepLines w:val="0"/>
              <w:widowControl/>
              <w:suppressLineNumbers w:val="0"/>
              <w:jc w:val="center"/>
              <w:textAlignment w:val="bottom"/>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   2023   年度）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70" w:hRule="atLeast"/>
        </w:trPr>
        <w:tc>
          <w:tcPr>
            <w:tcW w:w="1392" w:type="dxa"/>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填报单位：</w:t>
            </w:r>
          </w:p>
        </w:tc>
        <w:tc>
          <w:tcPr>
            <w:tcW w:w="7769" w:type="dxa"/>
            <w:gridSpan w:val="6"/>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中国人民政治协商会议河北省石家庄市鹿泉区委员会</w:t>
            </w:r>
          </w:p>
        </w:tc>
        <w:tc>
          <w:tcPr>
            <w:tcW w:w="1579" w:type="dxa"/>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39" w:hRule="atLeast"/>
        </w:trPr>
        <w:tc>
          <w:tcPr>
            <w:tcW w:w="1392" w:type="dxa"/>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一、</w:t>
            </w:r>
            <w:r>
              <w:rPr>
                <w:rFonts w:ascii="Calibri" w:hAnsi="Calibri" w:eastAsia="宋体" w:cs="Calibri"/>
                <w:i w:val="0"/>
                <w:color w:val="000000"/>
                <w:kern w:val="0"/>
                <w:sz w:val="20"/>
                <w:szCs w:val="20"/>
                <w:u w:val="none"/>
                <w:lang w:val="en-US" w:eastAsia="zh-CN" w:bidi="ar"/>
              </w:rPr>
              <w:t xml:space="preserve"> </w:t>
            </w:r>
            <w:r>
              <w:rPr>
                <w:rFonts w:hint="eastAsia" w:ascii="宋体" w:hAnsi="宋体" w:eastAsia="宋体" w:cs="宋体"/>
                <w:i w:val="0"/>
                <w:color w:val="000000"/>
                <w:kern w:val="0"/>
                <w:sz w:val="20"/>
                <w:szCs w:val="20"/>
                <w:u w:val="none"/>
                <w:lang w:val="en-US" w:eastAsia="zh-CN" w:bidi="ar"/>
              </w:rPr>
              <w:t>基本情况</w:t>
            </w:r>
          </w:p>
        </w:tc>
        <w:tc>
          <w:tcPr>
            <w:tcW w:w="11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项目名称</w:t>
            </w:r>
          </w:p>
        </w:tc>
        <w:tc>
          <w:tcPr>
            <w:tcW w:w="2358"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政协会议费</w:t>
            </w:r>
          </w:p>
        </w:tc>
        <w:tc>
          <w:tcPr>
            <w:tcW w:w="129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实施(主管）单位</w:t>
            </w:r>
          </w:p>
        </w:tc>
        <w:tc>
          <w:tcPr>
            <w:tcW w:w="4567"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中国人民政治协商会议河北省石家庄市鹿泉区委员会本级</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97" w:hRule="atLeast"/>
        </w:trPr>
        <w:tc>
          <w:tcPr>
            <w:tcW w:w="1392"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二、预算执行情况</w:t>
            </w:r>
          </w:p>
        </w:tc>
        <w:tc>
          <w:tcPr>
            <w:tcW w:w="2216"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预算安排情况（调整后）</w:t>
            </w:r>
          </w:p>
        </w:tc>
        <w:tc>
          <w:tcPr>
            <w:tcW w:w="256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资金到位情况</w:t>
            </w:r>
          </w:p>
        </w:tc>
        <w:tc>
          <w:tcPr>
            <w:tcW w:w="2988"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资金执行情况</w:t>
            </w:r>
          </w:p>
        </w:tc>
        <w:tc>
          <w:tcPr>
            <w:tcW w:w="157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预算执行进度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438" w:hRule="atLeast"/>
        </w:trPr>
        <w:tc>
          <w:tcPr>
            <w:tcW w:w="139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1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预算数：</w:t>
            </w:r>
          </w:p>
        </w:tc>
        <w:tc>
          <w:tcPr>
            <w:tcW w:w="109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38.1</w:t>
            </w:r>
          </w:p>
        </w:tc>
        <w:tc>
          <w:tcPr>
            <w:tcW w:w="126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到位数：</w:t>
            </w:r>
          </w:p>
        </w:tc>
        <w:tc>
          <w:tcPr>
            <w:tcW w:w="129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38.1</w:t>
            </w:r>
          </w:p>
        </w:tc>
        <w:tc>
          <w:tcPr>
            <w:tcW w:w="120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执行数：</w:t>
            </w:r>
          </w:p>
        </w:tc>
        <w:tc>
          <w:tcPr>
            <w:tcW w:w="178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38.1</w:t>
            </w:r>
          </w:p>
        </w:tc>
        <w:tc>
          <w:tcPr>
            <w:tcW w:w="1579"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39" w:hRule="atLeast"/>
        </w:trPr>
        <w:tc>
          <w:tcPr>
            <w:tcW w:w="139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1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其中：                 财政资金</w:t>
            </w:r>
          </w:p>
        </w:tc>
        <w:tc>
          <w:tcPr>
            <w:tcW w:w="109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26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其中：                      财政资金</w:t>
            </w:r>
          </w:p>
        </w:tc>
        <w:tc>
          <w:tcPr>
            <w:tcW w:w="129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20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其中：                     财政资金</w:t>
            </w:r>
          </w:p>
        </w:tc>
        <w:tc>
          <w:tcPr>
            <w:tcW w:w="178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57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424" w:hRule="atLeast"/>
        </w:trPr>
        <w:tc>
          <w:tcPr>
            <w:tcW w:w="139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1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其他</w:t>
            </w:r>
          </w:p>
        </w:tc>
        <w:tc>
          <w:tcPr>
            <w:tcW w:w="109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default" w:ascii="Calibri" w:hAnsi="Calibri" w:eastAsia="宋体" w:cs="Calibri"/>
                <w:i w:val="0"/>
                <w:color w:val="000000"/>
                <w:sz w:val="20"/>
                <w:szCs w:val="20"/>
                <w:u w:val="none"/>
              </w:rPr>
            </w:pPr>
          </w:p>
        </w:tc>
        <w:tc>
          <w:tcPr>
            <w:tcW w:w="126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其他</w:t>
            </w:r>
          </w:p>
        </w:tc>
        <w:tc>
          <w:tcPr>
            <w:tcW w:w="129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c>
          <w:tcPr>
            <w:tcW w:w="120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其他</w:t>
            </w:r>
          </w:p>
        </w:tc>
        <w:tc>
          <w:tcPr>
            <w:tcW w:w="178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c>
          <w:tcPr>
            <w:tcW w:w="157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483" w:hRule="atLeast"/>
        </w:trPr>
        <w:tc>
          <w:tcPr>
            <w:tcW w:w="1392"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三、目标完成情况</w:t>
            </w:r>
          </w:p>
        </w:tc>
        <w:tc>
          <w:tcPr>
            <w:tcW w:w="3483"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年度预期目标</w:t>
            </w:r>
          </w:p>
        </w:tc>
        <w:tc>
          <w:tcPr>
            <w:tcW w:w="4286"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具体完成情况</w:t>
            </w:r>
          </w:p>
        </w:tc>
        <w:tc>
          <w:tcPr>
            <w:tcW w:w="157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总体完成率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12" w:hRule="atLeast"/>
        </w:trPr>
        <w:tc>
          <w:tcPr>
            <w:tcW w:w="139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3483" w:type="dxa"/>
            <w:gridSpan w:val="3"/>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 xml:space="preserve">通过召开政协会议次数不少于一次的活动，为了我区重大工作积极建言献策、开展政协协商，保障会议顺利开展。     </w:t>
            </w:r>
          </w:p>
        </w:tc>
        <w:tc>
          <w:tcPr>
            <w:tcW w:w="4286" w:type="dxa"/>
            <w:gridSpan w:val="3"/>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 xml:space="preserve">通过召开政协会议次数不少于一次的活动，为了我区重大工作积极建言献策、开展政协协商，保障会议顺利开展。     </w:t>
            </w:r>
          </w:p>
        </w:tc>
        <w:tc>
          <w:tcPr>
            <w:tcW w:w="1579"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1088" w:hRule="atLeast"/>
        </w:trPr>
        <w:tc>
          <w:tcPr>
            <w:tcW w:w="139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3483"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4286"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57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12" w:hRule="atLeast"/>
        </w:trPr>
        <w:tc>
          <w:tcPr>
            <w:tcW w:w="139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3483"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4286"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57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438" w:hRule="atLeast"/>
        </w:trPr>
        <w:tc>
          <w:tcPr>
            <w:tcW w:w="1392" w:type="dxa"/>
            <w:vMerge w:val="restart"/>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四、</w:t>
            </w:r>
            <w:r>
              <w:rPr>
                <w:rFonts w:ascii="Calibri" w:hAnsi="Calibri" w:eastAsia="宋体" w:cs="Calibri"/>
                <w:i w:val="0"/>
                <w:color w:val="000000"/>
                <w:kern w:val="0"/>
                <w:sz w:val="20"/>
                <w:szCs w:val="20"/>
                <w:u w:val="none"/>
                <w:lang w:val="en-US" w:eastAsia="zh-CN" w:bidi="ar"/>
              </w:rPr>
              <w:t xml:space="preserve"> </w:t>
            </w:r>
            <w:r>
              <w:rPr>
                <w:rFonts w:hint="eastAsia" w:ascii="宋体" w:hAnsi="宋体" w:eastAsia="宋体" w:cs="宋体"/>
                <w:i w:val="0"/>
                <w:color w:val="000000"/>
                <w:kern w:val="0"/>
                <w:sz w:val="20"/>
                <w:szCs w:val="20"/>
                <w:u w:val="none"/>
                <w:lang w:val="en-US" w:eastAsia="zh-CN" w:bidi="ar"/>
              </w:rPr>
              <w:t>年度绩效指标完成情况</w:t>
            </w:r>
          </w:p>
        </w:tc>
        <w:tc>
          <w:tcPr>
            <w:tcW w:w="11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一级指标</w:t>
            </w:r>
          </w:p>
        </w:tc>
        <w:tc>
          <w:tcPr>
            <w:tcW w:w="109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二级指标</w:t>
            </w:r>
          </w:p>
        </w:tc>
        <w:tc>
          <w:tcPr>
            <w:tcW w:w="256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三级指标</w:t>
            </w:r>
          </w:p>
        </w:tc>
        <w:tc>
          <w:tcPr>
            <w:tcW w:w="120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预期指标值</w:t>
            </w:r>
          </w:p>
        </w:tc>
        <w:tc>
          <w:tcPr>
            <w:tcW w:w="178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实际完成值</w:t>
            </w:r>
          </w:p>
        </w:tc>
        <w:tc>
          <w:tcPr>
            <w:tcW w:w="157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自评得分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75" w:hRule="atLeast"/>
        </w:trPr>
        <w:tc>
          <w:tcPr>
            <w:tcW w:w="1392"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125" w:type="dxa"/>
            <w:vMerge w:val="restart"/>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产出指标（40）</w:t>
            </w:r>
          </w:p>
        </w:tc>
        <w:tc>
          <w:tcPr>
            <w:tcW w:w="1091" w:type="dxa"/>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数量指标</w:t>
            </w:r>
          </w:p>
        </w:tc>
        <w:tc>
          <w:tcPr>
            <w:tcW w:w="256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政协全体会议</w:t>
            </w:r>
          </w:p>
        </w:tc>
        <w:tc>
          <w:tcPr>
            <w:tcW w:w="120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至少1次</w:t>
            </w:r>
          </w:p>
        </w:tc>
        <w:tc>
          <w:tcPr>
            <w:tcW w:w="178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1次</w:t>
            </w:r>
          </w:p>
        </w:tc>
        <w:tc>
          <w:tcPr>
            <w:tcW w:w="157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17" w:hRule="atLeast"/>
        </w:trPr>
        <w:tc>
          <w:tcPr>
            <w:tcW w:w="1392"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125"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09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质量指标</w:t>
            </w:r>
          </w:p>
        </w:tc>
        <w:tc>
          <w:tcPr>
            <w:tcW w:w="256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会议完成率</w:t>
            </w:r>
          </w:p>
        </w:tc>
        <w:tc>
          <w:tcPr>
            <w:tcW w:w="120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≥95%</w:t>
            </w:r>
          </w:p>
        </w:tc>
        <w:tc>
          <w:tcPr>
            <w:tcW w:w="178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95%</w:t>
            </w:r>
          </w:p>
        </w:tc>
        <w:tc>
          <w:tcPr>
            <w:tcW w:w="157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714" w:hRule="atLeast"/>
        </w:trPr>
        <w:tc>
          <w:tcPr>
            <w:tcW w:w="1392"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125"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09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时效指标</w:t>
            </w:r>
          </w:p>
        </w:tc>
        <w:tc>
          <w:tcPr>
            <w:tcW w:w="256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会议按时完成情况</w:t>
            </w:r>
          </w:p>
        </w:tc>
        <w:tc>
          <w:tcPr>
            <w:tcW w:w="120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按时完成</w:t>
            </w:r>
          </w:p>
        </w:tc>
        <w:tc>
          <w:tcPr>
            <w:tcW w:w="178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按时完成</w:t>
            </w:r>
          </w:p>
        </w:tc>
        <w:tc>
          <w:tcPr>
            <w:tcW w:w="157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16" w:hRule="atLeast"/>
        </w:trPr>
        <w:tc>
          <w:tcPr>
            <w:tcW w:w="1392"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125"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09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成本指标</w:t>
            </w:r>
          </w:p>
        </w:tc>
        <w:tc>
          <w:tcPr>
            <w:tcW w:w="256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召开会议的成本</w:t>
            </w:r>
          </w:p>
        </w:tc>
        <w:tc>
          <w:tcPr>
            <w:tcW w:w="120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38.1万元</w:t>
            </w:r>
          </w:p>
        </w:tc>
        <w:tc>
          <w:tcPr>
            <w:tcW w:w="178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38.1万元</w:t>
            </w:r>
          </w:p>
        </w:tc>
        <w:tc>
          <w:tcPr>
            <w:tcW w:w="157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946" w:hRule="atLeast"/>
        </w:trPr>
        <w:tc>
          <w:tcPr>
            <w:tcW w:w="1392"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1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预算执行率指标</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（10分）</w:t>
            </w:r>
          </w:p>
        </w:tc>
        <w:tc>
          <w:tcPr>
            <w:tcW w:w="10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预算执行率</w:t>
            </w:r>
          </w:p>
        </w:tc>
        <w:tc>
          <w:tcPr>
            <w:tcW w:w="256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20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100%</w:t>
            </w:r>
          </w:p>
        </w:tc>
        <w:tc>
          <w:tcPr>
            <w:tcW w:w="178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100%</w:t>
            </w:r>
          </w:p>
        </w:tc>
        <w:tc>
          <w:tcPr>
            <w:tcW w:w="157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39" w:hRule="atLeast"/>
        </w:trPr>
        <w:tc>
          <w:tcPr>
            <w:tcW w:w="1392"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125" w:type="dxa"/>
            <w:vMerge w:val="restart"/>
            <w:tcBorders>
              <w:top w:val="nil"/>
              <w:left w:val="single" w:color="000000" w:sz="4" w:space="0"/>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效益指标（40）</w:t>
            </w:r>
          </w:p>
        </w:tc>
        <w:tc>
          <w:tcPr>
            <w:tcW w:w="1091"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经济效益指标</w:t>
            </w:r>
          </w:p>
        </w:tc>
        <w:tc>
          <w:tcPr>
            <w:tcW w:w="256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经济发展</w:t>
            </w:r>
          </w:p>
        </w:tc>
        <w:tc>
          <w:tcPr>
            <w:tcW w:w="120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有所提高</w:t>
            </w:r>
          </w:p>
        </w:tc>
        <w:tc>
          <w:tcPr>
            <w:tcW w:w="178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有所提高</w:t>
            </w:r>
          </w:p>
        </w:tc>
        <w:tc>
          <w:tcPr>
            <w:tcW w:w="157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39" w:hRule="atLeast"/>
        </w:trPr>
        <w:tc>
          <w:tcPr>
            <w:tcW w:w="1392"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125" w:type="dxa"/>
            <w:vMerge w:val="continue"/>
            <w:tcBorders>
              <w:top w:val="nil"/>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091"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社会效益指标</w:t>
            </w:r>
          </w:p>
        </w:tc>
        <w:tc>
          <w:tcPr>
            <w:tcW w:w="256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提案利用率</w:t>
            </w:r>
          </w:p>
        </w:tc>
        <w:tc>
          <w:tcPr>
            <w:tcW w:w="120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≥90%</w:t>
            </w:r>
          </w:p>
        </w:tc>
        <w:tc>
          <w:tcPr>
            <w:tcW w:w="178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90%</w:t>
            </w:r>
          </w:p>
        </w:tc>
        <w:tc>
          <w:tcPr>
            <w:tcW w:w="157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39" w:hRule="atLeast"/>
        </w:trPr>
        <w:tc>
          <w:tcPr>
            <w:tcW w:w="1392"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125" w:type="dxa"/>
            <w:vMerge w:val="continue"/>
            <w:tcBorders>
              <w:top w:val="nil"/>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091"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生态效益指标</w:t>
            </w:r>
          </w:p>
        </w:tc>
        <w:tc>
          <w:tcPr>
            <w:tcW w:w="256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资源消耗</w:t>
            </w:r>
          </w:p>
        </w:tc>
        <w:tc>
          <w:tcPr>
            <w:tcW w:w="120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≤10%</w:t>
            </w:r>
          </w:p>
        </w:tc>
        <w:tc>
          <w:tcPr>
            <w:tcW w:w="178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10%</w:t>
            </w:r>
          </w:p>
        </w:tc>
        <w:tc>
          <w:tcPr>
            <w:tcW w:w="157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39" w:hRule="atLeast"/>
        </w:trPr>
        <w:tc>
          <w:tcPr>
            <w:tcW w:w="1392"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125" w:type="dxa"/>
            <w:vMerge w:val="continue"/>
            <w:tcBorders>
              <w:top w:val="nil"/>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091"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可持续影响指标</w:t>
            </w:r>
          </w:p>
        </w:tc>
        <w:tc>
          <w:tcPr>
            <w:tcW w:w="256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长期发展</w:t>
            </w:r>
          </w:p>
        </w:tc>
        <w:tc>
          <w:tcPr>
            <w:tcW w:w="120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1年</w:t>
            </w:r>
          </w:p>
        </w:tc>
        <w:tc>
          <w:tcPr>
            <w:tcW w:w="178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1年</w:t>
            </w:r>
          </w:p>
        </w:tc>
        <w:tc>
          <w:tcPr>
            <w:tcW w:w="157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39" w:hRule="atLeast"/>
        </w:trPr>
        <w:tc>
          <w:tcPr>
            <w:tcW w:w="1392"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1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满意度指标</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（10分）</w:t>
            </w:r>
          </w:p>
        </w:tc>
        <w:tc>
          <w:tcPr>
            <w:tcW w:w="1091"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满意度指标</w:t>
            </w:r>
          </w:p>
        </w:tc>
        <w:tc>
          <w:tcPr>
            <w:tcW w:w="256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政协委员满意度</w:t>
            </w:r>
          </w:p>
        </w:tc>
        <w:tc>
          <w:tcPr>
            <w:tcW w:w="120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≥95%</w:t>
            </w:r>
          </w:p>
        </w:tc>
        <w:tc>
          <w:tcPr>
            <w:tcW w:w="178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95%</w:t>
            </w:r>
          </w:p>
        </w:tc>
        <w:tc>
          <w:tcPr>
            <w:tcW w:w="157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96" w:hRule="atLeast"/>
        </w:trPr>
        <w:tc>
          <w:tcPr>
            <w:tcW w:w="1392"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7769"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总分</w:t>
            </w:r>
          </w:p>
        </w:tc>
        <w:tc>
          <w:tcPr>
            <w:tcW w:w="157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946" w:hRule="atLeast"/>
        </w:trPr>
        <w:tc>
          <w:tcPr>
            <w:tcW w:w="139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五、</w:t>
            </w:r>
            <w:r>
              <w:rPr>
                <w:rFonts w:ascii="Calibri" w:hAnsi="Calibri" w:eastAsia="宋体" w:cs="Calibri"/>
                <w:i w:val="0"/>
                <w:color w:val="000000"/>
                <w:kern w:val="0"/>
                <w:sz w:val="20"/>
                <w:szCs w:val="20"/>
                <w:u w:val="none"/>
                <w:lang w:val="en-US" w:eastAsia="zh-CN" w:bidi="ar"/>
              </w:rPr>
              <w:t xml:space="preserve"> </w:t>
            </w:r>
            <w:r>
              <w:rPr>
                <w:rFonts w:hint="eastAsia" w:ascii="宋体" w:hAnsi="宋体" w:eastAsia="宋体" w:cs="宋体"/>
                <w:i w:val="0"/>
                <w:color w:val="000000"/>
                <w:kern w:val="0"/>
                <w:sz w:val="20"/>
                <w:szCs w:val="20"/>
                <w:u w:val="none"/>
                <w:lang w:val="en-US" w:eastAsia="zh-CN" w:bidi="ar"/>
              </w:rPr>
              <w:t>存在问题、原因及下一步整改措施</w:t>
            </w:r>
          </w:p>
        </w:tc>
        <w:tc>
          <w:tcPr>
            <w:tcW w:w="9348" w:type="dxa"/>
            <w:gridSpan w:val="7"/>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无</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414" w:hRule="atLeast"/>
        </w:trPr>
        <w:tc>
          <w:tcPr>
            <w:tcW w:w="1392" w:type="dxa"/>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填报人：王爱华</w:t>
            </w:r>
          </w:p>
        </w:tc>
        <w:tc>
          <w:tcPr>
            <w:tcW w:w="1125" w:type="dxa"/>
            <w:tcBorders>
              <w:top w:val="nil"/>
              <w:left w:val="nil"/>
              <w:bottom w:val="nil"/>
              <w:right w:val="nil"/>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091" w:type="dxa"/>
            <w:tcBorders>
              <w:top w:val="nil"/>
              <w:left w:val="nil"/>
              <w:bottom w:val="nil"/>
              <w:right w:val="nil"/>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267" w:type="dxa"/>
            <w:tcBorders>
              <w:top w:val="nil"/>
              <w:left w:val="nil"/>
              <w:bottom w:val="nil"/>
              <w:right w:val="nil"/>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298" w:type="dxa"/>
            <w:tcBorders>
              <w:top w:val="nil"/>
              <w:left w:val="nil"/>
              <w:bottom w:val="nil"/>
              <w:right w:val="nil"/>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204" w:type="dxa"/>
            <w:tcBorders>
              <w:top w:val="nil"/>
              <w:left w:val="nil"/>
              <w:bottom w:val="nil"/>
              <w:right w:val="nil"/>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784" w:type="dxa"/>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联系电话：82181404</w:t>
            </w:r>
          </w:p>
        </w:tc>
        <w:tc>
          <w:tcPr>
            <w:tcW w:w="1579" w:type="dxa"/>
            <w:tcBorders>
              <w:top w:val="nil"/>
              <w:left w:val="nil"/>
              <w:bottom w:val="nil"/>
              <w:right w:val="nil"/>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r>
    </w:tbl>
    <w:p>
      <w:pPr>
        <w:rPr>
          <w:rFonts w:hint="eastAsia" w:ascii="Times New Roman" w:hAnsi="Times New Roman" w:eastAsia="仿宋_GB2312"/>
          <w:kern w:val="2"/>
          <w:sz w:val="32"/>
          <w:szCs w:val="32"/>
          <w:lang w:val="zh-CN"/>
        </w:rPr>
      </w:pPr>
    </w:p>
    <w:p>
      <w:pPr>
        <w:numPr>
          <w:ilvl w:val="0"/>
          <w:numId w:val="3"/>
        </w:numPr>
        <w:adjustRightInd w:val="0"/>
        <w:snapToGrid w:val="0"/>
        <w:spacing w:line="580" w:lineRule="exact"/>
        <w:ind w:left="480" w:leftChars="200" w:firstLine="321" w:firstLineChars="100"/>
        <w:rPr>
          <w:rFonts w:ascii="Times New Roman" w:hAnsi="Times New Roman" w:eastAsia="仿宋_GB2312" w:cs="Times New Roman"/>
          <w:b/>
          <w:bCs/>
          <w:sz w:val="32"/>
          <w:szCs w:val="32"/>
        </w:rPr>
      </w:pPr>
      <w:r>
        <w:rPr>
          <w:rFonts w:ascii="Times New Roman" w:hAnsi="Times New Roman" w:eastAsia="仿宋_GB2312" w:cs="Times New Roman"/>
          <w:b/>
          <w:bCs/>
          <w:sz w:val="32"/>
          <w:szCs w:val="32"/>
        </w:rPr>
        <w:t>部门评价项目绩效评价结果</w:t>
      </w:r>
    </w:p>
    <w:p>
      <w:pPr>
        <w:keepNext w:val="0"/>
        <w:keepLines w:val="0"/>
        <w:pageBreakBefore w:val="0"/>
        <w:widowControl w:val="0"/>
        <w:kinsoku/>
        <w:wordWrap/>
        <w:overflowPunct/>
        <w:topLinePunct w:val="0"/>
        <w:autoSpaceDE/>
        <w:autoSpaceDN/>
        <w:bidi w:val="0"/>
        <w:adjustRightInd/>
        <w:snapToGrid w:val="0"/>
        <w:spacing w:line="580" w:lineRule="exact"/>
        <w:ind w:firstLine="640" w:firstLineChars="200"/>
        <w:jc w:val="left"/>
        <w:textAlignment w:val="auto"/>
        <w:rPr>
          <w:rFonts w:hint="eastAsia" w:ascii="仿宋_GB2312" w:hAnsi="Times New Roman" w:eastAsia="仿宋_GB2312" w:cs="仿宋_GB2312"/>
          <w:sz w:val="32"/>
          <w:szCs w:val="32"/>
          <w:lang w:val="en-US" w:eastAsia="zh-CN"/>
        </w:rPr>
      </w:pPr>
      <w:r>
        <w:rPr>
          <w:rFonts w:hint="eastAsia" w:ascii="仿宋_GB2312" w:hAnsi="Times New Roman" w:eastAsia="仿宋_GB2312" w:cs="仿宋_GB2312"/>
          <w:sz w:val="32"/>
          <w:szCs w:val="32"/>
          <w:lang w:val="en-US" w:eastAsia="zh-CN"/>
        </w:rPr>
        <w:t>1.资金到位，使用合规。资金拨付程序从申请、审核、审查、审批到最后发放都按照中央、省、市相关财政政策实施，使用符合财务管理规定。从评价情况来看，项目总体评价为优，各费用均按时支付，保证了各项工作顺利进行。</w:t>
      </w:r>
    </w:p>
    <w:p>
      <w:pPr>
        <w:keepNext w:val="0"/>
        <w:keepLines w:val="0"/>
        <w:pageBreakBefore w:val="0"/>
        <w:widowControl w:val="0"/>
        <w:numPr>
          <w:ilvl w:val="0"/>
          <w:numId w:val="0"/>
        </w:numPr>
        <w:kinsoku/>
        <w:wordWrap/>
        <w:overflowPunct/>
        <w:topLinePunct w:val="0"/>
        <w:autoSpaceDE/>
        <w:autoSpaceDN/>
        <w:bidi w:val="0"/>
        <w:adjustRightInd w:val="0"/>
        <w:snapToGrid w:val="0"/>
        <w:spacing w:line="580" w:lineRule="exact"/>
        <w:ind w:firstLine="640" w:firstLineChars="200"/>
        <w:jc w:val="left"/>
        <w:textAlignment w:val="auto"/>
        <w:rPr>
          <w:rFonts w:hint="eastAsia" w:ascii="仿宋_GB2312" w:hAnsi="Times New Roman" w:eastAsia="仿宋_GB2312" w:cs="仿宋_GB2312"/>
          <w:sz w:val="32"/>
          <w:szCs w:val="32"/>
          <w:lang w:val="en-US" w:eastAsia="zh-CN"/>
        </w:rPr>
      </w:pPr>
      <w:r>
        <w:rPr>
          <w:rFonts w:hint="eastAsia" w:ascii="仿宋_GB2312" w:hAnsi="Times New Roman" w:eastAsia="仿宋_GB2312" w:cs="仿宋_GB2312"/>
          <w:sz w:val="32"/>
          <w:szCs w:val="32"/>
          <w:lang w:val="en-US" w:eastAsia="zh-CN"/>
        </w:rPr>
        <w:t>2.管理规范，监督有效。为进一步规范财务管理，我部门严格资金使用程序，健全资金管理制度，定期对资金使用情况进行检查，严格确保项目质量。</w:t>
      </w:r>
    </w:p>
    <w:p>
      <w:pPr>
        <w:adjustRightInd w:val="0"/>
        <w:snapToGrid w:val="0"/>
        <w:spacing w:line="580" w:lineRule="exact"/>
        <w:ind w:firstLine="640" w:firstLineChars="200"/>
        <w:rPr>
          <w:rFonts w:ascii="Times New Roman" w:hAnsi="Times New Roman" w:eastAsia="楷体_GB2312" w:cs="Times New Roman"/>
          <w:b/>
          <w:bCs/>
          <w:sz w:val="32"/>
          <w:szCs w:val="32"/>
        </w:rPr>
      </w:pPr>
      <w:r>
        <w:rPr>
          <w:rFonts w:ascii="Times New Roman" w:hAnsi="Times New Roman" w:eastAsia="黑体" w:cs="Times New Roman"/>
          <w:sz w:val="32"/>
          <w:szCs w:val="32"/>
        </w:rPr>
        <w:t>十、其他需要说明的情况</w:t>
      </w:r>
    </w:p>
    <w:p>
      <w:pPr>
        <w:adjustRightInd w:val="0"/>
        <w:snapToGrid w:val="0"/>
        <w:spacing w:line="580" w:lineRule="exact"/>
        <w:ind w:firstLine="640" w:firstLineChars="200"/>
        <w:rPr>
          <w:rFonts w:hint="eastAsia" w:ascii="仿宋_GB2312" w:hAnsi="仿宋_GB2312" w:eastAsia="仿宋_GB2312" w:cs="仿宋_GB2312"/>
          <w:sz w:val="32"/>
          <w:szCs w:val="32"/>
          <w:highlight w:val="none"/>
        </w:rPr>
      </w:pPr>
      <w:r>
        <w:rPr>
          <w:rFonts w:ascii="Times New Roman" w:hAnsi="Times New Roman" w:eastAsia="仿宋_GB2312" w:cs="Times New Roman"/>
          <w:sz w:val="32"/>
          <w:szCs w:val="32"/>
        </w:rPr>
        <w:t xml:space="preserve">1. </w:t>
      </w:r>
      <w:r>
        <w:rPr>
          <w:rFonts w:hint="eastAsia" w:ascii="仿宋_GB2312" w:hAnsi="仿宋_GB2312" w:eastAsia="仿宋_GB2312" w:cs="仿宋_GB2312"/>
          <w:sz w:val="32"/>
          <w:szCs w:val="32"/>
          <w:highlight w:val="none"/>
          <w:lang w:eastAsia="zh-CN"/>
        </w:rPr>
        <w:t>本部门</w:t>
      </w:r>
      <w:r>
        <w:rPr>
          <w:rFonts w:hint="eastAsia" w:ascii="仿宋_GB2312" w:hAnsi="仿宋_GB2312" w:eastAsia="仿宋_GB2312" w:cs="仿宋_GB2312"/>
          <w:sz w:val="32"/>
          <w:szCs w:val="32"/>
          <w:highlight w:val="none"/>
        </w:rPr>
        <w:t>202</w:t>
      </w:r>
      <w:r>
        <w:rPr>
          <w:rFonts w:hint="eastAsia" w:ascii="仿宋_GB2312" w:hAnsi="仿宋_GB2312" w:eastAsia="仿宋_GB2312" w:cs="仿宋_GB2312"/>
          <w:sz w:val="32"/>
          <w:szCs w:val="32"/>
          <w:highlight w:val="none"/>
          <w:lang w:val="en-US" w:eastAsia="zh-CN"/>
        </w:rPr>
        <w:t>3</w:t>
      </w:r>
      <w:r>
        <w:rPr>
          <w:rFonts w:hint="eastAsia" w:ascii="仿宋_GB2312" w:hAnsi="仿宋_GB2312" w:eastAsia="仿宋_GB2312" w:cs="仿宋_GB2312"/>
          <w:sz w:val="32"/>
          <w:szCs w:val="32"/>
          <w:highlight w:val="none"/>
        </w:rPr>
        <w:t>年度未发生政府性基金预算、国有资金经营预算收支及结转结余情况，故政府性基金预算</w:t>
      </w:r>
      <w:r>
        <w:rPr>
          <w:rFonts w:hint="eastAsia" w:ascii="仿宋_GB2312" w:hAnsi="仿宋_GB2312" w:eastAsia="仿宋_GB2312" w:cs="仿宋_GB2312"/>
          <w:sz w:val="32"/>
          <w:szCs w:val="32"/>
          <w:highlight w:val="none"/>
          <w:lang w:eastAsia="zh-CN"/>
        </w:rPr>
        <w:t>（</w:t>
      </w:r>
      <w:r>
        <w:rPr>
          <w:rFonts w:hint="eastAsia" w:ascii="仿宋_GB2312" w:hAnsi="仿宋_GB2312" w:eastAsia="仿宋_GB2312" w:cs="仿宋_GB2312"/>
          <w:sz w:val="32"/>
          <w:szCs w:val="32"/>
          <w:highlight w:val="none"/>
          <w:lang w:val="en-US" w:eastAsia="zh-CN"/>
        </w:rPr>
        <w:t>07表）</w:t>
      </w:r>
      <w:r>
        <w:rPr>
          <w:rFonts w:hint="eastAsia" w:ascii="仿宋_GB2312" w:hAnsi="仿宋_GB2312" w:eastAsia="仿宋_GB2312" w:cs="仿宋_GB2312"/>
          <w:sz w:val="32"/>
          <w:szCs w:val="32"/>
          <w:highlight w:val="none"/>
        </w:rPr>
        <w:t>、国有资金经营预算</w:t>
      </w:r>
      <w:r>
        <w:rPr>
          <w:rFonts w:hint="eastAsia" w:ascii="仿宋_GB2312" w:hAnsi="仿宋_GB2312" w:eastAsia="仿宋_GB2312" w:cs="仿宋_GB2312"/>
          <w:sz w:val="32"/>
          <w:szCs w:val="32"/>
          <w:highlight w:val="none"/>
          <w:lang w:val="en-US" w:eastAsia="zh-CN"/>
        </w:rPr>
        <w:t>支出表（08表）两张</w:t>
      </w:r>
      <w:r>
        <w:rPr>
          <w:rFonts w:hint="eastAsia" w:ascii="仿宋_GB2312" w:hAnsi="仿宋_GB2312" w:eastAsia="仿宋_GB2312" w:cs="仿宋_GB2312"/>
          <w:sz w:val="32"/>
          <w:szCs w:val="32"/>
          <w:highlight w:val="none"/>
        </w:rPr>
        <w:t>表以空表列示。</w:t>
      </w:r>
    </w:p>
    <w:p>
      <w:pPr>
        <w:adjustRightInd w:val="0"/>
        <w:snapToGrid w:val="0"/>
        <w:spacing w:line="58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2. 由于决算公开表格中金额数值应当保留两位小数，公开数据为四舍五入计算结果，个别数据合计项与分项之和存在小数点后差额，特此说明。</w:t>
      </w:r>
    </w:p>
    <w:p>
      <w:pPr>
        <w:rPr>
          <w:rFonts w:ascii="Times New Roman" w:hAnsi="Times New Roman" w:eastAsia="仿宋_GB2312" w:cs="Times New Roman"/>
          <w:sz w:val="32"/>
          <w:szCs w:val="32"/>
        </w:rPr>
      </w:pPr>
      <w:r>
        <w:rPr>
          <w:rFonts w:ascii="Times New Roman" w:hAnsi="Times New Roman" w:eastAsia="仿宋_GB2312" w:cs="Times New Roman"/>
          <w:sz w:val="32"/>
          <w:szCs w:val="32"/>
        </w:rPr>
        <w:br w:type="page"/>
      </w:r>
    </w:p>
    <w:p>
      <w:pPr>
        <w:adjustRightInd w:val="0"/>
        <w:snapToGrid w:val="0"/>
        <w:spacing w:line="580" w:lineRule="exact"/>
        <w:ind w:firstLine="640" w:firstLineChars="200"/>
        <w:rPr>
          <w:rFonts w:ascii="Times New Roman" w:hAnsi="Times New Roman" w:eastAsia="仿宋_GB2312" w:cs="Times New Roman"/>
          <w:sz w:val="32"/>
          <w:szCs w:val="32"/>
        </w:rPr>
      </w:pPr>
    </w:p>
    <w:p>
      <w:pPr>
        <w:widowControl/>
        <w:spacing w:line="580" w:lineRule="exact"/>
        <w:ind w:firstLine="883" w:firstLineChars="200"/>
        <w:jc w:val="left"/>
        <w:rPr>
          <w:rFonts w:ascii="Times New Roman" w:hAnsi="Times New Roman" w:eastAsia="宋体" w:cs="Times New Roman"/>
          <w:b/>
          <w:bCs/>
          <w:sz w:val="44"/>
          <w:szCs w:val="44"/>
        </w:rPr>
      </w:pPr>
    </w:p>
    <w:p>
      <w:pPr>
        <w:rPr>
          <w:rFonts w:ascii="Times New Roman" w:hAnsi="Times New Roman" w:eastAsia="仿宋_GB2312" w:cs="Times New Roman"/>
          <w:sz w:val="32"/>
          <w:szCs w:val="32"/>
        </w:rPr>
      </w:pPr>
    </w:p>
    <w:p>
      <w:pPr>
        <w:widowControl/>
        <w:jc w:val="center"/>
        <w:rPr>
          <w:rFonts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pPr>
        <w:widowControl/>
        <w:jc w:val="center"/>
        <w:rPr>
          <w:rFonts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第四部分 相关名词解释</w:t>
      </w:r>
    </w:p>
    <w:p>
      <w:pPr>
        <w:rPr>
          <w:rFonts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br w:type="page"/>
      </w:r>
    </w:p>
    <w:p>
      <w:pPr>
        <w:spacing w:line="580" w:lineRule="exact"/>
        <w:ind w:firstLine="643" w:firstLineChars="200"/>
        <w:rPr>
          <w:rFonts w:ascii="Times New Roman" w:hAnsi="Times New Roman" w:eastAsia="仿宋_GB2312" w:cs="Times New Roman"/>
          <w:bCs/>
          <w:color w:val="000000"/>
          <w:sz w:val="32"/>
          <w:szCs w:val="32"/>
        </w:rPr>
      </w:pPr>
      <w:r>
        <w:rPr>
          <w:rFonts w:hint="eastAsia" w:ascii="Times New Roman" w:hAnsi="Times New Roman" w:eastAsia="仿宋_GB2312" w:cs="Times New Roman"/>
          <w:b/>
          <w:bCs/>
          <w:color w:val="000000"/>
          <w:sz w:val="32"/>
          <w:szCs w:val="32"/>
        </w:rPr>
        <w:t>一、</w:t>
      </w:r>
      <w:r>
        <w:rPr>
          <w:rFonts w:ascii="Times New Roman" w:hAnsi="Times New Roman" w:eastAsia="仿宋_GB2312" w:cs="Times New Roman"/>
          <w:b/>
          <w:bCs/>
          <w:color w:val="000000"/>
          <w:sz w:val="32"/>
          <w:szCs w:val="32"/>
        </w:rPr>
        <w:t>财政拨款收入：</w:t>
      </w:r>
      <w:r>
        <w:rPr>
          <w:rFonts w:ascii="Times New Roman" w:hAnsi="Times New Roman" w:eastAsia="仿宋_GB2312" w:cs="Times New Roman"/>
          <w:bCs/>
          <w:color w:val="000000"/>
          <w:sz w:val="32"/>
          <w:szCs w:val="32"/>
        </w:rPr>
        <w:t>指单位从同级财政部门取得的财政预算资金。</w:t>
      </w:r>
    </w:p>
    <w:p>
      <w:pPr>
        <w:spacing w:line="580" w:lineRule="exact"/>
        <w:ind w:firstLine="643" w:firstLineChars="200"/>
        <w:rPr>
          <w:rFonts w:ascii="Times New Roman" w:hAnsi="Times New Roman" w:eastAsia="仿宋_GB2312" w:cs="Times New Roman"/>
          <w:bCs/>
          <w:color w:val="000000"/>
          <w:sz w:val="32"/>
          <w:szCs w:val="32"/>
        </w:rPr>
      </w:pPr>
      <w:r>
        <w:rPr>
          <w:rFonts w:hint="eastAsia" w:ascii="Times New Roman" w:hAnsi="Times New Roman" w:eastAsia="仿宋_GB2312" w:cs="Times New Roman"/>
          <w:b/>
          <w:bCs/>
          <w:color w:val="000000"/>
          <w:sz w:val="32"/>
          <w:szCs w:val="32"/>
        </w:rPr>
        <w:t>二、</w:t>
      </w:r>
      <w:r>
        <w:rPr>
          <w:rFonts w:ascii="Times New Roman" w:hAnsi="Times New Roman" w:eastAsia="仿宋_GB2312" w:cs="Times New Roman"/>
          <w:b/>
          <w:bCs/>
          <w:color w:val="000000"/>
          <w:sz w:val="32"/>
          <w:szCs w:val="32"/>
        </w:rPr>
        <w:t>事业收入：</w:t>
      </w:r>
      <w:r>
        <w:rPr>
          <w:rFonts w:ascii="Times New Roman" w:hAnsi="Times New Roman" w:eastAsia="仿宋_GB2312" w:cs="Times New Roman"/>
          <w:bCs/>
          <w:color w:val="000000"/>
          <w:sz w:val="32"/>
          <w:szCs w:val="32"/>
        </w:rPr>
        <w:t>指事业单位开展专业业务活动及辅助活动取得的收入。</w:t>
      </w:r>
    </w:p>
    <w:p>
      <w:pPr>
        <w:spacing w:line="580" w:lineRule="exact"/>
        <w:ind w:firstLine="643" w:firstLineChars="200"/>
        <w:rPr>
          <w:rFonts w:ascii="Times New Roman" w:hAnsi="Times New Roman" w:eastAsia="仿宋_GB2312" w:cs="Times New Roman"/>
          <w:bCs/>
          <w:color w:val="000000"/>
          <w:sz w:val="32"/>
          <w:szCs w:val="32"/>
        </w:rPr>
      </w:pPr>
      <w:r>
        <w:rPr>
          <w:rFonts w:hint="eastAsia" w:ascii="Times New Roman" w:hAnsi="Times New Roman" w:eastAsia="仿宋_GB2312" w:cs="Times New Roman"/>
          <w:b/>
          <w:bCs/>
          <w:color w:val="000000"/>
          <w:sz w:val="32"/>
          <w:szCs w:val="32"/>
        </w:rPr>
        <w:t>三、</w:t>
      </w:r>
      <w:r>
        <w:rPr>
          <w:rFonts w:ascii="Times New Roman" w:hAnsi="Times New Roman" w:eastAsia="仿宋_GB2312" w:cs="Times New Roman"/>
          <w:b/>
          <w:bCs/>
          <w:color w:val="000000"/>
          <w:sz w:val="32"/>
          <w:szCs w:val="32"/>
        </w:rPr>
        <w:t>经营收入：</w:t>
      </w:r>
      <w:r>
        <w:rPr>
          <w:rFonts w:ascii="Times New Roman" w:hAnsi="Times New Roman" w:eastAsia="仿宋_GB2312" w:cs="Times New Roman"/>
          <w:bCs/>
          <w:color w:val="000000"/>
          <w:sz w:val="32"/>
          <w:szCs w:val="32"/>
        </w:rPr>
        <w:t>指事业单位在专业业务活动及其辅助活动之外开展非独立核算经营活动取得的收入。</w:t>
      </w:r>
    </w:p>
    <w:p>
      <w:pPr>
        <w:spacing w:line="580" w:lineRule="exact"/>
        <w:ind w:firstLine="643" w:firstLineChars="200"/>
        <w:rPr>
          <w:rFonts w:ascii="Times New Roman" w:hAnsi="Times New Roman" w:eastAsia="仿宋_GB2312" w:cs="Times New Roman"/>
          <w:bCs/>
          <w:color w:val="000000"/>
          <w:sz w:val="32"/>
          <w:szCs w:val="32"/>
        </w:rPr>
      </w:pPr>
      <w:r>
        <w:rPr>
          <w:rFonts w:hint="eastAsia" w:ascii="Times New Roman" w:hAnsi="Times New Roman" w:eastAsia="仿宋_GB2312" w:cs="Times New Roman"/>
          <w:b/>
          <w:bCs/>
          <w:color w:val="000000"/>
          <w:sz w:val="32"/>
          <w:szCs w:val="32"/>
        </w:rPr>
        <w:t>四、</w:t>
      </w:r>
      <w:r>
        <w:rPr>
          <w:rFonts w:ascii="Times New Roman" w:hAnsi="Times New Roman" w:eastAsia="仿宋_GB2312" w:cs="Times New Roman"/>
          <w:b/>
          <w:bCs/>
          <w:color w:val="000000"/>
          <w:sz w:val="32"/>
          <w:szCs w:val="32"/>
        </w:rPr>
        <w:t>其他收入：</w:t>
      </w:r>
      <w:r>
        <w:rPr>
          <w:rFonts w:ascii="Times New Roman" w:hAnsi="Times New Roman" w:eastAsia="仿宋_GB2312" w:cs="Times New Roman"/>
          <w:bCs/>
          <w:color w:val="000000"/>
          <w:sz w:val="32"/>
          <w:szCs w:val="32"/>
        </w:rPr>
        <w:t>指单位取得的除上述收入以外的各项收</w:t>
      </w:r>
    </w:p>
    <w:p>
      <w:pPr>
        <w:spacing w:line="580" w:lineRule="exact"/>
        <w:rPr>
          <w:rFonts w:ascii="Times New Roman" w:hAnsi="Times New Roman" w:eastAsia="仿宋_GB2312" w:cs="Times New Roman"/>
          <w:b/>
          <w:bCs/>
          <w:color w:val="000000"/>
          <w:sz w:val="32"/>
          <w:szCs w:val="32"/>
        </w:rPr>
      </w:pPr>
      <w:r>
        <w:rPr>
          <w:rFonts w:ascii="Times New Roman" w:hAnsi="Times New Roman" w:eastAsia="仿宋_GB2312" w:cs="Times New Roman"/>
          <w:bCs/>
          <w:color w:val="000000"/>
          <w:sz w:val="32"/>
          <w:szCs w:val="32"/>
        </w:rPr>
        <w:t>入。</w:t>
      </w:r>
      <w:bookmarkStart w:id="0" w:name="_GoBack"/>
      <w:r>
        <w:rPr>
          <w:rFonts w:ascii="Times New Roman" w:hAnsi="Times New Roman" w:eastAsia="仿宋_GB2312" w:cs="Times New Roman"/>
          <w:bCs/>
          <w:color w:val="000000"/>
          <w:sz w:val="32"/>
          <w:szCs w:val="32"/>
        </w:rPr>
        <w:t>主要</w:t>
      </w:r>
      <w:bookmarkEnd w:id="0"/>
      <w:r>
        <w:rPr>
          <w:rFonts w:ascii="Times New Roman" w:hAnsi="Times New Roman" w:eastAsia="仿宋_GB2312" w:cs="Times New Roman"/>
          <w:bCs/>
          <w:color w:val="000000"/>
          <w:sz w:val="32"/>
          <w:szCs w:val="32"/>
        </w:rPr>
        <w:t>是事业单位固定资产出租收入、存款利息收入等。</w:t>
      </w:r>
    </w:p>
    <w:p>
      <w:pPr>
        <w:spacing w:line="580" w:lineRule="exact"/>
        <w:ind w:firstLine="643" w:firstLineChars="200"/>
        <w:rPr>
          <w:rFonts w:ascii="Times New Roman" w:hAnsi="Times New Roman" w:eastAsia="仿宋_GB2312" w:cs="Times New Roman"/>
          <w:bCs/>
          <w:color w:val="000000"/>
          <w:sz w:val="32"/>
          <w:szCs w:val="32"/>
        </w:rPr>
      </w:pPr>
      <w:r>
        <w:rPr>
          <w:rFonts w:hint="eastAsia" w:ascii="Times New Roman" w:hAnsi="Times New Roman" w:eastAsia="仿宋_GB2312" w:cs="Times New Roman"/>
          <w:b/>
          <w:bCs/>
          <w:color w:val="000000"/>
          <w:sz w:val="32"/>
          <w:szCs w:val="32"/>
        </w:rPr>
        <w:t>五、</w:t>
      </w:r>
      <w:r>
        <w:rPr>
          <w:rFonts w:ascii="Times New Roman" w:hAnsi="Times New Roman" w:eastAsia="仿宋_GB2312" w:cs="Times New Roman"/>
          <w:b/>
          <w:bCs/>
          <w:color w:val="000000"/>
          <w:sz w:val="32"/>
          <w:szCs w:val="32"/>
        </w:rPr>
        <w:t>使用非财政拨款结余（含专用结余）：</w:t>
      </w:r>
      <w:r>
        <w:rPr>
          <w:rFonts w:ascii="Times New Roman" w:hAnsi="Times New Roman" w:eastAsia="仿宋_GB2312" w:cs="Times New Roman"/>
          <w:bCs/>
          <w:color w:val="000000"/>
          <w:sz w:val="32"/>
          <w:szCs w:val="32"/>
        </w:rPr>
        <w:t>指事业单位按照预算管理要求使用非财政拨款结余弥补收支差额的金额，以及使用专用结余安排支出的金额。</w:t>
      </w:r>
    </w:p>
    <w:p>
      <w:pPr>
        <w:spacing w:line="580" w:lineRule="exact"/>
        <w:ind w:firstLine="643" w:firstLineChars="200"/>
        <w:rPr>
          <w:rFonts w:ascii="Times New Roman" w:hAnsi="Times New Roman" w:eastAsia="仿宋_GB2312" w:cs="Times New Roman"/>
          <w:bCs/>
          <w:color w:val="000000"/>
          <w:sz w:val="32"/>
          <w:szCs w:val="32"/>
        </w:rPr>
      </w:pPr>
      <w:r>
        <w:rPr>
          <w:rFonts w:hint="eastAsia" w:ascii="Times New Roman" w:hAnsi="Times New Roman" w:eastAsia="仿宋_GB2312" w:cs="Times New Roman"/>
          <w:b/>
          <w:bCs/>
          <w:color w:val="000000"/>
          <w:sz w:val="32"/>
          <w:szCs w:val="32"/>
        </w:rPr>
        <w:t>六、</w:t>
      </w:r>
      <w:r>
        <w:rPr>
          <w:rFonts w:ascii="Times New Roman" w:hAnsi="Times New Roman" w:eastAsia="仿宋_GB2312" w:cs="Times New Roman"/>
          <w:b/>
          <w:bCs/>
          <w:color w:val="000000"/>
          <w:sz w:val="32"/>
          <w:szCs w:val="32"/>
        </w:rPr>
        <w:t>年初结转和结余：</w:t>
      </w:r>
      <w:r>
        <w:rPr>
          <w:rFonts w:ascii="Times New Roman" w:hAnsi="Times New Roman" w:eastAsia="仿宋_GB2312" w:cs="Times New Roman"/>
          <w:bCs/>
          <w:color w:val="000000"/>
          <w:sz w:val="32"/>
          <w:szCs w:val="32"/>
        </w:rPr>
        <w:t>指单位以前年度尚未完成、结转到本年仍按原规定用途继续使用的资金，或项目已完成等产生的结余资金。</w:t>
      </w:r>
    </w:p>
    <w:p>
      <w:pPr>
        <w:spacing w:line="580" w:lineRule="exact"/>
        <w:ind w:firstLine="643" w:firstLineChars="200"/>
        <w:rPr>
          <w:rFonts w:ascii="Times New Roman" w:hAnsi="Times New Roman" w:eastAsia="仿宋_GB2312" w:cs="Times New Roman"/>
          <w:bCs/>
          <w:color w:val="000000"/>
          <w:sz w:val="32"/>
          <w:szCs w:val="32"/>
        </w:rPr>
      </w:pPr>
      <w:r>
        <w:rPr>
          <w:rFonts w:hint="eastAsia" w:ascii="Times New Roman" w:hAnsi="Times New Roman" w:eastAsia="仿宋_GB2312" w:cs="Times New Roman"/>
          <w:b/>
          <w:bCs/>
          <w:color w:val="000000"/>
          <w:sz w:val="32"/>
          <w:szCs w:val="32"/>
        </w:rPr>
        <w:t>七、</w:t>
      </w:r>
      <w:r>
        <w:rPr>
          <w:rFonts w:ascii="Times New Roman" w:hAnsi="Times New Roman" w:eastAsia="仿宋_GB2312" w:cs="Times New Roman"/>
          <w:b/>
          <w:bCs/>
          <w:color w:val="000000"/>
          <w:sz w:val="32"/>
          <w:szCs w:val="32"/>
        </w:rPr>
        <w:t>结余分配：</w:t>
      </w:r>
      <w:r>
        <w:rPr>
          <w:rFonts w:ascii="Times New Roman" w:hAnsi="Times New Roman" w:eastAsia="仿宋_GB2312" w:cs="Times New Roman"/>
          <w:bCs/>
          <w:color w:val="000000"/>
          <w:sz w:val="32"/>
          <w:szCs w:val="32"/>
        </w:rPr>
        <w:t>指事业单位按照会计制度规定缴纳的所得税、提取的专用结余以及转入非财政拨款结余的金额等。</w:t>
      </w:r>
    </w:p>
    <w:p>
      <w:pPr>
        <w:spacing w:line="580" w:lineRule="exact"/>
        <w:ind w:firstLine="643" w:firstLineChars="200"/>
        <w:rPr>
          <w:rFonts w:ascii="Times New Roman" w:hAnsi="Times New Roman" w:eastAsia="仿宋_GB2312" w:cs="Times New Roman"/>
          <w:bCs/>
          <w:color w:val="000000"/>
          <w:sz w:val="32"/>
          <w:szCs w:val="32"/>
        </w:rPr>
      </w:pPr>
      <w:r>
        <w:rPr>
          <w:rFonts w:hint="eastAsia" w:ascii="Times New Roman" w:hAnsi="Times New Roman" w:eastAsia="仿宋_GB2312" w:cs="Times New Roman"/>
          <w:b/>
          <w:bCs/>
          <w:color w:val="000000"/>
          <w:sz w:val="32"/>
          <w:szCs w:val="32"/>
        </w:rPr>
        <w:t>八、</w:t>
      </w:r>
      <w:r>
        <w:rPr>
          <w:rFonts w:ascii="Times New Roman" w:hAnsi="Times New Roman" w:eastAsia="仿宋_GB2312" w:cs="Times New Roman"/>
          <w:b/>
          <w:bCs/>
          <w:color w:val="000000"/>
          <w:sz w:val="32"/>
          <w:szCs w:val="32"/>
        </w:rPr>
        <w:t>年末结转和结余：</w:t>
      </w:r>
      <w:r>
        <w:rPr>
          <w:rFonts w:ascii="Times New Roman" w:hAnsi="Times New Roman" w:eastAsia="仿宋_GB2312" w:cs="Times New Roman"/>
          <w:bCs/>
          <w:color w:val="000000"/>
          <w:sz w:val="32"/>
          <w:szCs w:val="32"/>
        </w:rPr>
        <w:t>指单位按有关规定结转到下年或以后年度继续使用的资金，或项目已完成等产生的结余资金。</w:t>
      </w:r>
    </w:p>
    <w:p>
      <w:pPr>
        <w:spacing w:line="580" w:lineRule="exact"/>
        <w:ind w:firstLine="643" w:firstLineChars="200"/>
        <w:rPr>
          <w:rFonts w:ascii="Times New Roman" w:hAnsi="Times New Roman" w:eastAsia="仿宋_GB2312" w:cs="Times New Roman"/>
          <w:bCs/>
          <w:color w:val="000000"/>
          <w:sz w:val="32"/>
          <w:szCs w:val="32"/>
        </w:rPr>
      </w:pPr>
      <w:r>
        <w:rPr>
          <w:rFonts w:hint="eastAsia" w:ascii="Times New Roman" w:hAnsi="Times New Roman" w:eastAsia="仿宋_GB2312" w:cs="Times New Roman"/>
          <w:b/>
          <w:bCs/>
          <w:color w:val="000000"/>
          <w:sz w:val="32"/>
          <w:szCs w:val="32"/>
        </w:rPr>
        <w:t>九、</w:t>
      </w:r>
      <w:r>
        <w:rPr>
          <w:rFonts w:ascii="Times New Roman" w:hAnsi="Times New Roman" w:eastAsia="仿宋_GB2312" w:cs="Times New Roman"/>
          <w:b/>
          <w:bCs/>
          <w:color w:val="000000"/>
          <w:sz w:val="32"/>
          <w:szCs w:val="32"/>
        </w:rPr>
        <w:t>基本支出：</w:t>
      </w:r>
      <w:r>
        <w:rPr>
          <w:rFonts w:ascii="Times New Roman" w:hAnsi="Times New Roman" w:eastAsia="仿宋_GB2312" w:cs="Times New Roman"/>
          <w:bCs/>
          <w:color w:val="000000"/>
          <w:sz w:val="32"/>
          <w:szCs w:val="32"/>
        </w:rPr>
        <w:t>指为保障机构正常运转、完成日常工作任务而发生的人员支出和公用支出。</w:t>
      </w:r>
    </w:p>
    <w:p>
      <w:pPr>
        <w:widowControl/>
        <w:spacing w:line="560" w:lineRule="exact"/>
        <w:ind w:firstLine="643" w:firstLineChars="200"/>
        <w:rPr>
          <w:rFonts w:ascii="Times New Roman" w:hAnsi="Times New Roman" w:eastAsia="仿宋_GB2312" w:cs="Times New Roman"/>
          <w:color w:val="000000"/>
          <w:sz w:val="32"/>
          <w:szCs w:val="32"/>
        </w:rPr>
      </w:pPr>
      <w:r>
        <w:rPr>
          <w:rFonts w:hint="eastAsia" w:ascii="Times New Roman" w:hAnsi="Times New Roman" w:eastAsia="仿宋_GB2312" w:cs="Times New Roman"/>
          <w:b/>
          <w:bCs/>
          <w:color w:val="000000"/>
          <w:sz w:val="32"/>
          <w:szCs w:val="32"/>
        </w:rPr>
        <w:t>十、</w:t>
      </w:r>
      <w:r>
        <w:rPr>
          <w:rFonts w:ascii="Times New Roman" w:hAnsi="Times New Roman" w:eastAsia="仿宋_GB2312" w:cs="Times New Roman"/>
          <w:b/>
          <w:bCs/>
          <w:color w:val="000000"/>
          <w:sz w:val="32"/>
          <w:szCs w:val="32"/>
        </w:rPr>
        <w:t>项目支出：</w:t>
      </w:r>
      <w:r>
        <w:rPr>
          <w:rFonts w:ascii="Times New Roman" w:hAnsi="Times New Roman" w:eastAsia="仿宋_GB2312" w:cs="Times New Roman"/>
          <w:color w:val="000000"/>
          <w:sz w:val="32"/>
          <w:szCs w:val="32"/>
        </w:rPr>
        <w:t>指在基本支出之外为完成特定行政任务和事业发展目标所发生的支出。</w:t>
      </w:r>
    </w:p>
    <w:p>
      <w:pPr>
        <w:widowControl/>
        <w:spacing w:line="560" w:lineRule="exact"/>
        <w:ind w:firstLine="643" w:firstLineChars="200"/>
        <w:rPr>
          <w:rFonts w:ascii="Times New Roman" w:hAnsi="Times New Roman" w:eastAsia="仿宋_GB2312" w:cs="Times New Roman"/>
          <w:color w:val="000000"/>
          <w:sz w:val="32"/>
          <w:szCs w:val="32"/>
        </w:rPr>
      </w:pPr>
      <w:r>
        <w:rPr>
          <w:rFonts w:hint="eastAsia" w:ascii="Times New Roman" w:hAnsi="Times New Roman" w:eastAsia="仿宋_GB2312" w:cs="Times New Roman"/>
          <w:b/>
          <w:bCs/>
          <w:color w:val="000000"/>
          <w:sz w:val="32"/>
          <w:szCs w:val="32"/>
        </w:rPr>
        <w:t>十一、</w:t>
      </w:r>
      <w:r>
        <w:rPr>
          <w:rFonts w:ascii="Times New Roman" w:hAnsi="Times New Roman" w:eastAsia="仿宋_GB2312" w:cs="Times New Roman"/>
          <w:b/>
          <w:bCs/>
          <w:color w:val="000000"/>
          <w:sz w:val="32"/>
          <w:szCs w:val="32"/>
        </w:rPr>
        <w:t>经营支出 ：</w:t>
      </w:r>
      <w:r>
        <w:rPr>
          <w:rFonts w:ascii="Times New Roman" w:hAnsi="Times New Roman" w:eastAsia="仿宋_GB2312" w:cs="Times New Roman"/>
          <w:color w:val="000000"/>
          <w:sz w:val="32"/>
          <w:szCs w:val="32"/>
        </w:rPr>
        <w:t>指事业单位在专业业务活动及其辅助活动之外开展非独立核算经营活动发生的支出。</w:t>
      </w:r>
    </w:p>
    <w:p>
      <w:pPr>
        <w:widowControl/>
        <w:spacing w:line="560" w:lineRule="exact"/>
        <w:ind w:firstLine="643" w:firstLineChars="200"/>
        <w:rPr>
          <w:rFonts w:ascii="Times New Roman" w:hAnsi="Times New Roman" w:eastAsia="仿宋_GB2312" w:cs="Times New Roman"/>
          <w:color w:val="000000"/>
          <w:sz w:val="32"/>
          <w:szCs w:val="32"/>
        </w:rPr>
      </w:pPr>
      <w:r>
        <w:rPr>
          <w:rFonts w:hint="eastAsia" w:ascii="Times New Roman" w:hAnsi="Times New Roman" w:eastAsia="仿宋_GB2312" w:cs="Times New Roman"/>
          <w:b/>
          <w:bCs/>
          <w:color w:val="000000"/>
          <w:sz w:val="32"/>
          <w:szCs w:val="32"/>
        </w:rPr>
        <w:t>十二、</w:t>
      </w:r>
      <w:r>
        <w:rPr>
          <w:rFonts w:ascii="Times New Roman" w:hAnsi="Times New Roman" w:eastAsia="仿宋_GB2312" w:cs="Times New Roman"/>
          <w:b/>
          <w:bCs/>
          <w:color w:val="000000"/>
          <w:sz w:val="32"/>
          <w:szCs w:val="32"/>
        </w:rPr>
        <w:t>基本建设支出：</w:t>
      </w:r>
      <w:r>
        <w:rPr>
          <w:rFonts w:ascii="Times New Roman" w:hAnsi="Times New Roman" w:eastAsia="仿宋_GB2312" w:cs="Times New Roman"/>
          <w:color w:val="000000"/>
          <w:sz w:val="32"/>
          <w:szCs w:val="32"/>
        </w:rPr>
        <w:t>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pPr>
        <w:widowControl/>
        <w:spacing w:line="560" w:lineRule="exact"/>
        <w:ind w:firstLine="643" w:firstLineChars="200"/>
        <w:rPr>
          <w:rFonts w:ascii="Times New Roman" w:hAnsi="Times New Roman" w:eastAsia="仿宋_GB2312" w:cs="Times New Roman"/>
          <w:b/>
          <w:bCs/>
          <w:color w:val="000000"/>
          <w:sz w:val="32"/>
          <w:szCs w:val="32"/>
        </w:rPr>
      </w:pPr>
      <w:r>
        <w:rPr>
          <w:rFonts w:hint="eastAsia" w:ascii="Times New Roman" w:hAnsi="Times New Roman" w:eastAsia="仿宋_GB2312" w:cs="Times New Roman"/>
          <w:b/>
          <w:bCs/>
          <w:color w:val="000000"/>
          <w:sz w:val="32"/>
          <w:szCs w:val="32"/>
        </w:rPr>
        <w:t>十三、</w:t>
      </w:r>
      <w:r>
        <w:rPr>
          <w:rFonts w:ascii="Times New Roman" w:hAnsi="Times New Roman" w:eastAsia="仿宋_GB2312" w:cs="Times New Roman"/>
          <w:b/>
          <w:bCs/>
          <w:color w:val="000000"/>
          <w:sz w:val="32"/>
          <w:szCs w:val="32"/>
        </w:rPr>
        <w:t>其他资本性支出：</w:t>
      </w:r>
      <w:r>
        <w:rPr>
          <w:rFonts w:ascii="Times New Roman" w:hAnsi="Times New Roman" w:eastAsia="仿宋_GB2312" w:cs="Times New Roman"/>
          <w:color w:val="000000"/>
          <w:sz w:val="32"/>
          <w:szCs w:val="32"/>
        </w:rPr>
        <w:t>填列由各级非发展与改革部门集中安排的用于购置固定资产、战备性和应急性储备、土地和无形资产，以及购建基础设施、大型修缮和财政支持企业更新改造所发生的支出。</w:t>
      </w:r>
    </w:p>
    <w:p>
      <w:pPr>
        <w:snapToGrid w:val="0"/>
        <w:spacing w:line="560" w:lineRule="exact"/>
        <w:ind w:firstLine="643" w:firstLineChars="200"/>
        <w:rPr>
          <w:rFonts w:ascii="Times New Roman" w:hAnsi="Times New Roman" w:eastAsia="仿宋_GB2312" w:cs="Times New Roman"/>
          <w:color w:val="000000"/>
          <w:sz w:val="32"/>
          <w:szCs w:val="32"/>
        </w:rPr>
      </w:pPr>
      <w:r>
        <w:rPr>
          <w:rFonts w:hint="eastAsia" w:ascii="Times New Roman" w:hAnsi="Times New Roman" w:eastAsia="仿宋_GB2312" w:cs="Times New Roman"/>
          <w:b/>
          <w:bCs/>
          <w:color w:val="000000"/>
          <w:sz w:val="32"/>
          <w:szCs w:val="32"/>
        </w:rPr>
        <w:t>十四、</w:t>
      </w:r>
      <w:r>
        <w:rPr>
          <w:rFonts w:ascii="Times New Roman" w:hAnsi="Times New Roman" w:eastAsia="仿宋_GB2312" w:cs="Times New Roman"/>
          <w:b/>
          <w:bCs/>
          <w:color w:val="000000"/>
          <w:sz w:val="32"/>
          <w:szCs w:val="32"/>
        </w:rPr>
        <w:t>“三公”经费：</w:t>
      </w:r>
      <w:r>
        <w:rPr>
          <w:rFonts w:ascii="Times New Roman" w:hAnsi="Times New Roman" w:eastAsia="仿宋_GB2312" w:cs="Times New Roman"/>
          <w:color w:val="00000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pPr>
        <w:snapToGrid w:val="0"/>
        <w:spacing w:line="560" w:lineRule="exact"/>
        <w:ind w:firstLine="643" w:firstLineChars="200"/>
        <w:rPr>
          <w:rFonts w:ascii="Times New Roman" w:hAnsi="Times New Roman" w:eastAsia="仿宋_GB2312" w:cs="Times New Roman"/>
          <w:color w:val="000000"/>
          <w:sz w:val="32"/>
          <w:szCs w:val="32"/>
        </w:rPr>
      </w:pPr>
      <w:r>
        <w:rPr>
          <w:rFonts w:hint="eastAsia" w:ascii="Times New Roman" w:hAnsi="Times New Roman" w:eastAsia="仿宋_GB2312" w:cs="Times New Roman"/>
          <w:b/>
          <w:bCs/>
          <w:color w:val="000000"/>
          <w:sz w:val="32"/>
          <w:szCs w:val="32"/>
        </w:rPr>
        <w:t>十五、</w:t>
      </w:r>
      <w:r>
        <w:rPr>
          <w:rFonts w:ascii="Times New Roman" w:hAnsi="Times New Roman" w:eastAsia="仿宋_GB2312" w:cs="Times New Roman"/>
          <w:b/>
          <w:bCs/>
          <w:color w:val="000000"/>
          <w:sz w:val="32"/>
          <w:szCs w:val="32"/>
        </w:rPr>
        <w:t>其他交通费用：</w:t>
      </w:r>
      <w:r>
        <w:rPr>
          <w:rFonts w:ascii="Times New Roman" w:hAnsi="Times New Roman" w:eastAsia="仿宋_GB2312" w:cs="Times New Roman"/>
          <w:color w:val="000000"/>
          <w:sz w:val="32"/>
          <w:szCs w:val="32"/>
        </w:rPr>
        <w:t>填列单位除公务用车运行维护费以外的其他交通费用。如公务交通补贴、租车费用、出租车费用，飞机、船舶等燃料费、维修费、保险费等。</w:t>
      </w:r>
    </w:p>
    <w:p>
      <w:pPr>
        <w:widowControl/>
        <w:spacing w:line="560" w:lineRule="exact"/>
        <w:ind w:firstLine="643" w:firstLineChars="200"/>
        <w:rPr>
          <w:rFonts w:ascii="Times New Roman" w:hAnsi="Times New Roman" w:eastAsia="仿宋_GB2312" w:cs="Times New Roman"/>
          <w:color w:val="000000"/>
          <w:sz w:val="32"/>
          <w:szCs w:val="32"/>
        </w:rPr>
      </w:pPr>
      <w:r>
        <w:rPr>
          <w:rFonts w:hint="eastAsia" w:ascii="Times New Roman" w:hAnsi="Times New Roman" w:eastAsia="仿宋_GB2312" w:cs="Times New Roman"/>
          <w:b/>
          <w:bCs/>
          <w:color w:val="000000"/>
          <w:sz w:val="32"/>
          <w:szCs w:val="32"/>
        </w:rPr>
        <w:t>十六、</w:t>
      </w:r>
      <w:r>
        <w:rPr>
          <w:rFonts w:ascii="Times New Roman" w:hAnsi="Times New Roman" w:eastAsia="仿宋_GB2312" w:cs="Times New Roman"/>
          <w:b/>
          <w:bCs/>
          <w:color w:val="000000"/>
          <w:sz w:val="32"/>
          <w:szCs w:val="32"/>
        </w:rPr>
        <w:t>公务用车购置：</w:t>
      </w:r>
      <w:r>
        <w:rPr>
          <w:rFonts w:ascii="Times New Roman" w:hAnsi="Times New Roman" w:eastAsia="仿宋_GB2312" w:cs="Times New Roman"/>
          <w:color w:val="000000"/>
          <w:sz w:val="32"/>
          <w:szCs w:val="32"/>
        </w:rPr>
        <w:t>填列单位公务用车车辆购置支出（含车辆购置税、牌照费）。</w:t>
      </w:r>
    </w:p>
    <w:p>
      <w:pPr>
        <w:widowControl/>
        <w:spacing w:line="560" w:lineRule="exact"/>
        <w:ind w:firstLine="643" w:firstLineChars="200"/>
        <w:rPr>
          <w:rFonts w:ascii="Times New Roman" w:hAnsi="Times New Roman" w:eastAsia="仿宋_GB2312" w:cs="Times New Roman"/>
          <w:color w:val="000000"/>
          <w:sz w:val="32"/>
          <w:szCs w:val="32"/>
        </w:rPr>
      </w:pPr>
      <w:r>
        <w:rPr>
          <w:rFonts w:hint="eastAsia" w:ascii="Times New Roman" w:hAnsi="Times New Roman" w:eastAsia="仿宋_GB2312" w:cs="Times New Roman"/>
          <w:b/>
          <w:bCs/>
          <w:color w:val="000000"/>
          <w:sz w:val="32"/>
          <w:szCs w:val="32"/>
        </w:rPr>
        <w:t>十七、</w:t>
      </w:r>
      <w:r>
        <w:rPr>
          <w:rFonts w:ascii="Times New Roman" w:hAnsi="Times New Roman" w:eastAsia="仿宋_GB2312" w:cs="Times New Roman"/>
          <w:b/>
          <w:bCs/>
          <w:color w:val="000000"/>
          <w:sz w:val="32"/>
          <w:szCs w:val="32"/>
        </w:rPr>
        <w:t>其他交通工具购置：</w:t>
      </w:r>
      <w:r>
        <w:rPr>
          <w:rFonts w:ascii="Times New Roman" w:hAnsi="Times New Roman" w:eastAsia="仿宋_GB2312" w:cs="Times New Roman"/>
          <w:color w:val="000000"/>
          <w:sz w:val="32"/>
          <w:szCs w:val="32"/>
        </w:rPr>
        <w:t>填列单位除公务用车外的其他各类交通工具（如船舶、飞机等）购置支出（含车辆购置税、牌照费）。</w:t>
      </w:r>
    </w:p>
    <w:p>
      <w:pPr>
        <w:widowControl/>
        <w:spacing w:line="560" w:lineRule="exact"/>
        <w:ind w:firstLine="643" w:firstLineChars="200"/>
        <w:rPr>
          <w:rFonts w:ascii="Times New Roman" w:hAnsi="Times New Roman" w:eastAsia="仿宋_GB2312" w:cs="Times New Roman"/>
          <w:color w:val="000000"/>
          <w:sz w:val="32"/>
          <w:szCs w:val="32"/>
        </w:rPr>
      </w:pPr>
      <w:r>
        <w:rPr>
          <w:rFonts w:ascii="Times New Roman" w:hAnsi="Times New Roman" w:eastAsia="仿宋_GB2312" w:cs="Times New Roman"/>
          <w:b/>
          <w:bCs/>
          <w:color w:val="000000"/>
          <w:sz w:val="32"/>
          <w:szCs w:val="32"/>
        </w:rPr>
        <w:t>十八、机关运行经费：</w:t>
      </w:r>
      <w:r>
        <w:rPr>
          <w:rFonts w:ascii="Times New Roman" w:hAnsi="Times New Roman" w:eastAsia="仿宋_GB2312" w:cs="Times New Roman"/>
          <w:color w:val="00000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pPr>
        <w:tabs>
          <w:tab w:val="left" w:pos="235"/>
        </w:tabs>
        <w:ind w:firstLine="643" w:firstLineChars="200"/>
        <w:jc w:val="left"/>
        <w:rPr>
          <w:rFonts w:ascii="Times New Roman" w:hAnsi="Times New Roman" w:eastAsia="仿宋_GB2312" w:cs="Times New Roman"/>
          <w:sz w:val="32"/>
          <w:szCs w:val="32"/>
        </w:rPr>
      </w:pPr>
      <w:r>
        <w:rPr>
          <w:rFonts w:ascii="Times New Roman" w:hAnsi="Times New Roman" w:eastAsia="仿宋_GB2312" w:cs="Times New Roman"/>
          <w:b/>
          <w:bCs/>
          <w:color w:val="000000"/>
          <w:sz w:val="32"/>
          <w:szCs w:val="32"/>
        </w:rPr>
        <w:t>十九、经费形式:</w:t>
      </w:r>
      <w:r>
        <w:rPr>
          <w:rFonts w:ascii="Times New Roman" w:hAnsi="Times New Roman" w:eastAsia="仿宋_GB2312" w:cs="Times New Roman"/>
          <w:color w:val="000000"/>
          <w:sz w:val="32"/>
          <w:szCs w:val="32"/>
        </w:rPr>
        <w:t>按照经费来源，</w:t>
      </w:r>
      <w:r>
        <w:rPr>
          <w:rFonts w:ascii="Times New Roman" w:hAnsi="Times New Roman" w:eastAsia="仿宋_GB2312" w:cs="Times New Roman"/>
          <w:sz w:val="32"/>
          <w:szCs w:val="32"/>
        </w:rPr>
        <w:t>可分为财政拨款、财政性资金基本保证、财政性资金定额或定项补助、财政性资金零补助四类</w:t>
      </w:r>
      <w:r>
        <w:rPr>
          <w:rFonts w:hint="eastAsia" w:ascii="Times New Roman" w:hAnsi="Times New Roman" w:eastAsia="仿宋_GB2312" w:cs="Times New Roman"/>
          <w:sz w:val="32"/>
          <w:szCs w:val="32"/>
        </w:rPr>
        <w:t>。</w:t>
      </w:r>
    </w:p>
    <w:p>
      <w:pPr>
        <w:rPr>
          <w:rFonts w:ascii="Times New Roman" w:hAnsi="Times New Roman" w:cs="Times New Roman"/>
        </w:rPr>
      </w:pPr>
    </w:p>
    <w:p>
      <w:pPr>
        <w:pStyle w:val="10"/>
        <w:widowControl/>
        <w:spacing w:beforeAutospacing="0" w:afterAutospacing="0"/>
        <w:rPr>
          <w:rFonts w:ascii="Times New Roman" w:hAnsi="Times New Roman" w:eastAsia="仿宋_GB2312"/>
          <w:color w:val="333333"/>
          <w:sz w:val="33"/>
          <w:szCs w:val="33"/>
          <w:shd w:val="clear" w:color="auto" w:fill="FFFFFF"/>
        </w:rPr>
      </w:pPr>
    </w:p>
    <w:p>
      <w:pPr>
        <w:rPr>
          <w:rFonts w:ascii="Times New Roman" w:hAnsi="Times New Roman" w:eastAsia="仿宋_GB2312" w:cs="Times New Roman"/>
          <w:color w:val="333333"/>
          <w:sz w:val="33"/>
          <w:szCs w:val="33"/>
          <w:shd w:val="clear" w:color="auto" w:fill="FFFFFF"/>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embedRegular r:id="rId1" w:fontKey="{9F051C90-2096-4E3D-B69A-98C1E8314F33}"/>
  </w:font>
  <w:font w:name="Arial">
    <w:panose1 w:val="020B0604020202020204"/>
    <w:charset w:val="01"/>
    <w:family w:val="swiss"/>
    <w:pitch w:val="default"/>
    <w:sig w:usb0="E0002EFF" w:usb1="C000785B" w:usb2="00000009" w:usb3="00000000" w:csb0="400001FF" w:csb1="FFFF0000"/>
    <w:embedRegular r:id="rId2" w:fontKey="{C7903E02-4D02-4F79-83A8-7BA6DD01CA35}"/>
  </w:font>
  <w:font w:name="黑体">
    <w:panose1 w:val="02010600030101010101"/>
    <w:charset w:val="86"/>
    <w:family w:val="auto"/>
    <w:pitch w:val="default"/>
    <w:sig w:usb0="800002BF" w:usb1="38CF7CFA" w:usb2="00000016" w:usb3="00000000" w:csb0="00040001" w:csb1="00000000"/>
    <w:embedRegular r:id="rId3" w:fontKey="{870FDA07-4198-4492-82C7-AF0EA5B7E949}"/>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AFF" w:usb1="C000247B" w:usb2="00000009" w:usb3="00000000" w:csb0="200001FF" w:csb1="00000000"/>
    <w:embedRegular r:id="rId4" w:fontKey="{70B35EC8-C30C-49C5-881B-0DC2A348131E}"/>
  </w:font>
  <w:font w:name="仿宋">
    <w:panose1 w:val="02010609060101010101"/>
    <w:charset w:val="86"/>
    <w:family w:val="modern"/>
    <w:pitch w:val="default"/>
    <w:sig w:usb0="800002BF" w:usb1="38CF7CFA" w:usb2="00000016" w:usb3="00000000" w:csb0="00040001" w:csb1="00000000"/>
    <w:embedRegular r:id="rId5" w:fontKey="{60D836B8-B26E-4B8B-9223-9F8B79AA6C3A}"/>
  </w:font>
  <w:font w:name="Calibri Light">
    <w:panose1 w:val="020F0302020204030204"/>
    <w:charset w:val="00"/>
    <w:family w:val="swiss"/>
    <w:pitch w:val="default"/>
    <w:sig w:usb0="E0002AFF" w:usb1="C000247B" w:usb2="00000009" w:usb3="00000000" w:csb0="200001FF" w:csb1="00000000"/>
  </w:font>
  <w:font w:name="华文中宋">
    <w:altName w:val="宋体"/>
    <w:panose1 w:val="02010600040101010101"/>
    <w:charset w:val="86"/>
    <w:family w:val="auto"/>
    <w:pitch w:val="default"/>
    <w:sig w:usb0="00000000" w:usb1="00000000" w:usb2="00000010" w:usb3="00000000" w:csb0="0004009F" w:csb1="00000000"/>
  </w:font>
  <w:font w:name="方正魏碑简体">
    <w:altName w:val="微软雅黑"/>
    <w:panose1 w:val="00000000000000000000"/>
    <w:charset w:val="86"/>
    <w:family w:val="auto"/>
    <w:pitch w:val="default"/>
    <w:sig w:usb0="00000000" w:usb1="00000000" w:usb2="00000010" w:usb3="00000000" w:csb0="00040000" w:csb1="00000000"/>
    <w:embedRegular r:id="rId6" w:fontKey="{48B77E1C-D753-4F81-B73B-65335DBE61C5}"/>
  </w:font>
  <w:font w:name="思源黑体 CN Heavy">
    <w:altName w:val="黑体"/>
    <w:panose1 w:val="00000000000000000000"/>
    <w:charset w:val="86"/>
    <w:family w:val="swiss"/>
    <w:pitch w:val="default"/>
    <w:sig w:usb0="00000000" w:usb1="00000000" w:usb2="00000016" w:usb3="00000000" w:csb0="00060107" w:csb1="00000000"/>
    <w:embedRegular r:id="rId7" w:fontKey="{F8A8E2B9-AE82-4CB0-9E8C-A1D3E3C76026}"/>
  </w:font>
  <w:font w:name="楷体_GB2312">
    <w:panose1 w:val="02010609030101010101"/>
    <w:charset w:val="86"/>
    <w:family w:val="auto"/>
    <w:pitch w:val="default"/>
    <w:sig w:usb0="00000001" w:usb1="080E0000" w:usb2="00000000" w:usb3="00000000" w:csb0="00040000" w:csb1="00000000"/>
    <w:embedRegular r:id="rId8" w:fontKey="{6CE71A69-9CC8-4384-9D2B-88B6646403BE}"/>
  </w:font>
  <w:font w:name="仿宋_GB2312">
    <w:panose1 w:val="02010609030101010101"/>
    <w:charset w:val="86"/>
    <w:family w:val="auto"/>
    <w:pitch w:val="default"/>
    <w:sig w:usb0="00000001" w:usb1="080E0000" w:usb2="00000000" w:usb3="00000000" w:csb0="00040000" w:csb1="00000000"/>
    <w:embedRegular r:id="rId9" w:fontKey="{0382DBB5-7BB9-4582-9EBD-DA53D66E9E15}"/>
  </w:font>
  <w:font w:name="ArialUnicodeMS">
    <w:altName w:val="Malgun Gothic"/>
    <w:panose1 w:val="00000000000000000000"/>
    <w:charset w:val="81"/>
    <w:family w:val="auto"/>
    <w:pitch w:val="default"/>
    <w:sig w:usb0="00000000" w:usb1="00000000" w:usb2="00000010" w:usb3="00000000" w:csb0="00080001" w:csb1="00000000"/>
    <w:embedRegular r:id="rId10" w:fontKey="{6F33D185-ECC7-42A1-B797-D71CB3B81E26}"/>
  </w:font>
  <w:font w:name="方正仿宋_GB2312">
    <w:altName w:val="仿宋"/>
    <w:panose1 w:val="00000000000000000000"/>
    <w:charset w:val="86"/>
    <w:family w:val="auto"/>
    <w:pitch w:val="default"/>
    <w:sig w:usb0="00000000" w:usb1="00000000" w:usb2="00000000" w:usb3="00000000" w:csb0="00000000" w:csb1="00000000"/>
    <w:embedRegular r:id="rId11" w:fontKey="{95921D61-CAAB-403B-A504-3591023DFAC0}"/>
  </w:font>
  <w:font w:name="DengXian-Regular">
    <w:altName w:val="宋体"/>
    <w:panose1 w:val="00000000000000000000"/>
    <w:charset w:val="86"/>
    <w:family w:val="auto"/>
    <w:pitch w:val="default"/>
    <w:sig w:usb0="00000000" w:usb1="00000000" w:usb2="00000010" w:usb3="00000000" w:csb0="00040001" w:csb1="00000000"/>
    <w:embedRegular r:id="rId12" w:fontKey="{A94EB75F-BDA9-4C0C-A62E-7F6720358E58}"/>
  </w:font>
  <w:font w:name="方正小标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Malgun Gothic">
    <w:panose1 w:val="020B0503020000020004"/>
    <w:charset w:val="81"/>
    <w:family w:val="auto"/>
    <w:pitch w:val="default"/>
    <w:sig w:usb0="9000002F" w:usb1="29D77CFB" w:usb2="00000012" w:usb3="00000000" w:csb0="0008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DD780192"/>
    <w:multiLevelType w:val="singleLevel"/>
    <w:tmpl w:val="DD780192"/>
    <w:lvl w:ilvl="0" w:tentative="0">
      <w:start w:val="3"/>
      <w:numFmt w:val="chineseCounting"/>
      <w:suff w:val="nothing"/>
      <w:lvlText w:val="（%1）"/>
      <w:lvlJc w:val="left"/>
      <w:rPr>
        <w:rFonts w:hint="eastAsia"/>
      </w:rPr>
    </w:lvl>
  </w:abstractNum>
  <w:abstractNum w:abstractNumId="1">
    <w:nsid w:val="F31EB42C"/>
    <w:multiLevelType w:val="singleLevel"/>
    <w:tmpl w:val="F31EB42C"/>
    <w:lvl w:ilvl="0" w:tentative="0">
      <w:start w:val="4"/>
      <w:numFmt w:val="chineseCounting"/>
      <w:suff w:val="nothing"/>
      <w:lvlText w:val="（%1）"/>
      <w:lvlJc w:val="left"/>
      <w:rPr>
        <w:rFonts w:hint="eastAsia"/>
      </w:rPr>
    </w:lvl>
  </w:abstractNum>
  <w:abstractNum w:abstractNumId="2">
    <w:nsid w:val="5F16A424"/>
    <w:multiLevelType w:val="multilevel"/>
    <w:tmpl w:val="5F16A424"/>
    <w:lvl w:ilvl="0" w:tentative="0">
      <w:start w:val="1"/>
      <w:numFmt w:val="decimal"/>
      <w:pStyle w:val="2"/>
      <w:lvlText w:val="%1."/>
      <w:lvlJc w:val="left"/>
      <w:pPr>
        <w:ind w:left="425" w:hanging="425"/>
      </w:pPr>
      <w:rPr>
        <w:rFonts w:hint="default"/>
      </w:rPr>
    </w:lvl>
    <w:lvl w:ilvl="1" w:tentative="0">
      <w:start w:val="1"/>
      <w:numFmt w:val="decimal"/>
      <w:pStyle w:val="3"/>
      <w:lvlText w:val="%1.%2."/>
      <w:lvlJc w:val="left"/>
      <w:pPr>
        <w:ind w:left="567" w:hanging="567"/>
      </w:pPr>
      <w:rPr>
        <w:rFonts w:hint="default"/>
      </w:rPr>
    </w:lvl>
    <w:lvl w:ilvl="2" w:tentative="0">
      <w:start w:val="1"/>
      <w:numFmt w:val="decimal"/>
      <w:pStyle w:val="4"/>
      <w:lvlText w:val="%1.%2.%3."/>
      <w:lvlJc w:val="left"/>
      <w:pPr>
        <w:ind w:left="709" w:hanging="709"/>
      </w:pPr>
      <w:rPr>
        <w:rFonts w:hint="default"/>
      </w:rPr>
    </w:lvl>
    <w:lvl w:ilvl="3" w:tentative="0">
      <w:start w:val="1"/>
      <w:numFmt w:val="decimal"/>
      <w:pStyle w:val="5"/>
      <w:lvlText w:val="%1.%2.%3.%4."/>
      <w:lvlJc w:val="left"/>
      <w:pPr>
        <w:ind w:left="850" w:hanging="850"/>
      </w:pPr>
      <w:rPr>
        <w:rFonts w:hint="default"/>
      </w:rPr>
    </w:lvl>
    <w:lvl w:ilvl="4" w:tentative="0">
      <w:start w:val="1"/>
      <w:numFmt w:val="decimal"/>
      <w:lvlText w:val="%1.%2.%3.%4.%5."/>
      <w:lvlJc w:val="left"/>
      <w:pPr>
        <w:ind w:left="991" w:hanging="991"/>
      </w:pPr>
      <w:rPr>
        <w:rFonts w:hint="default"/>
      </w:rPr>
    </w:lvl>
    <w:lvl w:ilvl="5" w:tentative="0">
      <w:start w:val="1"/>
      <w:numFmt w:val="decimal"/>
      <w:lvlText w:val="%1.%2.%3.%4.%5.%6."/>
      <w:lvlJc w:val="left"/>
      <w:pPr>
        <w:ind w:left="1134" w:hanging="1134"/>
      </w:pPr>
      <w:rPr>
        <w:rFonts w:hint="default"/>
      </w:rPr>
    </w:lvl>
    <w:lvl w:ilvl="6" w:tentative="0">
      <w:start w:val="1"/>
      <w:numFmt w:val="decimal"/>
      <w:lvlText w:val="%1.%2.%3.%4.%5.%6.%7."/>
      <w:lvlJc w:val="left"/>
      <w:pPr>
        <w:ind w:left="1275" w:hanging="1275"/>
      </w:pPr>
      <w:rPr>
        <w:rFonts w:hint="default"/>
      </w:rPr>
    </w:lvl>
    <w:lvl w:ilvl="7" w:tentative="0">
      <w:start w:val="1"/>
      <w:numFmt w:val="decimal"/>
      <w:lvlText w:val="%1.%2.%3.%4.%5.%6.%7.%8."/>
      <w:lvlJc w:val="left"/>
      <w:pPr>
        <w:ind w:left="1418" w:hanging="1418"/>
      </w:pPr>
      <w:rPr>
        <w:rFonts w:hint="default"/>
      </w:rPr>
    </w:lvl>
    <w:lvl w:ilvl="8" w:tentative="0">
      <w:start w:val="1"/>
      <w:numFmt w:val="decimal"/>
      <w:lvlText w:val="%1.%2.%3.%4.%5.%6.%7.%8.%9."/>
      <w:lvlJc w:val="left"/>
      <w:pPr>
        <w:ind w:left="1558" w:hanging="1558"/>
      </w:pPr>
      <w:rPr>
        <w:rFonts w:hint="default"/>
      </w:rPr>
    </w:lvl>
  </w:abstractNum>
  <w:num w:numId="1">
    <w:abstractNumId w:val="2"/>
  </w:num>
  <w:num w:numId="2">
    <w:abstractNumId w:val="1"/>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0"/>
  <w:embedTrueTypeFonts/>
  <w:saveSubset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jb3VudCI6MTksImhkaWQiOiIzMWE1MzMwMDNjMmJhYTE1ZmE0MmVkZDFmNDA1ZThhMiIsInVzZXJDb3VudCI6MTl9"/>
  </w:docVars>
  <w:rsids>
    <w:rsidRoot w:val="007B4BF8"/>
    <w:rsid w:val="00086151"/>
    <w:rsid w:val="0012436D"/>
    <w:rsid w:val="00236F8C"/>
    <w:rsid w:val="00585AE6"/>
    <w:rsid w:val="007B4BF8"/>
    <w:rsid w:val="008E12CF"/>
    <w:rsid w:val="0096690D"/>
    <w:rsid w:val="00C65689"/>
    <w:rsid w:val="00CC2C8E"/>
    <w:rsid w:val="00F27B04"/>
    <w:rsid w:val="01616D62"/>
    <w:rsid w:val="01900E19"/>
    <w:rsid w:val="01A03C5A"/>
    <w:rsid w:val="01A5267D"/>
    <w:rsid w:val="01DA0A75"/>
    <w:rsid w:val="02363AF1"/>
    <w:rsid w:val="024808A2"/>
    <w:rsid w:val="025C3821"/>
    <w:rsid w:val="02DA3B1B"/>
    <w:rsid w:val="02E57B4D"/>
    <w:rsid w:val="033D3951"/>
    <w:rsid w:val="037B12D4"/>
    <w:rsid w:val="03804D63"/>
    <w:rsid w:val="03FB73B0"/>
    <w:rsid w:val="04BD008C"/>
    <w:rsid w:val="04C55939"/>
    <w:rsid w:val="04DA28BB"/>
    <w:rsid w:val="04F528BE"/>
    <w:rsid w:val="05991C82"/>
    <w:rsid w:val="061416A9"/>
    <w:rsid w:val="06236884"/>
    <w:rsid w:val="067E788A"/>
    <w:rsid w:val="06FC7C2A"/>
    <w:rsid w:val="071E363B"/>
    <w:rsid w:val="07533AFE"/>
    <w:rsid w:val="07B3657A"/>
    <w:rsid w:val="07C857D0"/>
    <w:rsid w:val="08AB5AAF"/>
    <w:rsid w:val="09012C64"/>
    <w:rsid w:val="093B2E99"/>
    <w:rsid w:val="095D7943"/>
    <w:rsid w:val="09C006C6"/>
    <w:rsid w:val="0A10621F"/>
    <w:rsid w:val="0A464C4F"/>
    <w:rsid w:val="0A6729A3"/>
    <w:rsid w:val="0A694877"/>
    <w:rsid w:val="0AA954BE"/>
    <w:rsid w:val="0AE70639"/>
    <w:rsid w:val="0B4F5E6D"/>
    <w:rsid w:val="0B753AE2"/>
    <w:rsid w:val="0BB67D0A"/>
    <w:rsid w:val="0BC56230"/>
    <w:rsid w:val="0BCF21BD"/>
    <w:rsid w:val="0C4E53E8"/>
    <w:rsid w:val="0C9F7900"/>
    <w:rsid w:val="0CB23317"/>
    <w:rsid w:val="0D101068"/>
    <w:rsid w:val="0D49470D"/>
    <w:rsid w:val="0D7557DF"/>
    <w:rsid w:val="0D853E34"/>
    <w:rsid w:val="0D9C2A57"/>
    <w:rsid w:val="0DFA5D82"/>
    <w:rsid w:val="0E1E52CE"/>
    <w:rsid w:val="0E341BC0"/>
    <w:rsid w:val="0E866524"/>
    <w:rsid w:val="0E9268D3"/>
    <w:rsid w:val="0E957F1F"/>
    <w:rsid w:val="0F0E7284"/>
    <w:rsid w:val="0F28110F"/>
    <w:rsid w:val="0F37083F"/>
    <w:rsid w:val="0F891DB8"/>
    <w:rsid w:val="0FAA3B86"/>
    <w:rsid w:val="10191346"/>
    <w:rsid w:val="10754A6C"/>
    <w:rsid w:val="108B537D"/>
    <w:rsid w:val="10B11DB1"/>
    <w:rsid w:val="10C7485C"/>
    <w:rsid w:val="11177F57"/>
    <w:rsid w:val="11217C97"/>
    <w:rsid w:val="11464C20"/>
    <w:rsid w:val="115E4926"/>
    <w:rsid w:val="118A1FFA"/>
    <w:rsid w:val="11E35B5A"/>
    <w:rsid w:val="11E42DD6"/>
    <w:rsid w:val="125F5A1B"/>
    <w:rsid w:val="126979D6"/>
    <w:rsid w:val="129E45A7"/>
    <w:rsid w:val="13074404"/>
    <w:rsid w:val="136A5C00"/>
    <w:rsid w:val="13C527AC"/>
    <w:rsid w:val="14711797"/>
    <w:rsid w:val="147B6F17"/>
    <w:rsid w:val="14D42061"/>
    <w:rsid w:val="15081C8B"/>
    <w:rsid w:val="15090D5C"/>
    <w:rsid w:val="15CF053D"/>
    <w:rsid w:val="15E0131A"/>
    <w:rsid w:val="16457D9F"/>
    <w:rsid w:val="17223EFF"/>
    <w:rsid w:val="17B713F6"/>
    <w:rsid w:val="184350A0"/>
    <w:rsid w:val="18541CC2"/>
    <w:rsid w:val="187B3DA8"/>
    <w:rsid w:val="18935485"/>
    <w:rsid w:val="18946C52"/>
    <w:rsid w:val="18A34206"/>
    <w:rsid w:val="18DE3B2C"/>
    <w:rsid w:val="1906685D"/>
    <w:rsid w:val="19111683"/>
    <w:rsid w:val="19353916"/>
    <w:rsid w:val="19B07C1B"/>
    <w:rsid w:val="19C10AF1"/>
    <w:rsid w:val="1A2672DE"/>
    <w:rsid w:val="1AA81D42"/>
    <w:rsid w:val="1AB433D9"/>
    <w:rsid w:val="1B0D71BB"/>
    <w:rsid w:val="1B1B11EE"/>
    <w:rsid w:val="1B3719E0"/>
    <w:rsid w:val="1B6261C3"/>
    <w:rsid w:val="1B731730"/>
    <w:rsid w:val="1B882BB5"/>
    <w:rsid w:val="1B906310"/>
    <w:rsid w:val="1B9B33C7"/>
    <w:rsid w:val="1B9D7FEC"/>
    <w:rsid w:val="1BA55461"/>
    <w:rsid w:val="1BE74496"/>
    <w:rsid w:val="1C3D67D1"/>
    <w:rsid w:val="1C40731A"/>
    <w:rsid w:val="1C560392"/>
    <w:rsid w:val="1C581532"/>
    <w:rsid w:val="1C7D181A"/>
    <w:rsid w:val="1CA15E03"/>
    <w:rsid w:val="1CA24F0C"/>
    <w:rsid w:val="1CF8716C"/>
    <w:rsid w:val="1D230EBD"/>
    <w:rsid w:val="1D4B1F5B"/>
    <w:rsid w:val="1D6C5CA0"/>
    <w:rsid w:val="1D725586"/>
    <w:rsid w:val="1D745B4F"/>
    <w:rsid w:val="1D867987"/>
    <w:rsid w:val="1D944010"/>
    <w:rsid w:val="1DA60472"/>
    <w:rsid w:val="1DD70E85"/>
    <w:rsid w:val="1DE6414E"/>
    <w:rsid w:val="1DE74AD7"/>
    <w:rsid w:val="1DF60A19"/>
    <w:rsid w:val="1DFA6713"/>
    <w:rsid w:val="1E050843"/>
    <w:rsid w:val="1E20024F"/>
    <w:rsid w:val="1E2D3FB0"/>
    <w:rsid w:val="1E2E50F1"/>
    <w:rsid w:val="1E2F73C2"/>
    <w:rsid w:val="1E3B4E26"/>
    <w:rsid w:val="1E97477F"/>
    <w:rsid w:val="1EDF707D"/>
    <w:rsid w:val="1F65664C"/>
    <w:rsid w:val="1F79478A"/>
    <w:rsid w:val="1F7C149A"/>
    <w:rsid w:val="1F84140D"/>
    <w:rsid w:val="1F863C54"/>
    <w:rsid w:val="1F9B7FFD"/>
    <w:rsid w:val="1F9C7614"/>
    <w:rsid w:val="1FB810FB"/>
    <w:rsid w:val="1FBE1971"/>
    <w:rsid w:val="2008768D"/>
    <w:rsid w:val="204C2B10"/>
    <w:rsid w:val="207D30AD"/>
    <w:rsid w:val="209064B9"/>
    <w:rsid w:val="20970D81"/>
    <w:rsid w:val="20D165D5"/>
    <w:rsid w:val="210878E6"/>
    <w:rsid w:val="210E1408"/>
    <w:rsid w:val="211069AD"/>
    <w:rsid w:val="21573FAB"/>
    <w:rsid w:val="2172069C"/>
    <w:rsid w:val="21987BC4"/>
    <w:rsid w:val="220451AB"/>
    <w:rsid w:val="2237486E"/>
    <w:rsid w:val="223D1378"/>
    <w:rsid w:val="22940650"/>
    <w:rsid w:val="22AD4B1E"/>
    <w:rsid w:val="22D31DF3"/>
    <w:rsid w:val="22FD3CF7"/>
    <w:rsid w:val="2356249E"/>
    <w:rsid w:val="23605570"/>
    <w:rsid w:val="236E713A"/>
    <w:rsid w:val="23700968"/>
    <w:rsid w:val="238761A6"/>
    <w:rsid w:val="23920578"/>
    <w:rsid w:val="23BB6F9A"/>
    <w:rsid w:val="23BE3DC8"/>
    <w:rsid w:val="23FC3864"/>
    <w:rsid w:val="247D7230"/>
    <w:rsid w:val="24F25212"/>
    <w:rsid w:val="254B0AC6"/>
    <w:rsid w:val="25571AB6"/>
    <w:rsid w:val="25B40AD6"/>
    <w:rsid w:val="25BE7872"/>
    <w:rsid w:val="25BF702A"/>
    <w:rsid w:val="25FA6065"/>
    <w:rsid w:val="2611374E"/>
    <w:rsid w:val="261F111C"/>
    <w:rsid w:val="26477410"/>
    <w:rsid w:val="264D2D17"/>
    <w:rsid w:val="26D50E55"/>
    <w:rsid w:val="270763D6"/>
    <w:rsid w:val="271A539C"/>
    <w:rsid w:val="274972D4"/>
    <w:rsid w:val="275048F0"/>
    <w:rsid w:val="275C72A5"/>
    <w:rsid w:val="27AA3D97"/>
    <w:rsid w:val="28405AA6"/>
    <w:rsid w:val="289057C5"/>
    <w:rsid w:val="28A67C7A"/>
    <w:rsid w:val="28D1057E"/>
    <w:rsid w:val="28EA3248"/>
    <w:rsid w:val="28F879DA"/>
    <w:rsid w:val="294630F8"/>
    <w:rsid w:val="294B7731"/>
    <w:rsid w:val="296A5FF1"/>
    <w:rsid w:val="29D21FF2"/>
    <w:rsid w:val="2A5D2437"/>
    <w:rsid w:val="2A611B0F"/>
    <w:rsid w:val="2AC1762B"/>
    <w:rsid w:val="2AE845D0"/>
    <w:rsid w:val="2B4975FB"/>
    <w:rsid w:val="2B695031"/>
    <w:rsid w:val="2B735A8F"/>
    <w:rsid w:val="2BA7478D"/>
    <w:rsid w:val="2BB038DB"/>
    <w:rsid w:val="2BB761E0"/>
    <w:rsid w:val="2BB812F9"/>
    <w:rsid w:val="2BE319AF"/>
    <w:rsid w:val="2BE35C27"/>
    <w:rsid w:val="2BFA504B"/>
    <w:rsid w:val="2C681F1F"/>
    <w:rsid w:val="2C8608DC"/>
    <w:rsid w:val="2CA4764A"/>
    <w:rsid w:val="2CC42ECA"/>
    <w:rsid w:val="2CDA4349"/>
    <w:rsid w:val="2D225539"/>
    <w:rsid w:val="2D4618D2"/>
    <w:rsid w:val="2D5F021B"/>
    <w:rsid w:val="2D6E1286"/>
    <w:rsid w:val="2D70583E"/>
    <w:rsid w:val="2D99655D"/>
    <w:rsid w:val="2E1B4BB8"/>
    <w:rsid w:val="2E256CB6"/>
    <w:rsid w:val="2E3224D3"/>
    <w:rsid w:val="2E5F27E4"/>
    <w:rsid w:val="2E9871B6"/>
    <w:rsid w:val="2EBD223E"/>
    <w:rsid w:val="2EC10AD1"/>
    <w:rsid w:val="2ECB6A5A"/>
    <w:rsid w:val="2EFC0112"/>
    <w:rsid w:val="2F2B730D"/>
    <w:rsid w:val="2F42598B"/>
    <w:rsid w:val="2F8169E4"/>
    <w:rsid w:val="2F9F3DC1"/>
    <w:rsid w:val="2FFC7AC2"/>
    <w:rsid w:val="301430AF"/>
    <w:rsid w:val="30630612"/>
    <w:rsid w:val="308E59B0"/>
    <w:rsid w:val="30B10568"/>
    <w:rsid w:val="30E55DD3"/>
    <w:rsid w:val="30E60399"/>
    <w:rsid w:val="31356AA5"/>
    <w:rsid w:val="313E22F0"/>
    <w:rsid w:val="31B0194C"/>
    <w:rsid w:val="31CE17D1"/>
    <w:rsid w:val="320F6F96"/>
    <w:rsid w:val="323E4515"/>
    <w:rsid w:val="3286389B"/>
    <w:rsid w:val="32CF5C94"/>
    <w:rsid w:val="32D337C7"/>
    <w:rsid w:val="32E200EC"/>
    <w:rsid w:val="32E5408B"/>
    <w:rsid w:val="32E9750B"/>
    <w:rsid w:val="32EB0D70"/>
    <w:rsid w:val="332868BB"/>
    <w:rsid w:val="333211F3"/>
    <w:rsid w:val="333E3678"/>
    <w:rsid w:val="33504B41"/>
    <w:rsid w:val="335174BC"/>
    <w:rsid w:val="338B4A07"/>
    <w:rsid w:val="33944811"/>
    <w:rsid w:val="33CE0488"/>
    <w:rsid w:val="34005866"/>
    <w:rsid w:val="34182C85"/>
    <w:rsid w:val="34262463"/>
    <w:rsid w:val="34296F31"/>
    <w:rsid w:val="34340A27"/>
    <w:rsid w:val="346A2989"/>
    <w:rsid w:val="34714663"/>
    <w:rsid w:val="348865E9"/>
    <w:rsid w:val="348F70D5"/>
    <w:rsid w:val="349D2BAD"/>
    <w:rsid w:val="34B25886"/>
    <w:rsid w:val="34B40430"/>
    <w:rsid w:val="35277FF8"/>
    <w:rsid w:val="35776F72"/>
    <w:rsid w:val="35997371"/>
    <w:rsid w:val="360134DF"/>
    <w:rsid w:val="360B1E2F"/>
    <w:rsid w:val="360D500F"/>
    <w:rsid w:val="36330424"/>
    <w:rsid w:val="36990C8E"/>
    <w:rsid w:val="36FE3ABA"/>
    <w:rsid w:val="37072BDE"/>
    <w:rsid w:val="3716321D"/>
    <w:rsid w:val="37252B82"/>
    <w:rsid w:val="37455334"/>
    <w:rsid w:val="376A14D2"/>
    <w:rsid w:val="37731921"/>
    <w:rsid w:val="37E509C0"/>
    <w:rsid w:val="37E96FB8"/>
    <w:rsid w:val="38141FF1"/>
    <w:rsid w:val="38222D85"/>
    <w:rsid w:val="38803721"/>
    <w:rsid w:val="38925A62"/>
    <w:rsid w:val="389F5F4F"/>
    <w:rsid w:val="38C36BA2"/>
    <w:rsid w:val="38C94777"/>
    <w:rsid w:val="38F6595C"/>
    <w:rsid w:val="391702A7"/>
    <w:rsid w:val="39286EB6"/>
    <w:rsid w:val="39601DF4"/>
    <w:rsid w:val="39623052"/>
    <w:rsid w:val="39840D35"/>
    <w:rsid w:val="39A239AC"/>
    <w:rsid w:val="39A97DAF"/>
    <w:rsid w:val="39CD1330"/>
    <w:rsid w:val="39DD1AFF"/>
    <w:rsid w:val="3A2510B9"/>
    <w:rsid w:val="3A2A2EDD"/>
    <w:rsid w:val="3A2B1DFC"/>
    <w:rsid w:val="3AA6422C"/>
    <w:rsid w:val="3AAF46D5"/>
    <w:rsid w:val="3AB900D5"/>
    <w:rsid w:val="3B135A0E"/>
    <w:rsid w:val="3B272BBC"/>
    <w:rsid w:val="3B374FEE"/>
    <w:rsid w:val="3B4410EE"/>
    <w:rsid w:val="3B56159C"/>
    <w:rsid w:val="3B7D732B"/>
    <w:rsid w:val="3BD30423"/>
    <w:rsid w:val="3C3A1750"/>
    <w:rsid w:val="3C6147F2"/>
    <w:rsid w:val="3C6C0B58"/>
    <w:rsid w:val="3CBE41D5"/>
    <w:rsid w:val="3D305D4F"/>
    <w:rsid w:val="3D446B0E"/>
    <w:rsid w:val="3D953A6B"/>
    <w:rsid w:val="3DBB2CD5"/>
    <w:rsid w:val="3DBB5979"/>
    <w:rsid w:val="3E1057AF"/>
    <w:rsid w:val="3E6C0DFA"/>
    <w:rsid w:val="3E740322"/>
    <w:rsid w:val="3E7F4380"/>
    <w:rsid w:val="3E8D171B"/>
    <w:rsid w:val="3E8E5574"/>
    <w:rsid w:val="3EA5630D"/>
    <w:rsid w:val="3EBA731B"/>
    <w:rsid w:val="3EFB5800"/>
    <w:rsid w:val="3F3B4E59"/>
    <w:rsid w:val="3F4D1B74"/>
    <w:rsid w:val="3F6E677C"/>
    <w:rsid w:val="3F712F46"/>
    <w:rsid w:val="3FBC0EF7"/>
    <w:rsid w:val="3FCD2AB9"/>
    <w:rsid w:val="3FD17600"/>
    <w:rsid w:val="4050218A"/>
    <w:rsid w:val="405C7868"/>
    <w:rsid w:val="408B24EB"/>
    <w:rsid w:val="417044B8"/>
    <w:rsid w:val="41812F00"/>
    <w:rsid w:val="41A203A0"/>
    <w:rsid w:val="41E83F8C"/>
    <w:rsid w:val="422D1842"/>
    <w:rsid w:val="425B7C31"/>
    <w:rsid w:val="42737A55"/>
    <w:rsid w:val="427D66D0"/>
    <w:rsid w:val="42BC7E02"/>
    <w:rsid w:val="42C82575"/>
    <w:rsid w:val="43022EE1"/>
    <w:rsid w:val="431A5F8F"/>
    <w:rsid w:val="431F247A"/>
    <w:rsid w:val="43335E8F"/>
    <w:rsid w:val="433F2968"/>
    <w:rsid w:val="43676E20"/>
    <w:rsid w:val="43A31040"/>
    <w:rsid w:val="43BF774E"/>
    <w:rsid w:val="43CD062F"/>
    <w:rsid w:val="43E214F9"/>
    <w:rsid w:val="43F06264"/>
    <w:rsid w:val="43FE1568"/>
    <w:rsid w:val="44404C8E"/>
    <w:rsid w:val="447537F1"/>
    <w:rsid w:val="44795B2A"/>
    <w:rsid w:val="44870D07"/>
    <w:rsid w:val="45513D03"/>
    <w:rsid w:val="45541E1C"/>
    <w:rsid w:val="45F657C2"/>
    <w:rsid w:val="460713D2"/>
    <w:rsid w:val="461F0A8B"/>
    <w:rsid w:val="4648721E"/>
    <w:rsid w:val="46663E71"/>
    <w:rsid w:val="466A37AC"/>
    <w:rsid w:val="46CB071B"/>
    <w:rsid w:val="46CC77BF"/>
    <w:rsid w:val="46DE140B"/>
    <w:rsid w:val="46E77334"/>
    <w:rsid w:val="46F22E29"/>
    <w:rsid w:val="46F7142F"/>
    <w:rsid w:val="47107AE3"/>
    <w:rsid w:val="473C62ED"/>
    <w:rsid w:val="47617242"/>
    <w:rsid w:val="478C16C9"/>
    <w:rsid w:val="47AD79CE"/>
    <w:rsid w:val="47BD246B"/>
    <w:rsid w:val="47CB2B0C"/>
    <w:rsid w:val="47E773CE"/>
    <w:rsid w:val="48015FF5"/>
    <w:rsid w:val="484C45A4"/>
    <w:rsid w:val="48692CD0"/>
    <w:rsid w:val="48AE3D01"/>
    <w:rsid w:val="48B07010"/>
    <w:rsid w:val="48D9540B"/>
    <w:rsid w:val="49067B2F"/>
    <w:rsid w:val="496008AE"/>
    <w:rsid w:val="49677E31"/>
    <w:rsid w:val="496C2225"/>
    <w:rsid w:val="49AE2880"/>
    <w:rsid w:val="49F42EAF"/>
    <w:rsid w:val="49F96FB8"/>
    <w:rsid w:val="4A337323"/>
    <w:rsid w:val="4A3679E8"/>
    <w:rsid w:val="4A5B28DC"/>
    <w:rsid w:val="4AA06B93"/>
    <w:rsid w:val="4ADB18EB"/>
    <w:rsid w:val="4AEE5418"/>
    <w:rsid w:val="4B0371D8"/>
    <w:rsid w:val="4B96118E"/>
    <w:rsid w:val="4BAE1B66"/>
    <w:rsid w:val="4BED4708"/>
    <w:rsid w:val="4BF133DC"/>
    <w:rsid w:val="4C507D4A"/>
    <w:rsid w:val="4CDF5563"/>
    <w:rsid w:val="4CFB2214"/>
    <w:rsid w:val="4D1A3672"/>
    <w:rsid w:val="4D2C4D26"/>
    <w:rsid w:val="4D335E0E"/>
    <w:rsid w:val="4D4E4EA3"/>
    <w:rsid w:val="4D9A5B1B"/>
    <w:rsid w:val="4DA55D85"/>
    <w:rsid w:val="4DBB20DB"/>
    <w:rsid w:val="4DD64F20"/>
    <w:rsid w:val="4DDC3F22"/>
    <w:rsid w:val="4E1040C7"/>
    <w:rsid w:val="4E1760BF"/>
    <w:rsid w:val="4E646AEA"/>
    <w:rsid w:val="4EBA03C3"/>
    <w:rsid w:val="4EBC5459"/>
    <w:rsid w:val="4ED94CB0"/>
    <w:rsid w:val="4EEC2ED3"/>
    <w:rsid w:val="4F037DB0"/>
    <w:rsid w:val="4F0B74A3"/>
    <w:rsid w:val="4F0E56EA"/>
    <w:rsid w:val="4F2E11BC"/>
    <w:rsid w:val="4F3C4343"/>
    <w:rsid w:val="4F416688"/>
    <w:rsid w:val="4F5620B0"/>
    <w:rsid w:val="4F6654EE"/>
    <w:rsid w:val="4F7379C6"/>
    <w:rsid w:val="4F872183"/>
    <w:rsid w:val="4F872BDB"/>
    <w:rsid w:val="4FA033E9"/>
    <w:rsid w:val="4FA743DA"/>
    <w:rsid w:val="4FB3565A"/>
    <w:rsid w:val="4FED77BF"/>
    <w:rsid w:val="503D1C79"/>
    <w:rsid w:val="507A6406"/>
    <w:rsid w:val="50853863"/>
    <w:rsid w:val="508A4590"/>
    <w:rsid w:val="509352D9"/>
    <w:rsid w:val="50F1461D"/>
    <w:rsid w:val="50FE5411"/>
    <w:rsid w:val="510B072E"/>
    <w:rsid w:val="511B0BF4"/>
    <w:rsid w:val="51264306"/>
    <w:rsid w:val="516123CE"/>
    <w:rsid w:val="51B177A9"/>
    <w:rsid w:val="51CF0D81"/>
    <w:rsid w:val="51E066EB"/>
    <w:rsid w:val="51E84FDE"/>
    <w:rsid w:val="5267570A"/>
    <w:rsid w:val="52707792"/>
    <w:rsid w:val="52A12CDC"/>
    <w:rsid w:val="52DF0C92"/>
    <w:rsid w:val="52E1159C"/>
    <w:rsid w:val="52E34D6A"/>
    <w:rsid w:val="531E524E"/>
    <w:rsid w:val="534072EB"/>
    <w:rsid w:val="538E2D0B"/>
    <w:rsid w:val="53922782"/>
    <w:rsid w:val="539C1424"/>
    <w:rsid w:val="53A639C0"/>
    <w:rsid w:val="53F00A24"/>
    <w:rsid w:val="53F63DBA"/>
    <w:rsid w:val="5448624E"/>
    <w:rsid w:val="546E2B1A"/>
    <w:rsid w:val="5482555F"/>
    <w:rsid w:val="551452C2"/>
    <w:rsid w:val="55363E67"/>
    <w:rsid w:val="556E6DF7"/>
    <w:rsid w:val="559D47CE"/>
    <w:rsid w:val="55BE1959"/>
    <w:rsid w:val="56232437"/>
    <w:rsid w:val="56541A75"/>
    <w:rsid w:val="568832FC"/>
    <w:rsid w:val="568C4181"/>
    <w:rsid w:val="56AC2FF1"/>
    <w:rsid w:val="570725A9"/>
    <w:rsid w:val="5714693E"/>
    <w:rsid w:val="571D0C9C"/>
    <w:rsid w:val="573A16CE"/>
    <w:rsid w:val="577F71A8"/>
    <w:rsid w:val="579C7F80"/>
    <w:rsid w:val="57B30D7C"/>
    <w:rsid w:val="58166B03"/>
    <w:rsid w:val="583E3C94"/>
    <w:rsid w:val="58721734"/>
    <w:rsid w:val="58900246"/>
    <w:rsid w:val="58977358"/>
    <w:rsid w:val="58D53944"/>
    <w:rsid w:val="58D65478"/>
    <w:rsid w:val="58F52487"/>
    <w:rsid w:val="58F778BC"/>
    <w:rsid w:val="590422E6"/>
    <w:rsid w:val="592257E5"/>
    <w:rsid w:val="59655E33"/>
    <w:rsid w:val="59CF5BD9"/>
    <w:rsid w:val="59E20C3C"/>
    <w:rsid w:val="5A1D5B0A"/>
    <w:rsid w:val="5A3B4B4E"/>
    <w:rsid w:val="5A4804CA"/>
    <w:rsid w:val="5A594C85"/>
    <w:rsid w:val="5A7D649E"/>
    <w:rsid w:val="5AEB1E3C"/>
    <w:rsid w:val="5B2507CA"/>
    <w:rsid w:val="5B2A474A"/>
    <w:rsid w:val="5B830730"/>
    <w:rsid w:val="5B871C49"/>
    <w:rsid w:val="5BBB2DD6"/>
    <w:rsid w:val="5BE263B6"/>
    <w:rsid w:val="5C653B42"/>
    <w:rsid w:val="5C8E5C5A"/>
    <w:rsid w:val="5C965E61"/>
    <w:rsid w:val="5CA76AD9"/>
    <w:rsid w:val="5D242A11"/>
    <w:rsid w:val="5D9217C2"/>
    <w:rsid w:val="5DAD06BF"/>
    <w:rsid w:val="5DDD485F"/>
    <w:rsid w:val="5DE23CB3"/>
    <w:rsid w:val="5DE97EEC"/>
    <w:rsid w:val="5DF43138"/>
    <w:rsid w:val="5DFA5EB0"/>
    <w:rsid w:val="5E0B583E"/>
    <w:rsid w:val="5E201A7B"/>
    <w:rsid w:val="5EBD0484"/>
    <w:rsid w:val="5F2C5C7C"/>
    <w:rsid w:val="5FC5273F"/>
    <w:rsid w:val="60806DF2"/>
    <w:rsid w:val="61072DA5"/>
    <w:rsid w:val="611C0817"/>
    <w:rsid w:val="61224A52"/>
    <w:rsid w:val="61520CCB"/>
    <w:rsid w:val="61851A29"/>
    <w:rsid w:val="61953CD7"/>
    <w:rsid w:val="622D1522"/>
    <w:rsid w:val="622E0574"/>
    <w:rsid w:val="62683B6B"/>
    <w:rsid w:val="62861AA8"/>
    <w:rsid w:val="62AC5944"/>
    <w:rsid w:val="632731DA"/>
    <w:rsid w:val="637279B4"/>
    <w:rsid w:val="63817D2B"/>
    <w:rsid w:val="63BD1FA9"/>
    <w:rsid w:val="63D27965"/>
    <w:rsid w:val="63FF063D"/>
    <w:rsid w:val="64095516"/>
    <w:rsid w:val="641A2468"/>
    <w:rsid w:val="64372F20"/>
    <w:rsid w:val="64DC72D7"/>
    <w:rsid w:val="653113E3"/>
    <w:rsid w:val="653619A6"/>
    <w:rsid w:val="65610A02"/>
    <w:rsid w:val="65A11EA3"/>
    <w:rsid w:val="65AC3D66"/>
    <w:rsid w:val="65BB5334"/>
    <w:rsid w:val="663E1DBA"/>
    <w:rsid w:val="665D0213"/>
    <w:rsid w:val="669E59F1"/>
    <w:rsid w:val="66A2024B"/>
    <w:rsid w:val="66D03E18"/>
    <w:rsid w:val="66EA4BA0"/>
    <w:rsid w:val="6704732B"/>
    <w:rsid w:val="670F6731"/>
    <w:rsid w:val="67280F62"/>
    <w:rsid w:val="67585CB0"/>
    <w:rsid w:val="67770F0C"/>
    <w:rsid w:val="67B03535"/>
    <w:rsid w:val="67CA6DA3"/>
    <w:rsid w:val="6801775B"/>
    <w:rsid w:val="68174F69"/>
    <w:rsid w:val="682C436A"/>
    <w:rsid w:val="68382778"/>
    <w:rsid w:val="68391F41"/>
    <w:rsid w:val="68436B8C"/>
    <w:rsid w:val="68797358"/>
    <w:rsid w:val="6884624F"/>
    <w:rsid w:val="68A519DF"/>
    <w:rsid w:val="68C4160B"/>
    <w:rsid w:val="68C41C30"/>
    <w:rsid w:val="68CF3BA4"/>
    <w:rsid w:val="69257FA7"/>
    <w:rsid w:val="693711B0"/>
    <w:rsid w:val="693F26C7"/>
    <w:rsid w:val="697E12B2"/>
    <w:rsid w:val="69C8706D"/>
    <w:rsid w:val="6A0147CA"/>
    <w:rsid w:val="6A0E3FB4"/>
    <w:rsid w:val="6A292754"/>
    <w:rsid w:val="6A5E3B28"/>
    <w:rsid w:val="6A6B1EBE"/>
    <w:rsid w:val="6A8A06F2"/>
    <w:rsid w:val="6A8F43F7"/>
    <w:rsid w:val="6ABF79B7"/>
    <w:rsid w:val="6AD625F3"/>
    <w:rsid w:val="6B2878C6"/>
    <w:rsid w:val="6B5F25EA"/>
    <w:rsid w:val="6B750BA9"/>
    <w:rsid w:val="6BB93285"/>
    <w:rsid w:val="6C0C698C"/>
    <w:rsid w:val="6C222401"/>
    <w:rsid w:val="6C56267F"/>
    <w:rsid w:val="6C826EF9"/>
    <w:rsid w:val="6CAE4C93"/>
    <w:rsid w:val="6D0B1869"/>
    <w:rsid w:val="6D65402D"/>
    <w:rsid w:val="6D683822"/>
    <w:rsid w:val="6D8D136C"/>
    <w:rsid w:val="6DBF2759"/>
    <w:rsid w:val="6DC96F36"/>
    <w:rsid w:val="6DFA3EBF"/>
    <w:rsid w:val="6E3E63D2"/>
    <w:rsid w:val="6E5F7BE6"/>
    <w:rsid w:val="6E6918C6"/>
    <w:rsid w:val="6E8E495B"/>
    <w:rsid w:val="6EEB4AC4"/>
    <w:rsid w:val="6F212DD6"/>
    <w:rsid w:val="6F3B5912"/>
    <w:rsid w:val="6F3D39F1"/>
    <w:rsid w:val="6FA14A81"/>
    <w:rsid w:val="6FA3261F"/>
    <w:rsid w:val="6FBA5815"/>
    <w:rsid w:val="700D6539"/>
    <w:rsid w:val="704203E3"/>
    <w:rsid w:val="7058046B"/>
    <w:rsid w:val="707F2079"/>
    <w:rsid w:val="70922734"/>
    <w:rsid w:val="70CE6DC7"/>
    <w:rsid w:val="710B3646"/>
    <w:rsid w:val="71156C43"/>
    <w:rsid w:val="711759F2"/>
    <w:rsid w:val="713C4ED8"/>
    <w:rsid w:val="71407642"/>
    <w:rsid w:val="71641210"/>
    <w:rsid w:val="71D95B7C"/>
    <w:rsid w:val="71EA6A50"/>
    <w:rsid w:val="71EC42C1"/>
    <w:rsid w:val="71FE31A8"/>
    <w:rsid w:val="721F6113"/>
    <w:rsid w:val="7233782C"/>
    <w:rsid w:val="73177841"/>
    <w:rsid w:val="733774FE"/>
    <w:rsid w:val="73617E1B"/>
    <w:rsid w:val="736D7653"/>
    <w:rsid w:val="738035CB"/>
    <w:rsid w:val="7396335C"/>
    <w:rsid w:val="73F46595"/>
    <w:rsid w:val="74283FA2"/>
    <w:rsid w:val="742C135B"/>
    <w:rsid w:val="74463733"/>
    <w:rsid w:val="748A2F40"/>
    <w:rsid w:val="74F85778"/>
    <w:rsid w:val="75272439"/>
    <w:rsid w:val="758F1E9B"/>
    <w:rsid w:val="75CE266B"/>
    <w:rsid w:val="76120141"/>
    <w:rsid w:val="76C23B43"/>
    <w:rsid w:val="76FD6F97"/>
    <w:rsid w:val="770218E8"/>
    <w:rsid w:val="77C875A5"/>
    <w:rsid w:val="784654D3"/>
    <w:rsid w:val="78A27DF6"/>
    <w:rsid w:val="78F461E9"/>
    <w:rsid w:val="79285B3A"/>
    <w:rsid w:val="79625CA9"/>
    <w:rsid w:val="79A91196"/>
    <w:rsid w:val="7A0B32D3"/>
    <w:rsid w:val="7AC13CD3"/>
    <w:rsid w:val="7AE10264"/>
    <w:rsid w:val="7B086EDB"/>
    <w:rsid w:val="7B4A207F"/>
    <w:rsid w:val="7B936F45"/>
    <w:rsid w:val="7BA47419"/>
    <w:rsid w:val="7BB10D45"/>
    <w:rsid w:val="7BB44151"/>
    <w:rsid w:val="7BEC320B"/>
    <w:rsid w:val="7BF82951"/>
    <w:rsid w:val="7C3307AB"/>
    <w:rsid w:val="7C656A39"/>
    <w:rsid w:val="7C6E21F1"/>
    <w:rsid w:val="7CB93996"/>
    <w:rsid w:val="7CBE0F99"/>
    <w:rsid w:val="7D4E45F1"/>
    <w:rsid w:val="7D733448"/>
    <w:rsid w:val="7DFB6D82"/>
    <w:rsid w:val="7E1D71D1"/>
    <w:rsid w:val="7E246254"/>
    <w:rsid w:val="7E6D090F"/>
    <w:rsid w:val="7ECC66B2"/>
    <w:rsid w:val="7EF015E4"/>
    <w:rsid w:val="7F087006"/>
    <w:rsid w:val="7F833169"/>
    <w:rsid w:val="7FA837EF"/>
    <w:rsid w:val="7FC36955"/>
    <w:rsid w:val="7FE903A0"/>
    <w:rsid w:val="7FF97946"/>
    <w:rsid w:val="7FFE788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qFormat="1" w:unhideWhenUsed="0" w:uiPriority="0" w:semiHidden="0" w:name="header"/>
    <w:lsdException w:qFormat="1" w:unhideWhenUsed="0"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semiHidden="0"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cs="宋体" w:asciiTheme="minorHAnsi" w:hAnsiTheme="minorHAnsi" w:eastAsiaTheme="minorEastAsia"/>
      <w:sz w:val="24"/>
      <w:szCs w:val="24"/>
      <w:lang w:val="en-US" w:eastAsia="zh-CN" w:bidi="ar-SA"/>
    </w:rPr>
  </w:style>
  <w:style w:type="paragraph" w:styleId="2">
    <w:name w:val="heading 1"/>
    <w:basedOn w:val="1"/>
    <w:next w:val="1"/>
    <w:qFormat/>
    <w:uiPriority w:val="0"/>
    <w:pPr>
      <w:keepNext/>
      <w:keepLines/>
      <w:numPr>
        <w:ilvl w:val="0"/>
        <w:numId w:val="1"/>
      </w:numPr>
      <w:adjustRightInd w:val="0"/>
      <w:snapToGrid w:val="0"/>
      <w:spacing w:before="340" w:after="50" w:afterLines="50" w:line="578" w:lineRule="auto"/>
      <w:jc w:val="left"/>
      <w:outlineLvl w:val="0"/>
    </w:pPr>
    <w:rPr>
      <w:rFonts w:ascii="Times New Roman" w:hAnsi="Times New Roman" w:eastAsia="仿宋" w:cs="Times New Roman"/>
      <w:b/>
      <w:bCs/>
      <w:kern w:val="44"/>
      <w:sz w:val="36"/>
      <w:szCs w:val="44"/>
    </w:rPr>
  </w:style>
  <w:style w:type="paragraph" w:styleId="3">
    <w:name w:val="heading 2"/>
    <w:basedOn w:val="1"/>
    <w:next w:val="1"/>
    <w:link w:val="15"/>
    <w:semiHidden/>
    <w:unhideWhenUsed/>
    <w:qFormat/>
    <w:uiPriority w:val="9"/>
    <w:pPr>
      <w:numPr>
        <w:ilvl w:val="1"/>
        <w:numId w:val="1"/>
      </w:numPr>
      <w:spacing w:line="416" w:lineRule="auto"/>
      <w:outlineLvl w:val="1"/>
    </w:pPr>
    <w:rPr>
      <w:rFonts w:ascii="Calibri Light" w:hAnsi="Calibri Light" w:eastAsia="宋体" w:cs="Times New Roman"/>
      <w:b/>
      <w:bCs/>
      <w:sz w:val="28"/>
      <w:szCs w:val="32"/>
    </w:rPr>
  </w:style>
  <w:style w:type="paragraph" w:styleId="4">
    <w:name w:val="heading 3"/>
    <w:basedOn w:val="1"/>
    <w:next w:val="1"/>
    <w:semiHidden/>
    <w:unhideWhenUsed/>
    <w:qFormat/>
    <w:uiPriority w:val="9"/>
    <w:pPr>
      <w:keepNext/>
      <w:keepLines/>
      <w:numPr>
        <w:ilvl w:val="2"/>
        <w:numId w:val="1"/>
      </w:numPr>
      <w:spacing w:before="50" w:beforeLines="50" w:after="50" w:afterLines="50" w:line="416" w:lineRule="auto"/>
      <w:outlineLvl w:val="2"/>
    </w:pPr>
    <w:rPr>
      <w:rFonts w:ascii="宋体" w:hAnsi="宋体" w:eastAsia="宋体"/>
      <w:b/>
      <w:bCs/>
      <w:sz w:val="32"/>
    </w:rPr>
  </w:style>
  <w:style w:type="paragraph" w:styleId="5">
    <w:name w:val="heading 4"/>
    <w:basedOn w:val="1"/>
    <w:next w:val="1"/>
    <w:semiHidden/>
    <w:unhideWhenUsed/>
    <w:qFormat/>
    <w:uiPriority w:val="9"/>
    <w:pPr>
      <w:keepNext/>
      <w:keepLines/>
      <w:numPr>
        <w:ilvl w:val="3"/>
        <w:numId w:val="1"/>
      </w:numPr>
      <w:spacing w:before="120" w:after="120"/>
      <w:outlineLvl w:val="3"/>
    </w:pPr>
    <w:rPr>
      <w:rFonts w:ascii="Calibri Light" w:hAnsi="Calibri Light" w:eastAsia="宋体" w:cs="Times New Roman"/>
      <w:b/>
      <w:bCs/>
      <w:sz w:val="28"/>
      <w:szCs w:val="28"/>
    </w:rPr>
  </w:style>
  <w:style w:type="character" w:default="1" w:styleId="13">
    <w:name w:val="Default Paragraph Font"/>
    <w:semiHidden/>
    <w:unhideWhenUsed/>
    <w:qFormat/>
    <w:uiPriority w:val="1"/>
  </w:style>
  <w:style w:type="table" w:default="1" w:styleId="11">
    <w:name w:val="Normal Table"/>
    <w:semiHidden/>
    <w:unhideWhenUsed/>
    <w:qFormat/>
    <w:uiPriority w:val="99"/>
    <w:tblPr>
      <w:tblCellMar>
        <w:top w:w="0" w:type="dxa"/>
        <w:left w:w="108" w:type="dxa"/>
        <w:bottom w:w="0" w:type="dxa"/>
        <w:right w:w="108" w:type="dxa"/>
      </w:tblCellMar>
    </w:tblPr>
  </w:style>
  <w:style w:type="paragraph" w:styleId="6">
    <w:name w:val="annotation text"/>
    <w:basedOn w:val="1"/>
    <w:semiHidden/>
    <w:unhideWhenUsed/>
    <w:qFormat/>
    <w:uiPriority w:val="99"/>
    <w:pPr>
      <w:jc w:val="left"/>
    </w:pPr>
  </w:style>
  <w:style w:type="paragraph" w:styleId="7">
    <w:name w:val="Balloon Text"/>
    <w:basedOn w:val="1"/>
    <w:link w:val="24"/>
    <w:unhideWhenUsed/>
    <w:qFormat/>
    <w:uiPriority w:val="99"/>
    <w:rPr>
      <w:rFonts w:cstheme="minorBidi"/>
      <w:kern w:val="2"/>
      <w:sz w:val="18"/>
      <w:szCs w:val="18"/>
    </w:rPr>
  </w:style>
  <w:style w:type="paragraph" w:styleId="8">
    <w:name w:val="footer"/>
    <w:basedOn w:val="1"/>
    <w:link w:val="16"/>
    <w:qFormat/>
    <w:uiPriority w:val="99"/>
    <w:pPr>
      <w:tabs>
        <w:tab w:val="center" w:pos="4153"/>
        <w:tab w:val="right" w:pos="8306"/>
      </w:tabs>
      <w:snapToGrid w:val="0"/>
      <w:jc w:val="left"/>
    </w:pPr>
    <w:rPr>
      <w:rFonts w:cstheme="minorBidi"/>
      <w:kern w:val="2"/>
      <w:sz w:val="18"/>
      <w:szCs w:val="18"/>
    </w:rPr>
  </w:style>
  <w:style w:type="paragraph" w:styleId="9">
    <w:name w:val="header"/>
    <w:basedOn w:val="1"/>
    <w:link w:val="17"/>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jc w:val="center"/>
    </w:pPr>
    <w:rPr>
      <w:rFonts w:cstheme="minorBidi"/>
      <w:kern w:val="2"/>
      <w:sz w:val="18"/>
      <w:szCs w:val="18"/>
    </w:rPr>
  </w:style>
  <w:style w:type="paragraph" w:styleId="10">
    <w:name w:val="Normal (Web)"/>
    <w:basedOn w:val="1"/>
    <w:semiHidden/>
    <w:unhideWhenUsed/>
    <w:qFormat/>
    <w:uiPriority w:val="99"/>
    <w:pPr>
      <w:spacing w:beforeAutospacing="1" w:afterAutospacing="1"/>
      <w:jc w:val="left"/>
    </w:pPr>
    <w:rPr>
      <w:rFonts w:cs="Times New Roman"/>
    </w:rPr>
  </w:style>
  <w:style w:type="table" w:styleId="12">
    <w:name w:val="Table Grid"/>
    <w:qFormat/>
    <w:uiPriority w:val="0"/>
    <w:rPr>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styleId="14">
    <w:name w:val="Strong"/>
    <w:basedOn w:val="13"/>
    <w:qFormat/>
    <w:uiPriority w:val="22"/>
    <w:rPr>
      <w:b/>
    </w:rPr>
  </w:style>
  <w:style w:type="character" w:customStyle="1" w:styleId="15">
    <w:name w:val="标题 2 Char"/>
    <w:link w:val="3"/>
    <w:qFormat/>
    <w:uiPriority w:val="0"/>
    <w:rPr>
      <w:rFonts w:ascii="Calibri Light" w:hAnsi="Calibri Light" w:eastAsia="宋体" w:cs="Times New Roman"/>
      <w:b/>
      <w:bCs/>
      <w:sz w:val="28"/>
      <w:szCs w:val="32"/>
    </w:rPr>
  </w:style>
  <w:style w:type="character" w:customStyle="1" w:styleId="16">
    <w:name w:val="页脚 Char"/>
    <w:basedOn w:val="13"/>
    <w:link w:val="8"/>
    <w:qFormat/>
    <w:uiPriority w:val="99"/>
    <w:rPr>
      <w:rFonts w:asciiTheme="minorHAnsi" w:hAnsiTheme="minorHAnsi" w:eastAsiaTheme="minorEastAsia" w:cstheme="minorBidi"/>
      <w:sz w:val="18"/>
      <w:szCs w:val="18"/>
      <w:lang w:val="en-US" w:eastAsia="zh-CN" w:bidi="ar-SA"/>
    </w:rPr>
  </w:style>
  <w:style w:type="character" w:customStyle="1" w:styleId="17">
    <w:name w:val="页眉 Char"/>
    <w:basedOn w:val="13"/>
    <w:link w:val="9"/>
    <w:qFormat/>
    <w:uiPriority w:val="0"/>
    <w:rPr>
      <w:rFonts w:asciiTheme="minorHAnsi" w:hAnsiTheme="minorHAnsi" w:eastAsiaTheme="minorEastAsia" w:cstheme="minorBidi"/>
      <w:sz w:val="18"/>
      <w:szCs w:val="18"/>
      <w:lang w:val="en-US" w:eastAsia="zh-CN" w:bidi="ar-SA"/>
    </w:rPr>
  </w:style>
  <w:style w:type="character" w:customStyle="1" w:styleId="18">
    <w:name w:val="font11"/>
    <w:basedOn w:val="13"/>
    <w:qFormat/>
    <w:uiPriority w:val="0"/>
    <w:rPr>
      <w:rFonts w:hint="eastAsia" w:ascii="宋体" w:hAnsi="宋体" w:eastAsia="宋体" w:cs="宋体"/>
      <w:color w:val="000000"/>
      <w:sz w:val="20"/>
      <w:szCs w:val="20"/>
      <w:u w:val="none"/>
      <w:lang w:val="en-US" w:eastAsia="zh-CN" w:bidi="ar-SA"/>
    </w:rPr>
  </w:style>
  <w:style w:type="character" w:customStyle="1" w:styleId="19">
    <w:name w:val="font01"/>
    <w:basedOn w:val="13"/>
    <w:qFormat/>
    <w:uiPriority w:val="0"/>
    <w:rPr>
      <w:rFonts w:hint="eastAsia" w:ascii="宋体" w:hAnsi="宋体" w:eastAsia="宋体" w:cs="宋体"/>
      <w:color w:val="000000"/>
      <w:sz w:val="22"/>
      <w:szCs w:val="22"/>
      <w:u w:val="none"/>
      <w:lang w:val="en-US" w:eastAsia="zh-CN" w:bidi="ar-SA"/>
    </w:rPr>
  </w:style>
  <w:style w:type="character" w:customStyle="1" w:styleId="20">
    <w:name w:val="font41"/>
    <w:basedOn w:val="13"/>
    <w:qFormat/>
    <w:uiPriority w:val="0"/>
    <w:rPr>
      <w:rFonts w:hint="eastAsia" w:ascii="宋体" w:hAnsi="宋体" w:eastAsia="宋体" w:cs="宋体"/>
      <w:color w:val="000000"/>
      <w:sz w:val="24"/>
      <w:szCs w:val="24"/>
      <w:u w:val="none"/>
      <w:lang w:val="en-US" w:eastAsia="zh-CN" w:bidi="ar-SA"/>
    </w:rPr>
  </w:style>
  <w:style w:type="character" w:customStyle="1" w:styleId="21">
    <w:name w:val="font31"/>
    <w:basedOn w:val="13"/>
    <w:qFormat/>
    <w:uiPriority w:val="0"/>
    <w:rPr>
      <w:rFonts w:hint="eastAsia" w:ascii="华文中宋" w:hAnsi="华文中宋" w:eastAsia="华文中宋" w:cs="华文中宋"/>
      <w:color w:val="000000"/>
      <w:sz w:val="32"/>
      <w:szCs w:val="32"/>
      <w:u w:val="none"/>
      <w:lang w:val="en-US" w:eastAsia="zh-CN" w:bidi="ar-SA"/>
    </w:rPr>
  </w:style>
  <w:style w:type="character" w:customStyle="1" w:styleId="22">
    <w:name w:val="font91"/>
    <w:basedOn w:val="13"/>
    <w:qFormat/>
    <w:uiPriority w:val="0"/>
    <w:rPr>
      <w:rFonts w:hint="eastAsia" w:ascii="华文中宋" w:hAnsi="华文中宋" w:eastAsia="华文中宋" w:cs="华文中宋"/>
      <w:color w:val="000000"/>
      <w:sz w:val="32"/>
      <w:szCs w:val="32"/>
      <w:u w:val="none"/>
      <w:lang w:val="en-US" w:eastAsia="zh-CN" w:bidi="ar-SA"/>
    </w:rPr>
  </w:style>
  <w:style w:type="character" w:customStyle="1" w:styleId="23">
    <w:name w:val="font51"/>
    <w:basedOn w:val="13"/>
    <w:qFormat/>
    <w:uiPriority w:val="0"/>
    <w:rPr>
      <w:rFonts w:hint="eastAsia" w:ascii="宋体" w:hAnsi="宋体" w:eastAsia="宋体" w:cs="宋体"/>
      <w:color w:val="000000"/>
      <w:sz w:val="24"/>
      <w:szCs w:val="24"/>
      <w:u w:val="none"/>
      <w:lang w:val="en-US" w:eastAsia="zh-CN" w:bidi="ar-SA"/>
    </w:rPr>
  </w:style>
  <w:style w:type="character" w:customStyle="1" w:styleId="24">
    <w:name w:val="批注框文本 Char"/>
    <w:basedOn w:val="13"/>
    <w:link w:val="7"/>
    <w:semiHidden/>
    <w:qFormat/>
    <w:uiPriority w:val="99"/>
    <w:rPr>
      <w:rFonts w:asciiTheme="minorHAnsi" w:hAnsiTheme="minorHAnsi" w:eastAsiaTheme="minorEastAsia" w:cstheme="minorBidi"/>
      <w:sz w:val="18"/>
      <w:szCs w:val="18"/>
      <w:lang w:val="en-US" w:eastAsia="zh-CN" w:bidi="ar-SA"/>
    </w:rPr>
  </w:style>
  <w:style w:type="character" w:customStyle="1" w:styleId="25">
    <w:name w:val="font21"/>
    <w:basedOn w:val="13"/>
    <w:qFormat/>
    <w:uiPriority w:val="0"/>
    <w:rPr>
      <w:rFonts w:ascii="Calibri" w:hAnsi="Calibri" w:cs="Calibri"/>
      <w:color w:val="000000"/>
      <w:sz w:val="20"/>
      <w:szCs w:val="20"/>
      <w:u w:val="none"/>
    </w:rPr>
  </w:style>
</w:styles>
</file>

<file path=word/_rels/document.xml.rels><?xml version="1.0" encoding="UTF-8" standalone="yes"?>
<Relationships xmlns="http://schemas.openxmlformats.org/package/2006/relationships"><Relationship Id="rId9" Type="http://schemas.openxmlformats.org/officeDocument/2006/relationships/image" Target="media/image1.jpeg"/><Relationship Id="rId8" Type="http://schemas.openxmlformats.org/officeDocument/2006/relationships/theme" Target="theme/theme1.xml"/><Relationship Id="rId7" Type="http://schemas.openxmlformats.org/officeDocument/2006/relationships/header" Target="header3.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header" Target="header2.xml"/><Relationship Id="rId3" Type="http://schemas.openxmlformats.org/officeDocument/2006/relationships/header" Target="header1.xml"/><Relationship Id="rId21" Type="http://schemas.openxmlformats.org/officeDocument/2006/relationships/fontTable" Target="fontTable.xml"/><Relationship Id="rId20" Type="http://schemas.openxmlformats.org/officeDocument/2006/relationships/numbering" Target="numbering.xml"/><Relationship Id="rId2" Type="http://schemas.openxmlformats.org/officeDocument/2006/relationships/settings" Target="settings.xml"/><Relationship Id="rId19" Type="http://schemas.openxmlformats.org/officeDocument/2006/relationships/customXml" Target="../customXml/item1.xml"/><Relationship Id="rId18" Type="http://schemas.openxmlformats.org/officeDocument/2006/relationships/chart" Target="charts/chart4.xml"/><Relationship Id="rId17" Type="http://schemas.openxmlformats.org/officeDocument/2006/relationships/chart" Target="charts/chart3.xml"/><Relationship Id="rId16" Type="http://schemas.openxmlformats.org/officeDocument/2006/relationships/chart" Target="charts/chart2.xml"/><Relationship Id="rId15" Type="http://schemas.openxmlformats.org/officeDocument/2006/relationships/chart" Target="charts/chart1.xml"/><Relationship Id="rId14" Type="http://schemas.openxmlformats.org/officeDocument/2006/relationships/image" Target="media/image1.svg"/><Relationship Id="rId13" Type="http://schemas.openxmlformats.org/officeDocument/2006/relationships/image" Target="media/image5.png"/><Relationship Id="rId12" Type="http://schemas.openxmlformats.org/officeDocument/2006/relationships/image" Target="media/image4.jpeg"/><Relationship Id="rId11" Type="http://schemas.openxmlformats.org/officeDocument/2006/relationships/image" Target="media/image3.jpeg"/><Relationship Id="rId10" Type="http://schemas.openxmlformats.org/officeDocument/2006/relationships/image" Target="media/image2.jpeg"/><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9" Type="http://schemas.openxmlformats.org/officeDocument/2006/relationships/font" Target="fonts/font9.odttf"/><Relationship Id="rId8" Type="http://schemas.openxmlformats.org/officeDocument/2006/relationships/font" Target="fonts/font8.odttf"/><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2" Type="http://schemas.openxmlformats.org/officeDocument/2006/relationships/font" Target="fonts/font12.odttf"/><Relationship Id="rId11" Type="http://schemas.openxmlformats.org/officeDocument/2006/relationships/font" Target="fonts/font11.odttf"/><Relationship Id="rId10" Type="http://schemas.openxmlformats.org/officeDocument/2006/relationships/font" Target="fonts/font10.odttf"/><Relationship Id="rId1" Type="http://schemas.openxmlformats.org/officeDocument/2006/relationships/font" Target="fonts/font1.odttf"/></Relationships>
</file>

<file path=word/charts/_rels/chart1.xml.rels><?xml version="1.0" encoding="UTF-8" standalone="yes"?>
<Relationships xmlns="http://schemas.openxmlformats.org/package/2006/relationships"><Relationship Id="rId1" Type="http://schemas.openxmlformats.org/officeDocument/2006/relationships/package" Target="../embeddings/Workbook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Workbook4.xlsx"/></Relationships>
</file>

<file path=word/charts/_rels/chart3.xml.rels><?xml version="1.0" encoding="UTF-8" standalone="yes"?>
<Relationships xmlns="http://schemas.openxmlformats.org/package/2006/relationships"><Relationship Id="rId1" Type="http://schemas.openxmlformats.org/officeDocument/2006/relationships/package" Target="../embeddings/Workbook2.xlsx"/></Relationships>
</file>

<file path=word/charts/_rels/chart4.xml.rels><?xml version="1.0" encoding="UTF-8" standalone="yes"?>
<Relationships xmlns="http://schemas.openxmlformats.org/package/2006/relationships"><Relationship Id="rId1" Type="http://schemas.openxmlformats.org/officeDocument/2006/relationships/package" Target="../embeddings/Workbook3.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1 </a:t>
            </a:r>
            <a:r>
              <a:rPr lang="zh-CN" altLang="en-US"/>
              <a:t>： </a:t>
            </a:r>
            <a:r>
              <a:rPr lang="en-US" altLang="zh-CN"/>
              <a:t>2022-2023</a:t>
            </a:r>
            <a:r>
              <a:rPr lang="zh-CN" altLang="en-US"/>
              <a:t>年收支总计对比图</a:t>
            </a:r>
            <a:endParaRPr lang="zh-CN" altLang="en-US"/>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收支总计</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prstDash val="solid"/>
                      <a:round/>
                    </a:ln>
                    <a:effectLst/>
                  </c:spPr>
                </c15:leaderLines>
              </c:ext>
            </c:extLst>
          </c:dLbls>
          <c:cat>
            <c:strRef>
              <c:f>Sheet1!$A$2:$A$3</c:f>
              <c:strCache>
                <c:ptCount val="2"/>
                <c:pt idx="0">
                  <c:v>2022年</c:v>
                </c:pt>
                <c:pt idx="1">
                  <c:v>2023年</c:v>
                </c:pt>
              </c:strCache>
            </c:strRef>
          </c:cat>
          <c:val>
            <c:numRef>
              <c:f>Sheet1!$B$2:$B$3</c:f>
              <c:numCache>
                <c:formatCode>General</c:formatCode>
                <c:ptCount val="2"/>
                <c:pt idx="0">
                  <c:v>1004.8</c:v>
                </c:pt>
                <c:pt idx="1">
                  <c:v>859.16</c:v>
                </c:pt>
              </c:numCache>
            </c:numRef>
          </c:val>
        </c:ser>
        <c:dLbls>
          <c:showLegendKey val="0"/>
          <c:showVal val="1"/>
          <c:showCatName val="0"/>
          <c:showSerName val="0"/>
          <c:showPercent val="0"/>
          <c:showBubbleSize val="0"/>
        </c:dLbls>
        <c:gapWidth val="246"/>
        <c:overlap val="-28"/>
        <c:axId val="125841408"/>
        <c:axId val="125844096"/>
      </c:barChart>
      <c:catAx>
        <c:axId val="125841408"/>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prstDash val="solid"/>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125844096"/>
        <c:crosses val="autoZero"/>
        <c:auto val="1"/>
        <c:lblAlgn val="ctr"/>
        <c:lblOffset val="100"/>
        <c:noMultiLvlLbl val="0"/>
      </c:catAx>
      <c:valAx>
        <c:axId val="125844096"/>
        <c:scaling>
          <c:orientation val="minMax"/>
        </c:scaling>
        <c:delete val="0"/>
        <c:axPos val="l"/>
        <c:majorGridlines>
          <c:spPr>
            <a:ln w="9525" cap="flat" cmpd="sng" algn="ctr">
              <a:solidFill>
                <a:schemeClr val="lt1">
                  <a:lumMod val="90200"/>
                </a:schemeClr>
              </a:solidFill>
              <a:prstDash val="solid"/>
              <a:round/>
            </a:ln>
            <a:effectLst/>
          </c:spPr>
        </c:majorGridlines>
        <c:numFmt formatCode="General" sourceLinked="1"/>
        <c:majorTickMark val="none"/>
        <c:minorTickMark val="none"/>
        <c:tickLblPos val="nextTo"/>
        <c:spPr>
          <a:noFill/>
          <a:ln w="12700" cap="flat" cmpd="sng" algn="ctr">
            <a:noFill/>
            <a:prstDash val="solid"/>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125841408"/>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prstDash val="solid"/>
      <a:round/>
    </a:ln>
    <a:effectLst/>
  </c:spPr>
  <c:txPr>
    <a:bodyPr/>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4 </a:t>
            </a:r>
            <a:r>
              <a:rPr lang="zh-CN" altLang="en-US"/>
              <a:t>：</a:t>
            </a:r>
            <a:r>
              <a:rPr lang="en-US" altLang="zh-CN"/>
              <a:t>2022-2023</a:t>
            </a:r>
            <a:r>
              <a:rPr lang="zh-CN" altLang="en-US"/>
              <a:t>年财政拨款收支对比图</a:t>
            </a:r>
            <a:endParaRPr lang="zh-CN" altLang="en-US"/>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2022年</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prstDash val="solid"/>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Sheet1!$B$2:$B$9</c:f>
              <c:numCache>
                <c:formatCode>General</c:formatCode>
                <c:ptCount val="8"/>
                <c:pt idx="0">
                  <c:v>1004.8</c:v>
                </c:pt>
                <c:pt idx="1">
                  <c:v>1004.8</c:v>
                </c:pt>
                <c:pt idx="2">
                  <c:v>1004.8</c:v>
                </c:pt>
                <c:pt idx="3">
                  <c:v>1004.8</c:v>
                </c:pt>
                <c:pt idx="4">
                  <c:v>0</c:v>
                </c:pt>
                <c:pt idx="5">
                  <c:v>0</c:v>
                </c:pt>
                <c:pt idx="6">
                  <c:v>0</c:v>
                </c:pt>
                <c:pt idx="7">
                  <c:v>0</c:v>
                </c:pt>
              </c:numCache>
            </c:numRef>
          </c:val>
        </c:ser>
        <c:ser>
          <c:idx val="1"/>
          <c:order val="1"/>
          <c:tx>
            <c:strRef>
              <c:f>Sheet1!$C$1</c:f>
              <c:strCache>
                <c:ptCount val="1"/>
                <c:pt idx="0">
                  <c:v>2023年</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prstDash val="solid"/>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Sheet1!$C$2:$C$9</c:f>
              <c:numCache>
                <c:formatCode>General</c:formatCode>
                <c:ptCount val="8"/>
                <c:pt idx="0">
                  <c:v>859.16</c:v>
                </c:pt>
                <c:pt idx="1">
                  <c:v>859.16</c:v>
                </c:pt>
                <c:pt idx="2">
                  <c:v>859.16</c:v>
                </c:pt>
                <c:pt idx="3">
                  <c:v>859.16</c:v>
                </c:pt>
                <c:pt idx="4">
                  <c:v>0</c:v>
                </c:pt>
                <c:pt idx="5">
                  <c:v>0</c:v>
                </c:pt>
                <c:pt idx="6">
                  <c:v>0</c:v>
                </c:pt>
                <c:pt idx="7">
                  <c:v>0</c:v>
                </c:pt>
              </c:numCache>
            </c:numRef>
          </c:val>
        </c:ser>
        <c:dLbls>
          <c:showLegendKey val="0"/>
          <c:showVal val="1"/>
          <c:showCatName val="0"/>
          <c:showSerName val="0"/>
          <c:showPercent val="0"/>
          <c:showBubbleSize val="0"/>
        </c:dLbls>
        <c:gapWidth val="246"/>
        <c:overlap val="-28"/>
        <c:axId val="127612416"/>
        <c:axId val="127613952"/>
      </c:barChart>
      <c:catAx>
        <c:axId val="127612416"/>
        <c:scaling>
          <c:orientation val="minMax"/>
        </c:scaling>
        <c:delete val="0"/>
        <c:axPos val="b"/>
        <c:numFmt formatCode="General" sourceLinked="0"/>
        <c:majorTickMark val="out"/>
        <c:minorTickMark val="none"/>
        <c:tickLblPos val="nextTo"/>
        <c:spPr>
          <a:noFill/>
          <a:ln w="9525" cap="flat" cmpd="sng" algn="ctr">
            <a:solidFill>
              <a:schemeClr val="tx1">
                <a:lumMod val="15000"/>
                <a:lumOff val="85000"/>
              </a:schemeClr>
            </a:solidFill>
            <a:prstDash val="solid"/>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127613952"/>
        <c:crosses val="autoZero"/>
        <c:auto val="1"/>
        <c:lblAlgn val="ctr"/>
        <c:lblOffset val="100"/>
        <c:noMultiLvlLbl val="0"/>
      </c:catAx>
      <c:valAx>
        <c:axId val="127613952"/>
        <c:scaling>
          <c:orientation val="minMax"/>
        </c:scaling>
        <c:delete val="0"/>
        <c:axPos val="l"/>
        <c:majorGridlines>
          <c:spPr>
            <a:ln w="9525" cap="flat" cmpd="sng" algn="ctr">
              <a:solidFill>
                <a:schemeClr val="lt1">
                  <a:lumMod val="90200"/>
                </a:schemeClr>
              </a:solidFill>
              <a:prstDash val="solid"/>
              <a:round/>
            </a:ln>
            <a:effectLst/>
          </c:spPr>
        </c:majorGridlines>
        <c:numFmt formatCode="General" sourceLinked="1"/>
        <c:majorTickMark val="out"/>
        <c:minorTickMark val="none"/>
        <c:tickLblPos val="nextTo"/>
        <c:spPr>
          <a:noFill/>
          <a:ln w="12700" cap="flat" cmpd="sng" algn="ctr">
            <a:noFill/>
            <a:prstDash val="solid"/>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127612416"/>
        <c:crosses val="autoZero"/>
        <c:crossBetween val="between"/>
      </c:valAx>
      <c:dTable>
        <c:showHorzBorder val="1"/>
        <c:showVertBorder val="1"/>
        <c:showOutline val="1"/>
        <c:showKeys val="1"/>
        <c:spPr>
          <a:noFill/>
          <a:ln w="9525" cap="flat" cmpd="sng" algn="ctr">
            <a:solidFill>
              <a:schemeClr val="tx1">
                <a:lumMod val="15000"/>
                <a:lumOff val="85000"/>
              </a:schemeClr>
            </a:solidFill>
            <a:prstDash val="solid"/>
            <a:round/>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dTable>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prstDash val="solid"/>
      <a:round/>
    </a:ln>
    <a:effectLst/>
  </c:spPr>
  <c:txPr>
    <a:bodyPr/>
    <a:lstStyle/>
    <a:p>
      <a:pPr>
        <a:defRPr lang="zh-CN"/>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5 :</a:t>
            </a:r>
            <a:r>
              <a:rPr lang="zh-CN" altLang="en-US"/>
              <a:t>财政拨款收支预算对比图</a:t>
            </a:r>
            <a:endParaRPr lang="zh-CN" altLang="en-US"/>
          </a:p>
        </c:rich>
      </c:tx>
      <c:layout/>
      <c:overlay val="0"/>
      <c:spPr>
        <a:noFill/>
        <a:ln>
          <a:noFill/>
        </a:ln>
        <a:effectLst/>
      </c:spPr>
    </c:title>
    <c:autoTitleDeleted val="0"/>
    <c:plotArea>
      <c:layout>
        <c:manualLayout>
          <c:layoutTarget val="inner"/>
          <c:xMode val="edge"/>
          <c:yMode val="edge"/>
          <c:x val="0.17641942498188"/>
          <c:y val="0.160433489162771"/>
          <c:w val="0.795796086011114"/>
          <c:h val="0.474330641733957"/>
        </c:manualLayout>
      </c:layout>
      <c:barChart>
        <c:barDir val="col"/>
        <c:grouping val="clustered"/>
        <c:varyColors val="0"/>
        <c:ser>
          <c:idx val="0"/>
          <c:order val="0"/>
          <c:tx>
            <c:strRef>
              <c:f>Sheet1!$B$1</c:f>
              <c:strCache>
                <c:ptCount val="1"/>
                <c:pt idx="0">
                  <c:v>年初预算数</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prstDash val="solid"/>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Sheet1!$B$2:$B$9</c:f>
              <c:numCache>
                <c:formatCode>General</c:formatCode>
                <c:ptCount val="8"/>
                <c:pt idx="0">
                  <c:v>874.17</c:v>
                </c:pt>
                <c:pt idx="1">
                  <c:v>874.17</c:v>
                </c:pt>
                <c:pt idx="2">
                  <c:v>874.17</c:v>
                </c:pt>
                <c:pt idx="3">
                  <c:v>874.17</c:v>
                </c:pt>
                <c:pt idx="4">
                  <c:v>0</c:v>
                </c:pt>
                <c:pt idx="5">
                  <c:v>0</c:v>
                </c:pt>
                <c:pt idx="6">
                  <c:v>0</c:v>
                </c:pt>
                <c:pt idx="7">
                  <c:v>0</c:v>
                </c:pt>
              </c:numCache>
            </c:numRef>
          </c:val>
        </c:ser>
        <c:ser>
          <c:idx val="1"/>
          <c:order val="1"/>
          <c:tx>
            <c:strRef>
              <c:f>Sheet1!$C$1</c:f>
              <c:strCache>
                <c:ptCount val="1"/>
                <c:pt idx="0">
                  <c:v>决算数</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prstDash val="solid"/>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Sheet1!$C$2:$C$9</c:f>
              <c:numCache>
                <c:formatCode>General</c:formatCode>
                <c:ptCount val="8"/>
                <c:pt idx="0">
                  <c:v>859.16</c:v>
                </c:pt>
                <c:pt idx="1">
                  <c:v>859.16</c:v>
                </c:pt>
                <c:pt idx="2">
                  <c:v>859.16</c:v>
                </c:pt>
                <c:pt idx="3">
                  <c:v>859.16</c:v>
                </c:pt>
                <c:pt idx="4">
                  <c:v>0</c:v>
                </c:pt>
                <c:pt idx="5">
                  <c:v>0</c:v>
                </c:pt>
                <c:pt idx="6">
                  <c:v>0</c:v>
                </c:pt>
                <c:pt idx="7">
                  <c:v>0</c:v>
                </c:pt>
              </c:numCache>
            </c:numRef>
          </c:val>
        </c:ser>
        <c:dLbls>
          <c:showLegendKey val="0"/>
          <c:showVal val="1"/>
          <c:showCatName val="0"/>
          <c:showSerName val="0"/>
          <c:showPercent val="0"/>
          <c:showBubbleSize val="0"/>
        </c:dLbls>
        <c:gapWidth val="150"/>
        <c:axId val="127650048"/>
        <c:axId val="127651840"/>
      </c:barChart>
      <c:catAx>
        <c:axId val="127650048"/>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prstDash val="solid"/>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127651840"/>
        <c:crosses val="autoZero"/>
        <c:auto val="1"/>
        <c:lblAlgn val="ctr"/>
        <c:lblOffset val="100"/>
        <c:noMultiLvlLbl val="0"/>
      </c:catAx>
      <c:valAx>
        <c:axId val="127651840"/>
        <c:scaling>
          <c:orientation val="minMax"/>
        </c:scaling>
        <c:delete val="0"/>
        <c:axPos val="l"/>
        <c:majorGridlines>
          <c:spPr>
            <a:ln w="9525" cap="flat" cmpd="sng" algn="ctr">
              <a:solidFill>
                <a:schemeClr val="lt1">
                  <a:lumMod val="90200"/>
                </a:schemeClr>
              </a:solidFill>
              <a:prstDash val="solid"/>
              <a:round/>
            </a:ln>
            <a:effectLst/>
          </c:spPr>
        </c:majorGridlines>
        <c:numFmt formatCode="General" sourceLinked="1"/>
        <c:majorTickMark val="none"/>
        <c:minorTickMark val="none"/>
        <c:tickLblPos val="nextTo"/>
        <c:spPr>
          <a:noFill/>
          <a:ln w="12700" cap="flat" cmpd="sng" algn="ctr">
            <a:noFill/>
            <a:prstDash val="solid"/>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127650048"/>
        <c:crosses val="autoZero"/>
        <c:crossBetween val="between"/>
      </c:valAx>
      <c:dTable>
        <c:showHorzBorder val="1"/>
        <c:showVertBorder val="1"/>
        <c:showOutline val="1"/>
        <c:showKeys val="1"/>
        <c:spPr>
          <a:noFill/>
          <a:ln w="9525" cap="flat" cmpd="sng" algn="ctr">
            <a:solidFill>
              <a:schemeClr val="tx1">
                <a:lumMod val="15000"/>
                <a:lumOff val="85000"/>
              </a:schemeClr>
            </a:solidFill>
            <a:prstDash val="solid"/>
            <a:round/>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dTable>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prstDash val="solid"/>
      <a:round/>
    </a:ln>
    <a:effectLst/>
  </c:spPr>
  <c:txPr>
    <a:bodyPr/>
    <a:lstStyle/>
    <a:p>
      <a:pPr>
        <a:defRPr lang="zh-CN"/>
      </a:pPr>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defRPr lang="zh-CN" sz="1400" b="1" i="0" u="none" strike="noStrike" kern="1200" baseline="0">
                <a:solidFill>
                  <a:schemeClr val="tx1">
                    <a:lumMod val="75000"/>
                    <a:lumOff val="25000"/>
                  </a:schemeClr>
                </a:solidFill>
                <a:latin typeface="+mn-lt"/>
                <a:ea typeface="+mn-ea"/>
                <a:cs typeface="+mn-cs"/>
              </a:defRPr>
            </a:pPr>
            <a:r>
              <a:rPr lang="zh-CN" altLang="en-US"/>
              <a:t>图</a:t>
            </a:r>
            <a:r>
              <a:rPr lang="en-US" altLang="zh-CN"/>
              <a:t>6  : </a:t>
            </a:r>
            <a:r>
              <a:rPr lang="zh-CN" altLang="en-US"/>
              <a:t>财政拨款支出决算构成情况图</a:t>
            </a:r>
            <a:endParaRPr lang="zh-CN" altLang="en-US"/>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Pt>
            <c:idx val="5"/>
            <c:bubble3D val="0"/>
            <c:spPr>
              <a:solidFill>
                <a:schemeClr val="accent6"/>
              </a:solidFill>
              <a:ln>
                <a:solidFill>
                  <a:schemeClr val="bg1"/>
                </a:solidFill>
              </a:ln>
              <a:effectLst/>
            </c:spPr>
          </c:dPt>
          <c:dPt>
            <c:idx val="6"/>
            <c:bubble3D val="0"/>
            <c:spPr>
              <a:solidFill>
                <a:schemeClr val="accent1">
                  <a:lumMod val="60000"/>
                </a:schemeClr>
              </a:solidFill>
              <a:ln>
                <a:solidFill>
                  <a:schemeClr val="bg1"/>
                </a:solidFill>
              </a:ln>
              <a:effectLst/>
            </c:spPr>
          </c:dPt>
          <c:dPt>
            <c:idx val="7"/>
            <c:bubble3D val="0"/>
            <c:spPr>
              <a:solidFill>
                <a:schemeClr val="accent2">
                  <a:lumMod val="60000"/>
                </a:schemeClr>
              </a:solidFill>
              <a:ln>
                <a:solidFill>
                  <a:schemeClr val="bg1"/>
                </a:solidFill>
              </a:ln>
              <a:effectLst/>
            </c:spPr>
          </c:dPt>
          <c:dPt>
            <c:idx val="8"/>
            <c:bubble3D val="0"/>
            <c:spPr>
              <a:solidFill>
                <a:schemeClr val="accent3">
                  <a:lumMod val="60000"/>
                </a:schemeClr>
              </a:solidFill>
              <a:ln>
                <a:solidFill>
                  <a:schemeClr val="bg1"/>
                </a:solidFill>
              </a:ln>
              <a:effectLst/>
            </c:spPr>
          </c:dPt>
          <c:dPt>
            <c:idx val="9"/>
            <c:bubble3D val="0"/>
            <c:spPr>
              <a:solidFill>
                <a:schemeClr val="accent4">
                  <a:lumMod val="60000"/>
                </a:schemeClr>
              </a:solidFill>
              <a:ln>
                <a:solidFill>
                  <a:schemeClr val="bg1"/>
                </a:solidFill>
              </a:ln>
              <a:effectLst/>
            </c:spPr>
          </c:dPt>
          <c:dPt>
            <c:idx val="10"/>
            <c:bubble3D val="0"/>
            <c:spPr>
              <a:solidFill>
                <a:schemeClr val="accent5">
                  <a:lumMod val="60000"/>
                </a:schemeClr>
              </a:solidFill>
              <a:ln>
                <a:solidFill>
                  <a:schemeClr val="bg1"/>
                </a:solidFill>
              </a:ln>
              <a:effectLst/>
            </c:spPr>
          </c:dPt>
          <c:dPt>
            <c:idx val="11"/>
            <c:bubble3D val="0"/>
            <c:spPr>
              <a:solidFill>
                <a:schemeClr val="accent6">
                  <a:lumMod val="60000"/>
                </a:schemeClr>
              </a:solidFill>
              <a:ln>
                <a:solidFill>
                  <a:schemeClr val="bg1"/>
                </a:solidFill>
              </a:ln>
              <a:effectLst/>
            </c:spPr>
          </c:dPt>
          <c:dPt>
            <c:idx val="12"/>
            <c:bubble3D val="0"/>
            <c:spPr>
              <a:solidFill>
                <a:schemeClr val="accent1">
                  <a:lumMod val="80000"/>
                  <a:lumOff val="20000"/>
                </a:schemeClr>
              </a:solidFill>
              <a:ln>
                <a:solidFill>
                  <a:schemeClr val="bg1"/>
                </a:solidFill>
              </a:ln>
              <a:effectLst/>
            </c:spPr>
          </c:dPt>
          <c:dPt>
            <c:idx val="13"/>
            <c:bubble3D val="0"/>
            <c:spPr>
              <a:solidFill>
                <a:schemeClr val="accent2">
                  <a:lumMod val="80000"/>
                  <a:lumOff val="20000"/>
                </a:schemeClr>
              </a:solidFill>
              <a:ln>
                <a:solidFill>
                  <a:schemeClr val="bg1"/>
                </a:solidFill>
              </a:ln>
              <a:effectLst/>
            </c:spPr>
          </c:dPt>
          <c:dPt>
            <c:idx val="14"/>
            <c:bubble3D val="0"/>
            <c:spPr>
              <a:solidFill>
                <a:schemeClr val="accent3">
                  <a:lumMod val="80000"/>
                  <a:lumOff val="20000"/>
                </a:schemeClr>
              </a:solidFill>
              <a:ln>
                <a:solidFill>
                  <a:schemeClr val="bg1"/>
                </a:solidFill>
              </a:ln>
              <a:effectLst/>
            </c:spPr>
          </c:dPt>
          <c:dPt>
            <c:idx val="15"/>
            <c:bubble3D val="0"/>
            <c:spPr>
              <a:solidFill>
                <a:schemeClr val="accent4">
                  <a:lumMod val="80000"/>
                  <a:lumOff val="20000"/>
                </a:schemeClr>
              </a:solidFill>
              <a:ln>
                <a:solidFill>
                  <a:schemeClr val="bg1"/>
                </a:solidFill>
              </a:ln>
              <a:effectLst/>
            </c:spPr>
          </c:dPt>
          <c:dPt>
            <c:idx val="16"/>
            <c:bubble3D val="0"/>
            <c:spPr>
              <a:solidFill>
                <a:schemeClr val="accent5">
                  <a:lumMod val="80000"/>
                  <a:lumOff val="20000"/>
                </a:schemeClr>
              </a:solidFill>
              <a:ln>
                <a:solidFill>
                  <a:schemeClr val="bg1"/>
                </a:solidFill>
              </a:ln>
              <a:effectLst/>
            </c:spPr>
          </c:dPt>
          <c:dPt>
            <c:idx val="17"/>
            <c:bubble3D val="0"/>
            <c:spPr>
              <a:solidFill>
                <a:schemeClr val="accent6">
                  <a:lumMod val="80000"/>
                  <a:lumOff val="20000"/>
                </a:schemeClr>
              </a:solidFill>
              <a:ln>
                <a:solidFill>
                  <a:schemeClr val="bg1"/>
                </a:solidFill>
              </a:ln>
              <a:effectLst/>
            </c:spPr>
          </c:dPt>
          <c:dPt>
            <c:idx val="18"/>
            <c:bubble3D val="0"/>
            <c:spPr>
              <a:solidFill>
                <a:schemeClr val="accent1">
                  <a:lumMod val="80000"/>
                </a:schemeClr>
              </a:solidFill>
              <a:ln>
                <a:solidFill>
                  <a:schemeClr val="bg1"/>
                </a:solidFill>
              </a:ln>
              <a:effectLst/>
            </c:spPr>
          </c:dPt>
          <c:dPt>
            <c:idx val="19"/>
            <c:bubble3D val="0"/>
            <c:spPr>
              <a:solidFill>
                <a:schemeClr val="accent2">
                  <a:lumMod val="80000"/>
                </a:schemeClr>
              </a:solidFill>
              <a:ln>
                <a:solidFill>
                  <a:schemeClr val="bg1"/>
                </a:solidFill>
              </a:ln>
              <a:effectLst/>
            </c:spPr>
          </c:dPt>
          <c:dPt>
            <c:idx val="20"/>
            <c:bubble3D val="0"/>
            <c:spPr>
              <a:solidFill>
                <a:schemeClr val="accent3">
                  <a:lumMod val="80000"/>
                </a:schemeClr>
              </a:solidFill>
              <a:ln>
                <a:solidFill>
                  <a:schemeClr val="bg1"/>
                </a:solidFill>
              </a:ln>
              <a:effectLst/>
            </c:spPr>
          </c:dPt>
          <c:dPt>
            <c:idx val="21"/>
            <c:bubble3D val="0"/>
            <c:spPr>
              <a:solidFill>
                <a:schemeClr val="accent4">
                  <a:lumMod val="80000"/>
                </a:schemeClr>
              </a:solidFill>
              <a:ln>
                <a:solidFill>
                  <a:schemeClr val="bg1"/>
                </a:solidFill>
              </a:ln>
              <a:effectLst/>
            </c:spPr>
          </c:dPt>
          <c:dLbls>
            <c:delete val="1"/>
          </c:dLbls>
          <c:cat>
            <c:strRef>
              <c:f>Sheet1!$A$2:$A$23</c:f>
              <c:strCache>
                <c:ptCount val="22"/>
                <c:pt idx="0">
                  <c:v>一般公共服务支出</c:v>
                </c:pt>
                <c:pt idx="1">
                  <c:v>国防支出</c:v>
                </c:pt>
                <c:pt idx="2">
                  <c:v>公共安全支出</c:v>
                </c:pt>
                <c:pt idx="3">
                  <c:v>教育支出</c:v>
                </c:pt>
                <c:pt idx="4">
                  <c:v>科学技术支出</c:v>
                </c:pt>
                <c:pt idx="5">
                  <c:v>文化旅游体育与传媒支出</c:v>
                </c:pt>
                <c:pt idx="6">
                  <c:v>社会保障和就业支出</c:v>
                </c:pt>
                <c:pt idx="7">
                  <c:v>卫生健康支出</c:v>
                </c:pt>
                <c:pt idx="8">
                  <c:v>节能环保支出</c:v>
                </c:pt>
                <c:pt idx="9">
                  <c:v>城乡社区支出</c:v>
                </c:pt>
                <c:pt idx="10">
                  <c:v>农林水支出</c:v>
                </c:pt>
                <c:pt idx="11">
                  <c:v>交通运输支出</c:v>
                </c:pt>
                <c:pt idx="12">
                  <c:v>资源勘探工业信息等支出</c:v>
                </c:pt>
                <c:pt idx="13">
                  <c:v>商业服务业等支出</c:v>
                </c:pt>
                <c:pt idx="14">
                  <c:v>金融支出</c:v>
                </c:pt>
                <c:pt idx="15">
                  <c:v>自然资源海洋气象等支出</c:v>
                </c:pt>
                <c:pt idx="16">
                  <c:v>住房保障支出</c:v>
                </c:pt>
                <c:pt idx="17">
                  <c:v>粮油物资储备支出</c:v>
                </c:pt>
                <c:pt idx="18">
                  <c:v>国有资本经营预算支出</c:v>
                </c:pt>
                <c:pt idx="19">
                  <c:v>灾害防治及应急管理支出</c:v>
                </c:pt>
                <c:pt idx="20">
                  <c:v>其他支出</c:v>
                </c:pt>
                <c:pt idx="21">
                  <c:v>债务付息支出</c:v>
                </c:pt>
              </c:strCache>
            </c:strRef>
          </c:cat>
          <c:val>
            <c:numRef>
              <c:f>Sheet1!$B$2:$B$23</c:f>
              <c:numCache>
                <c:formatCode>General</c:formatCode>
                <c:ptCount val="22"/>
                <c:pt idx="0">
                  <c:v>562.23</c:v>
                </c:pt>
                <c:pt idx="1">
                  <c:v>0</c:v>
                </c:pt>
                <c:pt idx="2">
                  <c:v>0</c:v>
                </c:pt>
                <c:pt idx="3">
                  <c:v>0</c:v>
                </c:pt>
                <c:pt idx="4">
                  <c:v>0</c:v>
                </c:pt>
                <c:pt idx="5">
                  <c:v>0</c:v>
                </c:pt>
                <c:pt idx="6">
                  <c:v>228.33</c:v>
                </c:pt>
                <c:pt idx="7">
                  <c:v>28.69</c:v>
                </c:pt>
                <c:pt idx="8">
                  <c:v>0</c:v>
                </c:pt>
                <c:pt idx="9">
                  <c:v>0</c:v>
                </c:pt>
                <c:pt idx="10">
                  <c:v>0</c:v>
                </c:pt>
                <c:pt idx="11">
                  <c:v>0</c:v>
                </c:pt>
                <c:pt idx="12">
                  <c:v>0</c:v>
                </c:pt>
                <c:pt idx="13">
                  <c:v>0</c:v>
                </c:pt>
                <c:pt idx="14">
                  <c:v>0</c:v>
                </c:pt>
                <c:pt idx="15">
                  <c:v>0</c:v>
                </c:pt>
                <c:pt idx="16">
                  <c:v>39.91</c:v>
                </c:pt>
                <c:pt idx="17">
                  <c:v>0</c:v>
                </c:pt>
                <c:pt idx="18">
                  <c:v>0</c:v>
                </c:pt>
                <c:pt idx="19">
                  <c:v>0</c:v>
                </c:pt>
                <c:pt idx="20">
                  <c:v>0</c:v>
                </c:pt>
                <c:pt idx="21">
                  <c:v>0</c:v>
                </c:pt>
              </c:numCache>
            </c:numRef>
          </c:val>
        </c:ser>
        <c:dLbls>
          <c:showLegendKey val="0"/>
          <c:showVal val="0"/>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prstDash val="solid"/>
      <a:round/>
    </a:ln>
    <a:effectLst/>
  </c:spPr>
  <c:txPr>
    <a:bodyPr/>
    <a:lstStyle/>
    <a:p>
      <a:pPr>
        <a:defRPr lang="zh-CN"/>
      </a:pPr>
    </a:p>
  </c:txPr>
  <c:externalData r:id="rId1">
    <c:autoUpdate val="0"/>
  </c:externalData>
</c:chartSpace>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神州网信技术有限公司</Company>
  <Pages>41</Pages>
  <Words>2223</Words>
  <Characters>12676</Characters>
  <Lines>105</Lines>
  <Paragraphs>29</Paragraphs>
  <TotalTime>2</TotalTime>
  <ScaleCrop>false</ScaleCrop>
  <LinksUpToDate>false</LinksUpToDate>
  <CharactersWithSpaces>14870</CharactersWithSpaces>
  <Application>WPS Office_11.8.6.8810_F1E327BC-269C-435d-A152-05C5408002CA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2024-09-23T01:01:00Z</dcterms:created>
  <dc:creator>王明新TIAD</dc:creator>
  <cp:lastModifiedBy>Administrator</cp:lastModifiedBy>
  <cp:lastPrinted>2023-08-04T01:00:00Z</cp:lastPrinted>
  <dcterms:modified xsi:type="dcterms:W3CDTF">2024-10-08T08:54:41Z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2052-11.8.6.8810</vt:lpwstr>
  </property>
  <property fmtid="{D5CDD505-2E9C-101B-9397-08002B2CF9AE}" pid="3" name="ICV">
    <vt:lpwstr>C606A1F9AFE24290B52D98FABC930B66_12</vt:lpwstr>
  </property>
  <property fmtid="{D5CDD505-2E9C-101B-9397-08002B2CF9AE}" pid="4" name="KSOTemplateUUID">
    <vt:lpwstr>v1.0_mb_S7ajbG3IpAnL1wSthNCxfw==</vt:lpwstr>
  </property>
</Properties>
</file>