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9"/>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r>
        <w:rPr>
          <w:rFonts w:hint="eastAsia"/>
          <w:lang w:val="en-US" w:eastAsia="zh-CN"/>
        </w:rPr>
        <w:t xml:space="preserve"> </w: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818001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：石家庄市鹿泉区上寨乡人民政府(本级)</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Times New Roman" w:hAnsi="Times New Roman" w:eastAsia="仿宋_GB2312"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上寨</w:t>
      </w:r>
      <w:r>
        <w:rPr>
          <w:rFonts w:hint="eastAsia" w:ascii="仿宋" w:hAnsi="仿宋" w:eastAsia="仿宋" w:cs="仿宋"/>
          <w:sz w:val="32"/>
          <w:szCs w:val="32"/>
        </w:rPr>
        <w:t>乡党委、人大、政府主要职责：</w:t>
      </w:r>
    </w:p>
    <w:p>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1、宣传贯彻执行党的路线方针政策和党中央、上级党组织 及本乡党员代表大会（党员大会）的决议。贯彻执行法律、法规、 规章和上级人民代表大会及其常务委员会决议及上级政府的决 定、命令，执行本级人民代表大会的决议。</w:t>
      </w:r>
    </w:p>
    <w:p>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2、讨论和决定本乡经济建设、政治建设、文化建设、社会 建设、生态文明建设和党的建设以及乡村振兴中的重大问题。 </w:t>
      </w:r>
    </w:p>
    <w:p>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3、组织召开本级人民代表大会，充分行使重大事项决定权、 监督权和任免权，做好人大代表工作，联系选民、反映群众意见 和要求。 </w:t>
      </w:r>
    </w:p>
    <w:p>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4、执行本行政区域内的经济和社会发展计划，预算，管理 本行政区域内的经济、教育、科学、文化、卫生健康、体育事业 和财政、统计、民政、司法行政等行政工作。落实本级行政区域 内发展规划、专项规划、区域规划、国土空间规划。 </w:t>
      </w:r>
    </w:p>
    <w:p>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5、乡党委领导乡政权机关、群团组织和其他各类组织，加 强指导和规范，支持和保证这些机关和组织依照国家法律法规以 及各自章程履行职责。坚持党管武装的根本原则和制度，协调各 方力量，对乡人民武装工作实行统一领导。 </w:t>
      </w:r>
    </w:p>
    <w:p>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6、加强乡党委自身建设和村党组织建设，以及其他隶属乡 党委的党组织建设，抓好发展党员工作，加强党员队伍建设。维 护和执行党的纪律，监督党员干部和其他任何工作人员严格遵守 国家法律法规。 </w:t>
      </w:r>
    </w:p>
    <w:p>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7、按照干部管理权限，负责对干部的教育、培训、选拔、 考核和监督工作。协助管理上级有关部门驻乡单位的干部。做好人才服务工作。 </w:t>
      </w:r>
    </w:p>
    <w:p>
      <w:pPr>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8、领导本乡的基层治理，加强社会主义民主法治建设和精 神文明建设，加强社会治安综合治理，做好应急管理、生态环保、 乡村振兴、民生保障、脱贫致富、民族宗教、防范邪教等工作。 承担民兵预备役、征兵、退役军人服务、拥军优属等工作。 </w:t>
      </w:r>
    </w:p>
    <w:p>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9、保护社会主义全民所有的财产和劳动群众集体所有的财 产，保护公民私人所有的合法财产，维护社会秩序，保障公民的 人身权利、民主权利和其他权利。保护各种经济组织的合法权益。 保障各少数民族的合法权利和利益，尊重少数民族的风俗习惯。 保障宪法和法律赋予妇女的男女平等、同工同酬和婚姻自由等各 项权利。</w:t>
      </w:r>
    </w:p>
    <w:p>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hint="default" w:ascii="Arial" w:hAnsi="Arial" w:eastAsia="Arial" w:cs="Arial"/>
          <w:i w:val="0"/>
          <w:iCs w:val="0"/>
          <w:caps w:val="0"/>
          <w:color w:val="auto"/>
          <w:spacing w:val="0"/>
          <w:sz w:val="32"/>
          <w:szCs w:val="32"/>
          <w:highlight w:val="yellow"/>
        </w:rPr>
      </w:pPr>
      <w:r>
        <w:rPr>
          <w:rFonts w:hint="eastAsia" w:ascii="仿宋" w:hAnsi="仿宋" w:eastAsia="仿宋" w:cs="仿宋"/>
          <w:sz w:val="32"/>
          <w:szCs w:val="32"/>
        </w:rPr>
        <w:t>10、承办上级党委、人大、政府交办的其他事项</w:t>
      </w:r>
      <w:r>
        <w:rPr>
          <w:rFonts w:hint="eastAsia" w:ascii="仿宋" w:hAnsi="仿宋" w:eastAsia="仿宋" w:cs="仿宋"/>
          <w:sz w:val="32"/>
          <w:szCs w:val="32"/>
          <w:lang w:eastAsia="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w:t>
      </w:r>
      <w:r>
        <w:rPr>
          <w:rFonts w:hint="eastAsia" w:ascii="仿宋_GB2312" w:hAnsi="仿宋_GB2312" w:eastAsia="仿宋_GB2312" w:cs="仿宋_GB2312"/>
          <w:i w:val="0"/>
          <w:iCs w:val="0"/>
          <w:caps w:val="0"/>
          <w:color w:val="auto"/>
          <w:spacing w:val="0"/>
          <w:sz w:val="32"/>
          <w:szCs w:val="32"/>
          <w:highlight w:val="none"/>
          <w:shd w:val="clear" w:fill="FFFFFF"/>
        </w:rPr>
        <w:t>我部门无二级预算单位，因此，</w:t>
      </w:r>
      <w:r>
        <w:rPr>
          <w:rFonts w:hint="eastAsia" w:ascii="仿宋_GB2312" w:hAnsi="仿宋_GB2312" w:eastAsia="仿宋_GB2312" w:cs="仿宋_GB2312"/>
          <w:i w:val="0"/>
          <w:iCs w:val="0"/>
          <w:caps w:val="0"/>
          <w:color w:val="auto"/>
          <w:spacing w:val="0"/>
          <w:sz w:val="32"/>
          <w:szCs w:val="32"/>
          <w:highlight w:val="none"/>
          <w:shd w:val="clear" w:fill="FFFFFF"/>
          <w:lang w:eastAsia="zh-CN"/>
        </w:rPr>
        <w:t>石家庄市鹿泉区上寨乡人民政府</w:t>
      </w:r>
      <w:r>
        <w:rPr>
          <w:rFonts w:hint="eastAsia" w:ascii="仿宋_GB2312" w:hAnsi="仿宋_GB2312" w:eastAsia="仿宋_GB2312" w:cs="仿宋_GB2312"/>
          <w:i w:val="0"/>
          <w:iCs w:val="0"/>
          <w:caps w:val="0"/>
          <w:color w:val="auto"/>
          <w:spacing w:val="0"/>
          <w:sz w:val="32"/>
          <w:szCs w:val="32"/>
          <w:highlight w:val="none"/>
          <w:shd w:val="clear" w:fill="FFFFFF"/>
        </w:rPr>
        <w:t>2023年度部门决算即</w:t>
      </w:r>
      <w:r>
        <w:rPr>
          <w:rFonts w:hint="eastAsia" w:ascii="仿宋_GB2312" w:hAnsi="仿宋_GB2312" w:eastAsia="仿宋_GB2312" w:cs="仿宋_GB2312"/>
          <w:i w:val="0"/>
          <w:iCs w:val="0"/>
          <w:caps w:val="0"/>
          <w:color w:val="auto"/>
          <w:spacing w:val="0"/>
          <w:sz w:val="32"/>
          <w:szCs w:val="32"/>
          <w:highlight w:val="none"/>
          <w:shd w:val="clear" w:fill="FFFFFF"/>
          <w:lang w:eastAsia="zh-CN"/>
        </w:rPr>
        <w:t>石家庄市鹿泉区上寨乡人民政府</w:t>
      </w:r>
      <w:r>
        <w:rPr>
          <w:rFonts w:hint="eastAsia" w:ascii="仿宋_GB2312" w:hAnsi="仿宋_GB2312" w:eastAsia="仿宋_GB2312" w:cs="仿宋_GB2312"/>
          <w:i w:val="0"/>
          <w:iCs w:val="0"/>
          <w:caps w:val="0"/>
          <w:color w:val="auto"/>
          <w:spacing w:val="0"/>
          <w:sz w:val="32"/>
          <w:szCs w:val="32"/>
          <w:highlight w:val="none"/>
          <w:shd w:val="clear" w:fill="FFFFFF"/>
        </w:rPr>
        <w:t>本级2023年度决算。</w:t>
      </w:r>
      <w:r>
        <w:rPr>
          <w:rFonts w:hint="default" w:ascii="仿宋_GB2312" w:hAnsi="仿宋_GB2312" w:eastAsia="仿宋_GB2312" w:cs="仿宋_GB2312"/>
          <w:i w:val="0"/>
          <w:iCs w:val="0"/>
          <w:caps w:val="0"/>
          <w:color w:val="auto"/>
          <w:spacing w:val="0"/>
          <w:sz w:val="32"/>
          <w:szCs w:val="32"/>
          <w:highlight w:val="none"/>
          <w:shd w:val="clear" w:fill="FFFFFF"/>
        </w:rPr>
        <w:t>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石家庄市鹿泉区上寨乡人民政府</w:t>
            </w:r>
            <w:r>
              <w:rPr>
                <w:rFonts w:hint="eastAsia" w:ascii="仿宋_GB2312" w:hAnsi="Calibri" w:eastAsia="仿宋_GB2312" w:cs="ArialUnicodeMS"/>
                <w:kern w:val="0"/>
                <w:sz w:val="28"/>
                <w:szCs w:val="28"/>
              </w:rPr>
              <w:t>(本级)</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微软雅黑" w:cs="仿宋_GB2312"/>
          <w:i w:val="0"/>
          <w:iCs w:val="0"/>
          <w:caps w:val="0"/>
          <w:color w:val="FF0000"/>
          <w:spacing w:val="0"/>
          <w:sz w:val="33"/>
          <w:szCs w:val="33"/>
          <w:highlight w:val="none"/>
          <w:shd w:val="clear" w:fill="FFFFFF"/>
          <w:lang w:eastAsia="zh-CN"/>
        </w:rPr>
      </w:pPr>
      <w:r>
        <w:rPr>
          <w:rFonts w:ascii="微软雅黑" w:hAnsi="微软雅黑" w:eastAsia="微软雅黑" w:cs="微软雅黑"/>
          <w:i w:val="0"/>
          <w:iCs w:val="0"/>
          <w:caps w:val="0"/>
          <w:color w:val="000000"/>
          <w:spacing w:val="0"/>
          <w:sz w:val="27"/>
          <w:szCs w:val="27"/>
        </w:rPr>
        <w:t>（我部门无二级预算单位，因此，石家庄市鹿泉区</w:t>
      </w:r>
      <w:r>
        <w:rPr>
          <w:rFonts w:hint="eastAsia" w:ascii="微软雅黑" w:hAnsi="微软雅黑" w:eastAsia="微软雅黑" w:cs="微软雅黑"/>
          <w:i w:val="0"/>
          <w:iCs w:val="0"/>
          <w:caps w:val="0"/>
          <w:color w:val="000000"/>
          <w:spacing w:val="0"/>
          <w:sz w:val="27"/>
          <w:szCs w:val="27"/>
          <w:lang w:val="en-US" w:eastAsia="zh-CN"/>
        </w:rPr>
        <w:t>上寨乡</w:t>
      </w:r>
      <w:r>
        <w:rPr>
          <w:rFonts w:ascii="微软雅黑" w:hAnsi="微软雅黑" w:eastAsia="微软雅黑" w:cs="微软雅黑"/>
          <w:i w:val="0"/>
          <w:iCs w:val="0"/>
          <w:caps w:val="0"/>
          <w:color w:val="000000"/>
          <w:spacing w:val="0"/>
          <w:sz w:val="27"/>
          <w:szCs w:val="27"/>
        </w:rPr>
        <w:t>人民政府</w:t>
      </w:r>
      <w:r>
        <w:rPr>
          <w:rFonts w:hint="eastAsia" w:ascii="微软雅黑" w:hAnsi="微软雅黑" w:eastAsia="微软雅黑" w:cs="微软雅黑"/>
          <w:i w:val="0"/>
          <w:iCs w:val="0"/>
          <w:caps w:val="0"/>
          <w:color w:val="000000"/>
          <w:spacing w:val="0"/>
          <w:sz w:val="27"/>
          <w:szCs w:val="27"/>
          <w:lang w:val="en-US" w:eastAsia="zh-CN"/>
        </w:rPr>
        <w:t>2023</w:t>
      </w:r>
      <w:r>
        <w:rPr>
          <w:rFonts w:ascii="微软雅黑" w:hAnsi="微软雅黑" w:eastAsia="微软雅黑" w:cs="微软雅黑"/>
          <w:i w:val="0"/>
          <w:iCs w:val="0"/>
          <w:caps w:val="0"/>
          <w:color w:val="000000"/>
          <w:spacing w:val="0"/>
          <w:sz w:val="27"/>
          <w:szCs w:val="27"/>
        </w:rPr>
        <w:t>年度部门决算即石家庄市鹿泉区</w:t>
      </w:r>
      <w:r>
        <w:rPr>
          <w:rFonts w:hint="eastAsia" w:ascii="微软雅黑" w:hAnsi="微软雅黑" w:eastAsia="微软雅黑" w:cs="微软雅黑"/>
          <w:i w:val="0"/>
          <w:iCs w:val="0"/>
          <w:caps w:val="0"/>
          <w:color w:val="000000"/>
          <w:spacing w:val="0"/>
          <w:sz w:val="27"/>
          <w:szCs w:val="27"/>
          <w:lang w:val="en-US" w:eastAsia="zh-CN"/>
        </w:rPr>
        <w:t>上寨乡</w:t>
      </w:r>
      <w:r>
        <w:rPr>
          <w:rFonts w:ascii="微软雅黑" w:hAnsi="微软雅黑" w:eastAsia="微软雅黑" w:cs="微软雅黑"/>
          <w:i w:val="0"/>
          <w:iCs w:val="0"/>
          <w:caps w:val="0"/>
          <w:color w:val="000000"/>
          <w:spacing w:val="0"/>
          <w:sz w:val="27"/>
          <w:szCs w:val="27"/>
        </w:rPr>
        <w:t>人民政府本级</w:t>
      </w:r>
      <w:r>
        <w:rPr>
          <w:rFonts w:hint="eastAsia" w:ascii="微软雅黑" w:hAnsi="微软雅黑" w:eastAsia="微软雅黑" w:cs="微软雅黑"/>
          <w:i w:val="0"/>
          <w:iCs w:val="0"/>
          <w:caps w:val="0"/>
          <w:color w:val="000000"/>
          <w:spacing w:val="0"/>
          <w:sz w:val="27"/>
          <w:szCs w:val="27"/>
          <w:lang w:val="en-US" w:eastAsia="zh-CN"/>
        </w:rPr>
        <w:t>2023</w:t>
      </w:r>
      <w:r>
        <w:rPr>
          <w:rFonts w:ascii="微软雅黑" w:hAnsi="微软雅黑" w:eastAsia="微软雅黑" w:cs="微软雅黑"/>
          <w:i w:val="0"/>
          <w:iCs w:val="0"/>
          <w:caps w:val="0"/>
          <w:color w:val="000000"/>
          <w:spacing w:val="0"/>
          <w:sz w:val="27"/>
          <w:szCs w:val="27"/>
        </w:rPr>
        <w:t>年度决算</w:t>
      </w:r>
      <w:r>
        <w:rPr>
          <w:rFonts w:hint="eastAsia" w:ascii="微软雅黑" w:hAnsi="微软雅黑" w:eastAsia="微软雅黑" w:cs="微软雅黑"/>
          <w:i w:val="0"/>
          <w:iCs w:val="0"/>
          <w:caps w:val="0"/>
          <w:color w:val="000000"/>
          <w:spacing w:val="0"/>
          <w:sz w:val="27"/>
          <w:szCs w:val="27"/>
          <w:lang w:eastAsia="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7" w:type="default"/>
          <w:pgSz w:w="11906" w:h="16838"/>
          <w:pgMar w:top="1531" w:right="1984" w:bottom="1531" w:left="2098" w:header="851" w:footer="992" w:gutter="0"/>
          <w:cols w:space="720" w:num="1"/>
          <w:docGrid w:type="lines" w:linePitch="312" w:charSpace="0"/>
        </w:sectPr>
      </w:pP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石家庄市鹿泉区上寨乡人民政府(本级)</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1,635.99</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899.15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35.00</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438.03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 xml:space="preserve">石家庄市鹿泉区上寨乡人民政府(本级) </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1,670.99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1,670.99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899.15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899.15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899.15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899.15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717.59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717.59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181.56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普通教育</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小学教育</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73.44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群众文化</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51.02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438.03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438.03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城管执法</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67.95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67.95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67.95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67.95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农村基础设施建设支出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水利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2130304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水利行业业务管理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2130314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防汛</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75.88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 xml:space="preserve">石家庄市鹿泉区上寨乡人民政府(本级)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933.89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737.09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899.15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717.59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899.15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717.59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717.59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717.59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小学教育</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群众文化</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101.46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89.40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89.40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89.40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438.03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438.03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67.95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67.95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67.95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67.95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水利</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2130304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水利行业业务管理</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2130314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防汛</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石家庄市鹿泉区上寨乡人民政府(本级)</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1,635.99</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899.15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899.15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35.00</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73.44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73.44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101.46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101.46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51.02</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51.02</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438.03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403.03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35.00</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30.50</w:t>
            </w: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30.50</w:t>
            </w: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75.88</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75.88</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1,635.99</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35.00</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1,670.99</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1,635.99</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35.00</w:t>
            </w: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ind w:firstLine="0" w:firstLineChars="0"/>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9092"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9"/>
        <w:gridCol w:w="1435"/>
        <w:gridCol w:w="789"/>
        <w:gridCol w:w="1467"/>
        <w:gridCol w:w="1527"/>
        <w:gridCol w:w="729"/>
        <w:gridCol w:w="22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092"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092"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113"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石家庄市鹿泉区上寨乡人民政府(本级)</w:t>
            </w:r>
          </w:p>
        </w:tc>
        <w:tc>
          <w:tcPr>
            <w:tcW w:w="2994"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985"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768"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43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256"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256"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25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88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25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1,635.99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933.89</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702.09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899.15</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717.59</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899.15</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717.59</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717.59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717.59</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181.56</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181.56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2050202</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小学教育</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73.44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2070109</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群众文化</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101.46</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89.40</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89.40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89.40</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9.40</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51.02</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403.03</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2120104</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城管执法</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67.95</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67.95</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188.04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188.04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139.37</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139.37</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21303</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水利</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2130304</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水利行业业务管理</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2130314</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防汛</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43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75.88</w:t>
            </w:r>
          </w:p>
        </w:tc>
        <w:tc>
          <w:tcPr>
            <w:tcW w:w="22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092"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 xml:space="preserve">石家庄市鹿泉区上寨乡人民政府(本级)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747.51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177.04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155.95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4.56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128.02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172.12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82.12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80.00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7.61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13.38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32.60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18.39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75.88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9.35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9.33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6.76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96.96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5.36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25.15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756.85</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177.04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 xml:space="preserve">石家庄市鹿泉区上寨乡人民政府(本级)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2120804</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8750" w:type="dxa"/>
        <w:tblInd w:w="-709"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72"/>
        <w:gridCol w:w="1557"/>
        <w:gridCol w:w="1224"/>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875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75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529"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石家庄市鹿泉区上寨乡人民政府(本级)</w:t>
            </w:r>
          </w:p>
        </w:tc>
        <w:tc>
          <w:tcPr>
            <w:tcW w:w="2608"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613"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753"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3997"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753"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3997"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7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78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322"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72"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781"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22"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753"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332"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753"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750"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w:t>
            </w:r>
            <w:r>
              <w:rPr>
                <w:rFonts w:hint="eastAsia" w:ascii="仿宋" w:hAnsi="仿宋" w:eastAsia="仿宋" w:cs="仿宋"/>
                <w:i w:val="0"/>
                <w:iCs w:val="0"/>
                <w:color w:val="000000"/>
                <w:kern w:val="0"/>
                <w:sz w:val="20"/>
                <w:szCs w:val="20"/>
                <w:highlight w:val="none"/>
                <w:u w:val="none"/>
                <w:lang w:val="en-US" w:eastAsia="zh-CN" w:bidi="ar"/>
              </w:rPr>
              <w:t>石家庄市鹿泉区上寨乡人民政府(本级)</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5.36</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5.36</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5.36</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autoSpaceDE w:val="0"/>
        <w:autoSpaceDN w:val="0"/>
        <w:adjustRightInd w:val="0"/>
        <w:spacing w:line="580" w:lineRule="exact"/>
        <w:ind w:firstLine="640" w:firstLineChars="200"/>
        <w:jc w:val="left"/>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eastAsia="zh-CN"/>
        </w:rPr>
        <w:t>本单位</w:t>
      </w:r>
      <w:r>
        <w:rPr>
          <w:rFonts w:hint="eastAsia" w:ascii="仿宋" w:hAnsi="仿宋" w:eastAsia="仿宋" w:cs="仿宋"/>
          <w:kern w:val="2"/>
          <w:sz w:val="32"/>
          <w:szCs w:val="32"/>
          <w:lang w:val="zh-CN"/>
        </w:rPr>
        <w:t>2023年度收、</w:t>
      </w:r>
      <w:r>
        <w:rPr>
          <w:rFonts w:hint="eastAsia" w:ascii="仿宋" w:hAnsi="仿宋" w:eastAsia="仿宋" w:cs="仿宋"/>
          <w:kern w:val="2"/>
          <w:sz w:val="32"/>
          <w:szCs w:val="32"/>
          <w:lang w:val="en-US" w:eastAsia="zh-CN"/>
        </w:rPr>
        <w:t>支</w:t>
      </w:r>
      <w:r>
        <w:rPr>
          <w:rFonts w:hint="eastAsia" w:ascii="仿宋" w:hAnsi="仿宋" w:eastAsia="仿宋" w:cs="仿宋"/>
          <w:kern w:val="2"/>
          <w:sz w:val="32"/>
          <w:szCs w:val="32"/>
          <w:lang w:val="zh-CN"/>
        </w:rPr>
        <w:t>总计(含结转和结余)</w:t>
      </w:r>
      <w:r>
        <w:rPr>
          <w:rFonts w:hint="eastAsia" w:ascii="仿宋" w:hAnsi="仿宋" w:eastAsia="仿宋" w:cs="仿宋"/>
          <w:kern w:val="2"/>
          <w:sz w:val="32"/>
          <w:szCs w:val="32"/>
          <w:lang w:val="zh-CN" w:eastAsia="zh-CN"/>
        </w:rPr>
        <w:t>1,670.99</w:t>
      </w:r>
      <w:r>
        <w:rPr>
          <w:rFonts w:hint="eastAsia" w:ascii="仿宋" w:hAnsi="仿宋" w:eastAsia="仿宋" w:cs="仿宋"/>
          <w:kern w:val="2"/>
          <w:sz w:val="32"/>
          <w:szCs w:val="32"/>
          <w:lang w:val="en-US" w:eastAsia="zh-CN"/>
        </w:rPr>
        <w:t>万</w:t>
      </w:r>
      <w:r>
        <w:rPr>
          <w:rFonts w:hint="eastAsia" w:ascii="仿宋" w:hAnsi="仿宋" w:eastAsia="仿宋" w:cs="仿宋"/>
          <w:kern w:val="2"/>
          <w:sz w:val="32"/>
          <w:szCs w:val="32"/>
        </w:rPr>
        <w:t>元，与2022年度决算相比</w:t>
      </w:r>
      <w:r>
        <w:rPr>
          <w:rFonts w:hint="eastAsia" w:ascii="仿宋" w:hAnsi="仿宋" w:eastAsia="仿宋" w:cs="仿宋"/>
          <w:kern w:val="2"/>
          <w:sz w:val="32"/>
          <w:szCs w:val="32"/>
          <w:lang w:eastAsia="zh-CN"/>
        </w:rPr>
        <w:t>，</w:t>
      </w:r>
      <w:r>
        <w:rPr>
          <w:rFonts w:hint="eastAsia" w:ascii="仿宋" w:hAnsi="仿宋" w:eastAsia="仿宋" w:cs="仿宋"/>
          <w:kern w:val="2"/>
          <w:sz w:val="32"/>
          <w:szCs w:val="32"/>
        </w:rPr>
        <w:t>收支各</w:t>
      </w:r>
      <w:r>
        <w:rPr>
          <w:rFonts w:hint="eastAsia" w:ascii="仿宋" w:hAnsi="仿宋" w:eastAsia="仿宋" w:cs="仿宋"/>
          <w:sz w:val="32"/>
          <w:szCs w:val="32"/>
          <w:highlight w:val="none"/>
          <w:lang w:val="zh-CN"/>
        </w:rPr>
        <w:t>减少949.4万元</w:t>
      </w:r>
      <w:r>
        <w:rPr>
          <w:rFonts w:hint="eastAsia" w:ascii="仿宋" w:hAnsi="仿宋" w:eastAsia="仿宋" w:cs="仿宋"/>
          <w:sz w:val="32"/>
          <w:szCs w:val="32"/>
          <w:highlight w:val="none"/>
          <w:lang w:val="en-US" w:eastAsia="zh-CN"/>
        </w:rPr>
        <w:t>,</w:t>
      </w:r>
      <w:r>
        <w:rPr>
          <w:rFonts w:hint="eastAsia" w:ascii="仿宋" w:hAnsi="仿宋" w:eastAsia="仿宋" w:cs="仿宋"/>
          <w:sz w:val="32"/>
          <w:szCs w:val="32"/>
          <w:highlight w:val="none"/>
          <w:lang w:val="zh-CN"/>
        </w:rPr>
        <w:t>降低36.23%，</w:t>
      </w:r>
      <w:r>
        <w:rPr>
          <w:rFonts w:hint="eastAsia" w:ascii="仿宋" w:hAnsi="仿宋" w:eastAsia="仿宋" w:cs="仿宋"/>
          <w:kern w:val="2"/>
          <w:sz w:val="32"/>
          <w:szCs w:val="32"/>
        </w:rPr>
        <w:t>主要是</w:t>
      </w:r>
      <w:r>
        <w:rPr>
          <w:rFonts w:hint="eastAsia" w:ascii="仿宋" w:hAnsi="仿宋" w:eastAsia="仿宋" w:cs="仿宋"/>
          <w:kern w:val="2"/>
          <w:sz w:val="32"/>
          <w:szCs w:val="32"/>
          <w:lang w:val="en-US" w:eastAsia="zh-CN"/>
        </w:rPr>
        <w:t>2023年度我乡绿化租地相关费用、电力迁改旧欠等项目资金减少</w:t>
      </w:r>
      <w:r>
        <w:rPr>
          <w:rFonts w:hint="eastAsia" w:ascii="仿宋" w:hAnsi="仿宋" w:eastAsia="仿宋" w:cs="仿宋"/>
          <w:kern w:val="2"/>
          <w:sz w:val="32"/>
          <w:szCs w:val="32"/>
          <w:lang w:val="en-US" w:eastAsia="zh-CN" w:bidi="ar-SA"/>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drawing>
          <wp:inline distT="0" distB="0" distL="114300" distR="114300">
            <wp:extent cx="4572000" cy="2743200"/>
            <wp:effectExtent l="4445" t="4445" r="8255" b="8255"/>
            <wp:docPr id="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utoSpaceDE w:val="0"/>
        <w:autoSpaceDN w:val="0"/>
        <w:adjustRightInd w:val="0"/>
        <w:spacing w:line="580" w:lineRule="exact"/>
        <w:ind w:firstLine="640" w:firstLineChars="200"/>
        <w:jc w:val="left"/>
        <w:rPr>
          <w:rFonts w:hint="default" w:ascii="仿宋" w:hAnsi="仿宋" w:eastAsia="仿宋" w:cs="仿宋"/>
          <w:kern w:val="2"/>
          <w:sz w:val="32"/>
          <w:szCs w:val="32"/>
          <w:lang w:val="zh-CN"/>
        </w:rPr>
      </w:pPr>
      <w:r>
        <w:rPr>
          <w:rFonts w:hint="default" w:ascii="仿宋" w:hAnsi="仿宋" w:eastAsia="仿宋" w:cs="仿宋"/>
          <w:kern w:val="2"/>
          <w:sz w:val="32"/>
          <w:szCs w:val="32"/>
          <w:lang w:val="zh-CN" w:eastAsia="zh-CN"/>
        </w:rPr>
        <w:t>本单位2023</w:t>
      </w:r>
      <w:r>
        <w:rPr>
          <w:rFonts w:hint="default" w:ascii="仿宋" w:hAnsi="仿宋" w:eastAsia="仿宋" w:cs="仿宋"/>
          <w:kern w:val="2"/>
          <w:sz w:val="32"/>
          <w:szCs w:val="32"/>
          <w:lang w:val="zh-CN"/>
        </w:rPr>
        <w:t>年度本年收入合计</w:t>
      </w:r>
      <w:r>
        <w:rPr>
          <w:rFonts w:hint="default" w:ascii="仿宋" w:hAnsi="仿宋" w:eastAsia="仿宋" w:cs="仿宋"/>
          <w:kern w:val="2"/>
          <w:sz w:val="32"/>
          <w:szCs w:val="32"/>
          <w:lang w:val="zh-CN" w:eastAsia="zh-CN"/>
        </w:rPr>
        <w:t>1,670.99万元</w:t>
      </w:r>
      <w:r>
        <w:rPr>
          <w:rFonts w:hint="default" w:ascii="仿宋" w:hAnsi="仿宋" w:eastAsia="仿宋" w:cs="仿宋"/>
          <w:kern w:val="2"/>
          <w:sz w:val="32"/>
          <w:szCs w:val="32"/>
          <w:lang w:val="zh-CN"/>
        </w:rPr>
        <w:t>，其中：财政拨款收入</w:t>
      </w:r>
      <w:r>
        <w:rPr>
          <w:rFonts w:hint="default" w:ascii="仿宋" w:hAnsi="仿宋" w:eastAsia="仿宋" w:cs="仿宋"/>
          <w:kern w:val="2"/>
          <w:sz w:val="32"/>
          <w:szCs w:val="32"/>
          <w:lang w:val="zh-CN" w:eastAsia="zh-CN"/>
        </w:rPr>
        <w:t>1,670.99</w:t>
      </w:r>
      <w:r>
        <w:rPr>
          <w:rFonts w:hint="default" w:ascii="仿宋" w:hAnsi="仿宋" w:eastAsia="仿宋" w:cs="仿宋"/>
          <w:kern w:val="2"/>
          <w:sz w:val="32"/>
          <w:szCs w:val="32"/>
          <w:lang w:val="zh-CN"/>
        </w:rPr>
        <w:t>万元，占</w:t>
      </w:r>
      <w:r>
        <w:rPr>
          <w:rFonts w:hint="default" w:ascii="仿宋" w:hAnsi="仿宋" w:eastAsia="仿宋" w:cs="仿宋"/>
          <w:kern w:val="2"/>
          <w:sz w:val="32"/>
          <w:szCs w:val="32"/>
          <w:lang w:val="zh-CN" w:eastAsia="zh-CN"/>
        </w:rPr>
        <w:t>100%；</w:t>
      </w:r>
      <w:r>
        <w:rPr>
          <w:rFonts w:hint="default" w:ascii="仿宋" w:hAnsi="仿宋" w:eastAsia="仿宋" w:cs="仿宋"/>
          <w:kern w:val="2"/>
          <w:sz w:val="32"/>
          <w:szCs w:val="32"/>
          <w:lang w:val="zh-CN"/>
        </w:rPr>
        <w:t>上级补助收入0万元，</w:t>
      </w:r>
      <w:r>
        <w:rPr>
          <w:rFonts w:hint="default" w:ascii="仿宋" w:hAnsi="仿宋" w:eastAsia="仿宋" w:cs="仿宋"/>
          <w:kern w:val="2"/>
          <w:sz w:val="32"/>
          <w:szCs w:val="32"/>
          <w:lang w:val="zh-CN" w:eastAsia="zh-CN"/>
        </w:rPr>
        <w:t>占</w:t>
      </w:r>
      <w:r>
        <w:rPr>
          <w:rFonts w:hint="default" w:ascii="仿宋" w:hAnsi="仿宋" w:eastAsia="仿宋" w:cs="仿宋"/>
          <w:kern w:val="2"/>
          <w:sz w:val="32"/>
          <w:szCs w:val="32"/>
          <w:lang w:val="zh-CN"/>
        </w:rPr>
        <w:t>0%；事业收入0万元，</w:t>
      </w:r>
      <w:r>
        <w:rPr>
          <w:rFonts w:hint="default" w:ascii="仿宋" w:hAnsi="仿宋" w:eastAsia="仿宋" w:cs="仿宋"/>
          <w:kern w:val="2"/>
          <w:sz w:val="32"/>
          <w:szCs w:val="32"/>
          <w:lang w:val="zh-CN" w:eastAsia="zh-CN"/>
        </w:rPr>
        <w:t>占</w:t>
      </w:r>
      <w:r>
        <w:rPr>
          <w:rFonts w:hint="default" w:ascii="仿宋" w:hAnsi="仿宋" w:eastAsia="仿宋" w:cs="仿宋"/>
          <w:kern w:val="2"/>
          <w:sz w:val="32"/>
          <w:szCs w:val="32"/>
          <w:lang w:val="zh-CN"/>
        </w:rPr>
        <w:t>0%；经营收入0万元，</w:t>
      </w:r>
      <w:r>
        <w:rPr>
          <w:rFonts w:hint="default" w:ascii="仿宋" w:hAnsi="仿宋" w:eastAsia="仿宋" w:cs="仿宋"/>
          <w:kern w:val="2"/>
          <w:sz w:val="32"/>
          <w:szCs w:val="32"/>
          <w:lang w:val="zh-CN" w:eastAsia="zh-CN"/>
        </w:rPr>
        <w:t>占</w:t>
      </w:r>
      <w:r>
        <w:rPr>
          <w:rFonts w:hint="default" w:ascii="仿宋" w:hAnsi="仿宋" w:eastAsia="仿宋" w:cs="仿宋"/>
          <w:kern w:val="2"/>
          <w:sz w:val="32"/>
          <w:szCs w:val="32"/>
          <w:lang w:val="zh-CN"/>
        </w:rPr>
        <w:t>0%；附属单位上缴收入0万元，</w:t>
      </w:r>
      <w:r>
        <w:rPr>
          <w:rFonts w:hint="default" w:ascii="仿宋" w:hAnsi="仿宋" w:eastAsia="仿宋" w:cs="仿宋"/>
          <w:kern w:val="2"/>
          <w:sz w:val="32"/>
          <w:szCs w:val="32"/>
          <w:lang w:val="zh-CN" w:eastAsia="zh-CN"/>
        </w:rPr>
        <w:t>占</w:t>
      </w:r>
      <w:r>
        <w:rPr>
          <w:rFonts w:hint="default" w:ascii="仿宋" w:hAnsi="仿宋" w:eastAsia="仿宋" w:cs="仿宋"/>
          <w:kern w:val="2"/>
          <w:sz w:val="32"/>
          <w:szCs w:val="32"/>
          <w:lang w:val="zh-CN"/>
        </w:rPr>
        <w:t>0%；其他收入0万元，</w:t>
      </w:r>
      <w:r>
        <w:rPr>
          <w:rFonts w:hint="default" w:ascii="仿宋" w:hAnsi="仿宋" w:eastAsia="仿宋" w:cs="仿宋"/>
          <w:kern w:val="2"/>
          <w:sz w:val="32"/>
          <w:szCs w:val="32"/>
          <w:lang w:val="zh-CN" w:eastAsia="zh-CN"/>
        </w:rPr>
        <w:t>占</w:t>
      </w:r>
      <w:r>
        <w:rPr>
          <w:rFonts w:hint="default" w:ascii="仿宋" w:hAnsi="仿宋" w:eastAsia="仿宋" w:cs="仿宋"/>
          <w:kern w:val="2"/>
          <w:sz w:val="32"/>
          <w:szCs w:val="32"/>
          <w:lang w:val="zh-CN"/>
        </w:rPr>
        <w:t>0%</w:t>
      </w:r>
      <w:r>
        <w:rPr>
          <w:rFonts w:hint="eastAsia" w:ascii="仿宋" w:hAnsi="仿宋" w:eastAsia="仿宋" w:cs="仿宋"/>
          <w:kern w:val="2"/>
          <w:sz w:val="32"/>
          <w:szCs w:val="32"/>
          <w:lang w:val="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仿宋" w:hAnsi="仿宋" w:eastAsia="仿宋" w:cs="仿宋"/>
          <w:kern w:val="2"/>
          <w:sz w:val="32"/>
          <w:szCs w:val="32"/>
          <w:lang w:val="zh-CN" w:eastAsia="zh-CN"/>
        </w:rPr>
        <w:t>本单位2023年度本年支出合计1,670.99万元，其中：基本支出933.89万元，占55.89%；项目支出737.09万元，占44.11%；上缴上级支出0万元，占0%；经营支出0万元，占0%</w:t>
      </w:r>
      <w:r>
        <w:rPr>
          <w:rFonts w:hint="eastAsia" w:ascii="仿宋" w:hAnsi="仿宋" w:eastAsia="仿宋" w:cs="仿宋"/>
          <w:kern w:val="2"/>
          <w:sz w:val="32"/>
          <w:szCs w:val="32"/>
          <w:lang w:val="zh-CN" w:eastAsia="zh-CN"/>
        </w:rPr>
        <w:t>；</w:t>
      </w:r>
      <w:r>
        <w:rPr>
          <w:rFonts w:hint="default" w:ascii="仿宋" w:hAnsi="仿宋" w:eastAsia="仿宋" w:cs="仿宋"/>
          <w:kern w:val="2"/>
          <w:sz w:val="32"/>
          <w:szCs w:val="32"/>
          <w:lang w:val="zh-CN" w:eastAsia="zh-CN"/>
        </w:rPr>
        <w:t>对附属单位补助支出0万元，占0%</w:t>
      </w:r>
      <w:r>
        <w:rPr>
          <w:rFonts w:hint="eastAsia" w:ascii="仿宋" w:hAnsi="仿宋" w:eastAsia="仿宋" w:cs="仿宋"/>
          <w:kern w:val="2"/>
          <w:sz w:val="32"/>
          <w:szCs w:val="32"/>
          <w:lang w:val="zh-CN" w:eastAsia="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pPr>
      <w:r>
        <w:drawing>
          <wp:inline distT="0" distB="0" distL="114300" distR="114300">
            <wp:extent cx="4572000" cy="2743200"/>
            <wp:effectExtent l="0" t="0" r="0" b="0"/>
            <wp:docPr id="7"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年度财政拨款本年收入1,670.99</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减少903.88万元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降低35.1%，</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rPr>
        <w:t>项目拨款</w:t>
      </w:r>
      <w:r>
        <w:rPr>
          <w:rFonts w:hint="eastAsia" w:ascii="仿宋_GB2312" w:hAnsi="Times New Roman" w:eastAsia="仿宋_GB2312" w:cs="仿宋_GB2312"/>
          <w:sz w:val="32"/>
          <w:szCs w:val="32"/>
          <w:lang w:val="en-US" w:eastAsia="zh-CN"/>
        </w:rPr>
        <w:t>减少</w:t>
      </w:r>
      <w:r>
        <w:rPr>
          <w:rFonts w:hint="default" w:ascii="Times New Roman" w:hAnsi="Times New Roman" w:eastAsia="仿宋_GB2312" w:cs="Times New Roman"/>
          <w:color w:val="auto"/>
          <w:kern w:val="2"/>
          <w:sz w:val="32"/>
          <w:szCs w:val="32"/>
          <w:lang w:val="zh-CN" w:eastAsia="zh-CN" w:bidi="ar-SA"/>
        </w:rPr>
        <w:t>；本年支出 1,670.99</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减少904.4万元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降低35.12%，</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项目支出减少</w:t>
      </w:r>
      <w:r>
        <w:rPr>
          <w:rFonts w:hint="default" w:ascii="Times New Roman" w:hAnsi="Times New Roman" w:eastAsia="仿宋_GB2312" w:cs="Times New Roman"/>
          <w:color w:val="auto"/>
          <w:kern w:val="2"/>
          <w:sz w:val="32"/>
          <w:szCs w:val="32"/>
          <w:lang w:val="zh-CN" w:eastAsia="zh-CN" w:bidi="ar-SA"/>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一般公共预算财政拨款本年收入1,635.99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减少321.67万元，降低16.43%，</w:t>
      </w:r>
      <w:r>
        <w:rPr>
          <w:rFonts w:hint="default" w:ascii="Times New Roman" w:hAnsi="Times New Roman" w:eastAsia="仿宋_GB2312" w:cs="Times New Roman"/>
          <w:kern w:val="2"/>
          <w:sz w:val="32"/>
          <w:szCs w:val="32"/>
          <w:lang w:val="zh-CN"/>
        </w:rPr>
        <w:t>主要是</w:t>
      </w:r>
      <w:r>
        <w:rPr>
          <w:rFonts w:hint="eastAsia" w:ascii="仿宋_GB2312" w:hAnsi="Times New Roman" w:eastAsia="仿宋_GB2312" w:cs="仿宋_GB2312"/>
          <w:sz w:val="32"/>
          <w:szCs w:val="32"/>
          <w:lang w:val="en-US" w:eastAsia="zh-CN"/>
        </w:rPr>
        <w:t>城乡社区项目收入减少</w:t>
      </w:r>
      <w:r>
        <w:rPr>
          <w:rFonts w:hint="default" w:ascii="Times New Roman" w:hAnsi="Times New Roman" w:eastAsia="仿宋_GB2312" w:cs="Times New Roman"/>
          <w:kern w:val="2"/>
          <w:sz w:val="32"/>
          <w:szCs w:val="32"/>
          <w:lang w:val="zh-CN"/>
        </w:rPr>
        <w:t>；本年支出 1,635.99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减少322.19万元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降低16.45%，</w:t>
      </w:r>
      <w:r>
        <w:rPr>
          <w:rFonts w:hint="default" w:ascii="Times New Roman" w:hAnsi="Times New Roman" w:eastAsia="仿宋_GB2312" w:cs="Times New Roman"/>
          <w:kern w:val="2"/>
          <w:sz w:val="32"/>
          <w:szCs w:val="32"/>
          <w:lang w:val="zh-CN"/>
        </w:rPr>
        <w:t>主要是</w:t>
      </w:r>
      <w:r>
        <w:rPr>
          <w:rFonts w:hint="eastAsia" w:ascii="仿宋_GB2312" w:hAnsi="Times New Roman" w:eastAsia="仿宋_GB2312" w:cs="仿宋_GB2312"/>
          <w:sz w:val="32"/>
          <w:szCs w:val="32"/>
          <w:lang w:val="en-US" w:eastAsia="zh-CN"/>
        </w:rPr>
        <w:t>乡社区项目支出减少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政府性基金预算财政拨款本年收入35</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减少582.21万元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降低94.33%，</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en-US" w:eastAsia="zh-CN"/>
        </w:rPr>
        <w:t>项目收入减少</w:t>
      </w:r>
      <w:r>
        <w:rPr>
          <w:rFonts w:hint="default" w:ascii="Times New Roman" w:hAnsi="Times New Roman" w:eastAsia="仿宋_GB2312" w:cs="Times New Roman"/>
          <w:kern w:val="2"/>
          <w:sz w:val="32"/>
          <w:szCs w:val="32"/>
          <w:lang w:val="zh-CN"/>
        </w:rPr>
        <w:t>；本年支出 35</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减少582.21万元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降低94.33%，</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en-US" w:eastAsia="zh-CN"/>
        </w:rPr>
        <w:t>项目支出减少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eastAsia" w:ascii="仿宋_GB2312" w:hAnsi="Times New Roman" w:eastAsia="仿宋_GB2312" w:cs="仿宋_GB2312"/>
          <w:sz w:val="32"/>
          <w:szCs w:val="32"/>
          <w:lang w:val="en-US" w:eastAsia="zh-CN"/>
        </w:rPr>
        <w:t>主要原因是2022年度、2023年度我单位均无</w:t>
      </w:r>
      <w:r>
        <w:rPr>
          <w:rFonts w:ascii="仿宋_GB2312" w:hAnsi="Times New Roman" w:eastAsia="仿宋_GB2312" w:cs="仿宋_GB2312"/>
          <w:sz w:val="32"/>
          <w:szCs w:val="32"/>
        </w:rPr>
        <w:t>国有资本经营预算财政拨款收入；</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eastAsia" w:ascii="仿宋_GB2312" w:hAnsi="Times New Roman" w:eastAsia="仿宋_GB2312" w:cs="仿宋_GB2312"/>
          <w:sz w:val="32"/>
          <w:szCs w:val="32"/>
          <w:lang w:val="en-US" w:eastAsia="zh-CN"/>
        </w:rPr>
        <w:t>主要原因是2022年度、2023年度我单位均无</w:t>
      </w:r>
      <w:r>
        <w:rPr>
          <w:rFonts w:ascii="仿宋_GB2312" w:hAnsi="Times New Roman" w:eastAsia="仿宋_GB2312" w:cs="仿宋_GB2312"/>
          <w:sz w:val="32"/>
          <w:szCs w:val="32"/>
        </w:rPr>
        <w:t>国有资本经营预算财政拨款</w:t>
      </w:r>
      <w:r>
        <w:rPr>
          <w:rFonts w:hint="eastAsia" w:ascii="仿宋_GB2312" w:hAnsi="Times New Roman" w:eastAsia="仿宋_GB2312" w:cs="仿宋_GB2312"/>
          <w:sz w:val="32"/>
          <w:szCs w:val="32"/>
          <w:lang w:val="en-US" w:eastAsia="zh-CN"/>
        </w:rPr>
        <w:t>支出</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480" w:firstLineChars="200"/>
        <w:jc w:val="left"/>
        <w:rPr>
          <w:rFonts w:hint="default" w:ascii="Times New Roman" w:hAnsi="Times New Roman" w:eastAsia="仿宋_GB2312" w:cs="Times New Roman"/>
          <w:kern w:val="2"/>
          <w:sz w:val="32"/>
          <w:szCs w:val="32"/>
          <w:lang w:val="zh-CN"/>
        </w:rPr>
      </w:pPr>
      <w:r>
        <w:drawing>
          <wp:anchor distT="0" distB="0" distL="114300" distR="114300" simplePos="0" relativeHeight="251668480" behindDoc="0" locked="0" layoutInCell="1" allowOverlap="1">
            <wp:simplePos x="0" y="0"/>
            <wp:positionH relativeFrom="column">
              <wp:posOffset>320040</wp:posOffset>
            </wp:positionH>
            <wp:positionV relativeFrom="paragraph">
              <wp:posOffset>3324225</wp:posOffset>
            </wp:positionV>
            <wp:extent cx="4572000" cy="2743200"/>
            <wp:effectExtent l="4445" t="4445" r="8255" b="8255"/>
            <wp:wrapTopAndBottom/>
            <wp:docPr id="11"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drawing>
          <wp:anchor distT="0" distB="0" distL="114300" distR="114300" simplePos="0" relativeHeight="251667456" behindDoc="0" locked="0" layoutInCell="1" allowOverlap="1">
            <wp:simplePos x="0" y="0"/>
            <wp:positionH relativeFrom="column">
              <wp:posOffset>309245</wp:posOffset>
            </wp:positionH>
            <wp:positionV relativeFrom="paragraph">
              <wp:posOffset>126365</wp:posOffset>
            </wp:positionV>
            <wp:extent cx="4572000" cy="2743200"/>
            <wp:effectExtent l="4445" t="4445" r="8255" b="8255"/>
            <wp:wrapTopAndBottom/>
            <wp:docPr id="10"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年度财政拨款本年收入1,670.99万元，完成年初预算的86.2%，比年初预算</w:t>
      </w:r>
      <w:r>
        <w:rPr>
          <w:rFonts w:hint="eastAsia" w:ascii="Times New Roman" w:hAnsi="Times New Roman" w:eastAsia="仿宋_GB2312" w:cs="Times New Roman"/>
          <w:sz w:val="30"/>
          <w:szCs w:val="30"/>
          <w:highlight w:val="none"/>
          <w:lang w:val="zh-CN"/>
        </w:rPr>
        <w:t>减少267.61万元</w:t>
      </w:r>
      <w:r>
        <w:rPr>
          <w:rFonts w:hint="default" w:ascii="Times New Roman" w:hAnsi="Times New Roman" w:eastAsia="仿宋_GB2312" w:cs="Times New Roman"/>
          <w:color w:val="auto"/>
          <w:kern w:val="2"/>
          <w:sz w:val="32"/>
          <w:szCs w:val="32"/>
          <w:lang w:val="zh-CN" w:eastAsia="zh-CN" w:bidi="ar-SA"/>
        </w:rPr>
        <w:t>，决算数小于预算数主要原因是</w:t>
      </w:r>
      <w:r>
        <w:rPr>
          <w:rFonts w:hint="eastAsia" w:ascii="Times New Roman" w:hAnsi="Times New Roman" w:eastAsia="仿宋_GB2312" w:cs="Times New Roman"/>
          <w:color w:val="auto"/>
          <w:kern w:val="2"/>
          <w:sz w:val="32"/>
          <w:szCs w:val="32"/>
          <w:lang w:val="en-US" w:eastAsia="zh-CN" w:bidi="ar-SA"/>
        </w:rPr>
        <w:t>项目拨款减少</w:t>
      </w:r>
      <w:r>
        <w:rPr>
          <w:rFonts w:hint="default" w:ascii="Times New Roman" w:hAnsi="Times New Roman" w:eastAsia="仿宋_GB2312" w:cs="Times New Roman"/>
          <w:color w:val="auto"/>
          <w:kern w:val="2"/>
          <w:sz w:val="32"/>
          <w:szCs w:val="32"/>
          <w:lang w:val="zh-CN" w:eastAsia="zh-CN" w:bidi="ar-SA"/>
        </w:rPr>
        <w:t>；本年支出1,670.99万元，完成年初预算的86.2%，比年初预算</w:t>
      </w:r>
      <w:r>
        <w:rPr>
          <w:rFonts w:hint="eastAsia" w:ascii="Times New Roman" w:hAnsi="Times New Roman" w:eastAsia="仿宋_GB2312" w:cs="Times New Roman"/>
          <w:sz w:val="30"/>
          <w:szCs w:val="30"/>
          <w:highlight w:val="none"/>
          <w:lang w:val="zh-CN"/>
        </w:rPr>
        <w:t>减少267.61万元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kern w:val="2"/>
          <w:sz w:val="32"/>
          <w:szCs w:val="32"/>
          <w:lang w:val="en-US" w:eastAsia="zh-CN"/>
        </w:rPr>
        <w:t>项目支出减少</w:t>
      </w:r>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收入1,635.99万元，完成年初预算的 126.71%，比年初预算</w:t>
      </w:r>
      <w:r>
        <w:rPr>
          <w:rFonts w:hint="eastAsia" w:ascii="Times New Roman" w:hAnsi="Times New Roman" w:eastAsia="仿宋_GB2312" w:cs="Times New Roman"/>
          <w:sz w:val="30"/>
          <w:szCs w:val="30"/>
          <w:highlight w:val="none"/>
          <w:lang w:val="zh-CN"/>
        </w:rPr>
        <w:t>增加344.89万元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en-US" w:eastAsia="zh-CN"/>
        </w:rPr>
        <w:t>人员调入较多，基本支出增加，一般公共预算类财政拨款增加</w:t>
      </w:r>
      <w:r>
        <w:rPr>
          <w:rFonts w:hint="default" w:ascii="Times New Roman" w:hAnsi="Times New Roman" w:eastAsia="仿宋_GB2312" w:cs="Times New Roman"/>
          <w:kern w:val="2"/>
          <w:sz w:val="32"/>
          <w:szCs w:val="32"/>
          <w:lang w:val="zh-CN"/>
        </w:rPr>
        <w:t>；本年支出1,635.99万元，完成年初预算的126.71%，比年初预算</w:t>
      </w:r>
      <w:r>
        <w:rPr>
          <w:rFonts w:hint="eastAsia" w:ascii="Times New Roman" w:hAnsi="Times New Roman" w:eastAsia="仿宋_GB2312" w:cs="Times New Roman"/>
          <w:sz w:val="30"/>
          <w:szCs w:val="30"/>
          <w:highlight w:val="none"/>
          <w:lang w:val="zh-CN"/>
        </w:rPr>
        <w:t>增加344.89万元</w:t>
      </w:r>
      <w:r>
        <w:rPr>
          <w:rFonts w:hint="default"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kern w:val="2"/>
          <w:sz w:val="32"/>
          <w:szCs w:val="32"/>
          <w:lang w:val="en-US" w:eastAsia="zh-CN"/>
        </w:rPr>
        <w:t>人员调入较多，基本支出增加，一般公共预算类财支出增加</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政府性基金预算财政拨款本年收入35万元，完成年初预算的5.41%，比年初预算</w:t>
      </w:r>
      <w:r>
        <w:rPr>
          <w:rFonts w:hint="eastAsia" w:ascii="Times New Roman" w:hAnsi="Times New Roman" w:eastAsia="仿宋_GB2312" w:cs="Times New Roman"/>
          <w:sz w:val="30"/>
          <w:szCs w:val="30"/>
          <w:highlight w:val="none"/>
          <w:lang w:val="zh-CN"/>
        </w:rPr>
        <w:t>减少612.5万元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en-US" w:eastAsia="zh-CN"/>
        </w:rPr>
        <w:t>政府性基金项目拨款减少</w:t>
      </w:r>
      <w:r>
        <w:rPr>
          <w:rFonts w:hint="default" w:ascii="Times New Roman" w:hAnsi="Times New Roman" w:eastAsia="仿宋_GB2312" w:cs="Times New Roman"/>
          <w:kern w:val="2"/>
          <w:sz w:val="32"/>
          <w:szCs w:val="32"/>
          <w:lang w:val="zh-CN"/>
        </w:rPr>
        <w:t>；本年支出35万元，完成年初预算的5.41%，比年初预算</w:t>
      </w:r>
      <w:r>
        <w:rPr>
          <w:rFonts w:hint="eastAsia" w:ascii="Times New Roman" w:hAnsi="Times New Roman" w:eastAsia="仿宋_GB2312" w:cs="Times New Roman"/>
          <w:sz w:val="30"/>
          <w:szCs w:val="30"/>
          <w:highlight w:val="none"/>
          <w:lang w:val="zh-CN"/>
        </w:rPr>
        <w:t>减少612.5万元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en-US" w:eastAsia="zh-CN"/>
        </w:rPr>
        <w:t>政府性基金项目支出减少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eastAsia" w:ascii="Times New Roman" w:hAnsi="Times New Roman" w:eastAsia="仿宋_GB2312" w:cs="Times New Roman"/>
          <w:sz w:val="30"/>
          <w:szCs w:val="30"/>
          <w:highlight w:val="none"/>
          <w:lang w:val="en-US" w:eastAsia="zh-CN"/>
        </w:rPr>
        <w:t>主要原因是2022年度、2023年度我单位均无</w:t>
      </w:r>
      <w:r>
        <w:rPr>
          <w:rFonts w:hint="default" w:ascii="Times New Roman" w:hAnsi="Times New Roman" w:eastAsia="仿宋_GB2312" w:cs="Times New Roman"/>
          <w:kern w:val="2"/>
          <w:sz w:val="32"/>
          <w:szCs w:val="32"/>
          <w:lang w:val="zh-CN"/>
        </w:rPr>
        <w:t xml:space="preserve"> 国有资本经营预算财政拨款</w:t>
      </w:r>
      <w:r>
        <w:rPr>
          <w:rFonts w:hint="eastAsia" w:ascii="Times New Roman" w:hAnsi="Times New Roman" w:eastAsia="仿宋_GB2312" w:cs="Times New Roman"/>
          <w:kern w:val="2"/>
          <w:sz w:val="32"/>
          <w:szCs w:val="32"/>
          <w:lang w:val="en-US" w:eastAsia="zh-CN"/>
        </w:rPr>
        <w:t>收入</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eastAsia" w:ascii="Times New Roman" w:hAnsi="Times New Roman" w:eastAsia="仿宋_GB2312" w:cs="Times New Roman"/>
          <w:sz w:val="30"/>
          <w:szCs w:val="30"/>
          <w:highlight w:val="none"/>
          <w:lang w:val="en-US" w:eastAsia="zh-CN"/>
        </w:rPr>
        <w:t>主要原因是2022年度、2023年度我单位均无</w:t>
      </w:r>
      <w:r>
        <w:rPr>
          <w:rFonts w:hint="default" w:ascii="Times New Roman" w:hAnsi="Times New Roman" w:eastAsia="仿宋_GB2312" w:cs="Times New Roman"/>
          <w:kern w:val="2"/>
          <w:sz w:val="32"/>
          <w:szCs w:val="32"/>
          <w:lang w:val="zh-CN"/>
        </w:rPr>
        <w:t xml:space="preserve"> 国有资本经营预算财政拨款</w:t>
      </w:r>
      <w:r>
        <w:rPr>
          <w:rFonts w:hint="eastAsia" w:ascii="Times New Roman" w:hAnsi="Times New Roman" w:eastAsia="仿宋_GB2312" w:cs="Times New Roman"/>
          <w:kern w:val="2"/>
          <w:sz w:val="32"/>
          <w:szCs w:val="32"/>
          <w:lang w:val="en-US" w:eastAsia="zh-CN"/>
        </w:rPr>
        <w:t>支出</w:t>
      </w:r>
      <w:r>
        <w:rPr>
          <w:rFonts w:hint="default" w:ascii="Times New Roman" w:hAnsi="Times New Roman" w:eastAsia="仿宋_GB2312" w:cs="Times New Roman"/>
          <w:kern w:val="2"/>
          <w:sz w:val="32"/>
          <w:szCs w:val="32"/>
          <w:lang w:val="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年度财政拨款支出1,670.99万元，主要用于以下方面：</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一般公共服务（类）支出899.15万元，占53.81%；教育（类）支出73.44万元，占4.4%；文化旅游体育与传媒（类）支出1.5万元，占0.09%；社会保障和就业 （类）支出101.46万元，占6.07%；卫生健康（类）支出51.02万元，占3.05%；城乡社区（类）支出438.03万元，占26.21%；农林水（类）支出30.5万元，占1.83%；住房保障（类）支出75.88万元，占4.54%。</w:t>
      </w:r>
    </w:p>
    <w:p>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年度财政拨款基本支出933.89万元，其中：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756.85万元，主要包括基本工资、津贴补贴、奖金、绩效工资、机关事业部门基本养老保险缴费、职业年金缴费、职工基本医疗保险缴费、公务员医疗补助缴费、住房公积金、医疗费、其他社会保障缴费、其他工资福利支出、离休费、 退休费、生活补助、医疗费补助、奖励金、其他对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177.04万元，主要包括办公费、印刷费、咨询费、水费、电费、邮电费、取暖费、物业管理费、差旅费、维修（护）费、租赁费劳务费、委托业务费、工会经费、福利费、公务用车运行维护费、其他交通费用、税金及附加费用、办公设备购置。</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年度“三公”经费财政拨款支出预算为5.4万元，支出决算为 5.36万元，完成预算的 99.22%，较预算</w:t>
      </w:r>
      <w:r>
        <w:rPr>
          <w:rFonts w:hint="eastAsia" w:ascii="Times New Roman" w:hAnsi="Times New Roman" w:eastAsia="仿宋_GB2312" w:cs="Times New Roman"/>
          <w:color w:val="auto"/>
          <w:kern w:val="2"/>
          <w:sz w:val="32"/>
          <w:szCs w:val="32"/>
          <w:lang w:val="zh-CN" w:eastAsia="zh-CN" w:bidi="ar-SA"/>
        </w:rPr>
        <w:t>减少0.04万元，降低0.78%，</w:t>
      </w:r>
      <w:r>
        <w:rPr>
          <w:rFonts w:hint="default" w:ascii="Times New Roman" w:hAnsi="Times New Roman" w:eastAsia="仿宋_GB2312" w:cs="Times New Roman"/>
          <w:color w:val="auto"/>
          <w:kern w:val="2"/>
          <w:sz w:val="32"/>
          <w:szCs w:val="32"/>
          <w:lang w:val="zh-CN" w:eastAsia="zh-CN" w:bidi="ar-SA"/>
        </w:rPr>
        <w:t>主要是</w:t>
      </w:r>
      <w:r>
        <w:rPr>
          <w:rFonts w:ascii="仿宋_GB2312" w:hAnsi="Times New Roman" w:eastAsia="仿宋_GB2312" w:cs="仿宋_GB2312"/>
          <w:sz w:val="32"/>
          <w:szCs w:val="32"/>
        </w:rPr>
        <w:t>严格控制“三公”经费支出的原因</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减少0万元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降低0%，</w:t>
      </w:r>
      <w:r>
        <w:rPr>
          <w:rFonts w:hint="default" w:ascii="Times New Roman" w:hAnsi="Times New Roman" w:eastAsia="仿宋_GB2312" w:cs="Times New Roman"/>
          <w:color w:val="auto"/>
          <w:kern w:val="2"/>
          <w:sz w:val="32"/>
          <w:szCs w:val="32"/>
          <w:lang w:val="zh-CN" w:eastAsia="zh-CN" w:bidi="ar-SA"/>
        </w:rPr>
        <w:t>主要是</w:t>
      </w:r>
      <w:r>
        <w:rPr>
          <w:rFonts w:ascii="仿宋_GB2312" w:hAnsi="Times New Roman" w:eastAsia="仿宋_GB2312" w:cs="仿宋_GB2312"/>
          <w:sz w:val="32"/>
          <w:szCs w:val="32"/>
        </w:rPr>
        <w:t>严格控制“三公”经费支出的原因</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本单位</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年度公务用车购置及运行维护费预算为5.4万元，支出决算 5.36万元，完成预算的99.22%</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较预算</w:t>
      </w:r>
      <w:r>
        <w:rPr>
          <w:rFonts w:hint="eastAsia" w:ascii="Times New Roman" w:hAnsi="Times New Roman" w:eastAsia="仿宋_GB2312" w:cs="Times New Roman"/>
          <w:color w:val="auto"/>
          <w:kern w:val="2"/>
          <w:sz w:val="32"/>
          <w:szCs w:val="32"/>
          <w:lang w:val="zh-CN" w:eastAsia="zh-CN" w:bidi="ar-SA"/>
        </w:rPr>
        <w:t>减少0.04万元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降低0.78%，</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节约用车开支</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降低0%，</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节约用车开支</w:t>
      </w:r>
      <w:r>
        <w:rPr>
          <w:rFonts w:hint="default" w:ascii="Times New Roman" w:hAnsi="Times New Roman" w:eastAsia="仿宋_GB2312" w:cs="Times New Roman"/>
          <w:color w:val="auto"/>
          <w:kern w:val="2"/>
          <w:sz w:val="32"/>
          <w:szCs w:val="32"/>
          <w:lang w:val="zh-CN" w:eastAsia="zh-CN" w:bidi="ar-SA"/>
        </w:rPr>
        <w:t>。其中：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en-US"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w:t>
      </w:r>
      <w:r>
        <w:rPr>
          <w:rFonts w:hint="eastAsia" w:ascii="仿宋_GB2312" w:hAnsi="Times New Roman" w:eastAsia="仿宋_GB2312" w:cs="仿宋_GB2312"/>
          <w:sz w:val="32"/>
          <w:szCs w:val="32"/>
        </w:rPr>
        <w:t>未发生“公务用车购置”经费支出。公务用车购置费支出较预算持平，较上年持平</w:t>
      </w:r>
      <w:r>
        <w:rPr>
          <w:rFonts w:hint="eastAsia" w:ascii="仿宋_GB2312" w:hAnsi="Times New Roman"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5.36</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年度单位公务用车保有量2辆，发生运行维护费支出5.36万元。公车运行维护费支出较预算</w:t>
      </w:r>
      <w:r>
        <w:rPr>
          <w:rFonts w:hint="eastAsia" w:ascii="Times New Roman" w:hAnsi="Times New Roman" w:eastAsia="仿宋_GB2312" w:cs="Times New Roman"/>
          <w:color w:val="auto"/>
          <w:kern w:val="2"/>
          <w:sz w:val="32"/>
          <w:szCs w:val="32"/>
          <w:lang w:val="zh-CN" w:eastAsia="zh-CN" w:bidi="ar-SA"/>
        </w:rPr>
        <w:t>减少0.04万元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降低0.78%，</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仿宋_GB2312"/>
          <w:sz w:val="32"/>
          <w:szCs w:val="32"/>
          <w:lang w:val="en-US" w:eastAsia="zh-CN"/>
        </w:rPr>
        <w:t>节约用车开支</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降低0%</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年度机关运行经费支出177.04万元，较2022年度</w:t>
      </w:r>
      <w:r>
        <w:rPr>
          <w:rFonts w:hint="eastAsia" w:ascii="Times New Roman" w:hAnsi="Times New Roman" w:eastAsia="仿宋_GB2312" w:cs="Times New Roman"/>
          <w:color w:val="auto"/>
          <w:kern w:val="2"/>
          <w:sz w:val="32"/>
          <w:szCs w:val="32"/>
          <w:lang w:val="zh-CN" w:eastAsia="zh-CN" w:bidi="ar-SA"/>
        </w:rPr>
        <w:t>增加16.74万元，增长10.44%，</w:t>
      </w:r>
      <w:r>
        <w:rPr>
          <w:rFonts w:hint="default" w:ascii="Times New Roman" w:hAnsi="Times New Roman" w:eastAsia="仿宋_GB2312" w:cs="Times New Roman"/>
          <w:color w:val="auto"/>
          <w:kern w:val="2"/>
          <w:sz w:val="32"/>
          <w:szCs w:val="32"/>
          <w:lang w:val="zh-CN" w:eastAsia="zh-CN" w:bidi="ar-SA"/>
        </w:rPr>
        <w:t>主要原因是</w:t>
      </w:r>
      <w:r>
        <w:rPr>
          <w:rFonts w:hint="eastAsia" w:ascii="Times New Roman" w:hAnsi="Times New Roman" w:eastAsia="仿宋_GB2312" w:cs="Times New Roman"/>
          <w:color w:val="auto"/>
          <w:kern w:val="2"/>
          <w:sz w:val="32"/>
          <w:szCs w:val="32"/>
          <w:lang w:val="en-US" w:eastAsia="zh-CN" w:bidi="ar-SA"/>
        </w:rPr>
        <w:t>本年度调入人员增多，机关运行经费增加</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年度政府采购支出总额310.07万元，从采购类型来看，政府采购货物支出4.35万元、政府采购工程支出288.19万元、政府采购服务支出17.53万元。授予中小企业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309.04万元，占政府采购支出总额的99.67%，其中授予小微企业合同金额309.04万元，占政府采购支出总额的99.67%。</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年12月31日，本单位共有车辆4辆，比上年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无增减变化</w:t>
      </w:r>
      <w:r>
        <w:rPr>
          <w:rFonts w:hint="default" w:ascii="Times New Roman" w:hAnsi="Times New Roman" w:eastAsia="仿宋_GB2312" w:cs="Times New Roman"/>
          <w:color w:val="auto"/>
          <w:kern w:val="2"/>
          <w:sz w:val="32"/>
          <w:szCs w:val="32"/>
          <w:lang w:val="zh-CN" w:eastAsia="zh-CN" w:bidi="ar-SA"/>
        </w:rPr>
        <w:t>。其中，应急保障用车2辆，其他用车2辆，其他用车</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保洁清洁用车</w:t>
      </w:r>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Arial" w:cs="Times New Roman"/>
          <w:highlight w:val="none"/>
        </w:rPr>
      </w:pPr>
      <w:r>
        <w:rPr>
          <w:rFonts w:hint="default" w:ascii="Times New Roman" w:hAnsi="Times New Roman" w:eastAsia="仿宋_GB2312" w:cs="Times New Roman"/>
          <w:color w:val="auto"/>
          <w:kern w:val="2"/>
          <w:sz w:val="32"/>
          <w:szCs w:val="32"/>
          <w:lang w:val="zh-CN" w:eastAsia="zh-CN" w:bidi="ar-SA"/>
        </w:rPr>
        <w:t>根据预算绩效管理要求，本单位组织对2023年度一般公共预算项目支出全面开展绩效自评，其中，一级项目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22</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698.06</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%。组织对2023年度区级中以农科违建拆除、区级水悦龙庭违建拆除等</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个政府性基金预算项目支出开展绩效自评，共涉及资金</w:t>
      </w:r>
      <w:r>
        <w:rPr>
          <w:rFonts w:hint="eastAsia" w:ascii="Times New Roman" w:hAnsi="Times New Roman" w:eastAsia="仿宋_GB2312" w:cs="Times New Roman"/>
          <w:color w:val="auto"/>
          <w:kern w:val="2"/>
          <w:sz w:val="32"/>
          <w:szCs w:val="32"/>
          <w:lang w:val="en-US" w:eastAsia="zh-CN" w:bidi="ar-SA"/>
        </w:rPr>
        <w:t>35</w:t>
      </w:r>
      <w:r>
        <w:rPr>
          <w:rFonts w:hint="default" w:ascii="Times New Roman" w:hAnsi="Times New Roman" w:eastAsia="仿宋_GB2312" w:cs="Times New Roman"/>
          <w:color w:val="auto"/>
          <w:kern w:val="2"/>
          <w:sz w:val="32"/>
          <w:szCs w:val="32"/>
          <w:lang w:val="zh-CN" w:eastAsia="zh-CN" w:bidi="ar-SA"/>
        </w:rPr>
        <w:t>万元，占政府性基金预算项目支出总额的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eastAsia" w:ascii="仿宋" w:hAnsi="仿宋" w:eastAsia="仿宋" w:cs="仿宋"/>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eastAsia" w:ascii="仿宋" w:hAnsi="仿宋" w:eastAsia="仿宋" w:cs="仿宋"/>
          <w:color w:val="auto"/>
          <w:kern w:val="2"/>
          <w:sz w:val="32"/>
          <w:szCs w:val="32"/>
          <w:lang w:val="zh-CN" w:eastAsia="zh-CN" w:bidi="ar-SA"/>
        </w:rPr>
        <w:t>本单位在今年部门决算公开中反映2023年区级退役军人公益岗位劳务派遣工资及保险项目及 2023年区级衡井线北寨段两侧绿化、环乡路南寨及梁庄绿化、山前大道南延两侧绿化占地租金项目绩效自评结果。</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仿宋" w:hAnsi="仿宋" w:eastAsia="仿宋" w:cs="仿宋"/>
          <w:color w:val="auto"/>
          <w:kern w:val="2"/>
          <w:sz w:val="32"/>
          <w:szCs w:val="32"/>
          <w:lang w:val="zh-CN" w:eastAsia="zh-CN" w:bidi="ar-SA"/>
        </w:rPr>
      </w:pPr>
      <w:r>
        <w:rPr>
          <w:rFonts w:hint="eastAsia" w:ascii="仿宋" w:hAnsi="仿宋" w:eastAsia="仿宋" w:cs="仿宋"/>
          <w:color w:val="auto"/>
          <w:kern w:val="2"/>
          <w:sz w:val="32"/>
          <w:szCs w:val="32"/>
          <w:lang w:val="zh-CN" w:eastAsia="zh-CN" w:bidi="ar-SA"/>
        </w:rPr>
        <w:t>（</w:t>
      </w:r>
      <w:r>
        <w:rPr>
          <w:rFonts w:hint="eastAsia" w:ascii="仿宋" w:hAnsi="仿宋" w:eastAsia="仿宋" w:cs="仿宋"/>
          <w:color w:val="auto"/>
          <w:kern w:val="2"/>
          <w:sz w:val="32"/>
          <w:szCs w:val="32"/>
          <w:lang w:val="en-US" w:eastAsia="zh-CN" w:bidi="ar-SA"/>
        </w:rPr>
        <w:t>1</w:t>
      </w:r>
      <w:r>
        <w:rPr>
          <w:rFonts w:hint="eastAsia" w:ascii="仿宋" w:hAnsi="仿宋" w:eastAsia="仿宋" w:cs="仿宋"/>
          <w:color w:val="auto"/>
          <w:kern w:val="2"/>
          <w:sz w:val="32"/>
          <w:szCs w:val="32"/>
          <w:lang w:val="zh-CN" w:eastAsia="zh-CN" w:bidi="ar-SA"/>
        </w:rPr>
        <w:t>）2023年区级退役军人公益岗位劳务派遣工资及保险项目绩效自评情况：根据年初设定的绩效目标，2023年区级退役军人公益岗位劳务派遣工资及保险项目绩效自评得分为</w:t>
      </w:r>
      <w:r>
        <w:rPr>
          <w:rFonts w:hint="eastAsia" w:ascii="仿宋" w:hAnsi="仿宋" w:eastAsia="仿宋" w:cs="仿宋"/>
          <w:color w:val="auto"/>
          <w:kern w:val="2"/>
          <w:sz w:val="32"/>
          <w:szCs w:val="32"/>
          <w:lang w:val="en-US" w:eastAsia="zh-CN" w:bidi="ar-SA"/>
        </w:rPr>
        <w:t>100</w:t>
      </w:r>
      <w:r>
        <w:rPr>
          <w:rFonts w:hint="eastAsia" w:ascii="仿宋" w:hAnsi="仿宋" w:eastAsia="仿宋" w:cs="仿宋"/>
          <w:color w:val="auto"/>
          <w:kern w:val="2"/>
          <w:sz w:val="32"/>
          <w:szCs w:val="32"/>
          <w:lang w:val="zh-CN" w:eastAsia="zh-CN" w:bidi="ar-SA"/>
        </w:rPr>
        <w:t>分（绩效自评表附后）。全年预算数为12.063296万元，执行数为12.063296万元，完成预算的</w:t>
      </w:r>
      <w:r>
        <w:rPr>
          <w:rFonts w:hint="eastAsia" w:ascii="仿宋" w:hAnsi="仿宋" w:eastAsia="仿宋" w:cs="仿宋"/>
          <w:color w:val="auto"/>
          <w:kern w:val="2"/>
          <w:sz w:val="32"/>
          <w:szCs w:val="32"/>
          <w:lang w:val="en-US" w:eastAsia="zh-CN" w:bidi="ar-SA"/>
        </w:rPr>
        <w:t>100</w:t>
      </w:r>
      <w:r>
        <w:rPr>
          <w:rFonts w:hint="eastAsia" w:ascii="仿宋" w:hAnsi="仿宋" w:eastAsia="仿宋" w:cs="仿宋"/>
          <w:color w:val="auto"/>
          <w:kern w:val="2"/>
          <w:sz w:val="32"/>
          <w:szCs w:val="32"/>
          <w:lang w:val="zh-CN" w:eastAsia="zh-CN" w:bidi="ar-SA"/>
        </w:rPr>
        <w:t>%。项目绩效目标完成情况：</w:t>
      </w:r>
      <w:r>
        <w:rPr>
          <w:rFonts w:hint="eastAsia" w:ascii="仿宋" w:hAnsi="仿宋" w:eastAsia="仿宋" w:cs="仿宋"/>
          <w:color w:val="auto"/>
          <w:kern w:val="2"/>
          <w:sz w:val="32"/>
          <w:szCs w:val="32"/>
          <w:lang w:val="en-US" w:eastAsia="zh-CN" w:bidi="ar-SA"/>
        </w:rPr>
        <w:t>一是</w:t>
      </w:r>
      <w:r>
        <w:rPr>
          <w:rFonts w:hint="eastAsia" w:ascii="仿宋" w:hAnsi="仿宋" w:eastAsia="仿宋" w:cs="仿宋"/>
          <w:color w:val="auto"/>
          <w:kern w:val="2"/>
          <w:sz w:val="32"/>
          <w:szCs w:val="32"/>
          <w:lang w:val="zh-CN" w:eastAsia="zh-CN" w:bidi="ar-SA"/>
        </w:rPr>
        <w:t>按时足额发放涉军公益岗位人员工资，做好退役士兵安置工作；二是做好退役士兵安置工作，切实维护广大退役士兵合法权益，未发现其他问题。</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仿宋" w:hAnsi="仿宋" w:eastAsia="仿宋" w:cs="仿宋"/>
          <w:color w:val="auto"/>
          <w:kern w:val="2"/>
          <w:sz w:val="32"/>
          <w:szCs w:val="32"/>
          <w:lang w:val="zh-CN" w:eastAsia="zh-CN" w:bidi="ar-SA"/>
        </w:rPr>
      </w:pPr>
      <w:r>
        <w:rPr>
          <w:rFonts w:hint="eastAsia" w:ascii="仿宋" w:hAnsi="仿宋" w:eastAsia="仿宋" w:cs="仿宋"/>
          <w:color w:val="auto"/>
          <w:kern w:val="2"/>
          <w:sz w:val="32"/>
          <w:szCs w:val="32"/>
          <w:lang w:val="zh-CN" w:eastAsia="zh-CN" w:bidi="ar-SA"/>
        </w:rPr>
        <w:t>（</w:t>
      </w:r>
      <w:r>
        <w:rPr>
          <w:rFonts w:hint="eastAsia" w:ascii="仿宋" w:hAnsi="仿宋" w:eastAsia="仿宋" w:cs="仿宋"/>
          <w:color w:val="auto"/>
          <w:kern w:val="2"/>
          <w:sz w:val="32"/>
          <w:szCs w:val="32"/>
          <w:lang w:val="en-US" w:eastAsia="zh-CN" w:bidi="ar-SA"/>
        </w:rPr>
        <w:t>2</w:t>
      </w:r>
      <w:r>
        <w:rPr>
          <w:rFonts w:hint="eastAsia" w:ascii="仿宋" w:hAnsi="仿宋" w:eastAsia="仿宋" w:cs="仿宋"/>
          <w:color w:val="auto"/>
          <w:kern w:val="2"/>
          <w:sz w:val="32"/>
          <w:szCs w:val="32"/>
          <w:lang w:val="zh-CN" w:eastAsia="zh-CN" w:bidi="ar-SA"/>
        </w:rPr>
        <w:t>）2023年区级衡井线北寨段两侧绿化、环乡路南寨及梁庄绿化、山前大道南延两侧绿化占地租金项目绩效自评情况：根据年初设定的绩效目标，2023年区级衡井线北寨段两侧绿化、环乡路南寨及梁庄绿化、山前大道南延两侧绿化占地租金项目绩效自评得分为</w:t>
      </w:r>
      <w:r>
        <w:rPr>
          <w:rFonts w:hint="eastAsia" w:ascii="仿宋" w:hAnsi="仿宋" w:eastAsia="仿宋" w:cs="仿宋"/>
          <w:color w:val="auto"/>
          <w:kern w:val="2"/>
          <w:sz w:val="32"/>
          <w:szCs w:val="32"/>
          <w:lang w:val="en-US" w:eastAsia="zh-CN" w:bidi="ar-SA"/>
        </w:rPr>
        <w:t>100</w:t>
      </w:r>
      <w:r>
        <w:rPr>
          <w:rFonts w:hint="eastAsia" w:ascii="仿宋" w:hAnsi="仿宋" w:eastAsia="仿宋" w:cs="仿宋"/>
          <w:color w:val="auto"/>
          <w:kern w:val="2"/>
          <w:sz w:val="32"/>
          <w:szCs w:val="32"/>
          <w:lang w:val="zh-CN" w:eastAsia="zh-CN" w:bidi="ar-SA"/>
        </w:rPr>
        <w:t>分（绩效自评表附后）。全年预算数为</w:t>
      </w:r>
      <w:r>
        <w:rPr>
          <w:rFonts w:hint="eastAsia" w:ascii="仿宋" w:hAnsi="仿宋" w:eastAsia="仿宋" w:cs="仿宋"/>
          <w:color w:val="auto"/>
          <w:kern w:val="2"/>
          <w:sz w:val="32"/>
          <w:szCs w:val="32"/>
          <w:lang w:val="en-US" w:eastAsia="zh-CN" w:bidi="ar-SA"/>
        </w:rPr>
        <w:t>33.946</w:t>
      </w:r>
      <w:r>
        <w:rPr>
          <w:rFonts w:hint="eastAsia" w:ascii="仿宋" w:hAnsi="仿宋" w:eastAsia="仿宋" w:cs="仿宋"/>
          <w:color w:val="auto"/>
          <w:kern w:val="2"/>
          <w:sz w:val="32"/>
          <w:szCs w:val="32"/>
          <w:lang w:val="zh-CN" w:eastAsia="zh-CN" w:bidi="ar-SA"/>
        </w:rPr>
        <w:t>万元，执行数为</w:t>
      </w:r>
      <w:r>
        <w:rPr>
          <w:rFonts w:hint="eastAsia" w:ascii="仿宋" w:hAnsi="仿宋" w:eastAsia="仿宋" w:cs="仿宋"/>
          <w:color w:val="auto"/>
          <w:kern w:val="2"/>
          <w:sz w:val="32"/>
          <w:szCs w:val="32"/>
          <w:lang w:val="en-US" w:eastAsia="zh-CN" w:bidi="ar-SA"/>
        </w:rPr>
        <w:t>33.946</w:t>
      </w:r>
      <w:r>
        <w:rPr>
          <w:rFonts w:hint="eastAsia" w:ascii="仿宋" w:hAnsi="仿宋" w:eastAsia="仿宋" w:cs="仿宋"/>
          <w:color w:val="auto"/>
          <w:kern w:val="2"/>
          <w:sz w:val="32"/>
          <w:szCs w:val="32"/>
          <w:lang w:val="zh-CN" w:eastAsia="zh-CN" w:bidi="ar-SA"/>
        </w:rPr>
        <w:t>万元，完成预算的</w:t>
      </w:r>
      <w:r>
        <w:rPr>
          <w:rFonts w:hint="eastAsia" w:ascii="仿宋" w:hAnsi="仿宋" w:eastAsia="仿宋" w:cs="仿宋"/>
          <w:color w:val="auto"/>
          <w:kern w:val="2"/>
          <w:sz w:val="32"/>
          <w:szCs w:val="32"/>
          <w:lang w:val="en-US" w:eastAsia="zh-CN" w:bidi="ar-SA"/>
        </w:rPr>
        <w:t>100</w:t>
      </w:r>
      <w:r>
        <w:rPr>
          <w:rFonts w:hint="eastAsia" w:ascii="仿宋" w:hAnsi="仿宋" w:eastAsia="仿宋" w:cs="仿宋"/>
          <w:color w:val="auto"/>
          <w:kern w:val="2"/>
          <w:sz w:val="32"/>
          <w:szCs w:val="32"/>
          <w:lang w:val="zh-CN" w:eastAsia="zh-CN" w:bidi="ar-SA"/>
        </w:rPr>
        <w:t>%。项目绩效目标完成情况：按时足额发放</w:t>
      </w:r>
      <w:r>
        <w:rPr>
          <w:rFonts w:hint="eastAsia" w:ascii="仿宋" w:hAnsi="仿宋" w:eastAsia="仿宋" w:cs="仿宋"/>
          <w:color w:val="auto"/>
          <w:kern w:val="2"/>
          <w:sz w:val="32"/>
          <w:szCs w:val="32"/>
          <w:lang w:val="en-US" w:eastAsia="zh-CN" w:bidi="ar-SA"/>
        </w:rPr>
        <w:t>农民租地租金，保障农民合法权益。</w:t>
      </w:r>
      <w:r>
        <w:rPr>
          <w:rFonts w:hint="eastAsia" w:ascii="仿宋" w:hAnsi="仿宋" w:eastAsia="仿宋" w:cs="仿宋"/>
          <w:color w:val="auto"/>
          <w:kern w:val="2"/>
          <w:sz w:val="32"/>
          <w:szCs w:val="32"/>
          <w:lang w:val="zh-CN" w:eastAsia="zh-CN" w:bidi="ar-SA"/>
        </w:rPr>
        <w:t>未发现其他问题。</w:t>
      </w:r>
    </w:p>
    <w:tbl>
      <w:tblPr>
        <w:tblStyle w:val="11"/>
        <w:tblW w:w="101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51"/>
        <w:gridCol w:w="1059"/>
        <w:gridCol w:w="1116"/>
        <w:gridCol w:w="1214"/>
        <w:gridCol w:w="1485"/>
        <w:gridCol w:w="1141"/>
        <w:gridCol w:w="1224"/>
        <w:gridCol w:w="16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0106"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default" w:ascii="方正小标宋_GBK" w:hAnsi="方正小标宋_GBK" w:eastAsia="方正小标宋_GBK" w:cs="方正小标宋_GBK"/>
                <w:i w:val="0"/>
                <w:iCs w:val="0"/>
                <w:color w:val="000000"/>
                <w:kern w:val="0"/>
                <w:sz w:val="44"/>
                <w:szCs w:val="44"/>
                <w:u w:val="none"/>
                <w:lang w:val="en-US" w:eastAsia="zh-CN" w:bidi="ar"/>
              </w:rPr>
              <w:t>上寨乡人民政府预算项目绩效自评表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jc w:val="center"/>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0" w:type="auto"/>
            <w:gridSpan w:val="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填报单位：上寨乡人民政府</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125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2023年区级退役军人公益岗位劳务派遣工资及保险</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8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石家庄市鹿泉区上寨乡人民政府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2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1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2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12.063296</w:t>
            </w:r>
          </w:p>
        </w:tc>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12.063296</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12.063296</w:t>
            </w:r>
          </w:p>
        </w:tc>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2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12.063296</w:t>
            </w:r>
          </w:p>
        </w:tc>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12.063296</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12.063296</w:t>
            </w: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jc w:val="center"/>
        </w:trPr>
        <w:tc>
          <w:tcPr>
            <w:tcW w:w="12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jc w:val="center"/>
        </w:trPr>
        <w:tc>
          <w:tcPr>
            <w:tcW w:w="12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5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8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jc w:val="center"/>
        </w:trPr>
        <w:tc>
          <w:tcPr>
            <w:tcW w:w="12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2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安排我乡2名退役军人就业，支付工资及保险，保障退役军人生活水平。</w:t>
            </w:r>
          </w:p>
        </w:tc>
        <w:tc>
          <w:tcPr>
            <w:tcW w:w="385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安排我乡2名退役军人就业，支付工资及保险，保障退役军人生活水平。</w:t>
            </w:r>
          </w:p>
        </w:tc>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jc w:val="center"/>
        </w:trPr>
        <w:tc>
          <w:tcPr>
            <w:tcW w:w="12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2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 w:hRule="atLeast"/>
          <w:jc w:val="center"/>
        </w:trPr>
        <w:tc>
          <w:tcPr>
            <w:tcW w:w="12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2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251"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04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安排退役军人劳务派遣岗位人数</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2人</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2人</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取暖补贴金额</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1900</w:t>
            </w:r>
            <w:r>
              <w:rPr>
                <w:rFonts w:hint="eastAsia" w:ascii="宋体" w:hAnsi="宋体" w:eastAsia="宋体" w:cs="宋体"/>
                <w:i w:val="0"/>
                <w:iCs w:val="0"/>
                <w:color w:val="000000"/>
                <w:kern w:val="0"/>
                <w:sz w:val="20"/>
                <w:szCs w:val="20"/>
                <w:u w:val="none"/>
                <w:lang w:val="en-US" w:eastAsia="zh-CN" w:bidi="ar"/>
              </w:rPr>
              <w:t>元</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1900</w:t>
            </w:r>
            <w:r>
              <w:rPr>
                <w:rFonts w:hint="eastAsia" w:ascii="宋体" w:hAnsi="宋体" w:eastAsia="宋体" w:cs="宋体"/>
                <w:i w:val="0"/>
                <w:iCs w:val="0"/>
                <w:color w:val="000000"/>
                <w:kern w:val="0"/>
                <w:sz w:val="20"/>
                <w:szCs w:val="20"/>
                <w:u w:val="none"/>
                <w:lang w:val="en-US" w:eastAsia="zh-CN" w:bidi="ar"/>
              </w:rPr>
              <w:t>元</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帮扶符合就业安置退役军人率</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退役军人工资及时发放率</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发放退役军人劳务派遣工资及保险金额</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12.063296</w:t>
            </w:r>
            <w:r>
              <w:rPr>
                <w:rFonts w:hint="eastAsia" w:ascii="宋体" w:hAnsi="宋体" w:eastAsia="宋体" w:cs="宋体"/>
                <w:i w:val="0"/>
                <w:iCs w:val="0"/>
                <w:color w:val="000000"/>
                <w:kern w:val="0"/>
                <w:sz w:val="20"/>
                <w:szCs w:val="20"/>
                <w:u w:val="none"/>
                <w:lang w:val="en-US" w:eastAsia="zh-CN" w:bidi="ar"/>
              </w:rPr>
              <w:t>万元</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12.063296</w:t>
            </w:r>
            <w:r>
              <w:rPr>
                <w:rFonts w:hint="eastAsia" w:ascii="宋体" w:hAnsi="宋体" w:eastAsia="宋体" w:cs="宋体"/>
                <w:i w:val="0"/>
                <w:iCs w:val="0"/>
                <w:color w:val="000000"/>
                <w:kern w:val="0"/>
                <w:sz w:val="20"/>
                <w:szCs w:val="20"/>
                <w:u w:val="none"/>
                <w:lang w:val="en-US" w:eastAsia="zh-CN" w:bidi="ar"/>
              </w:rPr>
              <w:t>万元</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04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解决就业岗位人数</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2人</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2人</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缓解退役军人就业率</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4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退役军人劳务派遣满意度</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7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1251"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85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无</w:t>
            </w:r>
          </w:p>
        </w:tc>
      </w:tr>
    </w:tbl>
    <w:p>
      <w:pPr>
        <w:adjustRightInd w:val="0"/>
        <w:snapToGrid w:val="0"/>
        <w:spacing w:line="580" w:lineRule="exact"/>
        <w:rPr>
          <w:rFonts w:hint="default" w:ascii="Times New Roman" w:hAnsi="Times New Roman" w:eastAsia="仿宋_GB2312" w:cs="Times New Roman"/>
          <w:b/>
          <w:bCs/>
          <w:sz w:val="32"/>
          <w:szCs w:val="32"/>
        </w:rPr>
      </w:pPr>
    </w:p>
    <w:tbl>
      <w:tblPr>
        <w:tblStyle w:val="11"/>
        <w:tblW w:w="101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48"/>
        <w:gridCol w:w="1059"/>
        <w:gridCol w:w="1045"/>
        <w:gridCol w:w="1288"/>
        <w:gridCol w:w="1485"/>
        <w:gridCol w:w="1141"/>
        <w:gridCol w:w="1224"/>
        <w:gridCol w:w="16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10106"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default" w:ascii="方正小标宋_GBK" w:hAnsi="方正小标宋_GBK" w:eastAsia="方正小标宋_GBK" w:cs="方正小标宋_GBK"/>
                <w:i w:val="0"/>
                <w:iCs w:val="0"/>
                <w:color w:val="000000"/>
                <w:kern w:val="0"/>
                <w:sz w:val="44"/>
                <w:szCs w:val="44"/>
                <w:u w:val="none"/>
                <w:lang w:val="en-US" w:eastAsia="zh-CN" w:bidi="ar"/>
              </w:rPr>
              <w:t>上寨乡人民政府预算项目绩效自评表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jc w:val="center"/>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0" w:type="auto"/>
            <w:gridSpan w:val="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填报单位：上寨乡人民政府</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0" w:hRule="atLeast"/>
          <w:jc w:val="center"/>
        </w:trPr>
        <w:tc>
          <w:tcPr>
            <w:tcW w:w="125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2023年区级衡井线北寨段两侧绿化、环乡路南寨及梁庄绿化、山前大道南延两侧绿化占地租金</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8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石家庄市鹿泉区上寨乡人民政府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2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1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2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33.946</w:t>
            </w:r>
          </w:p>
        </w:tc>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33.946</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33.946</w:t>
            </w:r>
          </w:p>
        </w:tc>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2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33.946</w:t>
            </w:r>
          </w:p>
        </w:tc>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33.946</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33.946</w:t>
            </w: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jc w:val="center"/>
        </w:trPr>
        <w:tc>
          <w:tcPr>
            <w:tcW w:w="12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4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jc w:val="center"/>
        </w:trPr>
        <w:tc>
          <w:tcPr>
            <w:tcW w:w="12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5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8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jc w:val="center"/>
        </w:trPr>
        <w:tc>
          <w:tcPr>
            <w:tcW w:w="12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2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对衡井线北寨段、山前大道南延（北寨至上寨段）、村村通环乡路两侧进行绿化，涉及农户共437户，土地共计235.73645亩，共计339460元给予农户补偿。     </w:t>
            </w:r>
          </w:p>
        </w:tc>
        <w:tc>
          <w:tcPr>
            <w:tcW w:w="385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对衡井线北寨段、山前大道南延（北寨至上寨段）、村村通环乡路两侧进行绿化，涉及农户共437户，土地共计235.73645亩，共计339460元给予农户补偿。     </w:t>
            </w:r>
          </w:p>
        </w:tc>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 w:hRule="atLeast"/>
          <w:jc w:val="center"/>
        </w:trPr>
        <w:tc>
          <w:tcPr>
            <w:tcW w:w="12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2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jc w:val="center"/>
        </w:trPr>
        <w:tc>
          <w:tcPr>
            <w:tcW w:w="12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2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251"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0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绿化工程数量</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3个</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3个</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道路绿化涉及村庄数量</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个</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个</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道路绿化涉及农户数量</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437</w:t>
            </w:r>
            <w:r>
              <w:rPr>
                <w:rFonts w:hint="eastAsia" w:ascii="宋体" w:hAnsi="宋体" w:eastAsia="宋体" w:cs="宋体"/>
                <w:i w:val="0"/>
                <w:iCs w:val="0"/>
                <w:color w:val="000000"/>
                <w:kern w:val="0"/>
                <w:sz w:val="20"/>
                <w:szCs w:val="20"/>
                <w:u w:val="none"/>
                <w:lang w:val="en-US" w:eastAsia="zh-CN" w:bidi="ar"/>
              </w:rPr>
              <w:t>户</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437</w:t>
            </w:r>
            <w:r>
              <w:rPr>
                <w:rFonts w:hint="eastAsia" w:ascii="宋体" w:hAnsi="宋体" w:eastAsia="宋体" w:cs="宋体"/>
                <w:i w:val="0"/>
                <w:iCs w:val="0"/>
                <w:color w:val="000000"/>
                <w:kern w:val="0"/>
                <w:sz w:val="20"/>
                <w:szCs w:val="20"/>
                <w:u w:val="none"/>
                <w:lang w:val="en-US" w:eastAsia="zh-CN" w:bidi="ar"/>
              </w:rPr>
              <w:t>户</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道路绿化涉及土地数量</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235.73</w:t>
            </w:r>
            <w:r>
              <w:rPr>
                <w:rFonts w:hint="eastAsia" w:ascii="宋体" w:hAnsi="宋体" w:eastAsia="宋体" w:cs="宋体"/>
                <w:i w:val="0"/>
                <w:iCs w:val="0"/>
                <w:color w:val="000000"/>
                <w:kern w:val="0"/>
                <w:sz w:val="20"/>
                <w:szCs w:val="20"/>
                <w:u w:val="none"/>
                <w:lang w:val="en-US" w:eastAsia="zh-CN" w:bidi="ar"/>
              </w:rPr>
              <w:t>亩</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235.73亩</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道路绿化补偿标准</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1440</w:t>
            </w:r>
            <w:r>
              <w:rPr>
                <w:rFonts w:hint="eastAsia" w:ascii="宋体" w:hAnsi="宋体" w:eastAsia="宋体" w:cs="宋体"/>
                <w:i w:val="0"/>
                <w:iCs w:val="0"/>
                <w:color w:val="000000"/>
                <w:kern w:val="0"/>
                <w:sz w:val="20"/>
                <w:szCs w:val="20"/>
                <w:u w:val="none"/>
                <w:lang w:val="en-US" w:eastAsia="zh-CN" w:bidi="ar"/>
              </w:rPr>
              <w:t>元</w:t>
            </w:r>
            <w:r>
              <w:rPr>
                <w:rStyle w:val="25"/>
                <w:rFonts w:eastAsia="宋体"/>
                <w:lang w:val="en-US" w:eastAsia="zh-CN" w:bidi="ar"/>
              </w:rPr>
              <w:t>/</w:t>
            </w:r>
            <w:r>
              <w:rPr>
                <w:rFonts w:hint="eastAsia" w:ascii="宋体" w:hAnsi="宋体" w:eastAsia="宋体" w:cs="宋体"/>
                <w:i w:val="0"/>
                <w:iCs w:val="0"/>
                <w:color w:val="000000"/>
                <w:kern w:val="0"/>
                <w:sz w:val="20"/>
                <w:szCs w:val="20"/>
                <w:u w:val="none"/>
                <w:lang w:val="en-US" w:eastAsia="zh-CN" w:bidi="ar"/>
              </w:rPr>
              <w:t>亩</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1440</w:t>
            </w:r>
            <w:r>
              <w:rPr>
                <w:rFonts w:hint="eastAsia" w:ascii="宋体" w:hAnsi="宋体" w:eastAsia="宋体" w:cs="宋体"/>
                <w:i w:val="0"/>
                <w:iCs w:val="0"/>
                <w:color w:val="000000"/>
                <w:kern w:val="0"/>
                <w:sz w:val="20"/>
                <w:szCs w:val="20"/>
                <w:u w:val="none"/>
                <w:lang w:val="en-US" w:eastAsia="zh-CN" w:bidi="ar"/>
              </w:rPr>
              <w:t>元</w:t>
            </w:r>
            <w:r>
              <w:rPr>
                <w:rStyle w:val="25"/>
                <w:rFonts w:eastAsia="宋体"/>
                <w:lang w:val="en-US" w:eastAsia="zh-CN" w:bidi="ar"/>
              </w:rPr>
              <w:t>/</w:t>
            </w:r>
            <w:r>
              <w:rPr>
                <w:rFonts w:hint="eastAsia" w:ascii="宋体" w:hAnsi="宋体" w:eastAsia="宋体" w:cs="宋体"/>
                <w:i w:val="0"/>
                <w:iCs w:val="0"/>
                <w:color w:val="000000"/>
                <w:kern w:val="0"/>
                <w:sz w:val="20"/>
                <w:szCs w:val="20"/>
                <w:u w:val="none"/>
                <w:lang w:val="en-US" w:eastAsia="zh-CN" w:bidi="ar"/>
              </w:rPr>
              <w:t>亩</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补偿发放时限</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6月底之前</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11</w:t>
            </w:r>
            <w:r>
              <w:rPr>
                <w:rFonts w:hint="eastAsia" w:ascii="宋体" w:hAnsi="宋体" w:eastAsia="宋体" w:cs="宋体"/>
                <w:i w:val="0"/>
                <w:iCs w:val="0"/>
                <w:color w:val="000000"/>
                <w:kern w:val="0"/>
                <w:sz w:val="20"/>
                <w:szCs w:val="20"/>
                <w:u w:val="none"/>
                <w:lang w:val="en-US" w:eastAsia="zh-CN" w:bidi="ar"/>
              </w:rPr>
              <w:t>月份</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道路绿化补偿金额</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33.946</w:t>
            </w:r>
            <w:r>
              <w:rPr>
                <w:rFonts w:hint="eastAsia" w:ascii="宋体" w:hAnsi="宋体" w:eastAsia="宋体" w:cs="宋体"/>
                <w:i w:val="0"/>
                <w:iCs w:val="0"/>
                <w:color w:val="000000"/>
                <w:kern w:val="0"/>
                <w:sz w:val="20"/>
                <w:szCs w:val="20"/>
                <w:u w:val="none"/>
                <w:lang w:val="en-US" w:eastAsia="zh-CN" w:bidi="ar"/>
              </w:rPr>
              <w:t>万元</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33.946</w:t>
            </w:r>
            <w:r>
              <w:rPr>
                <w:rFonts w:hint="eastAsia" w:ascii="宋体" w:hAnsi="宋体" w:eastAsia="宋体" w:cs="宋体"/>
                <w:i w:val="0"/>
                <w:iCs w:val="0"/>
                <w:color w:val="000000"/>
                <w:kern w:val="0"/>
                <w:sz w:val="20"/>
                <w:szCs w:val="20"/>
                <w:u w:val="none"/>
                <w:lang w:val="en-US" w:eastAsia="zh-CN" w:bidi="ar"/>
              </w:rPr>
              <w:t>万元</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04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道路绿化补偿影响</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提高群众生活水平</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提高群众生活水平</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4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9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群众满意度</w:t>
            </w:r>
          </w:p>
        </w:tc>
        <w:tc>
          <w:tcPr>
            <w:tcW w:w="11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≥80%</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≥80%</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12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7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1251"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85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及时申请资金，按时支付资金</w:t>
            </w:r>
          </w:p>
        </w:tc>
      </w:tr>
    </w:tbl>
    <w:p>
      <w:pPr>
        <w:numPr>
          <w:ilvl w:val="0"/>
          <w:numId w:val="3"/>
        </w:numPr>
        <w:adjustRightInd w:val="0"/>
        <w:snapToGrid w:val="0"/>
        <w:spacing w:line="580" w:lineRule="exact"/>
        <w:ind w:left="77" w:leftChars="0" w:firstLine="643" w:firstLineChars="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部门评价项目绩效评价结果</w:t>
      </w:r>
    </w:p>
    <w:p>
      <w:pPr>
        <w:numPr>
          <w:ilvl w:val="0"/>
          <w:numId w:val="0"/>
        </w:numPr>
        <w:adjustRightInd w:val="0"/>
        <w:snapToGrid w:val="0"/>
        <w:spacing w:line="580" w:lineRule="exact"/>
        <w:ind w:firstLine="640" w:firstLineChars="200"/>
        <w:rPr>
          <w:rFonts w:hint="eastAsia" w:ascii="仿宋" w:hAnsi="仿宋" w:eastAsia="仿宋" w:cs="仿宋"/>
          <w:b/>
          <w:bCs/>
          <w:sz w:val="32"/>
          <w:szCs w:val="32"/>
        </w:rPr>
      </w:pPr>
      <w:bookmarkStart w:id="0" w:name="_GoBack"/>
      <w:r>
        <w:rPr>
          <w:rFonts w:hint="eastAsia" w:ascii="仿宋" w:hAnsi="仿宋" w:eastAsia="仿宋" w:cs="仿宋"/>
          <w:sz w:val="32"/>
          <w:szCs w:val="32"/>
        </w:rPr>
        <w:t>作为绩效运行监管主体，我</w:t>
      </w:r>
      <w:r>
        <w:rPr>
          <w:rFonts w:hint="eastAsia" w:ascii="仿宋" w:hAnsi="仿宋" w:eastAsia="仿宋" w:cs="仿宋"/>
          <w:sz w:val="32"/>
          <w:szCs w:val="32"/>
          <w:lang w:val="en-US" w:eastAsia="zh-CN"/>
        </w:rPr>
        <w:t>乡</w:t>
      </w:r>
      <w:r>
        <w:rPr>
          <w:rFonts w:hint="eastAsia" w:ascii="仿宋" w:hAnsi="仿宋" w:eastAsia="仿宋" w:cs="仿宋"/>
          <w:sz w:val="32"/>
          <w:szCs w:val="32"/>
        </w:rPr>
        <w:t>党委、政府认真落实主体责任，定期对绩效监控信息进行收集、汇总、分析，并将 结果上报</w:t>
      </w:r>
      <w:r>
        <w:rPr>
          <w:rFonts w:hint="eastAsia" w:ascii="仿宋" w:hAnsi="仿宋" w:eastAsia="仿宋" w:cs="仿宋"/>
          <w:sz w:val="32"/>
          <w:szCs w:val="32"/>
          <w:lang w:val="en-US" w:eastAsia="zh-CN"/>
        </w:rPr>
        <w:t>乡</w:t>
      </w:r>
      <w:r>
        <w:rPr>
          <w:rFonts w:hint="eastAsia" w:ascii="仿宋" w:hAnsi="仿宋" w:eastAsia="仿宋" w:cs="仿宋"/>
          <w:sz w:val="32"/>
          <w:szCs w:val="32"/>
        </w:rPr>
        <w:t>党委、政府。各责任部门加强监督，及时审核、汇总、报告本部门涉及的项目跟踪监控情况。坚持“全覆盖、 零容忍、重实效 ”的原则，对 2023 年项目开展绩效监控， 并对项目管理及目标调整依据项目的实际情况进行分析，及 时反映预算执行过程中项目绩效目标的运行情况和实现程 度；进一步明确预算管理目标，实行垂直管理和上下联动机 制，根据每月预算支出进度，对项目运行较慢、落实不到位 情况进行纠正和修改绩效目标和指标，分析问题原因，提出 意见建议并进行整改，切实提高我</w:t>
      </w:r>
      <w:r>
        <w:rPr>
          <w:rFonts w:hint="eastAsia" w:ascii="仿宋" w:hAnsi="仿宋" w:eastAsia="仿宋" w:cs="仿宋"/>
          <w:sz w:val="32"/>
          <w:szCs w:val="32"/>
          <w:lang w:val="en-US" w:eastAsia="zh-CN"/>
        </w:rPr>
        <w:t>乡</w:t>
      </w:r>
      <w:r>
        <w:rPr>
          <w:rFonts w:hint="eastAsia" w:ascii="仿宋" w:hAnsi="仿宋" w:eastAsia="仿宋" w:cs="仿宋"/>
          <w:sz w:val="32"/>
          <w:szCs w:val="32"/>
        </w:rPr>
        <w:t>预算资金的使用率</w:t>
      </w:r>
      <w:bookmarkEnd w:id="0"/>
      <w:r>
        <w:rPr>
          <w:rFonts w:hint="eastAsia" w:ascii="仿宋" w:hAnsi="仿宋" w:eastAsia="仿宋" w:cs="仿宋"/>
          <w:sz w:val="32"/>
          <w:szCs w:val="32"/>
        </w:rPr>
        <w:t>。</w:t>
      </w:r>
    </w:p>
    <w:p>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本部门2023年度</w:t>
      </w: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w:t>
      </w:r>
      <w:r>
        <w:rPr>
          <w:rFonts w:hint="default" w:ascii="Times New Roman" w:hAnsi="Times New Roman" w:eastAsia="仿宋_GB2312" w:cs="Times New Roman"/>
          <w:sz w:val="32"/>
          <w:szCs w:val="32"/>
        </w:rPr>
        <w:t>无收支及结转结余情况，故</w:t>
      </w:r>
      <w:r>
        <w:rPr>
          <w:rFonts w:hint="eastAsia" w:ascii="Times New Roman" w:hAnsi="Times New Roman" w:eastAsia="仿宋_GB2312" w:cs="Times New Roman"/>
          <w:sz w:val="32"/>
          <w:szCs w:val="32"/>
          <w:lang w:val="en-US" w:eastAsia="zh-CN"/>
        </w:rPr>
        <w:t>08</w:t>
      </w:r>
      <w:r>
        <w:rPr>
          <w:rFonts w:hint="default" w:ascii="Times New Roman" w:hAnsi="Times New Roman" w:eastAsia="仿宋_GB2312" w:cs="Times New Roman"/>
          <w:sz w:val="32"/>
          <w:szCs w:val="32"/>
        </w:rPr>
        <w:t>表以空表列示。</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AC40FEBC-9228-412C-B4E6-7AA118A75DEF}"/>
  </w:font>
  <w:font w:name="黑体">
    <w:panose1 w:val="02010609060101010101"/>
    <w:charset w:val="86"/>
    <w:family w:val="auto"/>
    <w:pitch w:val="default"/>
    <w:sig w:usb0="800002BF" w:usb1="38CF7CFA" w:usb2="00000016" w:usb3="00000000" w:csb0="00040001" w:csb1="00000000"/>
    <w:embedRegular r:id="rId2" w:fontKey="{952250A4-1D79-4A48-8AD8-FC2B53DC14F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12E8F4DA-58A0-430C-9A1B-94B246F8DF58}"/>
  </w:font>
  <w:font w:name="仿宋">
    <w:panose1 w:val="02010609060101010101"/>
    <w:charset w:val="86"/>
    <w:family w:val="modern"/>
    <w:pitch w:val="default"/>
    <w:sig w:usb0="800002BF" w:usb1="38CF7CFA" w:usb2="00000016" w:usb3="00000000" w:csb0="00040001" w:csb1="00000000"/>
    <w:embedRegular r:id="rId4" w:fontKey="{93CF8FA4-BC56-482E-BA45-910AE03C2899}"/>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5" w:fontKey="{4C41B05D-672D-4637-AAB7-C229DDF4F151}"/>
  </w:font>
  <w:font w:name="思源黑体 CN Heavy">
    <w:altName w:val="黑体"/>
    <w:panose1 w:val="00000000000000000000"/>
    <w:charset w:val="86"/>
    <w:family w:val="swiss"/>
    <w:pitch w:val="default"/>
    <w:sig w:usb0="00000000" w:usb1="00000000" w:usb2="00000016" w:usb3="00000000" w:csb0="00060107" w:csb1="00000000"/>
    <w:embedRegular r:id="rId6" w:fontKey="{0B6597C6-4994-47FE-85A5-F8EB99025A3E}"/>
  </w:font>
  <w:font w:name="楷体_GB2312">
    <w:altName w:val="楷体"/>
    <w:panose1 w:val="02010609030101010101"/>
    <w:charset w:val="86"/>
    <w:family w:val="auto"/>
    <w:pitch w:val="default"/>
    <w:sig w:usb0="00000000" w:usb1="00000000" w:usb2="00000000" w:usb3="00000000" w:csb0="00040000" w:csb1="00000000"/>
    <w:embedRegular r:id="rId7" w:fontKey="{909F4913-BFE2-4400-BC84-6B7E2A24F509}"/>
  </w:font>
  <w:font w:name="仿宋_GB2312">
    <w:panose1 w:val="02010609030101010101"/>
    <w:charset w:val="86"/>
    <w:family w:val="auto"/>
    <w:pitch w:val="default"/>
    <w:sig w:usb0="00000001" w:usb1="080E0000" w:usb2="00000000" w:usb3="00000000" w:csb0="00040000" w:csb1="00000000"/>
    <w:embedRegular r:id="rId8" w:fontKey="{966A4735-AC89-4110-A3A9-C0701B5853BE}"/>
  </w:font>
  <w:font w:name="ArialUnicodeMS">
    <w:altName w:val="Malgun Gothic"/>
    <w:panose1 w:val="00000000000000000000"/>
    <w:charset w:val="81"/>
    <w:family w:val="auto"/>
    <w:pitch w:val="default"/>
    <w:sig w:usb0="00000000" w:usb1="00000000" w:usb2="00000010" w:usb3="00000000" w:csb0="00080001" w:csb1="00000000"/>
    <w:embedRegular r:id="rId9" w:fontKey="{DBD41F68-C783-40B3-9BA9-DD3CCE75EDA8}"/>
  </w:font>
  <w:font w:name="微软雅黑">
    <w:panose1 w:val="020B0503020204020204"/>
    <w:charset w:val="86"/>
    <w:family w:val="auto"/>
    <w:pitch w:val="default"/>
    <w:sig w:usb0="80000287" w:usb1="2ACF3C50" w:usb2="00000016" w:usb3="00000000" w:csb0="0004001F" w:csb1="00000000"/>
    <w:embedRegular r:id="rId10" w:fontKey="{D07BD4AB-6A19-4A85-9ADB-EC32F15C6ACD}"/>
  </w:font>
  <w:font w:name="方正仿宋_GB2312">
    <w:panose1 w:val="02000000000000000000"/>
    <w:charset w:val="86"/>
    <w:family w:val="auto"/>
    <w:pitch w:val="default"/>
    <w:sig w:usb0="A00002BF" w:usb1="184F6CFA" w:usb2="00000012" w:usb3="00000000" w:csb0="00040001" w:csb1="00000000"/>
    <w:embedRegular r:id="rId11" w:fontKey="{E004E4FF-F317-436C-A585-03E9A5A3338B}"/>
  </w:font>
  <w:font w:name="方正小标宋_GBK">
    <w:altName w:val="微软雅黑"/>
    <w:panose1 w:val="00000000000000000000"/>
    <w:charset w:val="00"/>
    <w:family w:val="auto"/>
    <w:pitch w:val="default"/>
    <w:sig w:usb0="00000000" w:usb1="00000000" w:usb2="00000000" w:usb3="00000000" w:csb0="00000000" w:csb1="00000000"/>
    <w:embedRegular r:id="rId12" w:fontKey="{9C8B838E-988A-4B9C-9357-1A61C775D78F}"/>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F6E847"/>
    <w:multiLevelType w:val="singleLevel"/>
    <w:tmpl w:val="DBF6E847"/>
    <w:lvl w:ilvl="0" w:tentative="0">
      <w:start w:val="3"/>
      <w:numFmt w:val="chineseCounting"/>
      <w:suff w:val="nothing"/>
      <w:lvlText w:val="（%1）"/>
      <w:lvlJc w:val="left"/>
      <w:pPr>
        <w:ind w:left="77"/>
      </w:pPr>
      <w:rPr>
        <w:rFonts w:hint="eastAsia"/>
      </w:rPr>
    </w:lvl>
  </w:abstractNum>
  <w:abstractNum w:abstractNumId="1">
    <w:nsid w:val="F31EB42C"/>
    <w:multiLevelType w:val="singleLevel"/>
    <w:tmpl w:val="F31EB42C"/>
    <w:lvl w:ilvl="0" w:tentative="0">
      <w:start w:val="4"/>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ksImhkaWQiOiIzMWE1MzMwMDNjMmJhYTE1ZmE0MmVkZDFmNDA1ZThhMiIsInVzZXJDb3VudCI6MTl9"/>
  </w:docVars>
  <w:rsids>
    <w:rsidRoot w:val="00000000"/>
    <w:rsid w:val="00086151"/>
    <w:rsid w:val="00236F8C"/>
    <w:rsid w:val="008E12CF"/>
    <w:rsid w:val="0096690D"/>
    <w:rsid w:val="00C65689"/>
    <w:rsid w:val="00CC2C8E"/>
    <w:rsid w:val="00F27B04"/>
    <w:rsid w:val="01616D62"/>
    <w:rsid w:val="01900E19"/>
    <w:rsid w:val="01A03C5A"/>
    <w:rsid w:val="01A5267D"/>
    <w:rsid w:val="02363AF1"/>
    <w:rsid w:val="024808A2"/>
    <w:rsid w:val="0253085C"/>
    <w:rsid w:val="025C3821"/>
    <w:rsid w:val="02DA3B1B"/>
    <w:rsid w:val="02E57B4D"/>
    <w:rsid w:val="033D3951"/>
    <w:rsid w:val="037B12D4"/>
    <w:rsid w:val="03804D63"/>
    <w:rsid w:val="03FB73B0"/>
    <w:rsid w:val="04BD008C"/>
    <w:rsid w:val="04C55939"/>
    <w:rsid w:val="04DA28BB"/>
    <w:rsid w:val="04F528BE"/>
    <w:rsid w:val="05927185"/>
    <w:rsid w:val="05991C82"/>
    <w:rsid w:val="061416A9"/>
    <w:rsid w:val="06236884"/>
    <w:rsid w:val="067E788A"/>
    <w:rsid w:val="06FC7C2A"/>
    <w:rsid w:val="071E363B"/>
    <w:rsid w:val="07401D46"/>
    <w:rsid w:val="07533AFE"/>
    <w:rsid w:val="07B3657A"/>
    <w:rsid w:val="07C857D0"/>
    <w:rsid w:val="08AB5AAF"/>
    <w:rsid w:val="08B140CE"/>
    <w:rsid w:val="08CD73D1"/>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0B190A"/>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33CD7"/>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0664D"/>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21D13"/>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58313A"/>
    <w:rsid w:val="207D30AD"/>
    <w:rsid w:val="209064B9"/>
    <w:rsid w:val="20970D81"/>
    <w:rsid w:val="20D165D5"/>
    <w:rsid w:val="210878E6"/>
    <w:rsid w:val="210E1408"/>
    <w:rsid w:val="211069AD"/>
    <w:rsid w:val="21573FAB"/>
    <w:rsid w:val="2172069C"/>
    <w:rsid w:val="21987BC4"/>
    <w:rsid w:val="220451AB"/>
    <w:rsid w:val="2237486E"/>
    <w:rsid w:val="223D1378"/>
    <w:rsid w:val="223F683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C7133B"/>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332B67"/>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4F305E"/>
    <w:rsid w:val="38803721"/>
    <w:rsid w:val="38925A62"/>
    <w:rsid w:val="389F5F4F"/>
    <w:rsid w:val="38C36BA2"/>
    <w:rsid w:val="38F6595C"/>
    <w:rsid w:val="38FE6977"/>
    <w:rsid w:val="391702A7"/>
    <w:rsid w:val="39286EB6"/>
    <w:rsid w:val="39601DF4"/>
    <w:rsid w:val="39840D35"/>
    <w:rsid w:val="39A239AC"/>
    <w:rsid w:val="39A97DAF"/>
    <w:rsid w:val="39CD1330"/>
    <w:rsid w:val="39DD1AFF"/>
    <w:rsid w:val="39F63A08"/>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2C3B7D"/>
    <w:rsid w:val="45513D03"/>
    <w:rsid w:val="45541E1C"/>
    <w:rsid w:val="45F657C2"/>
    <w:rsid w:val="460713D2"/>
    <w:rsid w:val="461F0A8B"/>
    <w:rsid w:val="4648721E"/>
    <w:rsid w:val="46663E71"/>
    <w:rsid w:val="466A37AC"/>
    <w:rsid w:val="46CB071B"/>
    <w:rsid w:val="46DE140B"/>
    <w:rsid w:val="46E77334"/>
    <w:rsid w:val="46F22E29"/>
    <w:rsid w:val="46F7142F"/>
    <w:rsid w:val="470A2690"/>
    <w:rsid w:val="47107AE3"/>
    <w:rsid w:val="473C62ED"/>
    <w:rsid w:val="47617242"/>
    <w:rsid w:val="478C16C9"/>
    <w:rsid w:val="47AD79CE"/>
    <w:rsid w:val="47BD246B"/>
    <w:rsid w:val="47CB2B0C"/>
    <w:rsid w:val="47E773CE"/>
    <w:rsid w:val="48015FF5"/>
    <w:rsid w:val="484C45A4"/>
    <w:rsid w:val="48692CD0"/>
    <w:rsid w:val="488F4D3E"/>
    <w:rsid w:val="48AE3D01"/>
    <w:rsid w:val="48D9540B"/>
    <w:rsid w:val="49067B2F"/>
    <w:rsid w:val="496008AE"/>
    <w:rsid w:val="49677E31"/>
    <w:rsid w:val="496C2225"/>
    <w:rsid w:val="49AE2880"/>
    <w:rsid w:val="49F42EAF"/>
    <w:rsid w:val="49F96FB8"/>
    <w:rsid w:val="4A337323"/>
    <w:rsid w:val="4A3679E8"/>
    <w:rsid w:val="4A3A4710"/>
    <w:rsid w:val="4A5B28DC"/>
    <w:rsid w:val="4AA06B93"/>
    <w:rsid w:val="4ADB18EB"/>
    <w:rsid w:val="4AEE5418"/>
    <w:rsid w:val="4B0371D8"/>
    <w:rsid w:val="4B670A5B"/>
    <w:rsid w:val="4B96118E"/>
    <w:rsid w:val="4BAE1B66"/>
    <w:rsid w:val="4BED4708"/>
    <w:rsid w:val="4BF133DC"/>
    <w:rsid w:val="4C507D4A"/>
    <w:rsid w:val="4CDF5563"/>
    <w:rsid w:val="4CFB2214"/>
    <w:rsid w:val="4D1A3672"/>
    <w:rsid w:val="4D2C4D26"/>
    <w:rsid w:val="4D335E0E"/>
    <w:rsid w:val="4D4E4EA3"/>
    <w:rsid w:val="4D876F47"/>
    <w:rsid w:val="4D9A5B1B"/>
    <w:rsid w:val="4DA55D85"/>
    <w:rsid w:val="4DBB20DB"/>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0810E5"/>
    <w:rsid w:val="592257E5"/>
    <w:rsid w:val="59655E33"/>
    <w:rsid w:val="59CF5BD9"/>
    <w:rsid w:val="59E20C3C"/>
    <w:rsid w:val="5A1D5B0A"/>
    <w:rsid w:val="5A3B4B4E"/>
    <w:rsid w:val="5A4804CA"/>
    <w:rsid w:val="5A594C85"/>
    <w:rsid w:val="5A7D649E"/>
    <w:rsid w:val="5ADB57C0"/>
    <w:rsid w:val="5AEB1E3C"/>
    <w:rsid w:val="5B2507CA"/>
    <w:rsid w:val="5B2A474A"/>
    <w:rsid w:val="5B830730"/>
    <w:rsid w:val="5B871C49"/>
    <w:rsid w:val="5BBB2DD6"/>
    <w:rsid w:val="5BE263B6"/>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2F93EBA"/>
    <w:rsid w:val="632731DA"/>
    <w:rsid w:val="637279B4"/>
    <w:rsid w:val="63817D2B"/>
    <w:rsid w:val="63BD1FA9"/>
    <w:rsid w:val="63D27965"/>
    <w:rsid w:val="63FF063D"/>
    <w:rsid w:val="64095516"/>
    <w:rsid w:val="641A2468"/>
    <w:rsid w:val="64372F20"/>
    <w:rsid w:val="64DC72D7"/>
    <w:rsid w:val="653619A6"/>
    <w:rsid w:val="653A5A1F"/>
    <w:rsid w:val="65610A02"/>
    <w:rsid w:val="65A11EA3"/>
    <w:rsid w:val="65AC3D66"/>
    <w:rsid w:val="65BB5334"/>
    <w:rsid w:val="663E1DBA"/>
    <w:rsid w:val="665D0213"/>
    <w:rsid w:val="669E59F1"/>
    <w:rsid w:val="66A2024B"/>
    <w:rsid w:val="66EA4BA0"/>
    <w:rsid w:val="6704732B"/>
    <w:rsid w:val="670F6731"/>
    <w:rsid w:val="67280F62"/>
    <w:rsid w:val="67585CB0"/>
    <w:rsid w:val="67770F0C"/>
    <w:rsid w:val="67B03535"/>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072567"/>
    <w:rsid w:val="74283FA2"/>
    <w:rsid w:val="742C135B"/>
    <w:rsid w:val="74463733"/>
    <w:rsid w:val="748A2F40"/>
    <w:rsid w:val="74F85778"/>
    <w:rsid w:val="75272439"/>
    <w:rsid w:val="758F1E9B"/>
    <w:rsid w:val="75CE266B"/>
    <w:rsid w:val="76120141"/>
    <w:rsid w:val="76C23B43"/>
    <w:rsid w:val="76FD6F97"/>
    <w:rsid w:val="770218E8"/>
    <w:rsid w:val="77C875A5"/>
    <w:rsid w:val="784654D3"/>
    <w:rsid w:val="78726911"/>
    <w:rsid w:val="78A27DF6"/>
    <w:rsid w:val="78D636FC"/>
    <w:rsid w:val="78F461E9"/>
    <w:rsid w:val="79285B3A"/>
    <w:rsid w:val="79625CA9"/>
    <w:rsid w:val="79A91196"/>
    <w:rsid w:val="7A0B32D3"/>
    <w:rsid w:val="7AC13CD3"/>
    <w:rsid w:val="7AE10264"/>
    <w:rsid w:val="7B086EDB"/>
    <w:rsid w:val="7B4A207F"/>
    <w:rsid w:val="7B6334FC"/>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320D8D"/>
    <w:rsid w:val="7F6C3F27"/>
    <w:rsid w:val="7F833169"/>
    <w:rsid w:val="7F9A7B9F"/>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hint="default"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E:\&#36130;&#25919;&#23616;\&#22269;&#36164;&#31185;\&#39033;&#30446;&#24211;&#22269;&#26377;&#36164;&#20135;&#36141;&#32622;&#21464;&#26356;&#23457;&#25209;&#34920;(.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E:\&#36130;&#25919;&#23616;\&#22269;&#36164;&#31185;\&#39033;&#30446;&#24211;&#22269;&#26377;&#36164;&#20135;&#36141;&#32622;&#21464;&#26356;&#23457;&#25209;&#34920;(.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E:\&#36130;&#25919;&#23616;\&#22269;&#36164;&#31185;\&#39033;&#30446;&#24211;&#22269;&#26377;&#36164;&#20135;&#36141;&#32622;&#21464;&#26356;&#23457;&#25209;&#34920;(.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E:\&#36130;&#25919;&#23616;\&#22269;&#36164;&#31185;\&#39033;&#30446;&#24211;&#22269;&#26377;&#36164;&#20135;&#36141;&#32622;&#21464;&#26356;&#23457;&#25209;&#349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1     2022</a:t>
            </a:r>
            <a:r>
              <a:rPr altLang="en-US"/>
              <a:t>、</a:t>
            </a:r>
            <a:r>
              <a:rPr lang="en-US" altLang="zh-CN"/>
              <a:t>2023</a:t>
            </a:r>
            <a:r>
              <a:rPr altLang="en-US"/>
              <a:t>年度收支总计对比</a:t>
            </a:r>
            <a:endParaRPr lang="en-US" altLang="zh-CN"/>
          </a:p>
        </c:rich>
      </c:tx>
      <c:layout>
        <c:manualLayout>
          <c:xMode val="edge"/>
          <c:yMode val="edge"/>
          <c:x val="0.213055555555556"/>
          <c:y val="0.0416666666666667"/>
        </c:manualLayout>
      </c:layout>
      <c:overlay val="0"/>
      <c:spPr>
        <a:noFill/>
        <a:ln>
          <a:noFill/>
        </a:ln>
        <a:effectLst/>
      </c:spPr>
    </c:title>
    <c:autoTitleDeleted val="0"/>
    <c:plotArea>
      <c:layout/>
      <c:barChart>
        <c:barDir val="col"/>
        <c:grouping val="clustered"/>
        <c:varyColors val="0"/>
        <c:ser>
          <c:idx val="0"/>
          <c:order val="0"/>
          <c:tx>
            <c:strRef>
              <c:f>'[项目库国有资产购置变更审批表(.xlsx]Sheet1'!$C$2</c:f>
              <c:strCache>
                <c:ptCount val="1"/>
                <c:pt idx="0">
                  <c:v>收支</c:v>
                </c:pt>
              </c:strCache>
            </c:strRef>
          </c:tx>
          <c:spPr>
            <a:solidFill>
              <a:schemeClr val="accent1"/>
            </a:solidFill>
            <a:ln>
              <a:noFill/>
            </a:ln>
            <a:effectLst/>
          </c:spPr>
          <c:invertIfNegative val="0"/>
          <c:dLbls>
            <c:delete val="1"/>
          </c:dLbls>
          <c:cat>
            <c:numRef>
              <c:f>'[项目库国有资产购置变更审批表(.xlsx]Sheet1'!$B$3:$B$4</c:f>
              <c:numCache>
                <c:formatCode>General</c:formatCode>
                <c:ptCount val="2"/>
                <c:pt idx="0">
                  <c:v>2022</c:v>
                </c:pt>
                <c:pt idx="1">
                  <c:v>2023</c:v>
                </c:pt>
              </c:numCache>
            </c:numRef>
          </c:cat>
          <c:val>
            <c:numRef>
              <c:f>'[项目库国有资产购置变更审批表(.xlsx]Sheet1'!$C$3:$C$4</c:f>
              <c:numCache>
                <c:formatCode>General</c:formatCode>
                <c:ptCount val="2"/>
                <c:pt idx="0">
                  <c:v>2620.39</c:v>
                </c:pt>
                <c:pt idx="1">
                  <c:v>1670.99</c:v>
                </c:pt>
              </c:numCache>
            </c:numRef>
          </c:val>
        </c:ser>
        <c:dLbls>
          <c:showLegendKey val="0"/>
          <c:showVal val="0"/>
          <c:showCatName val="0"/>
          <c:showSerName val="0"/>
          <c:showPercent val="0"/>
          <c:showBubbleSize val="0"/>
        </c:dLbls>
        <c:gapWidth val="219"/>
        <c:overlap val="-27"/>
        <c:axId val="837967708"/>
        <c:axId val="515408843"/>
      </c:barChart>
      <c:catAx>
        <c:axId val="83796770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15408843"/>
        <c:crosses val="autoZero"/>
        <c:auto val="1"/>
        <c:lblAlgn val="ctr"/>
        <c:lblOffset val="100"/>
        <c:noMultiLvlLbl val="0"/>
      </c:catAx>
      <c:valAx>
        <c:axId val="515408843"/>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3796770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t>图2     支出构成情况图</a:t>
            </a:r>
          </a:p>
        </c:rich>
      </c:tx>
      <c:layout>
        <c:manualLayout>
          <c:xMode val="edge"/>
          <c:yMode val="edge"/>
          <c:x val="0.338055555555556"/>
          <c:y val="0.0347222222222222"/>
        </c:manualLayout>
      </c:layout>
      <c:overlay val="0"/>
      <c:spPr>
        <a:noFill/>
        <a:ln>
          <a:noFill/>
        </a:ln>
        <a:effectLst/>
      </c:spPr>
    </c:title>
    <c:autoTitleDeleted val="0"/>
    <c:plotArea>
      <c:layout/>
      <c:pieChart>
        <c:varyColors val="1"/>
        <c:ser>
          <c:idx val="0"/>
          <c:order val="0"/>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'[项目库国有资产购置变更审批表(.xlsx]Sheet1'!$C$24:$C$25</c:f>
              <c:strCache>
                <c:ptCount val="2"/>
                <c:pt idx="0">
                  <c:v>基本支出</c:v>
                </c:pt>
                <c:pt idx="1">
                  <c:v>项目支出</c:v>
                </c:pt>
              </c:strCache>
            </c:strRef>
          </c:cat>
          <c:val>
            <c:numRef>
              <c:f>'[项目库国有资产购置变更审批表(.xlsx]Sheet1'!$D$24:$D$25</c:f>
              <c:numCache>
                <c:formatCode>General</c:formatCode>
                <c:ptCount val="2"/>
                <c:pt idx="0">
                  <c:v>933.89</c:v>
                </c:pt>
                <c:pt idx="1">
                  <c:v>737.09</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no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4</a:t>
            </a:r>
            <a:r>
              <a:t>    政府性基金财政拨款收支对比</a:t>
            </a:r>
          </a:p>
        </c:rich>
      </c:tx>
      <c:layout>
        <c:manualLayout>
          <c:xMode val="edge"/>
          <c:yMode val="edge"/>
          <c:x val="0.173194444444444"/>
          <c:y val="0.0671296296296296"/>
        </c:manualLayout>
      </c:layout>
      <c:overlay val="0"/>
      <c:spPr>
        <a:noFill/>
        <a:ln>
          <a:noFill/>
        </a:ln>
        <a:effectLst/>
      </c:spPr>
    </c:title>
    <c:autoTitleDeleted val="0"/>
    <c:plotArea>
      <c:layout>
        <c:manualLayout>
          <c:layoutTarget val="inner"/>
          <c:xMode val="edge"/>
          <c:yMode val="edge"/>
          <c:x val="0.0859166666666667"/>
          <c:y val="0.203240740740741"/>
          <c:w val="0.894638888888889"/>
          <c:h val="0.606111111111111"/>
        </c:manualLayout>
      </c:layout>
      <c:barChart>
        <c:barDir val="col"/>
        <c:grouping val="clustered"/>
        <c:varyColors val="0"/>
        <c:ser>
          <c:idx val="0"/>
          <c:order val="0"/>
          <c:tx>
            <c:strRef>
              <c:f>'[项目库国有资产购置变更审批表(.xlsx]Sheet1'!$B$63</c:f>
              <c:strCache>
                <c:ptCount val="1"/>
                <c:pt idx="0">
                  <c:v>收入</c:v>
                </c:pt>
              </c:strCache>
            </c:strRef>
          </c:tx>
          <c:spPr>
            <a:solidFill>
              <a:schemeClr val="accent1"/>
            </a:solidFill>
            <a:ln>
              <a:noFill/>
            </a:ln>
            <a:effectLst/>
          </c:spPr>
          <c:invertIfNegative val="0"/>
          <c:dLbls>
            <c:delete val="1"/>
          </c:dLbls>
          <c:cat>
            <c:numRef>
              <c:f>'[项目库国有资产购置变更审批表(.xlsx]Sheet1'!$C$62:$D$62</c:f>
              <c:numCache>
                <c:formatCode>General</c:formatCode>
                <c:ptCount val="2"/>
                <c:pt idx="0">
                  <c:v>2022</c:v>
                </c:pt>
                <c:pt idx="1">
                  <c:v>2023</c:v>
                </c:pt>
              </c:numCache>
            </c:numRef>
          </c:cat>
          <c:val>
            <c:numRef>
              <c:f>'[项目库国有资产购置变更审批表(.xlsx]Sheet1'!$C$63:$D$63</c:f>
              <c:numCache>
                <c:formatCode>General</c:formatCode>
                <c:ptCount val="2"/>
                <c:pt idx="0">
                  <c:v>617.21</c:v>
                </c:pt>
                <c:pt idx="1">
                  <c:v>35</c:v>
                </c:pt>
              </c:numCache>
            </c:numRef>
          </c:val>
        </c:ser>
        <c:ser>
          <c:idx val="1"/>
          <c:order val="1"/>
          <c:tx>
            <c:strRef>
              <c:f>'[项目库国有资产购置变更审批表(.xlsx]Sheet1'!$B$64</c:f>
              <c:strCache>
                <c:ptCount val="1"/>
                <c:pt idx="0">
                  <c:v>支出</c:v>
                </c:pt>
              </c:strCache>
            </c:strRef>
          </c:tx>
          <c:spPr>
            <a:solidFill>
              <a:schemeClr val="accent2"/>
            </a:solidFill>
            <a:ln>
              <a:noFill/>
            </a:ln>
            <a:effectLst/>
          </c:spPr>
          <c:invertIfNegative val="0"/>
          <c:dLbls>
            <c:delete val="1"/>
          </c:dLbls>
          <c:cat>
            <c:numRef>
              <c:f>'[项目库国有资产购置变更审批表(.xlsx]Sheet1'!$C$62:$D$62</c:f>
              <c:numCache>
                <c:formatCode>General</c:formatCode>
                <c:ptCount val="2"/>
                <c:pt idx="0">
                  <c:v>2022</c:v>
                </c:pt>
                <c:pt idx="1">
                  <c:v>2023</c:v>
                </c:pt>
              </c:numCache>
            </c:numRef>
          </c:cat>
          <c:val>
            <c:numRef>
              <c:f>'[项目库国有资产购置变更审批表(.xlsx]Sheet1'!$C$64:$D$64</c:f>
              <c:numCache>
                <c:formatCode>General</c:formatCode>
                <c:ptCount val="2"/>
                <c:pt idx="0">
                  <c:v>617.21</c:v>
                </c:pt>
                <c:pt idx="1">
                  <c:v>35</c:v>
                </c:pt>
              </c:numCache>
            </c:numRef>
          </c:val>
        </c:ser>
        <c:dLbls>
          <c:showLegendKey val="0"/>
          <c:showVal val="0"/>
          <c:showCatName val="0"/>
          <c:showSerName val="0"/>
          <c:showPercent val="0"/>
          <c:showBubbleSize val="0"/>
        </c:dLbls>
        <c:gapWidth val="219"/>
        <c:overlap val="-27"/>
        <c:axId val="822104348"/>
        <c:axId val="712585614"/>
      </c:barChart>
      <c:catAx>
        <c:axId val="82210434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2585614"/>
        <c:crosses val="autoZero"/>
        <c:auto val="1"/>
        <c:lblAlgn val="ctr"/>
        <c:lblOffset val="100"/>
        <c:noMultiLvlLbl val="0"/>
      </c:catAx>
      <c:valAx>
        <c:axId val="712585614"/>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210434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no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3    </a:t>
            </a:r>
            <a:r>
              <a:rPr altLang="en-US"/>
              <a:t>一般公共预算财政拨款收支对比</a:t>
            </a:r>
            <a:endParaRPr lang="en-US" altLang="zh-CN"/>
          </a:p>
        </c:rich>
      </c:tx>
      <c:layout/>
      <c:overlay val="0"/>
      <c:spPr>
        <a:noFill/>
        <a:ln>
          <a:noFill/>
        </a:ln>
        <a:effectLst/>
      </c:spPr>
    </c:title>
    <c:autoTitleDeleted val="0"/>
    <c:plotArea>
      <c:layout/>
      <c:barChart>
        <c:barDir val="col"/>
        <c:grouping val="clustered"/>
        <c:varyColors val="0"/>
        <c:ser>
          <c:idx val="0"/>
          <c:order val="0"/>
          <c:tx>
            <c:strRef>
              <c:f>'[项目库国有资产购置变更审批表(.xlsx]Sheet1'!$B$50</c:f>
              <c:strCache>
                <c:ptCount val="1"/>
                <c:pt idx="0">
                  <c:v>收入</c:v>
                </c:pt>
              </c:strCache>
            </c:strRef>
          </c:tx>
          <c:spPr>
            <a:solidFill>
              <a:schemeClr val="accent1"/>
            </a:solidFill>
            <a:ln>
              <a:noFill/>
            </a:ln>
            <a:effectLst/>
          </c:spPr>
          <c:invertIfNegative val="0"/>
          <c:dLbls>
            <c:delete val="1"/>
          </c:dLbls>
          <c:cat>
            <c:numRef>
              <c:f>'[项目库国有资产购置变更审批表(.xlsx]Sheet1'!$C$49:$D$49</c:f>
              <c:numCache>
                <c:formatCode>General</c:formatCode>
                <c:ptCount val="2"/>
                <c:pt idx="0">
                  <c:v>2022</c:v>
                </c:pt>
                <c:pt idx="1">
                  <c:v>2023</c:v>
                </c:pt>
              </c:numCache>
            </c:numRef>
          </c:cat>
          <c:val>
            <c:numRef>
              <c:f>'[项目库国有资产购置变更审批表(.xlsx]Sheet1'!$C$50:$D$50</c:f>
              <c:numCache>
                <c:formatCode>General</c:formatCode>
                <c:ptCount val="2"/>
                <c:pt idx="0">
                  <c:v>1957.66</c:v>
                </c:pt>
                <c:pt idx="1">
                  <c:v>1635.99</c:v>
                </c:pt>
              </c:numCache>
            </c:numRef>
          </c:val>
        </c:ser>
        <c:ser>
          <c:idx val="1"/>
          <c:order val="1"/>
          <c:tx>
            <c:strRef>
              <c:f>'[项目库国有资产购置变更审批表(.xlsx]Sheet1'!$B$51</c:f>
              <c:strCache>
                <c:ptCount val="1"/>
                <c:pt idx="0">
                  <c:v>支出</c:v>
                </c:pt>
              </c:strCache>
            </c:strRef>
          </c:tx>
          <c:spPr>
            <a:solidFill>
              <a:schemeClr val="accent2"/>
            </a:solidFill>
            <a:ln>
              <a:noFill/>
            </a:ln>
            <a:effectLst/>
          </c:spPr>
          <c:invertIfNegative val="0"/>
          <c:dLbls>
            <c:delete val="1"/>
          </c:dLbls>
          <c:cat>
            <c:numRef>
              <c:f>'[项目库国有资产购置变更审批表(.xlsx]Sheet1'!$C$49:$D$49</c:f>
              <c:numCache>
                <c:formatCode>General</c:formatCode>
                <c:ptCount val="2"/>
                <c:pt idx="0">
                  <c:v>2022</c:v>
                </c:pt>
                <c:pt idx="1">
                  <c:v>2023</c:v>
                </c:pt>
              </c:numCache>
            </c:numRef>
          </c:cat>
          <c:val>
            <c:numRef>
              <c:f>'[项目库国有资产购置变更审批表(.xlsx]Sheet1'!$C$51:$D$51</c:f>
              <c:numCache>
                <c:formatCode>General</c:formatCode>
                <c:ptCount val="2"/>
                <c:pt idx="0">
                  <c:v>1958.18</c:v>
                </c:pt>
                <c:pt idx="1">
                  <c:v>1635.99</c:v>
                </c:pt>
              </c:numCache>
            </c:numRef>
          </c:val>
        </c:ser>
        <c:dLbls>
          <c:showLegendKey val="0"/>
          <c:showVal val="0"/>
          <c:showCatName val="0"/>
          <c:showSerName val="0"/>
          <c:showPercent val="0"/>
          <c:showBubbleSize val="0"/>
        </c:dLbls>
        <c:gapWidth val="219"/>
        <c:overlap val="-27"/>
        <c:axId val="267540074"/>
        <c:axId val="230582313"/>
      </c:barChart>
      <c:catAx>
        <c:axId val="26754007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30582313"/>
        <c:crosses val="autoZero"/>
        <c:auto val="1"/>
        <c:lblAlgn val="ctr"/>
        <c:lblOffset val="100"/>
        <c:noMultiLvlLbl val="0"/>
      </c:catAx>
      <c:valAx>
        <c:axId val="230582313"/>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6754007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54</Pages>
  <Words>10283</Words>
  <Characters>34683</Characters>
  <Lines>86</Lines>
  <Paragraphs>24</Paragraphs>
  <TotalTime>5</TotalTime>
  <ScaleCrop>false</ScaleCrop>
  <LinksUpToDate>false</LinksUpToDate>
  <CharactersWithSpaces>35311</CharactersWithSpaces>
  <Application>WPS Office_11.8.2.12014_F1E327BC-269C-435d-A152-05C5408002CA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DELL</cp:lastModifiedBy>
  <cp:lastPrinted>2023-08-04T01:00:00Z</cp:lastPrinted>
  <dcterms:modified xsi:type="dcterms:W3CDTF">2024-11-24T06:15:10Z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2052-11.8.2.12014</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