
<file path=[Content_Types].xml><?xml version="1.0" encoding="utf-8"?>
<Types xmlns="http://schemas.openxmlformats.org/package/2006/content-types">
  <Default Extension="xml" ContentType="application/xml"/>
  <Default Extension="jpeg" ContentType="image/jpeg"/>
  <Default Extension="JPG" ContentType="image/.jpg"/>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olors1.xml" ContentType="application/vnd.ms-office.chartcolorstyle+xml"/>
  <Override PartName="/word/charts/colors2.xml" ContentType="application/vnd.ms-office.chartcolorstyle+xml"/>
  <Override PartName="/word/charts/colors3.xml" ContentType="application/vnd.ms-office.chartcolorstyle+xml"/>
  <Override PartName="/word/charts/colors4.xml" ContentType="application/vnd.ms-office.chartcolorstyle+xml"/>
  <Override PartName="/word/charts/style1.xml" ContentType="application/vnd.ms-office.chartstyle+xml"/>
  <Override PartName="/word/charts/style2.xml" ContentType="application/vnd.ms-office.chartstyle+xml"/>
  <Override PartName="/word/charts/style3.xml" ContentType="application/vnd.ms-office.chartstyle+xml"/>
  <Override PartName="/word/charts/style4.xml" ContentType="application/vnd.ms-office.chartstyle+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10.odttf" ContentType="application/vnd.openxmlformats-officedocument.obfuscatedFont"/>
  <Override PartName="/word/fonts/font11.odttf" ContentType="application/vnd.openxmlformats-officedocument.obfuscatedFont"/>
  <Override PartName="/word/fonts/font12.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nts/font8.odttf" ContentType="application/vnd.openxmlformats-officedocument.obfuscatedFont"/>
  <Override PartName="/word/fonts/font9.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left"/>
      </w:pPr>
      <w:r>
        <w:drawing>
          <wp:anchor distT="0" distB="0" distL="114300" distR="114300" simplePos="0" relativeHeight="251665408" behindDoc="0" locked="0" layoutInCell="1" allowOverlap="1">
            <wp:simplePos x="0" y="0"/>
            <wp:positionH relativeFrom="column">
              <wp:posOffset>-406400</wp:posOffset>
            </wp:positionH>
            <wp:positionV relativeFrom="paragraph">
              <wp:posOffset>2153920</wp:posOffset>
            </wp:positionV>
            <wp:extent cx="2159000" cy="1310640"/>
            <wp:effectExtent l="0" t="0" r="12700" b="3810"/>
            <wp:wrapNone/>
            <wp:docPr id="12" name="https://photo-static-api.fotomore.com/creative/vcg/400/new/VCG211393708916.jpg" descr="templates\picture_hover\&amp;pky00203123560_sjzg_VCG211393708916&amp;2&amp;src_toppic_droprecent&a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https://photo-static-api.fotomore.com/creative/vcg/400/new/VCG211393708916.jpg" descr="templates\picture_hover\&amp;pky00203123560_sjzg_VCG211393708916&amp;2&amp;src_toppic_droprecent&amp;"/>
                    <pic:cNvPicPr>
                      <a:picLocks noChangeAspect="1"/>
                    </pic:cNvPicPr>
                  </pic:nvPicPr>
                  <pic:blipFill>
                    <a:blip r:embed="rId9"/>
                    <a:stretch>
                      <a:fillRect/>
                    </a:stretch>
                  </pic:blipFill>
                  <pic:spPr>
                    <a:xfrm>
                      <a:off x="0" y="0"/>
                      <a:ext cx="2159000" cy="1310640"/>
                    </a:xfrm>
                    <a:prstGeom prst="rect">
                      <a:avLst/>
                    </a:prstGeom>
                  </pic:spPr>
                </pic:pic>
              </a:graphicData>
            </a:graphic>
          </wp:anchor>
        </w:drawing>
      </w:r>
      <w:r>
        <w:drawing>
          <wp:anchor distT="0" distB="0" distL="114300" distR="114300" simplePos="0" relativeHeight="251666432" behindDoc="0" locked="0" layoutInCell="1" allowOverlap="1">
            <wp:simplePos x="0" y="0"/>
            <wp:positionH relativeFrom="column">
              <wp:posOffset>1800860</wp:posOffset>
            </wp:positionH>
            <wp:positionV relativeFrom="paragraph">
              <wp:posOffset>2153920</wp:posOffset>
            </wp:positionV>
            <wp:extent cx="2160270" cy="1310640"/>
            <wp:effectExtent l="0" t="0" r="11430" b="3810"/>
            <wp:wrapNone/>
            <wp:docPr id="14" name="https://photo-static-api.fotomore.com/creative/vcg/400/version23/VCG41520173064.jpg" descr="templates\picture_hover\&amp;pky94109459339_sjzg_VCG41520173064&amp;2&amp;src_toppic_droprecent&amp;"/>
            <wp:cNvGraphicFramePr/>
            <a:graphic xmlns:a="http://schemas.openxmlformats.org/drawingml/2006/main">
              <a:graphicData uri="http://schemas.openxmlformats.org/drawingml/2006/picture">
                <pic:pic xmlns:pic="http://schemas.openxmlformats.org/drawingml/2006/picture">
                  <pic:nvPicPr>
                    <pic:cNvPr id="14" name="https://photo-static-api.fotomore.com/creative/vcg/400/version23/VCG41520173064.jpg" descr="templates\picture_hover\&amp;pky94109459339_sjzg_VCG41520173064&amp;2&amp;src_toppic_droprecent&amp;"/>
                    <pic:cNvPicPr/>
                  </pic:nvPicPr>
                  <pic:blipFill>
                    <a:blip r:embed="rId10"/>
                    <a:stretch>
                      <a:fillRect/>
                    </a:stretch>
                  </pic:blipFill>
                  <pic:spPr>
                    <a:xfrm>
                      <a:off x="0" y="0"/>
                      <a:ext cx="2160270" cy="1310640"/>
                    </a:xfrm>
                    <a:prstGeom prst="rect">
                      <a:avLst/>
                    </a:prstGeom>
                  </pic:spPr>
                </pic:pic>
              </a:graphicData>
            </a:graphic>
          </wp:anchor>
        </w:drawing>
      </w:r>
      <w:r>
        <w:drawing>
          <wp:anchor distT="0" distB="0" distL="114300" distR="114300" simplePos="0" relativeHeight="251664384" behindDoc="0" locked="0" layoutInCell="1" allowOverlap="1">
            <wp:simplePos x="0" y="0"/>
            <wp:positionH relativeFrom="column">
              <wp:posOffset>4027805</wp:posOffset>
            </wp:positionH>
            <wp:positionV relativeFrom="paragraph">
              <wp:posOffset>2141220</wp:posOffset>
            </wp:positionV>
            <wp:extent cx="2162810" cy="1310640"/>
            <wp:effectExtent l="0" t="0" r="8890" b="3810"/>
            <wp:wrapNone/>
            <wp:docPr id="8" name="https://photo-static-api.fotomore.com/creative/vcg/400/new/VCG41N1489769134.jpg?uid=386&amp;timestamp=1686554386&amp;sign=5f45ccbb5851510551cea00294a903df" descr="templates\picture_hover\&amp;pky17209834312_sjzg_VCG41N1489769134&amp;2&amp;src_toppic_droprecent&a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https://photo-static-api.fotomore.com/creative/vcg/400/new/VCG41N1489769134.jpg?uid=386&amp;timestamp=1686554386&amp;sign=5f45ccbb5851510551cea00294a903df" descr="templates\picture_hover\&amp;pky17209834312_sjzg_VCG41N1489769134&amp;2&amp;src_toppic_droprecent&amp;"/>
                    <pic:cNvPicPr>
                      <a:picLocks noChangeAspect="1"/>
                    </pic:cNvPicPr>
                  </pic:nvPicPr>
                  <pic:blipFill>
                    <a:blip r:embed="rId11"/>
                    <a:stretch>
                      <a:fillRect/>
                    </a:stretch>
                  </pic:blipFill>
                  <pic:spPr>
                    <a:xfrm>
                      <a:off x="0" y="0"/>
                      <a:ext cx="2162810" cy="1310640"/>
                    </a:xfrm>
                    <a:prstGeom prst="rect">
                      <a:avLst/>
                    </a:prstGeom>
                  </pic:spPr>
                </pic:pic>
              </a:graphicData>
            </a:graphic>
          </wp:anchor>
        </w:drawing>
      </w:r>
      <w:r>
        <mc:AlternateContent>
          <mc:Choice Requires="wpg">
            <w:drawing>
              <wp:anchor distT="0" distB="0" distL="114300" distR="114300" simplePos="0" relativeHeight="251662336" behindDoc="0" locked="0" layoutInCell="1" allowOverlap="1">
                <wp:simplePos x="0" y="0"/>
                <wp:positionH relativeFrom="column">
                  <wp:posOffset>-2783205</wp:posOffset>
                </wp:positionH>
                <wp:positionV relativeFrom="paragraph">
                  <wp:posOffset>2138680</wp:posOffset>
                </wp:positionV>
                <wp:extent cx="9053195" cy="1447165"/>
                <wp:effectExtent l="0" t="0" r="14605" b="635"/>
                <wp:wrapNone/>
                <wp:docPr id="2" name="组合 2"/>
                <wp:cNvGraphicFramePr/>
                <a:graphic xmlns:a="http://schemas.openxmlformats.org/drawingml/2006/main">
                  <a:graphicData uri="http://schemas.microsoft.com/office/word/2010/wordprocessingGroup">
                    <wpg:wgp>
                      <wpg:cNvGrpSpPr/>
                      <wpg:grpSpPr>
                        <a:xfrm>
                          <a:off x="0" y="0"/>
                          <a:ext cx="9053195" cy="1447017"/>
                          <a:chOff x="-3504" y="4387"/>
                          <a:chExt cx="19200" cy="2716"/>
                        </a:xfrm>
                      </wpg:grpSpPr>
                      <wps:wsp>
                        <wps:cNvPr id="3075" name="矩形 19"/>
                        <wps:cNvSpPr/>
                        <wps:spPr>
                          <a:xfrm>
                            <a:off x="-381" y="4387"/>
                            <a:ext cx="1834" cy="2457"/>
                          </a:xfrm>
                          <a:prstGeom prst="rect">
                            <a:avLst/>
                          </a:prstGeom>
                          <a:solidFill>
                            <a:srgbClr val="0176AB"/>
                          </a:solidFill>
                          <a:ln w="9525">
                            <a:noFill/>
                          </a:ln>
                        </wps:spPr>
                        <wps:bodyPr anchor="ctr" anchorCtr="0"/>
                      </wps:wsp>
                      <wps:wsp>
                        <wps:cNvPr id="3079" name="矩形 24"/>
                        <wps:cNvSpPr/>
                        <wps:spPr>
                          <a:xfrm>
                            <a:off x="-3504" y="6953"/>
                            <a:ext cx="11815" cy="150"/>
                          </a:xfrm>
                          <a:custGeom>
                            <a:avLst/>
                            <a:gdLst/>
                            <a:ahLst/>
                            <a:cxnLst>
                              <a:cxn ang="0">
                                <a:pos x="0" y="0"/>
                              </a:cxn>
                              <a:cxn ang="0">
                                <a:pos x="7463453" y="6619"/>
                              </a:cxn>
                              <a:cxn ang="0">
                                <a:pos x="7506490" y="98604"/>
                              </a:cxn>
                              <a:cxn ang="0">
                                <a:pos x="0" y="98604"/>
                              </a:cxn>
                              <a:cxn ang="0">
                                <a:pos x="0" y="0"/>
                              </a:cxn>
                            </a:cxnLst>
                            <a:rect l="0" t="0" r="0" b="0"/>
                            <a:pathLst>
                              <a:path w="7501732" h="94593">
                                <a:moveTo>
                                  <a:pt x="0" y="0"/>
                                </a:moveTo>
                                <a:lnTo>
                                  <a:pt x="7458720" y="6350"/>
                                </a:lnTo>
                                <a:lnTo>
                                  <a:pt x="7501732" y="94593"/>
                                </a:lnTo>
                                <a:lnTo>
                                  <a:pt x="0" y="94593"/>
                                </a:lnTo>
                                <a:lnTo>
                                  <a:pt x="0" y="0"/>
                                </a:lnTo>
                                <a:close/>
                              </a:path>
                            </a:pathLst>
                          </a:custGeom>
                          <a:solidFill>
                            <a:srgbClr val="E5AA57">
                              <a:alpha val="100000"/>
                            </a:srgbClr>
                          </a:solidFill>
                          <a:ln w="9525">
                            <a:noFill/>
                          </a:ln>
                        </wps:spPr>
                        <wps:bodyPr/>
                      </wps:wsp>
                      <wps:wsp>
                        <wps:cNvPr id="3080" name="矩形 25"/>
                        <wps:cNvSpPr/>
                        <wps:spPr>
                          <a:xfrm>
                            <a:off x="8331" y="6953"/>
                            <a:ext cx="7365" cy="150"/>
                          </a:xfrm>
                          <a:custGeom>
                            <a:avLst/>
                            <a:gdLst/>
                            <a:ahLst/>
                            <a:cxnLst>
                              <a:cxn ang="0">
                                <a:pos x="0" y="0"/>
                              </a:cxn>
                              <a:cxn ang="0">
                                <a:pos x="4679715" y="0"/>
                              </a:cxn>
                              <a:cxn ang="0">
                                <a:pos x="4679715" y="98599"/>
                              </a:cxn>
                              <a:cxn ang="0">
                                <a:pos x="57552" y="98599"/>
                              </a:cxn>
                              <a:cxn ang="0">
                                <a:pos x="0" y="0"/>
                              </a:cxn>
                            </a:cxnLst>
                            <a:rect l="0" t="0" r="0" b="0"/>
                            <a:pathLst>
                              <a:path w="4676187" h="94594">
                                <a:moveTo>
                                  <a:pt x="0" y="0"/>
                                </a:moveTo>
                                <a:lnTo>
                                  <a:pt x="4676187" y="0"/>
                                </a:lnTo>
                                <a:lnTo>
                                  <a:pt x="4676187" y="94594"/>
                                </a:lnTo>
                                <a:lnTo>
                                  <a:pt x="57510" y="94594"/>
                                </a:lnTo>
                                <a:lnTo>
                                  <a:pt x="0" y="0"/>
                                </a:lnTo>
                                <a:close/>
                              </a:path>
                            </a:pathLst>
                          </a:custGeom>
                          <a:solidFill>
                            <a:srgbClr val="0176AB">
                              <a:alpha val="100000"/>
                            </a:srgbClr>
                          </a:solidFill>
                          <a:ln w="9525">
                            <a:noFill/>
                          </a:ln>
                        </wps:spPr>
                        <wps:bodyPr/>
                      </wps:wsp>
                    </wpg:wgp>
                  </a:graphicData>
                </a:graphic>
              </wp:anchor>
            </w:drawing>
          </mc:Choice>
          <mc:Fallback>
            <w:pict>
              <v:group id="_x0000_s1026" o:spid="_x0000_s1026" o:spt="203" style="position:absolute;left:0pt;margin-left:-219.15pt;margin-top:168.4pt;height:113.95pt;width:712.85pt;z-index:251662336;mso-width-relative:page;mso-height-relative:page;" coordorigin="-3504,4387" coordsize="19200,2716" o:gfxdata="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">
                <o:lock v:ext="edit" aspectratio="f"/>
                <v:rect id="矩形 19" o:spid="_x0000_s1026" o:spt="1" style="position:absolute;left:-381;top:4387;height:2457;width:1834;v-text-anchor:middle;" fillcolor="#0176AB" filled="t" stroked="f" coordsize="21600,21600" o:gfxdata="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Df+P3v&#10;wAAAAN0AAAAPAAAAAAAAAAEAIAAAACIAAABkcnMvZG93bnJldi54bWxQSwECFAAUAAAACACHTuJA&#10;My8FnjsAAAA5AAAAEAAAAAAAAAABACAAAAAPAQAAZHJzL3NoYXBleG1sLnhtbFBLBQYAAAAABgAG&#10;AFsBAAC5AwAAAAA=&#10;">
                  <v:fill on="t" focussize="0,0"/>
                  <v:stroke on="f"/>
                  <v:imagedata o:title=""/>
                  <o:lock v:ext="edit" aspectratio="f"/>
                </v:rect>
                <v:shape id="矩形 24" o:spid="_x0000_s1026" o:spt="100" style="position:absolute;left:-3504;top:6953;height:150;width:11815;" fillcolor="#E5AA57" filled="t" stroked="f" coordsize="7501732,94593" o:gfxdata="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B8dX6O&#10;wAAAAN0AAAAPAAAAAAAAAAEAIAAAACIAAABkcnMvZG93bnJldi54bWxQSwECFAAUAAAACACHTuJA&#10;My8FnjsAAAA5AAAAEAAAAAAAAAABACAAAAAPAQAAZHJzL3NoYXBleG1sLnhtbFBLBQYAAAAABgAG&#10;AFsBAAC5AwAAAAA=&#10;" path="m0,0l7458720,6350,7501732,94593,0,94593,0,0xe">
                  <v:path o:connectlocs="0,0;7463453,6619;7506490,98604;0,98604;0,0" o:connectangles="0,0,0,0,0"/>
                  <v:fill on="t" focussize="0,0"/>
                  <v:stroke on="f"/>
                  <v:imagedata o:title=""/>
                  <o:lock v:ext="edit" aspectratio="f"/>
                </v:shape>
                <v:shape id="矩形 25" o:spid="_x0000_s1026" o:spt="100" style="position:absolute;left:8331;top:6953;height:150;width:7365;" fillcolor="#0176AB" filled="t" stroked="f" coordsize="4676187,94594" o:gfxdata="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F9GhB25AAAA3QAA&#10;AA8AAAAAAAAAAQAgAAAAIgAAAGRycy9kb3ducmV2LnhtbFBLAQIUABQAAAAIAIdO4kAzLwWeOwAA&#10;ADkAAAAQAAAAAAAAAAEAIAAAAAgBAABkcnMvc2hhcGV4bWwueG1sUEsFBgAAAAAGAAYAWwEAALID&#10;AAAAAA==&#10;" path="m0,0l4676187,0,4676187,94594,57510,94594,0,0xe">
                  <v:path o:connectlocs="0,0;4679715,0;4679715,98599;57552,98599;0,0" o:connectangles="0,0,0,0,0"/>
                  <v:fill on="t" focussize="0,0"/>
                  <v:stroke on="f"/>
                  <v:imagedata o:title=""/>
                  <o:lock v:ext="edit" aspectratio="f"/>
                </v:shape>
              </v:group>
            </w:pict>
          </mc:Fallback>
        </mc:AlternateContent>
      </w:r>
      <w:r>
        <w:drawing>
          <wp:anchor distT="0" distB="0" distL="114300" distR="114300" simplePos="0" relativeHeight="251659264" behindDoc="1" locked="0" layoutInCell="1" allowOverlap="1">
            <wp:simplePos x="0" y="0"/>
            <wp:positionH relativeFrom="margin">
              <wp:posOffset>-2950210</wp:posOffset>
            </wp:positionH>
            <wp:positionV relativeFrom="margin">
              <wp:posOffset>653415</wp:posOffset>
            </wp:positionV>
            <wp:extent cx="11083290" cy="7844790"/>
            <wp:effectExtent l="0" t="0" r="3810" b="3810"/>
            <wp:wrapNone/>
            <wp:docPr id="73" name="背景 耗崽"/>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3" name="背景 耗崽"/>
                    <pic:cNvPicPr>
                      <a:picLocks noChangeAspect="1"/>
                    </pic:cNvPicPr>
                  </pic:nvPicPr>
                  <pic:blipFill>
                    <a:blip r:embed="rId12">
                      <a:extLst>
                        <a:ext uri="{28A0092B-C50C-407E-A947-70E740481C1C}">
                          <a14:useLocalDpi xmlns:a14="http://schemas.microsoft.com/office/drawing/2010/main" val="0"/>
                        </a:ext>
                      </a:extLst>
                    </a:blip>
                    <a:stretch>
                      <a:fillRect/>
                    </a:stretch>
                  </pic:blipFill>
                  <pic:spPr>
                    <a:xfrm rot="16200000">
                      <a:off x="0" y="0"/>
                      <a:ext cx="11083290" cy="7844790"/>
                    </a:xfrm>
                    <a:prstGeom prst="rect">
                      <a:avLst/>
                    </a:prstGeom>
                  </pic:spPr>
                </pic:pic>
              </a:graphicData>
            </a:graphic>
          </wp:anchor>
        </w:drawing>
      </w:r>
      <w:r>
        <mc:AlternateContent>
          <mc:Choice Requires="wpg">
            <w:drawing>
              <wp:anchor distT="0" distB="0" distL="114300" distR="114300" simplePos="0" relativeHeight="251661312" behindDoc="0" locked="0" layoutInCell="1" allowOverlap="1">
                <wp:simplePos x="0" y="0"/>
                <wp:positionH relativeFrom="column">
                  <wp:posOffset>-280670</wp:posOffset>
                </wp:positionH>
                <wp:positionV relativeFrom="paragraph">
                  <wp:posOffset>-313055</wp:posOffset>
                </wp:positionV>
                <wp:extent cx="5954395" cy="1885315"/>
                <wp:effectExtent l="0" t="0" r="0" b="14605"/>
                <wp:wrapNone/>
                <wp:docPr id="1" name="组合 1"/>
                <wp:cNvGraphicFramePr/>
                <a:graphic xmlns:a="http://schemas.openxmlformats.org/drawingml/2006/main">
                  <a:graphicData uri="http://schemas.microsoft.com/office/word/2010/wordprocessingGroup">
                    <wpg:wgp>
                      <wpg:cNvGrpSpPr/>
                      <wpg:grpSpPr>
                        <a:xfrm>
                          <a:off x="0" y="0"/>
                          <a:ext cx="5954395" cy="1885315"/>
                          <a:chOff x="12098" y="1831"/>
                          <a:chExt cx="9377" cy="2969"/>
                        </a:xfrm>
                      </wpg:grpSpPr>
                      <wps:wsp>
                        <wps:cNvPr id="89" name="文本框 32"/>
                        <wps:cNvSpPr txBox="1"/>
                        <wps:spPr>
                          <a:xfrm>
                            <a:off x="13325" y="1831"/>
                            <a:ext cx="4462" cy="1348"/>
                          </a:xfrm>
                          <a:prstGeom prst="rect">
                            <a:avLst/>
                          </a:prstGeom>
                          <a:noFill/>
                        </wps:spPr>
                        <wps:txbx>
                          <w:txbxContent>
                            <w:p>
                              <w:pPr>
                                <w:jc w:val="distribute"/>
                                <w:rPr>
                                  <w:rFonts w:ascii="方正魏碑简体" w:hAnsi="Arial" w:eastAsia="方正魏碑简体" w:cs="Arial"/>
                                  <w:color w:val="000000" w:themeColor="text1"/>
                                  <w:kern w:val="0"/>
                                  <w:sz w:val="2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方正魏碑简体" w:hAnsi="Arial" w:eastAsia="方正魏碑简体" w:cs="Arial"/>
                                  <w:color w:val="000000" w:themeColor="text1"/>
                                  <w:spacing w:val="60"/>
                                  <w:kern w:val="24"/>
                                  <w:sz w:val="72"/>
                                  <w:szCs w:val="7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2023年度</w:t>
                              </w:r>
                            </w:p>
                          </w:txbxContent>
                        </wps:txbx>
                        <wps:bodyPr wrap="square" rtlCol="0">
                          <a:noAutofit/>
                        </wps:bodyPr>
                      </wps:wsp>
                      <wpg:grpSp>
                        <wpg:cNvPr id="6" name="组合 6"/>
                        <wpg:cNvGrpSpPr/>
                        <wpg:grpSpPr>
                          <a:xfrm>
                            <a:off x="12098" y="3193"/>
                            <a:ext cx="9377" cy="1607"/>
                            <a:chOff x="6119" y="2843"/>
                            <a:chExt cx="9377" cy="1607"/>
                          </a:xfrm>
                        </wpg:grpSpPr>
                        <wps:wsp>
                          <wps:cNvPr id="91" name="文本框 32"/>
                          <wps:cNvSpPr txBox="1"/>
                          <wps:spPr>
                            <a:xfrm>
                              <a:off x="6119" y="2843"/>
                              <a:ext cx="9377" cy="1421"/>
                            </a:xfrm>
                            <a:prstGeom prst="rect">
                              <a:avLst/>
                            </a:prstGeom>
                            <a:noFill/>
                          </wps:spPr>
                          <wps:txbx>
                            <w:txbxContent>
                              <w:p>
                                <w:pPr>
                                  <w:jc w:val="left"/>
                                  <w:rPr>
                                    <w:rFonts w:ascii="黑体" w:hAnsi="黑体" w:eastAsia="黑体" w:cs="黑体"/>
                                    <w:color w:val="000000" w:themeColor="text1"/>
                                    <w:kern w:val="0"/>
                                    <w:sz w:val="24"/>
                                    <w:szCs w:val="2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黑体" w:hAnsi="黑体" w:eastAsia="黑体" w:cs="黑体"/>
                                    <w:color w:val="000000" w:themeColor="text1"/>
                                    <w:spacing w:val="60"/>
                                    <w:kern w:val="24"/>
                                    <w:sz w:val="96"/>
                                    <w:szCs w:val="96"/>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部门决算公开文本</w:t>
                                </w:r>
                              </w:p>
                            </w:txbxContent>
                          </wps:txbx>
                          <wps:bodyPr wrap="square" rtlCol="0">
                            <a:noAutofit/>
                          </wps:bodyPr>
                        </wps:wsp>
                        <wps:wsp>
                          <wps:cNvPr id="4" name="直接连接符 4"/>
                          <wps:cNvCnPr/>
                          <wps:spPr>
                            <a:xfrm>
                              <a:off x="6226" y="4450"/>
                              <a:ext cx="8700" cy="0"/>
                            </a:xfrm>
                            <a:prstGeom prst="line">
                              <a:avLst/>
                            </a:prstGeom>
                            <a:ln w="28575" cmpd="sng">
                              <a:solidFill>
                                <a:schemeClr val="accent1">
                                  <a:shade val="50000"/>
                                </a:schemeClr>
                              </a:solidFill>
                              <a:prstDash val="sysDot"/>
                            </a:ln>
                          </wps:spPr>
                          <wps:style>
                            <a:lnRef idx="1">
                              <a:schemeClr val="accent1"/>
                            </a:lnRef>
                            <a:fillRef idx="0">
                              <a:schemeClr val="accent1"/>
                            </a:fillRef>
                            <a:effectRef idx="0">
                              <a:schemeClr val="accent1"/>
                            </a:effectRef>
                            <a:fontRef idx="minor">
                              <a:schemeClr val="tx1"/>
                            </a:fontRef>
                          </wps:style>
                          <wps:bodyPr/>
                        </wps:wsp>
                      </wpg:grpSp>
                    </wpg:wgp>
                  </a:graphicData>
                </a:graphic>
              </wp:anchor>
            </w:drawing>
          </mc:Choice>
          <mc:Fallback>
            <w:pict>
              <v:group id="_x0000_s1026" o:spid="_x0000_s1026" o:spt="203" style="position:absolute;left:0pt;margin-left:-22.1pt;margin-top:-24.65pt;height:148.45pt;width:468.85pt;z-index:251661312;mso-width-relative:page;mso-height-relative:page;" coordorigin="12098,1831" coordsize="9377,2969" o:gfxdata="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">
                <o:lock v:ext="edit" aspectratio="f"/>
                <v:shape id="文本框 32" o:spid="_x0000_s1026" o:spt="202" type="#_x0000_t202" style="position:absolute;left:13325;top:1831;height:1348;width:4462;" filled="f" stroked="f" coordsize="21600,21600" o:gfxdata="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OoO67LsAAADb&#10;AAAADwAAAAAAAAABACAAAAAiAAAAZHJzL2Rvd25yZXYueG1sUEsBAhQAFAAAAAgAh07iQDMvBZ47&#10;AAAAOQAAABAAAAAAAAAAAQAgAAAACgEAAGRycy9zaGFwZXhtbC54bWxQSwUGAAAAAAYABgBbAQAA&#10;tAMAAAAA&#10;">
                  <v:fill on="f" focussize="0,0"/>
                  <v:stroke on="f"/>
                  <v:imagedata o:title=""/>
                  <o:lock v:ext="edit" aspectratio="f"/>
                  <v:textbox>
                    <w:txbxContent>
                      <w:p>
                        <w:pPr>
                          <w:jc w:val="distribute"/>
                          <w:rPr>
                            <w:rFonts w:ascii="方正魏碑简体" w:hAnsi="Arial" w:eastAsia="方正魏碑简体" w:cs="Arial"/>
                            <w:color w:val="000000" w:themeColor="text1"/>
                            <w:kern w:val="0"/>
                            <w:sz w:val="2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方正魏碑简体" w:hAnsi="Arial" w:eastAsia="方正魏碑简体" w:cs="Arial"/>
                            <w:color w:val="000000" w:themeColor="text1"/>
                            <w:spacing w:val="60"/>
                            <w:kern w:val="24"/>
                            <w:sz w:val="72"/>
                            <w:szCs w:val="7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2023年度</w:t>
                        </w:r>
                      </w:p>
                    </w:txbxContent>
                  </v:textbox>
                </v:shape>
                <v:group id="_x0000_s1026" o:spid="_x0000_s1026" o:spt="203" style="position:absolute;left:12098;top:3193;height:1607;width:9377;" coordorigin="6119,2843" coordsize="9377,1607" o:gfxdata="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">
                  <o:lock v:ext="edit" aspectratio="f"/>
                  <v:shape id="文本框 32" o:spid="_x0000_s1026" o:spt="202" type="#_x0000_t202" style="position:absolute;left:6119;top:2843;height:1421;width:9377;" filled="f" stroked="f" coordsize="21600,21600" o:gfxdata="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QSwgN7sAAADb&#10;AAAADwAAAAAAAAABACAAAAAiAAAAZHJzL2Rvd25yZXYueG1sUEsBAhQAFAAAAAgAh07iQDMvBZ47&#10;AAAAOQAAABAAAAAAAAAAAQAgAAAACgEAAGRycy9zaGFwZXhtbC54bWxQSwUGAAAAAAYABgBbAQAA&#10;tAMAAAAA&#10;">
                    <v:fill on="f" focussize="0,0"/>
                    <v:stroke on="f"/>
                    <v:imagedata o:title=""/>
                    <o:lock v:ext="edit" aspectratio="f"/>
                    <v:textbox>
                      <w:txbxContent>
                        <w:p>
                          <w:pPr>
                            <w:jc w:val="left"/>
                            <w:rPr>
                              <w:rFonts w:ascii="黑体" w:hAnsi="黑体" w:eastAsia="黑体" w:cs="黑体"/>
                              <w:color w:val="000000" w:themeColor="text1"/>
                              <w:kern w:val="0"/>
                              <w:sz w:val="24"/>
                              <w:szCs w:val="2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黑体" w:hAnsi="黑体" w:eastAsia="黑体" w:cs="黑体"/>
                              <w:color w:val="000000" w:themeColor="text1"/>
                              <w:spacing w:val="60"/>
                              <w:kern w:val="24"/>
                              <w:sz w:val="96"/>
                              <w:szCs w:val="96"/>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部门决算公开文本</w:t>
                          </w:r>
                        </w:p>
                      </w:txbxContent>
                    </v:textbox>
                  </v:shape>
                  <v:line id="_x0000_s1026" o:spid="_x0000_s1026" o:spt="20" style="position:absolute;left:6226;top:4450;height:0;width:8700;" filled="f" stroked="t" coordsize="21600,21600" o:gfxdata="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0+M574A&#10;AADaAAAADwAAAAAAAAABACAAAAAiAAAAZHJzL2Rvd25yZXYueG1sUEsBAhQAFAAAAAgAh07iQDMv&#10;BZ47AAAAOQAAABAAAAAAAAAAAQAgAAAADQEAAGRycy9zaGFwZXhtbC54bWxQSwUGAAAAAAYABgBb&#10;AQAAtwMAAAAA&#10;">
                    <v:fill on="f" focussize="0,0"/>
                    <v:stroke weight="2.25pt" color="#325395 [3204]" miterlimit="8" joinstyle="miter" dashstyle="1 1"/>
                    <v:imagedata o:title=""/>
                    <o:lock v:ext="edit" aspectratio="f"/>
                  </v:line>
                </v:group>
              </v:group>
            </w:pict>
          </mc:Fallback>
        </mc:AlternateContent>
      </w:r>
      <w:r>
        <w:drawing>
          <wp:anchor distT="0" distB="0" distL="114300" distR="114300" simplePos="0" relativeHeight="251663360" behindDoc="0" locked="0" layoutInCell="1" allowOverlap="1">
            <wp:simplePos x="0" y="0"/>
            <wp:positionH relativeFrom="column">
              <wp:posOffset>-95250</wp:posOffset>
            </wp:positionH>
            <wp:positionV relativeFrom="margin">
              <wp:posOffset>-27305</wp:posOffset>
            </wp:positionV>
            <wp:extent cx="506095" cy="506095"/>
            <wp:effectExtent l="0" t="0" r="8255" b="8255"/>
            <wp:wrapNone/>
            <wp:docPr id="3" name="图片 3" descr="32313539313538323b32313539313537353bb5e7c4d4b0ecb9a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3" descr="32313539313538323b32313539313537353bb5e7c4d4b0ecb9ab"/>
                    <pic:cNvPicPr>
                      <a:picLocks noChangeAspect="1"/>
                    </pic:cNvPicPr>
                  </pic:nvPicPr>
                  <pic:blipFill>
                    <a:blip r:embed="rId13"/>
                    <a:stretch>
                      <a:fillRect/>
                    </a:stretch>
                  </pic:blipFill>
                  <pic:spPr>
                    <a:xfrm>
                      <a:off x="0" y="0"/>
                      <a:ext cx="506095" cy="506095"/>
                    </a:xfrm>
                    <a:prstGeom prst="rect">
                      <a:avLst/>
                    </a:prstGeom>
                  </pic:spPr>
                </pic:pic>
              </a:graphicData>
            </a:graphic>
          </wp:anchor>
        </w:drawing>
      </w:r>
      <w:r>
        <mc:AlternateContent>
          <mc:Choice Requires="wps">
            <w:drawing>
              <wp:anchor distT="0" distB="0" distL="114300" distR="114300" simplePos="0" relativeHeight="251660288" behindDoc="0" locked="0" layoutInCell="1" allowOverlap="1">
                <wp:simplePos x="0" y="0"/>
                <wp:positionH relativeFrom="column">
                  <wp:posOffset>-253365</wp:posOffset>
                </wp:positionH>
                <wp:positionV relativeFrom="paragraph">
                  <wp:posOffset>1611630</wp:posOffset>
                </wp:positionV>
                <wp:extent cx="5494020" cy="570230"/>
                <wp:effectExtent l="0" t="0" r="0" b="0"/>
                <wp:wrapNone/>
                <wp:docPr id="98" name="文本框 33"/>
                <wp:cNvGraphicFramePr/>
                <a:graphic xmlns:a="http://schemas.openxmlformats.org/drawingml/2006/main">
                  <a:graphicData uri="http://schemas.microsoft.com/office/word/2010/wordprocessingShape">
                    <wps:wsp>
                      <wps:cNvSpPr txBox="1"/>
                      <wps:spPr>
                        <a:xfrm>
                          <a:off x="0" y="0"/>
                          <a:ext cx="5494020" cy="570230"/>
                        </a:xfrm>
                        <a:prstGeom prst="rect">
                          <a:avLst/>
                        </a:prstGeom>
                        <a:noFill/>
                      </wps:spPr>
                      <wps:txbx>
                        <w:txbxContent>
                          <w:p>
                            <w:pPr>
                              <w:jc w:val="distribute"/>
                              <w:rPr>
                                <w:rFonts w:ascii="思源黑体 CN Heavy" w:hAnsi="思源黑体 CN Heavy" w:eastAsia="思源黑体 CN Heavy"/>
                                <w:color w:val="A6A6A6" w:themeColor="background1" w:themeShade="A6"/>
                                <w:kern w:val="0"/>
                                <w:sz w:val="40"/>
                                <w:szCs w:val="40"/>
                              </w:rPr>
                            </w:pPr>
                          </w:p>
                        </w:txbxContent>
                      </wps:txbx>
                      <wps:bodyPr wrap="square" rtlCol="0">
                        <a:noAutofit/>
                      </wps:bodyPr>
                    </wps:wsp>
                  </a:graphicData>
                </a:graphic>
              </wp:anchor>
            </w:drawing>
          </mc:Choice>
          <mc:Fallback>
            <w:pict>
              <v:shape id="文本框 33" o:spid="_x0000_s1026" o:spt="202" type="#_x0000_t202" style="position:absolute;left:0pt;margin-left:-19.95pt;margin-top:126.9pt;height:44.9pt;width:432.6pt;z-index:251660288;mso-width-relative:page;mso-height-relative:page;" filled="f" stroked="f" coordsize="21600,21600" o:gfxdata="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">
                <v:fill on="f" focussize="0,0"/>
                <v:stroke on="f"/>
                <v:imagedata o:title=""/>
                <o:lock v:ext="edit" aspectratio="f"/>
                <v:textbox>
                  <w:txbxContent>
                    <w:p>
                      <w:pPr>
                        <w:jc w:val="distribute"/>
                        <w:rPr>
                          <w:rFonts w:ascii="思源黑体 CN Heavy" w:hAnsi="思源黑体 CN Heavy" w:eastAsia="思源黑体 CN Heavy"/>
                          <w:color w:val="A6A6A6" w:themeColor="background1" w:themeShade="A6"/>
                          <w:kern w:val="0"/>
                          <w:sz w:val="40"/>
                          <w:szCs w:val="40"/>
                        </w:rPr>
                      </w:pPr>
                    </w:p>
                  </w:txbxContent>
                </v:textbox>
              </v:shape>
            </w:pict>
          </mc:Fallback>
        </mc:AlternateContent>
      </w:r>
    </w:p>
    <w:p>
      <w:pPr>
        <w:widowControl/>
        <w:jc w:val="left"/>
      </w:pPr>
    </w:p>
    <w:p>
      <w:pPr>
        <w:widowControl/>
        <w:jc w:val="left"/>
      </w:pPr>
    </w:p>
    <w:p>
      <w:pPr>
        <w:widowControl/>
        <w:jc w:val="left"/>
      </w:pPr>
    </w:p>
    <w:p>
      <w:pPr>
        <w:widowControl/>
        <w:jc w:val="left"/>
      </w:pPr>
    </w:p>
    <w:p>
      <w:pPr>
        <w:widowControl/>
        <w:jc w:val="left"/>
      </w:pPr>
    </w:p>
    <w:p>
      <w:pPr>
        <w:widowControl/>
        <w:jc w:val="left"/>
      </w:pPr>
    </w:p>
    <w:p>
      <w:pPr>
        <w:widowControl/>
        <w:jc w:val="left"/>
      </w:pPr>
    </w:p>
    <w:p>
      <w:pPr>
        <w:widowControl/>
        <w:jc w:val="left"/>
      </w:pPr>
    </w:p>
    <w:p>
      <w:pPr>
        <w:widowControl/>
        <w:jc w:val="left"/>
      </w:pPr>
    </w:p>
    <w:p>
      <w:pPr>
        <w:widowControl/>
        <w:jc w:val="left"/>
      </w:pPr>
    </w:p>
    <w:p>
      <w:pPr>
        <w:widowControl/>
        <w:jc w:val="left"/>
      </w:pPr>
    </w:p>
    <w:p>
      <w:pPr>
        <w:widowControl/>
        <w:jc w:val="left"/>
      </w:pPr>
    </w:p>
    <w:p>
      <w:pPr>
        <w:widowControl/>
        <w:jc w:val="left"/>
      </w:pPr>
    </w:p>
    <w:p>
      <w:pPr>
        <w:widowControl/>
        <w:jc w:val="left"/>
      </w:pPr>
    </w:p>
    <w:p>
      <w:pPr>
        <w:widowControl/>
        <w:jc w:val="left"/>
      </w:pPr>
    </w:p>
    <w:p>
      <w:pPr>
        <w:widowControl/>
        <w:jc w:val="left"/>
      </w:pPr>
    </w:p>
    <w:p>
      <w:pPr>
        <w:widowControl/>
        <w:jc w:val="left"/>
      </w:pPr>
    </w:p>
    <w:p>
      <w:pPr>
        <w:widowControl/>
        <w:jc w:val="left"/>
      </w:pPr>
    </w:p>
    <w:p>
      <w:pPr>
        <w:widowControl/>
        <w:jc w:val="left"/>
      </w:pPr>
    </w:p>
    <w:p>
      <w:pPr>
        <w:widowControl/>
        <w:jc w:val="left"/>
        <w:rPr>
          <w:rFonts w:hint="eastAsia"/>
        </w:rPr>
      </w:pPr>
    </w:p>
    <w:p>
      <w:pPr>
        <w:spacing w:line="600" w:lineRule="auto"/>
        <w:jc w:val="left"/>
        <w:rPr>
          <w:rFonts w:hint="eastAsia" w:ascii="楷体_GB2312" w:hAnsi="楷体_GB2312" w:eastAsia="楷体_GB2312" w:cs="楷体_GB2312"/>
          <w:color w:val="000000"/>
          <w:sz w:val="40"/>
          <w:szCs w:val="40"/>
          <w:lang w:val="en-US" w:eastAsia="zh-CN"/>
        </w:rPr>
      </w:pPr>
      <w:r>
        <w:rPr>
          <w:rFonts w:hint="eastAsia" w:ascii="黑体" w:hAnsi="黑体" w:eastAsia="黑体" w:cs="黑体"/>
          <w:color w:val="000000"/>
          <w:sz w:val="40"/>
          <w:szCs w:val="40"/>
        </w:rPr>
        <w:t>预算代码</w:t>
      </w:r>
      <w:r>
        <w:rPr>
          <w:rFonts w:hint="eastAsia" w:ascii="楷体_GB2312" w:hAnsi="楷体_GB2312" w:eastAsia="楷体_GB2312" w:cs="楷体_GB2312"/>
          <w:color w:val="000000"/>
          <w:sz w:val="40"/>
          <w:szCs w:val="40"/>
        </w:rPr>
        <w:t>：</w:t>
      </w:r>
      <w:r>
        <w:rPr>
          <w:rFonts w:hint="eastAsia" w:ascii="楷体_GB2312" w:hAnsi="楷体_GB2312" w:eastAsia="楷体_GB2312" w:cs="楷体_GB2312"/>
          <w:color w:val="000000"/>
          <w:sz w:val="40"/>
          <w:szCs w:val="40"/>
          <w:lang w:val="en-US" w:eastAsia="zh-CN"/>
        </w:rPr>
        <w:t>818001</w:t>
      </w:r>
    </w:p>
    <w:p>
      <w:pPr>
        <w:spacing w:line="600" w:lineRule="auto"/>
        <w:jc w:val="left"/>
        <w:rPr>
          <w:rFonts w:ascii="楷体_GB2312" w:hAnsi="楷体_GB2312" w:eastAsia="楷体_GB2312" w:cs="楷体_GB2312"/>
          <w:color w:val="000000"/>
          <w:sz w:val="40"/>
          <w:szCs w:val="40"/>
        </w:rPr>
      </w:pPr>
      <w:r>
        <w:rPr>
          <w:rFonts w:hint="eastAsia" w:ascii="黑体" w:hAnsi="黑体" w:eastAsia="黑体" w:cs="黑体"/>
          <w:color w:val="000000"/>
          <w:sz w:val="40"/>
          <w:szCs w:val="40"/>
        </w:rPr>
        <w:t>单位名称</w:t>
      </w:r>
      <w:r>
        <w:rPr>
          <w:rFonts w:hint="eastAsia" w:ascii="楷体_GB2312" w:hAnsi="楷体_GB2312" w:eastAsia="楷体_GB2312" w:cs="楷体_GB2312"/>
          <w:color w:val="000000"/>
          <w:sz w:val="40"/>
          <w:szCs w:val="40"/>
        </w:rPr>
        <w:t>：石家庄市鹿泉区上寨乡人民政府(本级)</w:t>
      </w:r>
    </w:p>
    <w:p>
      <w:pPr>
        <w:spacing w:line="600" w:lineRule="auto"/>
        <w:jc w:val="left"/>
        <w:rPr>
          <w:rFonts w:hint="default" w:ascii="楷体_GB2312" w:hAnsi="楷体_GB2312" w:eastAsia="楷体_GB2312" w:cs="楷体_GB2312"/>
          <w:color w:val="000000"/>
          <w:sz w:val="40"/>
          <w:szCs w:val="40"/>
          <w:lang w:val="en-US" w:eastAsia="zh-CN"/>
        </w:rPr>
      </w:pPr>
    </w:p>
    <w:p>
      <w:pPr>
        <w:spacing w:line="600" w:lineRule="auto"/>
        <w:jc w:val="center"/>
        <w:rPr>
          <w:rFonts w:hint="eastAsia" w:ascii="楷体_GB2312" w:hAnsi="楷体_GB2312" w:eastAsia="楷体_GB2312" w:cs="楷体_GB2312"/>
          <w:color w:val="000000"/>
          <w:sz w:val="40"/>
          <w:szCs w:val="40"/>
        </w:rPr>
      </w:pPr>
    </w:p>
    <w:p>
      <w:pPr>
        <w:spacing w:line="600" w:lineRule="auto"/>
        <w:jc w:val="center"/>
        <w:rPr>
          <w:rFonts w:hint="eastAsia" w:ascii="楷体_GB2312" w:hAnsi="楷体_GB2312" w:eastAsia="楷体_GB2312" w:cs="楷体_GB2312"/>
          <w:color w:val="000000"/>
          <w:sz w:val="40"/>
          <w:szCs w:val="40"/>
        </w:rPr>
      </w:pPr>
    </w:p>
    <w:p>
      <w:pPr>
        <w:spacing w:line="600" w:lineRule="auto"/>
        <w:jc w:val="both"/>
        <w:rPr>
          <w:rFonts w:hint="eastAsia" w:ascii="楷体_GB2312" w:hAnsi="楷体_GB2312" w:eastAsia="楷体_GB2312" w:cs="楷体_GB2312"/>
          <w:color w:val="000000"/>
          <w:sz w:val="40"/>
          <w:szCs w:val="40"/>
        </w:rPr>
      </w:pPr>
    </w:p>
    <w:p>
      <w:pPr>
        <w:spacing w:line="600" w:lineRule="auto"/>
        <w:jc w:val="center"/>
        <w:rPr>
          <w:rFonts w:hint="eastAsia" w:ascii="楷体_GB2312" w:hAnsi="楷体_GB2312" w:eastAsia="楷体_GB2312" w:cs="楷体_GB2312"/>
          <w:color w:val="000000"/>
          <w:sz w:val="40"/>
          <w:szCs w:val="40"/>
        </w:rPr>
      </w:pPr>
      <w:r>
        <w:rPr>
          <w:rFonts w:hint="eastAsia" w:ascii="楷体_GB2312" w:hAnsi="楷体_GB2312" w:eastAsia="楷体_GB2312" w:cs="楷体_GB2312"/>
          <w:color w:val="000000"/>
          <w:sz w:val="40"/>
          <w:szCs w:val="40"/>
        </w:rPr>
        <w:t>二〇二四年八月</w:t>
      </w:r>
    </w:p>
    <w:p>
      <w:pPr>
        <w:rPr>
          <w:rFonts w:hint="eastAsia" w:ascii="楷体_GB2312" w:hAnsi="楷体_GB2312" w:eastAsia="楷体_GB2312" w:cs="楷体_GB2312"/>
          <w:color w:val="000000"/>
          <w:sz w:val="40"/>
          <w:szCs w:val="40"/>
        </w:rPr>
      </w:pPr>
      <w:r>
        <w:rPr>
          <w:rFonts w:hint="eastAsia" w:ascii="楷体_GB2312" w:hAnsi="楷体_GB2312" w:eastAsia="楷体_GB2312" w:cs="楷体_GB2312"/>
          <w:color w:val="000000"/>
          <w:sz w:val="40"/>
          <w:szCs w:val="40"/>
        </w:rPr>
        <w:br w:type="page"/>
      </w:r>
    </w:p>
    <w:p>
      <w:pPr>
        <w:tabs>
          <w:tab w:val="left" w:pos="2728"/>
        </w:tabs>
        <w:jc w:val="center"/>
        <w:rPr>
          <w:rFonts w:ascii="黑体" w:hAnsi="Times New Roman" w:eastAsia="黑体" w:cs="Times New Roman"/>
          <w:sz w:val="44"/>
          <w:szCs w:val="44"/>
        </w:rPr>
      </w:pPr>
      <w:r>
        <w:rPr>
          <w:rFonts w:hint="eastAsia" w:ascii="黑体" w:hAnsi="Times New Roman" w:eastAsia="黑体" w:cs="Times New Roman"/>
          <w:sz w:val="44"/>
          <w:szCs w:val="44"/>
        </w:rPr>
        <w:t>目    录</w:t>
      </w:r>
    </w:p>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1273" w:firstLineChars="398"/>
        <w:rPr>
          <w:rFonts w:hint="eastAsia" w:ascii="Times New Roman" w:hAnsi="Times New Roman" w:eastAsia="仿宋_GB2312" w:cs="Times New Roman"/>
          <w:sz w:val="32"/>
          <w:szCs w:val="32"/>
        </w:rPr>
      </w:pPr>
      <w:r>
        <w:rPr>
          <w:rFonts w:ascii="Times New Roman" w:hAnsi="Times New Roman" w:eastAsia="黑体" w:cs="Times New Roman"/>
          <w:sz w:val="32"/>
          <w:szCs w:val="32"/>
        </w:rPr>
        <w:t xml:space="preserve">第一部分   </w:t>
      </w:r>
      <w:r>
        <w:rPr>
          <w:rFonts w:hint="eastAsia" w:ascii="Times New Roman" w:hAnsi="Times New Roman" w:eastAsia="黑体" w:cs="Times New Roman"/>
          <w:sz w:val="32"/>
          <w:szCs w:val="32"/>
          <w:lang w:eastAsia="zh-CN"/>
        </w:rPr>
        <w:t>单位</w:t>
      </w:r>
      <w:r>
        <w:rPr>
          <w:rFonts w:hint="eastAsia" w:ascii="Times New Roman" w:hAnsi="Times New Roman" w:eastAsia="仿宋_GB2312" w:cs="Times New Roman"/>
          <w:sz w:val="32"/>
          <w:szCs w:val="32"/>
        </w:rPr>
        <w:t>概况</w:t>
      </w:r>
    </w:p>
    <w:p>
      <w:pPr>
        <w:widowControl/>
        <w:spacing w:after="160" w:line="580" w:lineRule="exact"/>
        <w:ind w:firstLine="1273" w:firstLineChars="398"/>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一、</w:t>
      </w:r>
      <w:r>
        <w:rPr>
          <w:rFonts w:hint="eastAsia" w:ascii="Times New Roman" w:hAnsi="Times New Roman" w:eastAsia="仿宋_GB2312" w:cs="Times New Roman"/>
          <w:sz w:val="32"/>
          <w:szCs w:val="32"/>
          <w:lang w:eastAsia="zh-CN"/>
        </w:rPr>
        <w:t>单位</w:t>
      </w:r>
      <w:r>
        <w:rPr>
          <w:rFonts w:hint="eastAsia" w:ascii="Times New Roman" w:hAnsi="Times New Roman" w:eastAsia="仿宋_GB2312" w:cs="Times New Roman"/>
          <w:sz w:val="32"/>
          <w:szCs w:val="32"/>
        </w:rPr>
        <w:t>职责</w:t>
      </w:r>
    </w:p>
    <w:p>
      <w:pPr>
        <w:widowControl/>
        <w:spacing w:after="160" w:line="58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二、</w:t>
      </w:r>
      <w:r>
        <w:rPr>
          <w:rFonts w:hint="eastAsia" w:ascii="Times New Roman" w:hAnsi="Times New Roman" w:eastAsia="仿宋_GB2312" w:cs="Times New Roman"/>
          <w:sz w:val="32"/>
          <w:szCs w:val="32"/>
        </w:rPr>
        <w:t>机构设置</w:t>
      </w:r>
    </w:p>
    <w:p>
      <w:pPr>
        <w:widowControl/>
        <w:spacing w:after="160"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第二部分</w:t>
      </w:r>
      <w:r>
        <w:rPr>
          <w:rFonts w:hint="eastAsia" w:ascii="Times New Roman" w:hAnsi="Times New Roman" w:eastAsia="黑体" w:cs="Times New Roman"/>
          <w:sz w:val="32"/>
          <w:szCs w:val="32"/>
        </w:rPr>
        <w:t xml:space="preserve">   2023年</w:t>
      </w:r>
      <w:r>
        <w:rPr>
          <w:rFonts w:ascii="Times New Roman" w:hAnsi="Times New Roman" w:eastAsia="黑体" w:cs="Times New Roman"/>
          <w:sz w:val="32"/>
          <w:szCs w:val="32"/>
        </w:rPr>
        <w:t>度部门决算报表</w:t>
      </w:r>
    </w:p>
    <w:p>
      <w:pPr>
        <w:widowControl/>
        <w:spacing w:after="160" w:line="580" w:lineRule="exact"/>
        <w:ind w:firstLine="1280" w:firstLineChars="400"/>
        <w:rPr>
          <w:rFonts w:ascii="Times New Roman" w:hAnsi="Times New Roman" w:eastAsia="仿宋_GB2312" w:cs="Times New Roman"/>
          <w:sz w:val="32"/>
          <w:szCs w:val="32"/>
        </w:rPr>
      </w:pPr>
      <w:r>
        <w:rPr>
          <w:rFonts w:ascii="Times New Roman" w:hAnsi="Times New Roman" w:eastAsia="仿宋_GB2312" w:cs="Times New Roman"/>
          <w:sz w:val="32"/>
          <w:szCs w:val="32"/>
        </w:rPr>
        <w:t>一、</w:t>
      </w:r>
      <w:r>
        <w:rPr>
          <w:rFonts w:hint="eastAsia" w:ascii="Times New Roman" w:hAnsi="Times New Roman" w:eastAsia="仿宋_GB2312" w:cs="Times New Roman"/>
          <w:sz w:val="32"/>
          <w:szCs w:val="32"/>
        </w:rPr>
        <w:t>收入支出决算总表</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二、收入决算</w:t>
      </w:r>
      <w:r>
        <w:rPr>
          <w:rFonts w:hint="eastAsia" w:ascii="Times New Roman" w:hAnsi="Times New Roman" w:eastAsia="仿宋_GB2312" w:cs="Times New Roman"/>
          <w:sz w:val="32"/>
          <w:szCs w:val="32"/>
        </w:rPr>
        <w:t>表</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三、支出决算</w:t>
      </w:r>
      <w:r>
        <w:rPr>
          <w:rFonts w:hint="eastAsia" w:ascii="Times New Roman" w:hAnsi="Times New Roman" w:eastAsia="仿宋_GB2312" w:cs="Times New Roman"/>
          <w:sz w:val="32"/>
          <w:szCs w:val="32"/>
        </w:rPr>
        <w:t>表</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w:t>
      </w:r>
      <w:r>
        <w:rPr>
          <w:rFonts w:hint="eastAsia" w:ascii="Times New Roman" w:hAnsi="Times New Roman" w:eastAsia="仿宋_GB2312" w:cs="Times New Roman"/>
          <w:sz w:val="32"/>
          <w:szCs w:val="32"/>
        </w:rPr>
        <w:t>财政拨款收入支出决算总表</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五、一般公共预算财政拨款支出决算表</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六、一般公共预算财政拨款基本支出决算明细表</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七、政府性基金预算财政拨款收入支出决算表</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八</w:t>
      </w:r>
      <w:r>
        <w:rPr>
          <w:rFonts w:ascii="Times New Roman" w:hAnsi="Times New Roman" w:eastAsia="仿宋_GB2312" w:cs="Times New Roman"/>
          <w:sz w:val="32"/>
          <w:szCs w:val="32"/>
        </w:rPr>
        <w:t>、</w:t>
      </w:r>
      <w:r>
        <w:rPr>
          <w:rFonts w:hint="eastAsia" w:ascii="Times New Roman" w:hAnsi="Times New Roman" w:eastAsia="仿宋_GB2312" w:cs="Times New Roman"/>
          <w:sz w:val="32"/>
          <w:szCs w:val="32"/>
        </w:rPr>
        <w:t>国有资本经营预算财政拨款支出决算表</w:t>
      </w:r>
    </w:p>
    <w:p>
      <w:pPr>
        <w:widowControl/>
        <w:spacing w:after="160" w:line="580" w:lineRule="exact"/>
        <w:ind w:left="640" w:firstLine="640" w:firstLineChars="200"/>
        <w:rPr>
          <w:rFonts w:ascii="Times New Roman" w:hAnsi="Times New Roman" w:eastAsia="仿宋_GB2312" w:cs="Times New Roman"/>
          <w:sz w:val="20"/>
          <w:szCs w:val="32"/>
        </w:rPr>
      </w:pPr>
      <w:r>
        <w:rPr>
          <w:rFonts w:hint="eastAsia" w:ascii="Times New Roman" w:hAnsi="Times New Roman" w:eastAsia="仿宋_GB2312" w:cs="Times New Roman"/>
          <w:sz w:val="32"/>
          <w:szCs w:val="32"/>
        </w:rPr>
        <w:t>九、财政拨款“三公”经费支出决算表</w:t>
      </w:r>
    </w:p>
    <w:p>
      <w:pPr>
        <w:widowControl/>
        <w:spacing w:after="160"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 xml:space="preserve">第三部分   </w:t>
      </w:r>
      <w:r>
        <w:rPr>
          <w:rFonts w:hint="eastAsia" w:ascii="Times New Roman" w:hAnsi="Times New Roman" w:eastAsia="黑体" w:cs="Times New Roman"/>
          <w:sz w:val="32"/>
          <w:szCs w:val="32"/>
        </w:rPr>
        <w:t>2023年度</w:t>
      </w:r>
      <w:r>
        <w:rPr>
          <w:rFonts w:ascii="Times New Roman" w:hAnsi="Times New Roman" w:eastAsia="黑体" w:cs="Times New Roman"/>
          <w:sz w:val="32"/>
          <w:szCs w:val="32"/>
        </w:rPr>
        <w:t>部门决算情况说明</w:t>
      </w:r>
    </w:p>
    <w:p>
      <w:pPr>
        <w:widowControl/>
        <w:spacing w:after="160" w:line="580" w:lineRule="exact"/>
        <w:ind w:firstLine="1280" w:firstLineChars="400"/>
        <w:rPr>
          <w:rFonts w:ascii="Times New Roman" w:hAnsi="Times New Roman" w:eastAsia="仿宋_GB2312" w:cs="Times New Roman"/>
          <w:sz w:val="32"/>
          <w:szCs w:val="32"/>
        </w:rPr>
      </w:pPr>
      <w:r>
        <w:rPr>
          <w:rFonts w:ascii="Times New Roman" w:hAnsi="Times New Roman" w:eastAsia="仿宋_GB2312" w:cs="Times New Roman"/>
          <w:sz w:val="32"/>
          <w:szCs w:val="32"/>
        </w:rPr>
        <w:t>一、</w:t>
      </w:r>
      <w:r>
        <w:rPr>
          <w:rFonts w:hint="eastAsia" w:ascii="Times New Roman" w:hAnsi="Times New Roman" w:eastAsia="仿宋_GB2312" w:cs="Times New Roman"/>
          <w:sz w:val="32"/>
          <w:szCs w:val="32"/>
        </w:rPr>
        <w:t>收入支出决算总体情况说明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二、收入决算情况说明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三、支出决算情况说明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四、财政拨款收入支出决算总体情况说明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五、财政拨款“三公” 经费支出决算情况说明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六、机关运行经费支出说明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七、政府采购支出说明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八、国有资产占用情况说明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九、预算绩效情况说明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十、其他需要说明的情况</w:t>
      </w:r>
    </w:p>
    <w:p>
      <w:pPr>
        <w:widowControl/>
        <w:spacing w:after="160" w:line="580" w:lineRule="exact"/>
        <w:ind w:firstLine="640" w:firstLineChars="200"/>
        <w:rPr>
          <w:rFonts w:ascii="Times New Roman" w:hAnsi="Times New Roman" w:eastAsia="黑体" w:cs="Times New Roman"/>
          <w:sz w:val="32"/>
          <w:szCs w:val="32"/>
        </w:rPr>
        <w:sectPr>
          <w:headerReference r:id="rId4" w:type="first"/>
          <w:footerReference r:id="rId6" w:type="first"/>
          <w:headerReference r:id="rId3" w:type="default"/>
          <w:footerReference r:id="rId5" w:type="default"/>
          <w:pgSz w:w="11906" w:h="16838"/>
          <w:pgMar w:top="1474" w:right="1531" w:bottom="1474" w:left="1531" w:header="851" w:footer="992" w:gutter="0"/>
          <w:cols w:space="0" w:num="1"/>
          <w:titlePg/>
          <w:docGrid w:type="lines" w:linePitch="312" w:charSpace="0"/>
        </w:sectPr>
      </w:pPr>
      <w:r>
        <w:rPr>
          <w:rFonts w:ascii="Times New Roman" w:hAnsi="Times New Roman" w:eastAsia="黑体" w:cs="Times New Roman"/>
          <w:sz w:val="32"/>
          <w:szCs w:val="32"/>
        </w:rPr>
        <w:t>第</w:t>
      </w:r>
      <w:r>
        <w:rPr>
          <w:rFonts w:hint="eastAsia" w:ascii="Times New Roman" w:hAnsi="Times New Roman" w:eastAsia="黑体" w:cs="Times New Roman"/>
          <w:sz w:val="32"/>
          <w:szCs w:val="32"/>
        </w:rPr>
        <w:t>四</w:t>
      </w:r>
      <w:r>
        <w:rPr>
          <w:rFonts w:ascii="Times New Roman" w:hAnsi="Times New Roman" w:eastAsia="黑体" w:cs="Times New Roman"/>
          <w:sz w:val="32"/>
          <w:szCs w:val="32"/>
        </w:rPr>
        <w:t>部分</w:t>
      </w:r>
      <w:r>
        <w:rPr>
          <w:rFonts w:hint="eastAsia" w:ascii="Times New Roman" w:hAnsi="Times New Roman" w:eastAsia="黑体" w:cs="Times New Roman"/>
          <w:sz w:val="32"/>
          <w:szCs w:val="32"/>
        </w:rPr>
        <w:t xml:space="preserve">  </w:t>
      </w:r>
      <w:r>
        <w:rPr>
          <w:rFonts w:ascii="Times New Roman" w:hAnsi="Times New Roman" w:eastAsia="黑体" w:cs="Times New Roman"/>
          <w:sz w:val="32"/>
          <w:szCs w:val="32"/>
        </w:rPr>
        <w:t>名词解释</w:t>
      </w:r>
    </w:p>
    <w:p>
      <w:pPr>
        <w:rPr>
          <w:rFonts w:hint="default" w:ascii="Arial" w:hAnsi="Arial" w:eastAsia="Arial" w:cs="Arial"/>
          <w:i w:val="0"/>
          <w:iCs w:val="0"/>
          <w:caps w:val="0"/>
          <w:color w:val="000000"/>
          <w:spacing w:val="0"/>
          <w:sz w:val="18"/>
          <w:szCs w:val="18"/>
          <w:highlight w:val="none"/>
          <w:shd w:val="clear" w:fill="FFFFFF"/>
        </w:rPr>
      </w:pPr>
    </w:p>
    <w:p>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default" w:ascii="Arial" w:hAnsi="Arial" w:eastAsia="Arial" w:cs="Arial"/>
          <w:i w:val="0"/>
          <w:iCs w:val="0"/>
          <w:caps w:val="0"/>
          <w:color w:val="000000"/>
          <w:spacing w:val="0"/>
          <w:sz w:val="18"/>
          <w:szCs w:val="18"/>
          <w:highlight w:val="none"/>
          <w:shd w:val="clear" w:fill="FFFFFF"/>
        </w:rPr>
      </w:pPr>
    </w:p>
    <w:p>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eastAsia" w:ascii="黑体" w:hAnsi="宋体" w:eastAsia="黑体" w:cs="黑体"/>
          <w:i w:val="0"/>
          <w:iCs w:val="0"/>
          <w:caps w:val="0"/>
          <w:color w:val="000000"/>
          <w:spacing w:val="0"/>
          <w:sz w:val="72"/>
          <w:szCs w:val="72"/>
          <w:highlight w:val="none"/>
          <w:shd w:val="clear" w:fill="FFFFFF"/>
        </w:rPr>
      </w:pPr>
    </w:p>
    <w:p>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eastAsia" w:ascii="黑体" w:hAnsi="宋体" w:eastAsia="黑体" w:cs="黑体"/>
          <w:i w:val="0"/>
          <w:iCs w:val="0"/>
          <w:caps w:val="0"/>
          <w:color w:val="000000"/>
          <w:spacing w:val="0"/>
          <w:sz w:val="72"/>
          <w:szCs w:val="72"/>
          <w:highlight w:val="none"/>
          <w:shd w:val="clear" w:fill="FFFFFF"/>
        </w:rPr>
      </w:pPr>
    </w:p>
    <w:p>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eastAsia" w:ascii="黑体" w:hAnsi="宋体" w:eastAsia="黑体" w:cs="黑体"/>
          <w:i w:val="0"/>
          <w:iCs w:val="0"/>
          <w:caps w:val="0"/>
          <w:color w:val="000000"/>
          <w:spacing w:val="0"/>
          <w:sz w:val="72"/>
          <w:szCs w:val="72"/>
          <w:highlight w:val="none"/>
          <w:shd w:val="clear" w:fill="FFFFFF"/>
        </w:rPr>
      </w:pPr>
    </w:p>
    <w:p>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eastAsia" w:ascii="黑体" w:hAnsi="宋体" w:eastAsia="黑体" w:cs="黑体"/>
          <w:i w:val="0"/>
          <w:iCs w:val="0"/>
          <w:caps w:val="0"/>
          <w:color w:val="000000"/>
          <w:spacing w:val="0"/>
          <w:sz w:val="72"/>
          <w:szCs w:val="72"/>
          <w:highlight w:val="none"/>
          <w:shd w:val="clear" w:fill="FFFFFF"/>
        </w:rPr>
        <w:t xml:space="preserve">第一部分  </w:t>
      </w:r>
      <w:r>
        <w:rPr>
          <w:rFonts w:hint="eastAsia" w:ascii="黑体" w:hAnsi="宋体" w:eastAsia="黑体" w:cs="黑体"/>
          <w:i w:val="0"/>
          <w:iCs w:val="0"/>
          <w:caps w:val="0"/>
          <w:color w:val="000000"/>
          <w:spacing w:val="0"/>
          <w:sz w:val="72"/>
          <w:szCs w:val="72"/>
          <w:highlight w:val="none"/>
          <w:shd w:val="clear" w:fill="FFFFFF"/>
          <w:lang w:eastAsia="zh-CN"/>
        </w:rPr>
        <w:t>单位</w:t>
      </w:r>
      <w:r>
        <w:rPr>
          <w:rFonts w:hint="eastAsia" w:ascii="黑体" w:hAnsi="宋体" w:eastAsia="黑体" w:cs="黑体"/>
          <w:i w:val="0"/>
          <w:iCs w:val="0"/>
          <w:caps w:val="0"/>
          <w:color w:val="000000"/>
          <w:spacing w:val="0"/>
          <w:sz w:val="72"/>
          <w:szCs w:val="72"/>
          <w:highlight w:val="none"/>
          <w:shd w:val="clear" w:fill="FFFFFF"/>
        </w:rPr>
        <w:t>概况</w:t>
      </w:r>
    </w:p>
    <w:p>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pPr>
        <w:rPr>
          <w:rFonts w:hint="eastAsia" w:ascii="黑体" w:hAnsi="宋体" w:eastAsia="黑体" w:cs="黑体"/>
          <w:i w:val="0"/>
          <w:iCs w:val="0"/>
          <w:caps w:val="0"/>
          <w:color w:val="000000"/>
          <w:spacing w:val="0"/>
          <w:sz w:val="33"/>
          <w:szCs w:val="33"/>
          <w:highlight w:val="none"/>
          <w:shd w:val="clear" w:fill="FFFFFF"/>
        </w:rPr>
      </w:pPr>
      <w:r>
        <w:rPr>
          <w:rFonts w:hint="eastAsia" w:ascii="黑体" w:hAnsi="宋体" w:eastAsia="黑体" w:cs="黑体"/>
          <w:i w:val="0"/>
          <w:iCs w:val="0"/>
          <w:caps w:val="0"/>
          <w:color w:val="000000"/>
          <w:spacing w:val="0"/>
          <w:sz w:val="33"/>
          <w:szCs w:val="33"/>
          <w:highlight w:val="none"/>
          <w:shd w:val="clear" w:fill="FFFFFF"/>
        </w:rPr>
        <w:br w:type="page"/>
      </w:r>
    </w:p>
    <w:p>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outlineLvl w:val="1"/>
        <w:rPr>
          <w:rFonts w:hint="default" w:ascii="Arial" w:hAnsi="Arial" w:eastAsia="Arial" w:cs="Arial"/>
          <w:i w:val="0"/>
          <w:iCs w:val="0"/>
          <w:caps w:val="0"/>
          <w:color w:val="000000"/>
          <w:spacing w:val="0"/>
          <w:sz w:val="32"/>
          <w:szCs w:val="32"/>
          <w:highlight w:val="none"/>
        </w:rPr>
      </w:pPr>
      <w:r>
        <w:rPr>
          <w:rFonts w:hint="eastAsia" w:ascii="黑体" w:hAnsi="宋体" w:eastAsia="黑体" w:cs="黑体"/>
          <w:i w:val="0"/>
          <w:iCs w:val="0"/>
          <w:caps w:val="0"/>
          <w:color w:val="000000"/>
          <w:spacing w:val="0"/>
          <w:sz w:val="32"/>
          <w:szCs w:val="32"/>
          <w:highlight w:val="none"/>
          <w:shd w:val="clear" w:fill="FFFFFF"/>
        </w:rPr>
        <w:t>一、</w:t>
      </w:r>
      <w:r>
        <w:rPr>
          <w:rFonts w:hint="eastAsia" w:ascii="黑体" w:hAnsi="宋体" w:eastAsia="黑体" w:cs="黑体"/>
          <w:i w:val="0"/>
          <w:iCs w:val="0"/>
          <w:caps w:val="0"/>
          <w:color w:val="000000"/>
          <w:spacing w:val="0"/>
          <w:sz w:val="32"/>
          <w:szCs w:val="32"/>
          <w:highlight w:val="none"/>
          <w:shd w:val="clear" w:fill="FFFFFF"/>
          <w:lang w:eastAsia="zh-CN"/>
        </w:rPr>
        <w:t>单位</w:t>
      </w:r>
      <w:r>
        <w:rPr>
          <w:rFonts w:hint="eastAsia" w:ascii="黑体" w:hAnsi="宋体" w:eastAsia="黑体" w:cs="黑体"/>
          <w:i w:val="0"/>
          <w:iCs w:val="0"/>
          <w:caps w:val="0"/>
          <w:color w:val="000000"/>
          <w:spacing w:val="0"/>
          <w:sz w:val="32"/>
          <w:szCs w:val="32"/>
          <w:highlight w:val="none"/>
          <w:shd w:val="clear" w:fill="FFFFFF"/>
        </w:rPr>
        <w:t>职责</w:t>
      </w:r>
    </w:p>
    <w:p>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pPr>
        <w:pageBreakBefore w:val="0"/>
        <w:widowControl/>
        <w:kinsoku/>
        <w:wordWrap/>
        <w:overflowPunct/>
        <w:topLinePunct w:val="0"/>
        <w:autoSpaceDE/>
        <w:autoSpaceDN/>
        <w:bidi w:val="0"/>
        <w:adjustRightInd/>
        <w:snapToGrid/>
        <w:spacing w:line="360" w:lineRule="auto"/>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lang w:val="en-US" w:eastAsia="zh-CN"/>
        </w:rPr>
        <w:t>上寨</w:t>
      </w:r>
      <w:r>
        <w:rPr>
          <w:rFonts w:hint="eastAsia" w:ascii="仿宋" w:hAnsi="仿宋" w:eastAsia="仿宋" w:cs="仿宋"/>
          <w:sz w:val="32"/>
          <w:szCs w:val="32"/>
        </w:rPr>
        <w:t>乡党委、人大、政府主要职责：</w:t>
      </w:r>
    </w:p>
    <w:p>
      <w:pPr>
        <w:pageBreakBefore w:val="0"/>
        <w:widowControl/>
        <w:kinsoku/>
        <w:wordWrap/>
        <w:overflowPunct/>
        <w:topLinePunct w:val="0"/>
        <w:autoSpaceDE/>
        <w:autoSpaceDN/>
        <w:bidi w:val="0"/>
        <w:adjustRightInd/>
        <w:snapToGrid/>
        <w:spacing w:line="360" w:lineRule="auto"/>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 xml:space="preserve"> 1、宣传贯彻执行党的路线方针政策和党中央、上级党组织 及本乡党员代表大会（党员大会）的决议。贯彻执行法律、法规、 规章和上级人民代表大会及其常务委员会决议及上级政府的决 定、命令，执行本级人民代表大会的决议。</w:t>
      </w:r>
    </w:p>
    <w:p>
      <w:pPr>
        <w:pageBreakBefore w:val="0"/>
        <w:widowControl/>
        <w:kinsoku/>
        <w:wordWrap/>
        <w:overflowPunct/>
        <w:topLinePunct w:val="0"/>
        <w:autoSpaceDE/>
        <w:autoSpaceDN/>
        <w:bidi w:val="0"/>
        <w:adjustRightInd/>
        <w:snapToGrid/>
        <w:spacing w:line="360" w:lineRule="auto"/>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 xml:space="preserve"> 2、讨论和决定本乡经济建设、政治建设、文化建设、社会 建设、生态文明建设和党的建设以及乡村振兴中的重大问题。 </w:t>
      </w:r>
    </w:p>
    <w:p>
      <w:pPr>
        <w:pageBreakBefore w:val="0"/>
        <w:widowControl/>
        <w:kinsoku/>
        <w:wordWrap/>
        <w:overflowPunct/>
        <w:topLinePunct w:val="0"/>
        <w:autoSpaceDE/>
        <w:autoSpaceDN/>
        <w:bidi w:val="0"/>
        <w:adjustRightInd/>
        <w:snapToGrid/>
        <w:spacing w:line="360" w:lineRule="auto"/>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 xml:space="preserve">3、组织召开本级人民代表大会，充分行使重大事项决定权、 监督权和任免权，做好人大代表工作，联系选民、反映群众意见 和要求。 </w:t>
      </w:r>
    </w:p>
    <w:p>
      <w:pPr>
        <w:pageBreakBefore w:val="0"/>
        <w:widowControl/>
        <w:kinsoku/>
        <w:wordWrap/>
        <w:overflowPunct/>
        <w:topLinePunct w:val="0"/>
        <w:autoSpaceDE/>
        <w:autoSpaceDN/>
        <w:bidi w:val="0"/>
        <w:adjustRightInd/>
        <w:snapToGrid/>
        <w:spacing w:line="360" w:lineRule="auto"/>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 xml:space="preserve">4、执行本行政区域内的经济和社会发展计划，预算，管理 本行政区域内的经济、教育、科学、文化、卫生健康、体育事业 和财政、统计、民政、司法行政等行政工作。落实本级行政区域 内发展规划、专项规划、区域规划、国土空间规划。 </w:t>
      </w:r>
    </w:p>
    <w:p>
      <w:pPr>
        <w:pageBreakBefore w:val="0"/>
        <w:widowControl/>
        <w:kinsoku/>
        <w:wordWrap/>
        <w:overflowPunct/>
        <w:topLinePunct w:val="0"/>
        <w:autoSpaceDE/>
        <w:autoSpaceDN/>
        <w:bidi w:val="0"/>
        <w:adjustRightInd/>
        <w:snapToGrid/>
        <w:spacing w:line="360" w:lineRule="auto"/>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 xml:space="preserve">5、乡党委领导乡政权机关、群团组织和其他各类组织，加 强指导和规范，支持和保证这些机关和组织依照国家法律法规以 及各自章程履行职责。坚持党管武装的根本原则和制度，协调各 方力量，对乡人民武装工作实行统一领导。 </w:t>
      </w:r>
    </w:p>
    <w:p>
      <w:pPr>
        <w:keepNext w:val="0"/>
        <w:keepLines w:val="0"/>
        <w:pageBreakBefore w:val="0"/>
        <w:widowControl/>
        <w:kinsoku/>
        <w:wordWrap/>
        <w:overflowPunct/>
        <w:topLinePunct w:val="0"/>
        <w:autoSpaceDE/>
        <w:autoSpaceDN/>
        <w:bidi w:val="0"/>
        <w:adjustRightInd/>
        <w:snapToGrid/>
        <w:spacing w:line="360" w:lineRule="auto"/>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 xml:space="preserve">6、加强乡党委自身建设和村党组织建设，以及其他隶属乡 党委的党组织建设，抓好发展党员工作，加强党员队伍建设。维 护和执行党的纪律，监督党员干部和其他任何工作人员严格遵守 国家法律法规。 </w:t>
      </w:r>
    </w:p>
    <w:p>
      <w:pPr>
        <w:pageBreakBefore w:val="0"/>
        <w:widowControl/>
        <w:kinsoku/>
        <w:wordWrap/>
        <w:overflowPunct/>
        <w:topLinePunct w:val="0"/>
        <w:autoSpaceDE/>
        <w:autoSpaceDN/>
        <w:bidi w:val="0"/>
        <w:adjustRightInd/>
        <w:snapToGrid/>
        <w:spacing w:line="360" w:lineRule="auto"/>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 xml:space="preserve">7、按照干部管理权限，负责对干部的教育、培训、选拔、 考核和监督工作。协助管理上级有关部门驻乡单位的干部。做好人才服务工作。 </w:t>
      </w:r>
    </w:p>
    <w:p>
      <w:pPr>
        <w:pageBreakBefore w:val="0"/>
        <w:widowControl/>
        <w:kinsoku/>
        <w:wordWrap/>
        <w:overflowPunct/>
        <w:topLinePunct w:val="0"/>
        <w:autoSpaceDE/>
        <w:autoSpaceDN/>
        <w:bidi w:val="0"/>
        <w:adjustRightInd/>
        <w:snapToGrid/>
        <w:spacing w:line="360" w:lineRule="auto"/>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 xml:space="preserve">8、领导本乡的基层治理，加强社会主义民主法治建设和精 神文明建设，加强社会治安综合治理，做好应急管理、生态环保、 乡村振兴、民生保障、脱贫致富、民族宗教、防范邪教等工作。 承担民兵预备役、征兵、退役军人服务、拥军优属等工作。 </w:t>
      </w:r>
    </w:p>
    <w:p>
      <w:pPr>
        <w:keepNext w:val="0"/>
        <w:keepLines w:val="0"/>
        <w:pageBreakBefore w:val="0"/>
        <w:widowControl/>
        <w:kinsoku/>
        <w:wordWrap/>
        <w:overflowPunct/>
        <w:topLinePunct w:val="0"/>
        <w:autoSpaceDE/>
        <w:autoSpaceDN/>
        <w:bidi w:val="0"/>
        <w:adjustRightInd/>
        <w:snapToGrid/>
        <w:spacing w:line="360" w:lineRule="auto"/>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9、保护社会主义全民所有的财产和劳动群众集体所有的财 产，保护公民私人所有的合法财产，维护社会秩序，保障公民的 人身权利、民主权利和其他权利。保护各种经济组织的合法权益。 保障各少数民族的合法权利和利益，尊重少数民族的风俗习惯。 保障宪法和法律赋予妇女的男女平等、同工同酬和婚姻自由等各 项权利。</w:t>
      </w:r>
    </w:p>
    <w:p>
      <w:pPr>
        <w:keepNext w:val="0"/>
        <w:keepLines w:val="0"/>
        <w:pageBreakBefore w:val="0"/>
        <w:widowControl/>
        <w:kinsoku/>
        <w:wordWrap/>
        <w:overflowPunct/>
        <w:topLinePunct w:val="0"/>
        <w:autoSpaceDE/>
        <w:autoSpaceDN/>
        <w:bidi w:val="0"/>
        <w:adjustRightInd/>
        <w:snapToGrid/>
        <w:spacing w:line="360" w:lineRule="auto"/>
        <w:ind w:firstLine="640" w:firstLineChars="200"/>
        <w:textAlignment w:val="auto"/>
        <w:rPr>
          <w:rFonts w:hint="default" w:ascii="Arial" w:hAnsi="Arial" w:eastAsia="Arial" w:cs="Arial"/>
          <w:i w:val="0"/>
          <w:iCs w:val="0"/>
          <w:caps w:val="0"/>
          <w:color w:val="auto"/>
          <w:spacing w:val="0"/>
          <w:sz w:val="32"/>
          <w:szCs w:val="32"/>
          <w:highlight w:val="yellow"/>
        </w:rPr>
      </w:pPr>
      <w:r>
        <w:rPr>
          <w:rFonts w:hint="eastAsia" w:ascii="仿宋" w:hAnsi="仿宋" w:eastAsia="仿宋" w:cs="仿宋"/>
          <w:sz w:val="32"/>
          <w:szCs w:val="32"/>
        </w:rPr>
        <w:t>10、承办上级党委、人大、政府交办的其他事项</w:t>
      </w:r>
      <w:r>
        <w:rPr>
          <w:rFonts w:hint="eastAsia" w:ascii="仿宋" w:hAnsi="仿宋" w:eastAsia="仿宋" w:cs="仿宋"/>
          <w:sz w:val="32"/>
          <w:szCs w:val="32"/>
          <w:lang w:eastAsia="zh-CN"/>
        </w:rPr>
        <w:t>。</w:t>
      </w:r>
    </w:p>
    <w:p>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outlineLvl w:val="1"/>
        <w:rPr>
          <w:rFonts w:hint="default" w:ascii="Arial" w:hAnsi="Arial" w:eastAsia="Arial" w:cs="Arial"/>
          <w:i w:val="0"/>
          <w:iCs w:val="0"/>
          <w:caps w:val="0"/>
          <w:color w:val="000000"/>
          <w:spacing w:val="0"/>
          <w:sz w:val="32"/>
          <w:szCs w:val="32"/>
          <w:highlight w:val="none"/>
        </w:rPr>
      </w:pPr>
      <w:r>
        <w:rPr>
          <w:rFonts w:hint="eastAsia" w:ascii="黑体" w:hAnsi="宋体" w:eastAsia="黑体" w:cs="黑体"/>
          <w:i w:val="0"/>
          <w:iCs w:val="0"/>
          <w:caps w:val="0"/>
          <w:color w:val="000000"/>
          <w:spacing w:val="0"/>
          <w:sz w:val="32"/>
          <w:szCs w:val="32"/>
          <w:highlight w:val="none"/>
          <w:shd w:val="clear" w:fill="FFFFFF"/>
        </w:rPr>
        <w:t>二、机构设置</w:t>
      </w:r>
    </w:p>
    <w:p>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640" w:firstLineChars="200"/>
        <w:jc w:val="left"/>
        <w:rPr>
          <w:rFonts w:hint="default" w:ascii="仿宋_GB2312" w:hAnsi="仿宋_GB2312" w:eastAsia="仿宋_GB2312" w:cs="仿宋_GB2312"/>
          <w:i w:val="0"/>
          <w:iCs w:val="0"/>
          <w:caps w:val="0"/>
          <w:color w:val="auto"/>
          <w:spacing w:val="0"/>
          <w:sz w:val="32"/>
          <w:szCs w:val="32"/>
          <w:highlight w:val="none"/>
          <w:shd w:val="clear" w:fill="FFFFFF"/>
        </w:rPr>
      </w:pPr>
      <w:r>
        <w:rPr>
          <w:rFonts w:hint="default" w:ascii="仿宋_GB2312" w:hAnsi="仿宋_GB2312" w:eastAsia="仿宋_GB2312" w:cs="仿宋_GB2312"/>
          <w:i w:val="0"/>
          <w:iCs w:val="0"/>
          <w:caps w:val="0"/>
          <w:color w:val="auto"/>
          <w:spacing w:val="0"/>
          <w:sz w:val="32"/>
          <w:szCs w:val="32"/>
          <w:highlight w:val="none"/>
          <w:shd w:val="clear" w:fill="FFFFFF"/>
        </w:rPr>
        <w:t>从决算编报</w:t>
      </w:r>
      <w:r>
        <w:rPr>
          <w:rFonts w:hint="eastAsia" w:ascii="仿宋_GB2312" w:hAnsi="仿宋_GB2312" w:eastAsia="仿宋_GB2312" w:cs="仿宋_GB2312"/>
          <w:i w:val="0"/>
          <w:iCs w:val="0"/>
          <w:caps w:val="0"/>
          <w:color w:val="auto"/>
          <w:spacing w:val="0"/>
          <w:sz w:val="32"/>
          <w:szCs w:val="32"/>
          <w:highlight w:val="none"/>
          <w:shd w:val="clear" w:fill="FFFFFF"/>
          <w:lang w:val="en-US" w:eastAsia="zh-CN"/>
        </w:rPr>
        <w:t>单位</w:t>
      </w:r>
      <w:r>
        <w:rPr>
          <w:rFonts w:hint="default" w:ascii="仿宋_GB2312" w:hAnsi="仿宋_GB2312" w:eastAsia="仿宋_GB2312" w:cs="仿宋_GB2312"/>
          <w:i w:val="0"/>
          <w:iCs w:val="0"/>
          <w:caps w:val="0"/>
          <w:color w:val="auto"/>
          <w:spacing w:val="0"/>
          <w:sz w:val="32"/>
          <w:szCs w:val="32"/>
          <w:highlight w:val="none"/>
          <w:shd w:val="clear" w:fill="FFFFFF"/>
        </w:rPr>
        <w:t>构成看，纳入</w:t>
      </w:r>
      <w:r>
        <w:rPr>
          <w:rFonts w:hint="eastAsia" w:ascii="仿宋_GB2312" w:hAnsi="仿宋_GB2312" w:eastAsia="仿宋_GB2312" w:cs="仿宋_GB2312"/>
          <w:i w:val="0"/>
          <w:iCs w:val="0"/>
          <w:caps w:val="0"/>
          <w:color w:val="auto"/>
          <w:spacing w:val="0"/>
          <w:sz w:val="32"/>
          <w:szCs w:val="32"/>
          <w:highlight w:val="none"/>
          <w:shd w:val="clear" w:fill="FFFFFF"/>
          <w:lang w:val="en-US" w:eastAsia="zh-CN"/>
        </w:rPr>
        <w:t>2023</w:t>
      </w:r>
      <w:r>
        <w:rPr>
          <w:rFonts w:hint="default" w:ascii="仿宋_GB2312" w:hAnsi="仿宋_GB2312" w:eastAsia="仿宋_GB2312" w:cs="仿宋_GB2312"/>
          <w:i w:val="0"/>
          <w:iCs w:val="0"/>
          <w:caps w:val="0"/>
          <w:color w:val="auto"/>
          <w:spacing w:val="0"/>
          <w:sz w:val="32"/>
          <w:szCs w:val="32"/>
          <w:highlight w:val="none"/>
          <w:shd w:val="clear" w:fill="FFFFFF"/>
        </w:rPr>
        <w:t>年度</w:t>
      </w:r>
      <w:r>
        <w:rPr>
          <w:rFonts w:hint="eastAsia" w:ascii="仿宋_GB2312" w:hAnsi="仿宋_GB2312" w:eastAsia="仿宋_GB2312" w:cs="仿宋_GB2312"/>
          <w:i w:val="0"/>
          <w:iCs w:val="0"/>
          <w:caps w:val="0"/>
          <w:color w:val="auto"/>
          <w:spacing w:val="0"/>
          <w:sz w:val="32"/>
          <w:szCs w:val="32"/>
          <w:highlight w:val="none"/>
          <w:shd w:val="clear" w:fill="FFFFFF"/>
          <w:lang w:val="en-US" w:eastAsia="zh-CN"/>
        </w:rPr>
        <w:t>本部门</w:t>
      </w:r>
      <w:r>
        <w:rPr>
          <w:rFonts w:hint="default" w:ascii="仿宋_GB2312" w:hAnsi="仿宋_GB2312" w:eastAsia="仿宋_GB2312" w:cs="仿宋_GB2312"/>
          <w:i w:val="0"/>
          <w:iCs w:val="0"/>
          <w:caps w:val="0"/>
          <w:color w:val="auto"/>
          <w:spacing w:val="0"/>
          <w:sz w:val="32"/>
          <w:szCs w:val="32"/>
          <w:highlight w:val="none"/>
          <w:shd w:val="clear" w:fill="FFFFFF"/>
        </w:rPr>
        <w:t>决算汇编范围的独立核算</w:t>
      </w:r>
      <w:r>
        <w:rPr>
          <w:rFonts w:hint="eastAsia" w:ascii="仿宋_GB2312" w:hAnsi="仿宋_GB2312" w:eastAsia="仿宋_GB2312" w:cs="仿宋_GB2312"/>
          <w:i w:val="0"/>
          <w:iCs w:val="0"/>
          <w:caps w:val="0"/>
          <w:color w:val="auto"/>
          <w:spacing w:val="0"/>
          <w:sz w:val="32"/>
          <w:szCs w:val="32"/>
          <w:highlight w:val="none"/>
          <w:shd w:val="clear" w:fill="FFFFFF"/>
          <w:lang w:val="en-US" w:eastAsia="zh-CN"/>
        </w:rPr>
        <w:t>单位</w:t>
      </w:r>
      <w:r>
        <w:rPr>
          <w:rFonts w:hint="default" w:ascii="仿宋_GB2312" w:hAnsi="仿宋_GB2312" w:eastAsia="仿宋_GB2312" w:cs="仿宋_GB2312"/>
          <w:i w:val="0"/>
          <w:iCs w:val="0"/>
          <w:caps w:val="0"/>
          <w:color w:val="auto"/>
          <w:spacing w:val="0"/>
          <w:sz w:val="32"/>
          <w:szCs w:val="32"/>
          <w:highlight w:val="none"/>
          <w:shd w:val="clear" w:fill="FFFFFF"/>
        </w:rPr>
        <w:t>（以下简称“</w:t>
      </w:r>
      <w:r>
        <w:rPr>
          <w:rFonts w:hint="eastAsia" w:ascii="仿宋_GB2312" w:hAnsi="仿宋_GB2312" w:eastAsia="仿宋_GB2312" w:cs="仿宋_GB2312"/>
          <w:i w:val="0"/>
          <w:iCs w:val="0"/>
          <w:caps w:val="0"/>
          <w:color w:val="auto"/>
          <w:spacing w:val="0"/>
          <w:sz w:val="32"/>
          <w:szCs w:val="32"/>
          <w:highlight w:val="none"/>
          <w:shd w:val="clear" w:fill="FFFFFF"/>
          <w:lang w:val="en-US" w:eastAsia="zh-CN"/>
        </w:rPr>
        <w:t>单位</w:t>
      </w:r>
      <w:r>
        <w:rPr>
          <w:rFonts w:hint="default" w:ascii="仿宋_GB2312" w:hAnsi="仿宋_GB2312" w:eastAsia="仿宋_GB2312" w:cs="仿宋_GB2312"/>
          <w:i w:val="0"/>
          <w:iCs w:val="0"/>
          <w:caps w:val="0"/>
          <w:color w:val="auto"/>
          <w:spacing w:val="0"/>
          <w:sz w:val="32"/>
          <w:szCs w:val="32"/>
          <w:highlight w:val="none"/>
          <w:shd w:val="clear" w:fill="FFFFFF"/>
        </w:rPr>
        <w:t>”）共</w:t>
      </w:r>
      <w:r>
        <w:rPr>
          <w:rFonts w:hint="eastAsia" w:ascii="仿宋_GB2312" w:hAnsi="仿宋_GB2312" w:eastAsia="仿宋_GB2312" w:cs="仿宋_GB2312"/>
          <w:i w:val="0"/>
          <w:iCs w:val="0"/>
          <w:caps w:val="0"/>
          <w:color w:val="auto"/>
          <w:spacing w:val="0"/>
          <w:sz w:val="32"/>
          <w:szCs w:val="32"/>
          <w:highlight w:val="none"/>
          <w:shd w:val="clear" w:fill="FFFFFF"/>
          <w:lang w:val="en-US" w:eastAsia="zh-CN"/>
        </w:rPr>
        <w:t>1</w:t>
      </w:r>
      <w:r>
        <w:rPr>
          <w:rFonts w:hint="default" w:ascii="仿宋_GB2312" w:hAnsi="仿宋_GB2312" w:eastAsia="仿宋_GB2312" w:cs="仿宋_GB2312"/>
          <w:i w:val="0"/>
          <w:iCs w:val="0"/>
          <w:caps w:val="0"/>
          <w:color w:val="auto"/>
          <w:spacing w:val="0"/>
          <w:sz w:val="32"/>
          <w:szCs w:val="32"/>
          <w:highlight w:val="none"/>
          <w:shd w:val="clear" w:fill="FFFFFF"/>
        </w:rPr>
        <w:t>个，</w:t>
      </w:r>
      <w:r>
        <w:rPr>
          <w:rFonts w:hint="eastAsia" w:ascii="仿宋_GB2312" w:hAnsi="仿宋_GB2312" w:eastAsia="仿宋_GB2312" w:cs="仿宋_GB2312"/>
          <w:i w:val="0"/>
          <w:iCs w:val="0"/>
          <w:caps w:val="0"/>
          <w:color w:val="auto"/>
          <w:spacing w:val="0"/>
          <w:sz w:val="32"/>
          <w:szCs w:val="32"/>
          <w:highlight w:val="none"/>
          <w:shd w:val="clear" w:fill="FFFFFF"/>
        </w:rPr>
        <w:t>我部门无二级预算单位，因此，</w:t>
      </w:r>
      <w:r>
        <w:rPr>
          <w:rFonts w:hint="eastAsia" w:ascii="仿宋_GB2312" w:hAnsi="仿宋_GB2312" w:eastAsia="仿宋_GB2312" w:cs="仿宋_GB2312"/>
          <w:i w:val="0"/>
          <w:iCs w:val="0"/>
          <w:caps w:val="0"/>
          <w:color w:val="auto"/>
          <w:spacing w:val="0"/>
          <w:sz w:val="32"/>
          <w:szCs w:val="32"/>
          <w:highlight w:val="none"/>
          <w:shd w:val="clear" w:fill="FFFFFF"/>
          <w:lang w:eastAsia="zh-CN"/>
        </w:rPr>
        <w:t>石家庄市鹿泉区上寨乡人民政府</w:t>
      </w:r>
      <w:r>
        <w:rPr>
          <w:rFonts w:hint="eastAsia" w:ascii="仿宋_GB2312" w:hAnsi="仿宋_GB2312" w:eastAsia="仿宋_GB2312" w:cs="仿宋_GB2312"/>
          <w:i w:val="0"/>
          <w:iCs w:val="0"/>
          <w:caps w:val="0"/>
          <w:color w:val="auto"/>
          <w:spacing w:val="0"/>
          <w:sz w:val="32"/>
          <w:szCs w:val="32"/>
          <w:highlight w:val="none"/>
          <w:shd w:val="clear" w:fill="FFFFFF"/>
        </w:rPr>
        <w:t>2023年度部门决算即</w:t>
      </w:r>
      <w:r>
        <w:rPr>
          <w:rFonts w:hint="eastAsia" w:ascii="仿宋_GB2312" w:hAnsi="仿宋_GB2312" w:eastAsia="仿宋_GB2312" w:cs="仿宋_GB2312"/>
          <w:i w:val="0"/>
          <w:iCs w:val="0"/>
          <w:caps w:val="0"/>
          <w:color w:val="auto"/>
          <w:spacing w:val="0"/>
          <w:sz w:val="32"/>
          <w:szCs w:val="32"/>
          <w:highlight w:val="none"/>
          <w:shd w:val="clear" w:fill="FFFFFF"/>
          <w:lang w:eastAsia="zh-CN"/>
        </w:rPr>
        <w:t>石家庄市鹿泉区上寨乡人民政府</w:t>
      </w:r>
      <w:r>
        <w:rPr>
          <w:rFonts w:hint="eastAsia" w:ascii="仿宋_GB2312" w:hAnsi="仿宋_GB2312" w:eastAsia="仿宋_GB2312" w:cs="仿宋_GB2312"/>
          <w:i w:val="0"/>
          <w:iCs w:val="0"/>
          <w:caps w:val="0"/>
          <w:color w:val="auto"/>
          <w:spacing w:val="0"/>
          <w:sz w:val="32"/>
          <w:szCs w:val="32"/>
          <w:highlight w:val="none"/>
          <w:shd w:val="clear" w:fill="FFFFFF"/>
        </w:rPr>
        <w:t>本级2023年度决算。</w:t>
      </w:r>
      <w:r>
        <w:rPr>
          <w:rFonts w:hint="default" w:ascii="仿宋_GB2312" w:hAnsi="仿宋_GB2312" w:eastAsia="仿宋_GB2312" w:cs="仿宋_GB2312"/>
          <w:i w:val="0"/>
          <w:iCs w:val="0"/>
          <w:caps w:val="0"/>
          <w:color w:val="auto"/>
          <w:spacing w:val="0"/>
          <w:sz w:val="32"/>
          <w:szCs w:val="32"/>
          <w:highlight w:val="none"/>
          <w:shd w:val="clear" w:fill="FFFFFF"/>
        </w:rPr>
        <w:t>具体情况如下：</w:t>
      </w:r>
    </w:p>
    <w:tbl>
      <w:tblPr>
        <w:tblStyle w:val="11"/>
        <w:tblpPr w:leftFromText="180" w:rightFromText="180" w:vertAnchor="text" w:horzAnchor="page" w:tblpXSpec="center" w:tblpY="10"/>
        <w:tblOverlap w:val="never"/>
        <w:tblW w:w="95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3485"/>
        <w:gridCol w:w="2445"/>
        <w:gridCol w:w="266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98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序号</w:t>
            </w:r>
          </w:p>
        </w:tc>
        <w:tc>
          <w:tcPr>
            <w:tcW w:w="348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单位名称</w:t>
            </w:r>
          </w:p>
        </w:tc>
        <w:tc>
          <w:tcPr>
            <w:tcW w:w="244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单位基本性质</w:t>
            </w:r>
          </w:p>
        </w:tc>
        <w:tc>
          <w:tcPr>
            <w:tcW w:w="266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经费形式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1</w:t>
            </w:r>
          </w:p>
        </w:tc>
        <w:tc>
          <w:tcPr>
            <w:tcW w:w="3485" w:type="dxa"/>
          </w:tcPr>
          <w:p>
            <w:pPr>
              <w:spacing w:line="560" w:lineRule="exact"/>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eastAsia="zh-CN"/>
              </w:rPr>
              <w:t>石家庄市鹿泉区上寨乡人民政府</w:t>
            </w:r>
            <w:r>
              <w:rPr>
                <w:rFonts w:hint="eastAsia" w:ascii="仿宋_GB2312" w:hAnsi="Calibri" w:eastAsia="仿宋_GB2312" w:cs="ArialUnicodeMS"/>
                <w:kern w:val="0"/>
                <w:sz w:val="28"/>
                <w:szCs w:val="28"/>
              </w:rPr>
              <w:t>(本级)</w:t>
            </w:r>
          </w:p>
        </w:tc>
        <w:tc>
          <w:tcPr>
            <w:tcW w:w="2445" w:type="dxa"/>
          </w:tcPr>
          <w:p>
            <w:pPr>
              <w:spacing w:line="560" w:lineRule="exact"/>
              <w:jc w:val="center"/>
              <w:rPr>
                <w:rFonts w:hint="eastAsia" w:ascii="仿宋_GB2312" w:hAnsi="Calibri" w:eastAsia="仿宋_GB2312" w:cs="ArialUnicodeMS"/>
                <w:kern w:val="0"/>
                <w:sz w:val="28"/>
                <w:szCs w:val="28"/>
                <w:lang w:eastAsia="zh-CN"/>
              </w:rPr>
            </w:pPr>
            <w:r>
              <w:rPr>
                <w:rFonts w:hint="eastAsia" w:ascii="仿宋_GB2312" w:hAnsi="Calibri" w:eastAsia="仿宋_GB2312" w:cs="ArialUnicodeMS"/>
                <w:kern w:val="0"/>
                <w:sz w:val="28"/>
                <w:szCs w:val="28"/>
                <w:lang w:eastAsia="zh-CN"/>
              </w:rPr>
              <w:t>行政单位</w:t>
            </w:r>
          </w:p>
        </w:tc>
        <w:tc>
          <w:tcPr>
            <w:tcW w:w="2665" w:type="dxa"/>
          </w:tcPr>
          <w:p>
            <w:pPr>
              <w:spacing w:line="560" w:lineRule="exact"/>
              <w:jc w:val="center"/>
              <w:rPr>
                <w:rFonts w:hint="eastAsia" w:ascii="仿宋_GB2312" w:hAnsi="Calibri" w:eastAsia="仿宋_GB2312" w:cs="ArialUnicodeMS"/>
                <w:kern w:val="0"/>
                <w:sz w:val="28"/>
                <w:szCs w:val="28"/>
                <w:lang w:eastAsia="zh-CN"/>
              </w:rPr>
            </w:pPr>
            <w:r>
              <w:rPr>
                <w:rFonts w:hint="eastAsia" w:ascii="仿宋_GB2312" w:hAnsi="Calibri" w:eastAsia="仿宋_GB2312" w:cs="ArialUnicodeMS"/>
                <w:kern w:val="0"/>
                <w:sz w:val="28"/>
                <w:szCs w:val="28"/>
                <w:lang w:eastAsia="zh-CN"/>
              </w:rPr>
              <w:t>财政拨款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6" w:hRule="atLeast"/>
          <w:jc w:val="center"/>
        </w:trPr>
        <w:tc>
          <w:tcPr>
            <w:tcW w:w="9580" w:type="dxa"/>
            <w:gridSpan w:val="4"/>
            <w:tcBorders>
              <w:top w:val="single" w:color="auto" w:sz="4" w:space="0"/>
              <w:left w:val="nil"/>
              <w:bottom w:val="nil"/>
              <w:right w:val="nil"/>
            </w:tcBorders>
          </w:tcPr>
          <w:p>
            <w:pPr>
              <w:spacing w:line="560" w:lineRule="exact"/>
              <w:jc w:val="left"/>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注：1、单位基本性质分为行政单位、参公事业单位、财政补助事业单位、经费自理事业单位四类。</w:t>
            </w:r>
          </w:p>
          <w:p>
            <w:pPr>
              <w:spacing w:line="560" w:lineRule="exact"/>
              <w:ind w:firstLine="560" w:firstLineChars="200"/>
              <w:jc w:val="left"/>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2、经费形式分为财政拨款、财政性资金基本保证、财政性资金定额或定项补助、财政性资金零补助四类。</w:t>
            </w:r>
          </w:p>
        </w:tc>
      </w:tr>
    </w:tbl>
    <w:p>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pPr>
        <w:widowControl/>
        <w:spacing w:after="160" w:line="580" w:lineRule="exact"/>
        <w:ind w:firstLine="640" w:firstLineChars="200"/>
        <w:rPr>
          <w:rFonts w:hint="eastAsia" w:ascii="Times New Roman" w:hAnsi="Times New Roman" w:eastAsia="黑体" w:cs="Times New Roman"/>
          <w:sz w:val="32"/>
          <w:szCs w:val="32"/>
          <w:highlight w:val="yellow"/>
        </w:rPr>
      </w:pPr>
    </w:p>
    <w:p>
      <w:pPr>
        <w:rPr>
          <w:rFonts w:hint="eastAsia" w:ascii="Times New Roman" w:hAnsi="Times New Roman" w:eastAsia="黑体" w:cs="Times New Roman"/>
          <w:sz w:val="32"/>
          <w:szCs w:val="32"/>
          <w:highlight w:val="yellow"/>
        </w:rPr>
      </w:pPr>
      <w:r>
        <w:rPr>
          <w:rFonts w:hint="eastAsia" w:ascii="Times New Roman" w:hAnsi="Times New Roman" w:eastAsia="黑体" w:cs="Times New Roman"/>
          <w:sz w:val="32"/>
          <w:szCs w:val="32"/>
          <w:highlight w:val="yellow"/>
        </w:rPr>
        <w:br w:type="page"/>
      </w:r>
    </w:p>
    <w:p>
      <w:pPr>
        <w:widowControl/>
        <w:spacing w:after="160" w:line="580" w:lineRule="exact"/>
        <w:ind w:firstLine="640" w:firstLineChars="200"/>
        <w:rPr>
          <w:rFonts w:hint="eastAsia" w:ascii="Times New Roman" w:hAnsi="Times New Roman" w:eastAsia="黑体" w:cs="Times New Roman"/>
          <w:sz w:val="32"/>
          <w:szCs w:val="32"/>
          <w:highlight w:val="yellow"/>
        </w:rPr>
      </w:pPr>
    </w:p>
    <w:p>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default" w:ascii="Arial" w:hAnsi="Arial" w:eastAsia="Arial" w:cs="Arial"/>
          <w:i w:val="0"/>
          <w:iCs w:val="0"/>
          <w:caps w:val="0"/>
          <w:color w:val="000000"/>
          <w:spacing w:val="0"/>
          <w:kern w:val="0"/>
          <w:sz w:val="18"/>
          <w:szCs w:val="18"/>
          <w:highlight w:val="none"/>
          <w:shd w:val="clear" w:fill="FFFFFF"/>
          <w:lang w:val="en-US" w:eastAsia="zh-CN" w:bidi="ar"/>
        </w:rPr>
      </w:pP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default" w:ascii="Arial" w:hAnsi="Arial" w:eastAsia="Arial" w:cs="Arial"/>
          <w:highlight w:val="none"/>
        </w:rPr>
      </w:pPr>
      <w:r>
        <w:rPr>
          <w:rFonts w:hint="default" w:ascii="Arial" w:hAnsi="Arial" w:eastAsia="Arial" w:cs="Arial"/>
          <w:i w:val="0"/>
          <w:iCs w:val="0"/>
          <w:caps w:val="0"/>
          <w:color w:val="000000"/>
          <w:spacing w:val="0"/>
          <w:kern w:val="0"/>
          <w:sz w:val="18"/>
          <w:szCs w:val="18"/>
          <w:highlight w:val="none"/>
          <w:shd w:val="clear" w:fill="FFFFFF"/>
          <w:lang w:val="en-US" w:eastAsia="zh-CN" w:bidi="ar"/>
        </w:rPr>
        <w:t> </w:t>
      </w:r>
      <w:r>
        <w:rPr>
          <w:rFonts w:hint="default" w:ascii="Arial" w:hAnsi="Arial" w:eastAsia="Arial" w:cs="Arial"/>
          <w:i w:val="0"/>
          <w:iCs w:val="0"/>
          <w:caps w:val="0"/>
          <w:color w:val="000000"/>
          <w:spacing w:val="0"/>
          <w:sz w:val="18"/>
          <w:szCs w:val="18"/>
          <w:highlight w:val="none"/>
          <w:shd w:val="clear" w:fill="FFFFFF"/>
        </w:rPr>
        <w:t> </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outlineLvl w:val="0"/>
        <w:rPr>
          <w:rFonts w:hint="default" w:ascii="Arial" w:hAnsi="Arial" w:eastAsia="Arial" w:cs="Arial"/>
          <w:highlight w:val="none"/>
        </w:rPr>
      </w:pPr>
      <w:r>
        <w:rPr>
          <w:rFonts w:hint="eastAsia" w:ascii="黑体" w:hAnsi="宋体" w:eastAsia="黑体" w:cs="黑体"/>
          <w:i w:val="0"/>
          <w:iCs w:val="0"/>
          <w:caps w:val="0"/>
          <w:color w:val="000000"/>
          <w:spacing w:val="0"/>
          <w:sz w:val="72"/>
          <w:szCs w:val="72"/>
          <w:highlight w:val="none"/>
          <w:shd w:val="clear" w:fill="FFFFFF"/>
        </w:rPr>
        <w:t>第二部分</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eastAsia" w:ascii="黑体" w:hAnsi="宋体" w:eastAsia="黑体" w:cs="黑体"/>
          <w:i w:val="0"/>
          <w:iCs w:val="0"/>
          <w:caps w:val="0"/>
          <w:color w:val="000000"/>
          <w:spacing w:val="0"/>
          <w:sz w:val="72"/>
          <w:szCs w:val="72"/>
          <w:highlight w:val="none"/>
          <w:shd w:val="clear" w:fill="FFFFFF"/>
          <w:lang w:val="en-US" w:eastAsia="zh-CN"/>
        </w:rPr>
        <w:t>2023</w:t>
      </w:r>
      <w:r>
        <w:rPr>
          <w:rFonts w:hint="eastAsia" w:ascii="黑体" w:hAnsi="宋体" w:eastAsia="黑体" w:cs="黑体"/>
          <w:i w:val="0"/>
          <w:iCs w:val="0"/>
          <w:caps w:val="0"/>
          <w:color w:val="000000"/>
          <w:spacing w:val="0"/>
          <w:sz w:val="72"/>
          <w:szCs w:val="72"/>
          <w:highlight w:val="none"/>
          <w:shd w:val="clear" w:fill="FFFFFF"/>
        </w:rPr>
        <w:t>年</w:t>
      </w:r>
      <w:r>
        <w:rPr>
          <w:rFonts w:hint="eastAsia" w:ascii="黑体" w:hAnsi="宋体" w:eastAsia="黑体" w:cs="黑体"/>
          <w:i w:val="0"/>
          <w:iCs w:val="0"/>
          <w:caps w:val="0"/>
          <w:color w:val="000000"/>
          <w:spacing w:val="0"/>
          <w:sz w:val="72"/>
          <w:szCs w:val="72"/>
          <w:highlight w:val="none"/>
          <w:shd w:val="clear" w:fill="FFFFFF"/>
          <w:lang w:val="en-US" w:eastAsia="zh-CN"/>
        </w:rPr>
        <w:t>度</w:t>
      </w:r>
      <w:r>
        <w:rPr>
          <w:rFonts w:hint="eastAsia" w:ascii="黑体" w:hAnsi="宋体" w:eastAsia="黑体" w:cs="黑体"/>
          <w:i w:val="0"/>
          <w:iCs w:val="0"/>
          <w:caps w:val="0"/>
          <w:color w:val="000000"/>
          <w:spacing w:val="0"/>
          <w:sz w:val="72"/>
          <w:szCs w:val="72"/>
          <w:highlight w:val="none"/>
          <w:shd w:val="clear" w:fill="FFFFFF"/>
        </w:rPr>
        <w:t>部门决算报表</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_GB2312" w:hAnsi="仿宋_GB2312" w:eastAsia="微软雅黑" w:cs="仿宋_GB2312"/>
          <w:i w:val="0"/>
          <w:iCs w:val="0"/>
          <w:caps w:val="0"/>
          <w:color w:val="FF0000"/>
          <w:spacing w:val="0"/>
          <w:sz w:val="33"/>
          <w:szCs w:val="33"/>
          <w:highlight w:val="none"/>
          <w:shd w:val="clear" w:fill="FFFFFF"/>
          <w:lang w:eastAsia="zh-CN"/>
        </w:rPr>
      </w:pPr>
      <w:r>
        <w:rPr>
          <w:rFonts w:ascii="微软雅黑" w:hAnsi="微软雅黑" w:eastAsia="微软雅黑" w:cs="微软雅黑"/>
          <w:i w:val="0"/>
          <w:iCs w:val="0"/>
          <w:caps w:val="0"/>
          <w:color w:val="000000"/>
          <w:spacing w:val="0"/>
          <w:sz w:val="27"/>
          <w:szCs w:val="27"/>
        </w:rPr>
        <w:t>（我部门无二级预算单位，因此，石家庄市鹿泉区</w:t>
      </w:r>
      <w:r>
        <w:rPr>
          <w:rFonts w:hint="eastAsia" w:ascii="微软雅黑" w:hAnsi="微软雅黑" w:eastAsia="微软雅黑" w:cs="微软雅黑"/>
          <w:i w:val="0"/>
          <w:iCs w:val="0"/>
          <w:caps w:val="0"/>
          <w:color w:val="000000"/>
          <w:spacing w:val="0"/>
          <w:sz w:val="27"/>
          <w:szCs w:val="27"/>
          <w:lang w:val="en-US" w:eastAsia="zh-CN"/>
        </w:rPr>
        <w:t>上寨乡</w:t>
      </w:r>
      <w:r>
        <w:rPr>
          <w:rFonts w:ascii="微软雅黑" w:hAnsi="微软雅黑" w:eastAsia="微软雅黑" w:cs="微软雅黑"/>
          <w:i w:val="0"/>
          <w:iCs w:val="0"/>
          <w:caps w:val="0"/>
          <w:color w:val="000000"/>
          <w:spacing w:val="0"/>
          <w:sz w:val="27"/>
          <w:szCs w:val="27"/>
        </w:rPr>
        <w:t>人民政府</w:t>
      </w:r>
      <w:r>
        <w:rPr>
          <w:rFonts w:hint="eastAsia" w:ascii="微软雅黑" w:hAnsi="微软雅黑" w:eastAsia="微软雅黑" w:cs="微软雅黑"/>
          <w:i w:val="0"/>
          <w:iCs w:val="0"/>
          <w:caps w:val="0"/>
          <w:color w:val="000000"/>
          <w:spacing w:val="0"/>
          <w:sz w:val="27"/>
          <w:szCs w:val="27"/>
          <w:lang w:val="en-US" w:eastAsia="zh-CN"/>
        </w:rPr>
        <w:t>2023</w:t>
      </w:r>
      <w:r>
        <w:rPr>
          <w:rFonts w:ascii="微软雅黑" w:hAnsi="微软雅黑" w:eastAsia="微软雅黑" w:cs="微软雅黑"/>
          <w:i w:val="0"/>
          <w:iCs w:val="0"/>
          <w:caps w:val="0"/>
          <w:color w:val="000000"/>
          <w:spacing w:val="0"/>
          <w:sz w:val="27"/>
          <w:szCs w:val="27"/>
        </w:rPr>
        <w:t>年度部门决算即石家庄市鹿泉区</w:t>
      </w:r>
      <w:r>
        <w:rPr>
          <w:rFonts w:hint="eastAsia" w:ascii="微软雅黑" w:hAnsi="微软雅黑" w:eastAsia="微软雅黑" w:cs="微软雅黑"/>
          <w:i w:val="0"/>
          <w:iCs w:val="0"/>
          <w:caps w:val="0"/>
          <w:color w:val="000000"/>
          <w:spacing w:val="0"/>
          <w:sz w:val="27"/>
          <w:szCs w:val="27"/>
          <w:lang w:val="en-US" w:eastAsia="zh-CN"/>
        </w:rPr>
        <w:t>上寨乡</w:t>
      </w:r>
      <w:r>
        <w:rPr>
          <w:rFonts w:ascii="微软雅黑" w:hAnsi="微软雅黑" w:eastAsia="微软雅黑" w:cs="微软雅黑"/>
          <w:i w:val="0"/>
          <w:iCs w:val="0"/>
          <w:caps w:val="0"/>
          <w:color w:val="000000"/>
          <w:spacing w:val="0"/>
          <w:sz w:val="27"/>
          <w:szCs w:val="27"/>
        </w:rPr>
        <w:t>人民政府本级</w:t>
      </w:r>
      <w:r>
        <w:rPr>
          <w:rFonts w:hint="eastAsia" w:ascii="微软雅黑" w:hAnsi="微软雅黑" w:eastAsia="微软雅黑" w:cs="微软雅黑"/>
          <w:i w:val="0"/>
          <w:iCs w:val="0"/>
          <w:caps w:val="0"/>
          <w:color w:val="000000"/>
          <w:spacing w:val="0"/>
          <w:sz w:val="27"/>
          <w:szCs w:val="27"/>
          <w:lang w:val="en-US" w:eastAsia="zh-CN"/>
        </w:rPr>
        <w:t>2023</w:t>
      </w:r>
      <w:r>
        <w:rPr>
          <w:rFonts w:ascii="微软雅黑" w:hAnsi="微软雅黑" w:eastAsia="微软雅黑" w:cs="微软雅黑"/>
          <w:i w:val="0"/>
          <w:iCs w:val="0"/>
          <w:caps w:val="0"/>
          <w:color w:val="000000"/>
          <w:spacing w:val="0"/>
          <w:sz w:val="27"/>
          <w:szCs w:val="27"/>
        </w:rPr>
        <w:t>年度决算</w:t>
      </w:r>
      <w:r>
        <w:rPr>
          <w:rFonts w:hint="eastAsia" w:ascii="微软雅黑" w:hAnsi="微软雅黑" w:eastAsia="微软雅黑" w:cs="微软雅黑"/>
          <w:i w:val="0"/>
          <w:iCs w:val="0"/>
          <w:caps w:val="0"/>
          <w:color w:val="000000"/>
          <w:spacing w:val="0"/>
          <w:sz w:val="27"/>
          <w:szCs w:val="27"/>
          <w:lang w:eastAsia="zh-CN"/>
        </w:rPr>
        <w:t>）</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仿宋_GB2312" w:hAnsi="仿宋_GB2312" w:eastAsia="仿宋_GB2312" w:cs="仿宋_GB2312"/>
          <w:i w:val="0"/>
          <w:iCs w:val="0"/>
          <w:caps w:val="0"/>
          <w:color w:val="FF0000"/>
          <w:spacing w:val="0"/>
          <w:sz w:val="33"/>
          <w:szCs w:val="33"/>
          <w:highlight w:val="none"/>
          <w:shd w:val="clear" w:fill="FFFFFF"/>
        </w:rPr>
        <w:sectPr>
          <w:headerReference r:id="rId7" w:type="default"/>
          <w:pgSz w:w="11906" w:h="16838"/>
          <w:pgMar w:top="1531" w:right="1984" w:bottom="1531" w:left="2098" w:header="851" w:footer="992" w:gutter="0"/>
          <w:cols w:space="720" w:num="1"/>
          <w:docGrid w:type="lines" w:linePitch="312" w:charSpace="0"/>
        </w:sectPr>
      </w:pPr>
    </w:p>
    <w:tbl>
      <w:tblPr>
        <w:tblStyle w:val="11"/>
        <w:tblW w:w="11659" w:type="dxa"/>
        <w:tblInd w:w="-181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3346"/>
        <w:gridCol w:w="624"/>
        <w:gridCol w:w="611"/>
        <w:gridCol w:w="1317"/>
        <w:gridCol w:w="1628"/>
        <w:gridCol w:w="1547"/>
        <w:gridCol w:w="624"/>
        <w:gridCol w:w="1928"/>
        <w:gridCol w:w="34"/>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361" w:hRule="atLeast"/>
        </w:trPr>
        <w:tc>
          <w:tcPr>
            <w:tcW w:w="11625" w:type="dxa"/>
            <w:gridSpan w:val="8"/>
            <w:tcBorders>
              <w:top w:val="nil"/>
              <w:left w:val="nil"/>
              <w:bottom w:val="nil"/>
              <w:right w:val="nil"/>
            </w:tcBorders>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收入支出决算总表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357" w:hRule="atLeast"/>
        </w:trPr>
        <w:tc>
          <w:tcPr>
            <w:tcW w:w="11625" w:type="dxa"/>
            <w:gridSpan w:val="8"/>
            <w:tcBorders>
              <w:top w:val="nil"/>
              <w:left w:val="nil"/>
              <w:bottom w:val="nil"/>
              <w:right w:val="nil"/>
            </w:tcBorders>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公开</w:t>
            </w:r>
            <w:r>
              <w:rPr>
                <w:rFonts w:hint="eastAsia" w:ascii="Times New Roman" w:hAnsi="Times New Roman" w:eastAsia="宋体" w:cs="Times New Roman"/>
                <w:i w:val="0"/>
                <w:iCs w:val="0"/>
                <w:color w:val="000000"/>
                <w:sz w:val="20"/>
                <w:szCs w:val="20"/>
                <w:highlight w:val="none"/>
                <w:u w:val="none"/>
                <w:lang w:val="en-US" w:eastAsia="zh-CN"/>
              </w:rPr>
              <w:t>01</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351" w:hRule="atLeast"/>
        </w:trPr>
        <w:tc>
          <w:tcPr>
            <w:tcW w:w="4581" w:type="dxa"/>
            <w:gridSpan w:val="3"/>
            <w:tcBorders>
              <w:top w:val="nil"/>
              <w:left w:val="nil"/>
              <w:bottom w:val="single" w:color="auto" w:sz="4" w:space="0"/>
              <w:right w:val="nil"/>
            </w:tcBorders>
            <w:noWrap/>
            <w:vAlign w:val="bottom"/>
          </w:tcPr>
          <w:p>
            <w:pPr>
              <w:jc w:val="both"/>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编制部门（单位）：</w:t>
            </w:r>
            <w:r>
              <w:rPr>
                <w:rFonts w:hint="eastAsia" w:ascii="仿宋" w:hAnsi="仿宋" w:eastAsia="仿宋" w:cs="仿宋"/>
                <w:i w:val="0"/>
                <w:iCs w:val="0"/>
                <w:color w:val="000000"/>
                <w:kern w:val="0"/>
                <w:sz w:val="20"/>
                <w:szCs w:val="20"/>
                <w:highlight w:val="none"/>
                <w:u w:val="none"/>
                <w:lang w:val="en-US" w:eastAsia="zh-CN" w:bidi="ar"/>
              </w:rPr>
              <w:t>石家庄市鹿泉区上寨乡人民政府(本级)</w:t>
            </w:r>
          </w:p>
        </w:tc>
        <w:tc>
          <w:tcPr>
            <w:tcW w:w="2945" w:type="dxa"/>
            <w:gridSpan w:val="2"/>
            <w:tcBorders>
              <w:top w:val="nil"/>
              <w:left w:val="nil"/>
              <w:bottom w:val="single" w:color="auto" w:sz="4" w:space="0"/>
              <w:right w:val="nil"/>
            </w:tcBorders>
            <w:noWrap/>
            <w:vAlign w:val="bottom"/>
          </w:tcPr>
          <w:p>
            <w:pPr>
              <w:jc w:val="center"/>
              <w:rPr>
                <w:rFonts w:hint="default" w:ascii="宋体" w:hAnsi="宋体" w:eastAsia="宋体" w:cs="宋体"/>
                <w:i w:val="0"/>
                <w:iCs w:val="0"/>
                <w:color w:val="000000"/>
                <w:kern w:val="0"/>
                <w:sz w:val="20"/>
                <w:szCs w:val="20"/>
                <w:highlight w:val="none"/>
                <w:u w:val="none"/>
                <w:lang w:val="en-US" w:eastAsia="zh-CN" w:bidi="ar"/>
              </w:rPr>
            </w:pPr>
            <w:r>
              <w:rPr>
                <w:rFonts w:hint="eastAsia" w:ascii="Times New Roman" w:hAnsi="Times New Roman" w:eastAsia="宋体" w:cs="Times New Roman"/>
                <w:i w:val="0"/>
                <w:iCs w:val="0"/>
                <w:color w:val="000000"/>
                <w:sz w:val="20"/>
                <w:szCs w:val="20"/>
                <w:highlight w:val="none"/>
                <w:u w:val="none"/>
                <w:lang w:val="en-US" w:eastAsia="zh-CN"/>
              </w:rPr>
              <w:t>2023</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4099" w:type="dxa"/>
            <w:gridSpan w:val="3"/>
            <w:tcBorders>
              <w:top w:val="nil"/>
              <w:left w:val="nil"/>
              <w:bottom w:val="single" w:color="auto" w:sz="4" w:space="0"/>
              <w:right w:val="nil"/>
            </w:tcBorders>
            <w:noWrap/>
            <w:vAlign w:val="bottom"/>
          </w:tcPr>
          <w:p>
            <w:pPr>
              <w:jc w:val="right"/>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544" w:hRule="atLeast"/>
        </w:trPr>
        <w:tc>
          <w:tcPr>
            <w:tcW w:w="5898" w:type="dxa"/>
            <w:gridSpan w:val="4"/>
            <w:tcBorders>
              <w:top w:val="single" w:color="auto"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收入</w:t>
            </w:r>
          </w:p>
        </w:tc>
        <w:tc>
          <w:tcPr>
            <w:tcW w:w="5727" w:type="dxa"/>
            <w:gridSpan w:val="4"/>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308" w:hRule="atLeast"/>
        </w:trPr>
        <w:tc>
          <w:tcPr>
            <w:tcW w:w="3346"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1928"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决算数</w:t>
            </w: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1928"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决算数</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624" w:type="dxa"/>
            <w:tcBorders>
              <w:top w:val="nil"/>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0"/>
                <w:szCs w:val="20"/>
                <w:highlight w:val="none"/>
                <w:u w:val="none"/>
              </w:rPr>
            </w:pPr>
          </w:p>
        </w:tc>
        <w:tc>
          <w:tcPr>
            <w:tcW w:w="1928"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Times New Roman" w:hAnsi="Times New Roman" w:eastAsia="宋体" w:cs="Times New Roman"/>
                <w:i w:val="0"/>
                <w:iCs w:val="0"/>
                <w:color w:val="000000"/>
                <w:sz w:val="20"/>
                <w:szCs w:val="20"/>
                <w:highlight w:val="none"/>
                <w:u w:val="none"/>
                <w:lang w:val="en-US" w:eastAsia="zh-CN"/>
              </w:rPr>
              <w:t>1</w:t>
            </w: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624" w:type="dxa"/>
            <w:tcBorders>
              <w:top w:val="nil"/>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0"/>
                <w:szCs w:val="20"/>
                <w:highlight w:val="none"/>
                <w:u w:val="none"/>
              </w:rPr>
            </w:pPr>
          </w:p>
        </w:tc>
        <w:tc>
          <w:tcPr>
            <w:tcW w:w="1928"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Times New Roman" w:hAnsi="Times New Roman" w:eastAsia="宋体" w:cs="Times New Roman"/>
                <w:i w:val="0"/>
                <w:iCs w:val="0"/>
                <w:color w:val="000000"/>
                <w:sz w:val="20"/>
                <w:szCs w:val="20"/>
                <w:highlight w:val="none"/>
                <w:u w:val="none"/>
                <w:lang w:val="en-US" w:eastAsia="zh-CN"/>
              </w:rPr>
              <w:t>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一、一般公共预算财政拨款收入</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宋体" w:hAnsi="宋体" w:eastAsia="宋体" w:cs="宋体"/>
                <w:i w:val="0"/>
                <w:iCs w:val="0"/>
                <w:color w:val="000000"/>
                <w:sz w:val="20"/>
                <w:szCs w:val="20"/>
                <w:highlight w:val="none"/>
                <w:u w:val="none"/>
                <w:lang w:val="en-US" w:eastAsia="zh-CN"/>
              </w:rPr>
              <w:t>1</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1,635.99</w:t>
            </w: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一、一般公共服务支出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32</w:t>
            </w:r>
          </w:p>
        </w:tc>
        <w:tc>
          <w:tcPr>
            <w:tcW w:w="19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899.15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二、政府性基金预算财政拨款收入</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35.00</w:t>
            </w: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二、外交支出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33</w:t>
            </w:r>
          </w:p>
        </w:tc>
        <w:tc>
          <w:tcPr>
            <w:tcW w:w="19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三、国有资本经营预算财政拨款收入</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三、国防支出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34</w:t>
            </w:r>
          </w:p>
        </w:tc>
        <w:tc>
          <w:tcPr>
            <w:tcW w:w="19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四、上级补助收入</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四、公共安全支出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35</w:t>
            </w:r>
          </w:p>
        </w:tc>
        <w:tc>
          <w:tcPr>
            <w:tcW w:w="19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五、事业收入</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五、教育支出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36</w:t>
            </w:r>
          </w:p>
        </w:tc>
        <w:tc>
          <w:tcPr>
            <w:tcW w:w="19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73.44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六、经营收入</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六、科学技术支出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37</w:t>
            </w:r>
          </w:p>
        </w:tc>
        <w:tc>
          <w:tcPr>
            <w:tcW w:w="19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七、附属单位上缴收入</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7</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七、文化旅游体育与传媒支出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38</w:t>
            </w:r>
          </w:p>
        </w:tc>
        <w:tc>
          <w:tcPr>
            <w:tcW w:w="19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1.50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八、其他收入</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8</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八、社会保障和就业支出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39</w:t>
            </w:r>
          </w:p>
        </w:tc>
        <w:tc>
          <w:tcPr>
            <w:tcW w:w="19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101.46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9</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九、卫生健康支出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40</w:t>
            </w:r>
          </w:p>
        </w:tc>
        <w:tc>
          <w:tcPr>
            <w:tcW w:w="19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51.02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10</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十、节能环保支出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41</w:t>
            </w:r>
          </w:p>
        </w:tc>
        <w:tc>
          <w:tcPr>
            <w:tcW w:w="19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11</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十一、城乡社区支出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42</w:t>
            </w:r>
          </w:p>
        </w:tc>
        <w:tc>
          <w:tcPr>
            <w:tcW w:w="19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438.03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12</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十二、农林水支出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43</w:t>
            </w:r>
          </w:p>
        </w:tc>
        <w:tc>
          <w:tcPr>
            <w:tcW w:w="19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30.50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13</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十三、交通运输支出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44</w:t>
            </w:r>
          </w:p>
        </w:tc>
        <w:tc>
          <w:tcPr>
            <w:tcW w:w="19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auto"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auto"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14</w:t>
            </w:r>
          </w:p>
        </w:tc>
        <w:tc>
          <w:tcPr>
            <w:tcW w:w="1928" w:type="dxa"/>
            <w:gridSpan w:val="2"/>
            <w:tcBorders>
              <w:top w:val="nil"/>
              <w:left w:val="nil"/>
              <w:bottom w:val="single" w:color="auto"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auto"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十四、资源勘探工业信息等支出</w:t>
            </w:r>
          </w:p>
        </w:tc>
        <w:tc>
          <w:tcPr>
            <w:tcW w:w="624" w:type="dxa"/>
            <w:tcBorders>
              <w:top w:val="nil"/>
              <w:left w:val="nil"/>
              <w:bottom w:val="single" w:color="auto"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45</w:t>
            </w:r>
          </w:p>
        </w:tc>
        <w:tc>
          <w:tcPr>
            <w:tcW w:w="1928" w:type="dxa"/>
            <w:tcBorders>
              <w:top w:val="nil"/>
              <w:left w:val="nil"/>
              <w:bottom w:val="single" w:color="auto"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15</w:t>
            </w:r>
          </w:p>
        </w:tc>
        <w:tc>
          <w:tcPr>
            <w:tcW w:w="1928"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十五、商业服务业等支出</w:t>
            </w: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46</w:t>
            </w:r>
          </w:p>
        </w:tc>
        <w:tc>
          <w:tcPr>
            <w:tcW w:w="1928"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16</w:t>
            </w:r>
          </w:p>
        </w:tc>
        <w:tc>
          <w:tcPr>
            <w:tcW w:w="1928"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十六、金融支出</w:t>
            </w: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47</w:t>
            </w:r>
          </w:p>
        </w:tc>
        <w:tc>
          <w:tcPr>
            <w:tcW w:w="1928"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17</w:t>
            </w:r>
          </w:p>
        </w:tc>
        <w:tc>
          <w:tcPr>
            <w:tcW w:w="1928"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十七、援助其他地区支出</w:t>
            </w: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48</w:t>
            </w:r>
          </w:p>
        </w:tc>
        <w:tc>
          <w:tcPr>
            <w:tcW w:w="1928"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18</w:t>
            </w:r>
          </w:p>
        </w:tc>
        <w:tc>
          <w:tcPr>
            <w:tcW w:w="1928"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十八、自然资源海洋气象等支出</w:t>
            </w: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49</w:t>
            </w:r>
          </w:p>
        </w:tc>
        <w:tc>
          <w:tcPr>
            <w:tcW w:w="1928"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19</w:t>
            </w:r>
          </w:p>
        </w:tc>
        <w:tc>
          <w:tcPr>
            <w:tcW w:w="1928"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十九、住房保障支出</w:t>
            </w: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50</w:t>
            </w:r>
          </w:p>
        </w:tc>
        <w:tc>
          <w:tcPr>
            <w:tcW w:w="1928"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75.88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20</w:t>
            </w:r>
          </w:p>
        </w:tc>
        <w:tc>
          <w:tcPr>
            <w:tcW w:w="1928"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二十、粮油物资储备支出</w:t>
            </w: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51</w:t>
            </w:r>
          </w:p>
        </w:tc>
        <w:tc>
          <w:tcPr>
            <w:tcW w:w="1928"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single" w:color="auto" w:sz="4" w:space="0"/>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21</w:t>
            </w:r>
          </w:p>
        </w:tc>
        <w:tc>
          <w:tcPr>
            <w:tcW w:w="1928" w:type="dxa"/>
            <w:gridSpan w:val="2"/>
            <w:tcBorders>
              <w:top w:val="single" w:color="auto" w:sz="4" w:space="0"/>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二十一、国有资本经营预算支出</w:t>
            </w:r>
          </w:p>
        </w:tc>
        <w:tc>
          <w:tcPr>
            <w:tcW w:w="624" w:type="dxa"/>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52</w:t>
            </w:r>
          </w:p>
        </w:tc>
        <w:tc>
          <w:tcPr>
            <w:tcW w:w="1928" w:type="dxa"/>
            <w:tcBorders>
              <w:top w:val="single" w:color="auto" w:sz="4" w:space="0"/>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22</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二十二、灾害防治及应急管理支出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53</w:t>
            </w:r>
          </w:p>
        </w:tc>
        <w:tc>
          <w:tcPr>
            <w:tcW w:w="19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23</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二十三、其他支出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54</w:t>
            </w:r>
          </w:p>
        </w:tc>
        <w:tc>
          <w:tcPr>
            <w:tcW w:w="19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24</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二十四、债务还本支出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55</w:t>
            </w:r>
          </w:p>
        </w:tc>
        <w:tc>
          <w:tcPr>
            <w:tcW w:w="19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25</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二十五、债务付息支出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56</w:t>
            </w:r>
          </w:p>
        </w:tc>
        <w:tc>
          <w:tcPr>
            <w:tcW w:w="19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26</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二十六、抗疫特别国债安排的支出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57</w:t>
            </w:r>
          </w:p>
        </w:tc>
        <w:tc>
          <w:tcPr>
            <w:tcW w:w="19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本年收入合计</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27</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1,670.99</w:t>
            </w: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本年支出合计</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58</w:t>
            </w:r>
          </w:p>
        </w:tc>
        <w:tc>
          <w:tcPr>
            <w:tcW w:w="19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1,670.99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使用非财政拨款结余（含专用结余）</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28</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结余分配</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59</w:t>
            </w:r>
          </w:p>
        </w:tc>
        <w:tc>
          <w:tcPr>
            <w:tcW w:w="19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年初结转和结余</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29</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年末结转和结余</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60</w:t>
            </w:r>
          </w:p>
        </w:tc>
        <w:tc>
          <w:tcPr>
            <w:tcW w:w="19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30</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61</w:t>
            </w:r>
          </w:p>
        </w:tc>
        <w:tc>
          <w:tcPr>
            <w:tcW w:w="19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308" w:hRule="atLeast"/>
        </w:trPr>
        <w:tc>
          <w:tcPr>
            <w:tcW w:w="3346"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31</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1,670.99</w:t>
            </w: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62</w:t>
            </w:r>
          </w:p>
        </w:tc>
        <w:tc>
          <w:tcPr>
            <w:tcW w:w="19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1,670.99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1659" w:type="dxa"/>
            <w:gridSpan w:val="9"/>
            <w:tcBorders>
              <w:top w:val="nil"/>
              <w:left w:val="nil"/>
              <w:bottom w:val="nil"/>
              <w:right w:val="nil"/>
            </w:tcBorders>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注：1.本表反映部门本年度的总收支和年末结转结余情况。2.本套报表金额转换时可能存在尾数误差。</w:t>
            </w:r>
          </w:p>
        </w:tc>
      </w:tr>
    </w:tbl>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t>备注：无内容应公开空表并说明情况。</w:t>
      </w:r>
    </w:p>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p>
      <w:pPr>
        <w:keepNext w:val="0"/>
        <w:keepLines w:val="0"/>
        <w:widowControl/>
        <w:suppressLineNumbers w:val="0"/>
        <w:jc w:val="center"/>
        <w:textAlignment w:val="bottom"/>
        <w:rPr>
          <w:rFonts w:hint="eastAsia" w:ascii="黑体" w:hAnsi="黑体" w:eastAsia="黑体" w:cs="宋体"/>
          <w:bCs/>
          <w:kern w:val="0"/>
          <w:sz w:val="32"/>
          <w:szCs w:val="32"/>
          <w:highlight w:val="none"/>
        </w:rPr>
      </w:pPr>
    </w:p>
    <w:tbl>
      <w:tblPr>
        <w:tblStyle w:val="11"/>
        <w:tblW w:w="9230"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040"/>
        <w:gridCol w:w="1160"/>
        <w:gridCol w:w="1037"/>
        <w:gridCol w:w="1037"/>
        <w:gridCol w:w="1037"/>
        <w:gridCol w:w="964"/>
        <w:gridCol w:w="367"/>
        <w:gridCol w:w="597"/>
        <w:gridCol w:w="1027"/>
        <w:gridCol w:w="964"/>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jc w:val="center"/>
        </w:trPr>
        <w:tc>
          <w:tcPr>
            <w:tcW w:w="9230" w:type="dxa"/>
            <w:gridSpan w:val="10"/>
            <w:tcBorders>
              <w:top w:val="nil"/>
              <w:left w:val="nil"/>
              <w:bottom w:val="nil"/>
              <w:right w:val="nil"/>
            </w:tcBorders>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收入决算表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9230" w:type="dxa"/>
            <w:gridSpan w:val="10"/>
            <w:tcBorders>
              <w:top w:val="nil"/>
              <w:left w:val="nil"/>
              <w:bottom w:val="nil"/>
              <w:right w:val="nil"/>
            </w:tcBorders>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eastAsia" w:ascii="Times New Roman" w:hAnsi="Times New Roman" w:eastAsia="宋体" w:cs="Times New Roman"/>
                <w:i w:val="0"/>
                <w:iCs w:val="0"/>
                <w:color w:val="000000"/>
                <w:sz w:val="20"/>
                <w:szCs w:val="20"/>
                <w:highlight w:val="none"/>
                <w:u w:val="none"/>
                <w:lang w:val="en-US" w:eastAsia="zh-CN"/>
              </w:rPr>
              <w:t>02</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3237" w:type="dxa"/>
            <w:gridSpan w:val="3"/>
            <w:tcBorders>
              <w:top w:val="nil"/>
              <w:left w:val="nil"/>
              <w:bottom w:val="single" w:color="auto" w:sz="4" w:space="0"/>
              <w:right w:val="nil"/>
            </w:tcBorders>
            <w:noWrap/>
            <w:vAlign w:val="bottom"/>
          </w:tcPr>
          <w:p>
            <w:pP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编制部门（单位）：</w:t>
            </w:r>
            <w:r>
              <w:rPr>
                <w:rFonts w:hint="eastAsia" w:ascii="仿宋" w:hAnsi="仿宋" w:eastAsia="仿宋" w:cs="仿宋"/>
                <w:i w:val="0"/>
                <w:iCs w:val="0"/>
                <w:color w:val="000000"/>
                <w:kern w:val="0"/>
                <w:sz w:val="20"/>
                <w:szCs w:val="20"/>
                <w:highlight w:val="none"/>
                <w:u w:val="none"/>
                <w:lang w:val="en-US" w:eastAsia="zh-CN" w:bidi="ar"/>
              </w:rPr>
              <w:t xml:space="preserve">石家庄市鹿泉区上寨乡人民政府(本级) </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w:t>
            </w:r>
          </w:p>
        </w:tc>
        <w:tc>
          <w:tcPr>
            <w:tcW w:w="3405" w:type="dxa"/>
            <w:gridSpan w:val="4"/>
            <w:tcBorders>
              <w:top w:val="nil"/>
              <w:left w:val="nil"/>
              <w:bottom w:val="single" w:color="auto" w:sz="4" w:space="0"/>
              <w:right w:val="nil"/>
            </w:tcBorders>
            <w:noWrap/>
            <w:vAlign w:val="bottom"/>
          </w:tcPr>
          <w:p>
            <w:pPr>
              <w:jc w:val="cente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default" w:ascii="Times New Roman" w:hAnsi="Times New Roman" w:eastAsia="方正仿宋_GB2312" w:cs="Times New Roman"/>
                <w:i w:val="0"/>
                <w:iCs w:val="0"/>
                <w:color w:val="000000"/>
                <w:sz w:val="20"/>
                <w:szCs w:val="20"/>
                <w:highlight w:val="none"/>
                <w:u w:val="none"/>
                <w:lang w:val="en-US" w:eastAsia="zh-CN"/>
              </w:rPr>
              <w:t>2023</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2588" w:type="dxa"/>
            <w:gridSpan w:val="3"/>
            <w:tcBorders>
              <w:top w:val="nil"/>
              <w:left w:val="nil"/>
              <w:bottom w:val="single" w:color="auto" w:sz="4" w:space="0"/>
              <w:right w:val="nil"/>
            </w:tcBorders>
            <w:noWrap/>
            <w:vAlign w:val="bottom"/>
          </w:tcPr>
          <w:p>
            <w:pPr>
              <w:jc w:val="right"/>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jc w:val="center"/>
        </w:trPr>
        <w:tc>
          <w:tcPr>
            <w:tcW w:w="2200" w:type="dxa"/>
            <w:gridSpan w:val="2"/>
            <w:tcBorders>
              <w:top w:val="single" w:color="auto"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1037" w:type="dxa"/>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本年收入合计</w:t>
            </w:r>
          </w:p>
        </w:tc>
        <w:tc>
          <w:tcPr>
            <w:tcW w:w="1037" w:type="dxa"/>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财政拨款收入</w:t>
            </w:r>
          </w:p>
        </w:tc>
        <w:tc>
          <w:tcPr>
            <w:tcW w:w="1037" w:type="dxa"/>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上级补助收入</w:t>
            </w:r>
          </w:p>
        </w:tc>
        <w:tc>
          <w:tcPr>
            <w:tcW w:w="964" w:type="dxa"/>
            <w:vMerge w:val="restart"/>
            <w:tcBorders>
              <w:top w:val="single" w:color="auto" w:sz="4" w:space="0"/>
              <w:left w:val="nil"/>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事业收入</w:t>
            </w:r>
          </w:p>
        </w:tc>
        <w:tc>
          <w:tcPr>
            <w:tcW w:w="964" w:type="dxa"/>
            <w:gridSpan w:val="2"/>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经营收入</w:t>
            </w:r>
          </w:p>
        </w:tc>
        <w:tc>
          <w:tcPr>
            <w:tcW w:w="1027" w:type="dxa"/>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附属单位上缴收入</w:t>
            </w:r>
          </w:p>
        </w:tc>
        <w:tc>
          <w:tcPr>
            <w:tcW w:w="964" w:type="dxa"/>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其他收入</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40" w:type="dxa"/>
            <w:vMerge w:val="restart"/>
            <w:tcBorders>
              <w:top w:val="nil"/>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1160" w:type="dxa"/>
            <w:vMerge w:val="restar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103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40" w:type="dxa"/>
            <w:vMerge w:val="continue"/>
            <w:tcBorders>
              <w:top w:val="nil"/>
              <w:left w:val="single" w:color="000000" w:sz="4" w:space="0"/>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60" w:type="dxa"/>
            <w:vMerge w:val="continue"/>
            <w:tcBorders>
              <w:top w:val="nil"/>
              <w:left w:val="nil"/>
              <w:bottom w:val="single" w:color="000000" w:sz="4" w:space="0"/>
              <w:right w:val="single" w:color="000000" w:sz="4" w:space="0"/>
            </w:tcBorders>
            <w:noWrap/>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40" w:type="dxa"/>
            <w:vMerge w:val="continue"/>
            <w:tcBorders>
              <w:top w:val="nil"/>
              <w:left w:val="single" w:color="000000" w:sz="4" w:space="0"/>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60" w:type="dxa"/>
            <w:vMerge w:val="continue"/>
            <w:tcBorders>
              <w:top w:val="nil"/>
              <w:left w:val="nil"/>
              <w:bottom w:val="single" w:color="000000" w:sz="4" w:space="0"/>
              <w:right w:val="single" w:color="000000" w:sz="4" w:space="0"/>
            </w:tcBorders>
            <w:noWrap/>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jc w:val="center"/>
        </w:trPr>
        <w:tc>
          <w:tcPr>
            <w:tcW w:w="2200" w:type="dxa"/>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1037" w:type="dxa"/>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1037" w:type="dxa"/>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w:t>
            </w:r>
          </w:p>
        </w:tc>
        <w:tc>
          <w:tcPr>
            <w:tcW w:w="1037" w:type="dxa"/>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w:t>
            </w:r>
          </w:p>
        </w:tc>
        <w:tc>
          <w:tcPr>
            <w:tcW w:w="964" w:type="dxa"/>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4</w:t>
            </w:r>
          </w:p>
        </w:tc>
        <w:tc>
          <w:tcPr>
            <w:tcW w:w="964" w:type="dxa"/>
            <w:gridSpan w:val="2"/>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5</w:t>
            </w:r>
          </w:p>
        </w:tc>
        <w:tc>
          <w:tcPr>
            <w:tcW w:w="1027" w:type="dxa"/>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6</w:t>
            </w:r>
          </w:p>
        </w:tc>
        <w:tc>
          <w:tcPr>
            <w:tcW w:w="964" w:type="dxa"/>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jc w:val="center"/>
        </w:trPr>
        <w:tc>
          <w:tcPr>
            <w:tcW w:w="2200" w:type="dxa"/>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1,670.99</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1,670.99</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201</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一般公共服务支出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899.15</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899.15</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20103</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政府办公厅（室）及相关机构事务</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899.15</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899.15</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2010301</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行政运行</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717.59</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717.59</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2010302</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一般行政管理事务</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181.56</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181.56</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205</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教育支出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73.44</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73.44</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20502</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普通教育</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73.44</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73.44</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2050202</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小学教育</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73.44</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73.44</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207</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文化旅游体育与传媒支出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1.50</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1.50</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20701</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文化和旅游</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1.50</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1.50</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2070109</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群众文化</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1.50</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1.50</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社会保障和就业支出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101.46</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101.46</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20805</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行政事业单位养老支出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89.40</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89.40</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2080501</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行政单位离退休</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9.40</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9.40</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2080505</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机关事业单位基本养老保险缴费支出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80.00</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80.00</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20809</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退役安置</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12.06</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12.06</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2080901</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退役士兵安置</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12.06</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12.06</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卫生健康支出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51.02</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51.02</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21011</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行政事业单位医疗</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51.02</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51.02</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2101101</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行政单位医疗</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51.02</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51.02</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212</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城乡社区支出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438.03</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438.03</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21201</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城乡社区管理事务</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7.68</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7.68</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2120104</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城管执法</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7.68</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7.68</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21202</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城乡社区规划与管理</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67.95</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67.95</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2120201</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城乡社区规划与管理</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67.95</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67.95</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21203</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城乡社区公共设施</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188.04</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188.04</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2120303</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小城镇基础设施建设</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188.04</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188.04</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21205</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城乡社区环境卫生</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139.37</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139.37</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2120501</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城乡社区环境卫生</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139.37</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139.37</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21208</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国有土地使用权出让收入安排的支出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35.00</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35.00</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2120804</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农村基础设施建设支出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35.00</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35.00</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213</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农林水支出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30.50</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30.50</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21303</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水利</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30.50</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30.50</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2130304</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水利行业业务管理</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15.00</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15.00</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2130314</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防汛</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15.50</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15.50</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221</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住房保障支出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75.88</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75.88</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22102</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住房改革支出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75.88</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75.88</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2210201</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住房公积金</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75.88</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75.88</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9230" w:type="dxa"/>
            <w:gridSpan w:val="10"/>
            <w:tcBorders>
              <w:top w:val="nil"/>
              <w:left w:val="nil"/>
              <w:bottom w:val="nil"/>
              <w:right w:val="nil"/>
            </w:tcBorders>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注：本表反映部门本年度取得的各项收入情况。</w:t>
            </w:r>
          </w:p>
        </w:tc>
      </w:tr>
    </w:tbl>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t>备注：无内容应公开空表并说明情况。</w:t>
      </w:r>
    </w:p>
    <w:p>
      <w:pPr>
        <w:rPr>
          <w:rFonts w:hint="eastAsia" w:ascii="黑体" w:hAnsi="黑体" w:eastAsia="黑体" w:cs="宋体"/>
          <w:bCs/>
          <w:kern w:val="0"/>
          <w:sz w:val="32"/>
          <w:szCs w:val="32"/>
          <w:highlight w:val="none"/>
        </w:rPr>
      </w:pPr>
      <w:r>
        <w:rPr>
          <w:rFonts w:hint="eastAsia" w:ascii="仿宋_GB2312" w:hAnsi="宋体" w:eastAsia="仿宋_GB2312"/>
          <w:b/>
          <w:color w:val="auto"/>
          <w:kern w:val="0"/>
          <w:sz w:val="32"/>
          <w:szCs w:val="32"/>
          <w:highlight w:val="none"/>
        </w:rPr>
        <w:br w:type="page"/>
      </w:r>
    </w:p>
    <w:p>
      <w:pPr>
        <w:keepNext w:val="0"/>
        <w:keepLines w:val="0"/>
        <w:widowControl/>
        <w:suppressLineNumbers w:val="0"/>
        <w:jc w:val="center"/>
        <w:textAlignment w:val="bottom"/>
        <w:rPr>
          <w:rFonts w:hint="eastAsia" w:ascii="宋体" w:hAnsi="宋体" w:eastAsia="宋体" w:cs="宋体"/>
          <w:spacing w:val="-2"/>
          <w:sz w:val="20"/>
          <w:highlight w:val="none"/>
          <w:lang w:val="en-US" w:eastAsia="zh-CN"/>
        </w:rPr>
      </w:pPr>
    </w:p>
    <w:tbl>
      <w:tblPr>
        <w:tblStyle w:val="11"/>
        <w:tblW w:w="9346"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040"/>
        <w:gridCol w:w="1187"/>
        <w:gridCol w:w="1128"/>
        <w:gridCol w:w="126"/>
        <w:gridCol w:w="1000"/>
        <w:gridCol w:w="1126"/>
        <w:gridCol w:w="497"/>
        <w:gridCol w:w="629"/>
        <w:gridCol w:w="1126"/>
        <w:gridCol w:w="1487"/>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jc w:val="center"/>
        </w:trPr>
        <w:tc>
          <w:tcPr>
            <w:tcW w:w="9346" w:type="dxa"/>
            <w:gridSpan w:val="10"/>
            <w:tcBorders>
              <w:top w:val="nil"/>
              <w:left w:val="nil"/>
              <w:bottom w:val="nil"/>
              <w:right w:val="nil"/>
            </w:tcBorders>
            <w:noWrap/>
            <w:vAlign w:val="bottom"/>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outlineLvl w:val="1"/>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br w:type="page"/>
            </w:r>
            <w:r>
              <w:rPr>
                <w:rFonts w:hint="eastAsia" w:ascii="方正仿宋_GB2312" w:hAnsi="方正仿宋_GB2312" w:eastAsia="方正仿宋_GB2312" w:cs="方正仿宋_GB2312"/>
                <w:b w:val="0"/>
                <w:bCs/>
                <w:color w:val="auto"/>
                <w:kern w:val="0"/>
                <w:sz w:val="32"/>
                <w:szCs w:val="32"/>
                <w:highlight w:val="none"/>
                <w:lang w:val="en-US" w:eastAsia="zh-CN"/>
              </w:rPr>
              <w:t>支出决算表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9346" w:type="dxa"/>
            <w:gridSpan w:val="10"/>
            <w:tcBorders>
              <w:top w:val="nil"/>
              <w:left w:val="nil"/>
              <w:bottom w:val="nil"/>
              <w:right w:val="nil"/>
            </w:tcBorders>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宋体" w:cs="Times New Roman"/>
                <w:i w:val="0"/>
                <w:iCs w:val="0"/>
                <w:color w:val="000000"/>
                <w:kern w:val="0"/>
                <w:sz w:val="20"/>
                <w:szCs w:val="20"/>
                <w:highlight w:val="none"/>
                <w:u w:val="none"/>
                <w:lang w:val="en-US" w:eastAsia="zh-CN" w:bidi="ar"/>
              </w:rPr>
              <w:t>03</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3481" w:type="dxa"/>
            <w:gridSpan w:val="4"/>
            <w:tcBorders>
              <w:top w:val="nil"/>
              <w:left w:val="nil"/>
              <w:bottom w:val="single" w:color="auto" w:sz="4" w:space="0"/>
              <w:right w:val="nil"/>
            </w:tcBorders>
            <w:noWrap/>
            <w:vAlign w:val="bottom"/>
          </w:tcPr>
          <w:p>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编制部门（单位）：</w:t>
            </w:r>
            <w:r>
              <w:rPr>
                <w:rFonts w:hint="eastAsia" w:ascii="仿宋" w:hAnsi="仿宋" w:eastAsia="仿宋" w:cs="仿宋"/>
                <w:i w:val="0"/>
                <w:iCs w:val="0"/>
                <w:color w:val="000000"/>
                <w:kern w:val="0"/>
                <w:sz w:val="20"/>
                <w:szCs w:val="20"/>
                <w:highlight w:val="none"/>
                <w:u w:val="none"/>
                <w:lang w:val="en-US" w:eastAsia="zh-CN" w:bidi="ar"/>
              </w:rPr>
              <w:t xml:space="preserve">石家庄市鹿泉区上寨乡人民政府(本级)        </w:t>
            </w:r>
            <w:r>
              <w:rPr>
                <w:rFonts w:hint="eastAsia" w:asciiTheme="minorEastAsia" w:hAnsiTheme="minorEastAsia" w:eastAsiaTheme="minorEastAsia" w:cstheme="minorEastAsia"/>
                <w:i w:val="0"/>
                <w:iCs w:val="0"/>
                <w:color w:val="000000"/>
                <w:kern w:val="0"/>
                <w:sz w:val="20"/>
                <w:szCs w:val="20"/>
                <w:highlight w:val="none"/>
                <w:u w:val="none"/>
                <w:lang w:val="en-US" w:eastAsia="zh-CN" w:bidi="ar"/>
              </w:rPr>
              <w:t xml:space="preserve">                                                                                                  </w:t>
            </w:r>
          </w:p>
        </w:tc>
        <w:tc>
          <w:tcPr>
            <w:tcW w:w="2623" w:type="dxa"/>
            <w:gridSpan w:val="3"/>
            <w:tcBorders>
              <w:top w:val="nil"/>
              <w:left w:val="nil"/>
              <w:bottom w:val="single" w:color="auto" w:sz="4" w:space="0"/>
              <w:right w:val="nil"/>
            </w:tcBorders>
            <w:noWrap/>
            <w:vAlign w:val="bottom"/>
          </w:tcPr>
          <w:p>
            <w:pPr>
              <w:keepNext w:val="0"/>
              <w:keepLines w:val="0"/>
              <w:widowControl/>
              <w:suppressLineNumbers w:val="0"/>
              <w:jc w:val="center"/>
              <w:textAlignment w:val="bottom"/>
              <w:rPr>
                <w:rFonts w:hint="eastAsia"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eastAsiaTheme="minorEastAsia"/>
                <w:i w:val="0"/>
                <w:iCs w:val="0"/>
                <w:color w:val="000000"/>
                <w:kern w:val="0"/>
                <w:sz w:val="20"/>
                <w:szCs w:val="20"/>
                <w:highlight w:val="none"/>
                <w:u w:val="none"/>
                <w:lang w:val="en-US" w:eastAsia="zh-CN" w:bidi="ar"/>
              </w:rPr>
              <w:t>2023</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3242" w:type="dxa"/>
            <w:gridSpan w:val="3"/>
            <w:tcBorders>
              <w:top w:val="nil"/>
              <w:left w:val="nil"/>
              <w:bottom w:val="single" w:color="auto" w:sz="4" w:space="0"/>
              <w:right w:val="nil"/>
            </w:tcBorders>
            <w:noWrap/>
            <w:vAlign w:val="bottom"/>
          </w:tcPr>
          <w:p>
            <w:pPr>
              <w:keepNext w:val="0"/>
              <w:keepLines w:val="0"/>
              <w:widowControl/>
              <w:suppressLineNumbers w:val="0"/>
              <w:jc w:val="right"/>
              <w:textAlignment w:val="bottom"/>
              <w:rPr>
                <w:rFonts w:hint="eastAsia" w:asciiTheme="minorEastAsia" w:hAnsiTheme="minorEastAsia" w:eastAsiaTheme="minorEastAsia" w:cstheme="minorEastAsia"/>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jc w:val="center"/>
        </w:trPr>
        <w:tc>
          <w:tcPr>
            <w:tcW w:w="2227" w:type="dxa"/>
            <w:gridSpan w:val="2"/>
            <w:tcBorders>
              <w:top w:val="single" w:color="auto"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1128" w:type="dxa"/>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本年支出合计</w:t>
            </w:r>
          </w:p>
        </w:tc>
        <w:tc>
          <w:tcPr>
            <w:tcW w:w="1126" w:type="dxa"/>
            <w:gridSpan w:val="2"/>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1126" w:type="dxa"/>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c>
          <w:tcPr>
            <w:tcW w:w="1126" w:type="dxa"/>
            <w:gridSpan w:val="2"/>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上缴上级支出</w:t>
            </w:r>
          </w:p>
        </w:tc>
        <w:tc>
          <w:tcPr>
            <w:tcW w:w="1126" w:type="dxa"/>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经营支出</w:t>
            </w:r>
          </w:p>
        </w:tc>
        <w:tc>
          <w:tcPr>
            <w:tcW w:w="1487" w:type="dxa"/>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对附属单位补助支出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vMerge w:val="restart"/>
            <w:tcBorders>
              <w:top w:val="nil"/>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1187" w:type="dxa"/>
            <w:vMerge w:val="restar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1128"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126" w:type="dxa"/>
            <w:gridSpan w:val="2"/>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126"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126" w:type="dxa"/>
            <w:gridSpan w:val="2"/>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126"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48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vMerge w:val="continue"/>
            <w:tcBorders>
              <w:top w:val="nil"/>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187" w:type="dxa"/>
            <w:vMerge w:val="continue"/>
            <w:tcBorders>
              <w:top w:val="nil"/>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0"/>
                <w:szCs w:val="20"/>
                <w:highlight w:val="none"/>
                <w:u w:val="none"/>
              </w:rPr>
            </w:pPr>
          </w:p>
        </w:tc>
        <w:tc>
          <w:tcPr>
            <w:tcW w:w="1128"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126" w:type="dxa"/>
            <w:gridSpan w:val="2"/>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126"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126" w:type="dxa"/>
            <w:gridSpan w:val="2"/>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126"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48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vMerge w:val="continue"/>
            <w:tcBorders>
              <w:top w:val="nil"/>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187" w:type="dxa"/>
            <w:vMerge w:val="continue"/>
            <w:tcBorders>
              <w:top w:val="nil"/>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0"/>
                <w:szCs w:val="20"/>
                <w:highlight w:val="none"/>
                <w:u w:val="none"/>
              </w:rPr>
            </w:pPr>
          </w:p>
        </w:tc>
        <w:tc>
          <w:tcPr>
            <w:tcW w:w="1128"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126" w:type="dxa"/>
            <w:gridSpan w:val="2"/>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126"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126" w:type="dxa"/>
            <w:gridSpan w:val="2"/>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126"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48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jc w:val="center"/>
        </w:trPr>
        <w:tc>
          <w:tcPr>
            <w:tcW w:w="2227" w:type="dxa"/>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1128" w:type="dxa"/>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w:t>
            </w:r>
          </w:p>
        </w:tc>
        <w:tc>
          <w:tcPr>
            <w:tcW w:w="1126" w:type="dxa"/>
            <w:gridSpan w:val="2"/>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1126" w:type="dxa"/>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1126" w:type="dxa"/>
            <w:gridSpan w:val="2"/>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1126" w:type="dxa"/>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1487" w:type="dxa"/>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2227" w:type="dxa"/>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1,670.99</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933.89</w:t>
            </w: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737.09</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一般公共服务支出</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899.15</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717.59</w:t>
            </w: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181.56</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20103</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政府办公厅（室）及相关机构事务</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899.15</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717.59</w:t>
            </w: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181.56</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2010301</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行政运行</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717.59</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717.59</w:t>
            </w: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2010302</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一般行政管理事务</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181.56</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181.56</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205</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教育支出</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73.44</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73.44</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20502</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普通教育</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73.44</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73.44</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2050202</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小学教育</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73.44</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73.44</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207</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文化旅游体育与传媒支出</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1.50</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1.50</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20701</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文化和旅游</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1.50</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1.50</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2070109</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群众文化</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1.50</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1.50</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社会保障和就业支出</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101.46</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89.40</w:t>
            </w: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12.06</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行政事业单位养老支出</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89.40</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89.40</w:t>
            </w: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2080501</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行政单位离退休</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9.40</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9.40</w:t>
            </w: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2080505</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机关事业单位基本养老保险缴费支出</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80.00</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80.00</w:t>
            </w: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20809</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退役安置</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12.06</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12.06</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2080901</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退役士兵安置</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12.06</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12.06</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卫生健康支出</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51.02</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51.02</w:t>
            </w: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行政事业单位医疗</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51.02</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51.02</w:t>
            </w: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2101101</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行政单位医疗</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51.02</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51.02</w:t>
            </w: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城乡社区支出</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438.03</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438.03</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21201</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城乡社区管理事务</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7.68</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7.68</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2120104</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城管执法</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7.68</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7.68</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21202</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城乡社区规划与管理</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67.95</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67.95</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2120201</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城乡社区规划与管理</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67.95</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67.95</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21203</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城乡社区公共设施</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188.04</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188.04</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2120303</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小城镇基础设施建设</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188.04</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188.04</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21205</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城乡社区环境卫生</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139.37</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139.37</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2120501</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城乡社区环境卫生</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139.37</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139.37</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21208</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国有土地使用权出让收入安排的支出</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35.00</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35.00</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2120804</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农村基础设施建设支出</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35.00</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35.00</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213</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农林水支出</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30.50</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30.50</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21303</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水利</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30.50</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30.50</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2130304</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水利行业业务管理</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15.00</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15.00</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2130314</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防汛</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15.50</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15.50</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住房保障支出</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75.88</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75.88</w:t>
            </w: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住房改革支出</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75.88</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75.88</w:t>
            </w: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2210201</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住房公积金</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75.88</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75.88</w:t>
            </w: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9346" w:type="dxa"/>
            <w:gridSpan w:val="10"/>
            <w:tcBorders>
              <w:top w:val="nil"/>
              <w:left w:val="nil"/>
              <w:bottom w:val="nil"/>
              <w:right w:val="nil"/>
            </w:tcBorders>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注：本表反映部门本年度各项支出情况。</w:t>
            </w:r>
          </w:p>
        </w:tc>
      </w:tr>
    </w:tbl>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t>备注：无内容应公开空表并说明情况。</w:t>
      </w:r>
    </w:p>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11709" w:type="dxa"/>
        <w:tblInd w:w="-185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984"/>
        <w:gridCol w:w="624"/>
        <w:gridCol w:w="1427"/>
        <w:gridCol w:w="1659"/>
        <w:gridCol w:w="439"/>
        <w:gridCol w:w="624"/>
        <w:gridCol w:w="458"/>
        <w:gridCol w:w="837"/>
        <w:gridCol w:w="1219"/>
        <w:gridCol w:w="1219"/>
        <w:gridCol w:w="1219"/>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11709" w:type="dxa"/>
            <w:gridSpan w:val="11"/>
            <w:tcBorders>
              <w:top w:val="nil"/>
              <w:left w:val="nil"/>
              <w:bottom w:val="nil"/>
              <w:right w:val="nil"/>
            </w:tcBorders>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财政拨款收入支出决算总表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11709" w:type="dxa"/>
            <w:gridSpan w:val="11"/>
            <w:tcBorders>
              <w:top w:val="nil"/>
              <w:left w:val="nil"/>
              <w:bottom w:val="nil"/>
              <w:right w:val="nil"/>
            </w:tcBorders>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公开04表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694" w:type="dxa"/>
            <w:gridSpan w:val="4"/>
            <w:tcBorders>
              <w:top w:val="nil"/>
              <w:left w:val="nil"/>
              <w:bottom w:val="single" w:color="auto" w:sz="4" w:space="0"/>
              <w:right w:val="nil"/>
            </w:tcBorders>
            <w:noWrap/>
            <w:vAlign w:val="bottom"/>
          </w:tcPr>
          <w:p>
            <w:pPr>
              <w:rPr>
                <w:rFonts w:hint="eastAsia" w:ascii="仿宋" w:hAnsi="仿宋" w:eastAsia="仿宋" w:cs="仿宋"/>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编制部门（单位）：</w:t>
            </w:r>
            <w:r>
              <w:rPr>
                <w:rFonts w:hint="eastAsia" w:ascii="仿宋" w:hAnsi="仿宋" w:eastAsia="仿宋" w:cs="仿宋"/>
                <w:i w:val="0"/>
                <w:iCs w:val="0"/>
                <w:color w:val="000000"/>
                <w:kern w:val="0"/>
                <w:sz w:val="20"/>
                <w:szCs w:val="20"/>
                <w:highlight w:val="none"/>
                <w:u w:val="none"/>
                <w:lang w:val="en-US" w:eastAsia="zh-CN" w:bidi="ar"/>
              </w:rPr>
              <w:t>石家庄市鹿泉区上寨乡人民政府(本级)</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w:t>
            </w:r>
            <w:r>
              <w:rPr>
                <w:rFonts w:hint="eastAsia" w:asciiTheme="minorEastAsia" w:hAnsiTheme="minorEastAsia" w:eastAsiaTheme="minorEastAsia" w:cstheme="minorEastAsia"/>
                <w:i w:val="0"/>
                <w:iCs w:val="0"/>
                <w:color w:val="000000"/>
                <w:kern w:val="0"/>
                <w:sz w:val="20"/>
                <w:szCs w:val="20"/>
                <w:highlight w:val="none"/>
                <w:u w:val="none"/>
                <w:lang w:val="en-US" w:eastAsia="zh-CN" w:bidi="ar"/>
              </w:rPr>
              <w:t xml:space="preserve">                                                                                                   </w:t>
            </w:r>
          </w:p>
        </w:tc>
        <w:tc>
          <w:tcPr>
            <w:tcW w:w="1521" w:type="dxa"/>
            <w:gridSpan w:val="3"/>
            <w:tcBorders>
              <w:top w:val="nil"/>
              <w:left w:val="nil"/>
              <w:bottom w:val="single" w:color="auto" w:sz="4" w:space="0"/>
              <w:right w:val="nil"/>
            </w:tcBorders>
            <w:noWrap/>
            <w:vAlign w:val="bottom"/>
          </w:tcPr>
          <w:p>
            <w:pPr>
              <w:jc w:val="center"/>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i w:val="0"/>
                <w:iCs w:val="0"/>
                <w:color w:val="000000"/>
                <w:kern w:val="0"/>
                <w:sz w:val="20"/>
                <w:szCs w:val="20"/>
                <w:highlight w:val="none"/>
                <w:u w:val="none"/>
                <w:lang w:val="en-US" w:eastAsia="zh-CN" w:bidi="ar"/>
              </w:rPr>
              <w:t>2023</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4494" w:type="dxa"/>
            <w:gridSpan w:val="4"/>
            <w:tcBorders>
              <w:top w:val="nil"/>
              <w:left w:val="nil"/>
              <w:bottom w:val="single" w:color="auto" w:sz="4" w:space="0"/>
              <w:right w:val="nil"/>
            </w:tcBorders>
            <w:noWrap/>
            <w:vAlign w:val="bottom"/>
          </w:tcPr>
          <w:p>
            <w:pPr>
              <w:jc w:val="right"/>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4035" w:type="dxa"/>
            <w:gridSpan w:val="3"/>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收入</w:t>
            </w:r>
          </w:p>
        </w:tc>
        <w:tc>
          <w:tcPr>
            <w:tcW w:w="7674" w:type="dxa"/>
            <w:gridSpan w:val="8"/>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984" w:type="dxa"/>
            <w:vMerge w:val="restart"/>
            <w:tcBorders>
              <w:top w:val="nil"/>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    目</w:t>
            </w:r>
          </w:p>
        </w:tc>
        <w:tc>
          <w:tcPr>
            <w:tcW w:w="624" w:type="dxa"/>
            <w:vMerge w:val="restar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1427" w:type="dxa"/>
            <w:vMerge w:val="restar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金额</w:t>
            </w:r>
          </w:p>
        </w:tc>
        <w:tc>
          <w:tcPr>
            <w:tcW w:w="2098" w:type="dxa"/>
            <w:gridSpan w:val="2"/>
            <w:vMerge w:val="restar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624" w:type="dxa"/>
            <w:vMerge w:val="restar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1295" w:type="dxa"/>
            <w:gridSpan w:val="2"/>
            <w:vMerge w:val="restart"/>
            <w:tcBorders>
              <w:top w:val="nil"/>
              <w:left w:val="nil"/>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合计</w:t>
            </w:r>
          </w:p>
        </w:tc>
        <w:tc>
          <w:tcPr>
            <w:tcW w:w="1219" w:type="dxa"/>
            <w:vMerge w:val="restart"/>
            <w:tcBorders>
              <w:top w:val="nil"/>
              <w:left w:val="nil"/>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一般公共预算财政拨款</w:t>
            </w:r>
          </w:p>
        </w:tc>
        <w:tc>
          <w:tcPr>
            <w:tcW w:w="1219" w:type="dxa"/>
            <w:vMerge w:val="restart"/>
            <w:tcBorders>
              <w:top w:val="nil"/>
              <w:left w:val="nil"/>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政府性基金预算财政拨款</w:t>
            </w:r>
          </w:p>
        </w:tc>
        <w:tc>
          <w:tcPr>
            <w:tcW w:w="1219" w:type="dxa"/>
            <w:vMerge w:val="restart"/>
            <w:tcBorders>
              <w:top w:val="nil"/>
              <w:left w:val="nil"/>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国有资本经营预算财政拨款</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984" w:type="dxa"/>
            <w:vMerge w:val="continue"/>
            <w:tcBorders>
              <w:top w:val="nil"/>
              <w:left w:val="single" w:color="000000" w:sz="4" w:space="0"/>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624" w:type="dxa"/>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427" w:type="dxa"/>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2098" w:type="dxa"/>
            <w:gridSpan w:val="2"/>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624" w:type="dxa"/>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295" w:type="dxa"/>
            <w:gridSpan w:val="2"/>
            <w:vMerge w:val="continue"/>
            <w:tcBorders>
              <w:left w:val="nil"/>
              <w:bottom w:val="single" w:color="000000" w:sz="4" w:space="0"/>
              <w:right w:val="single" w:color="000000" w:sz="8"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1219" w:type="dxa"/>
            <w:vMerge w:val="continue"/>
            <w:tcBorders>
              <w:left w:val="nil"/>
              <w:bottom w:val="single" w:color="000000" w:sz="4" w:space="0"/>
              <w:right w:val="single" w:color="000000" w:sz="8"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1219" w:type="dxa"/>
            <w:vMerge w:val="continue"/>
            <w:tcBorders>
              <w:left w:val="nil"/>
              <w:bottom w:val="single" w:color="000000" w:sz="4" w:space="0"/>
              <w:right w:val="single" w:color="000000" w:sz="8"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1219" w:type="dxa"/>
            <w:vMerge w:val="continue"/>
            <w:tcBorders>
              <w:left w:val="nil"/>
              <w:bottom w:val="single" w:color="000000" w:sz="4" w:space="0"/>
              <w:right w:val="single" w:color="000000" w:sz="8"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    次</w:t>
            </w:r>
          </w:p>
        </w:tc>
        <w:tc>
          <w:tcPr>
            <w:tcW w:w="624" w:type="dxa"/>
            <w:tcBorders>
              <w:top w:val="nil"/>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0"/>
                <w:szCs w:val="20"/>
                <w:highlight w:val="none"/>
                <w:u w:val="none"/>
              </w:rPr>
            </w:pPr>
          </w:p>
        </w:tc>
        <w:tc>
          <w:tcPr>
            <w:tcW w:w="1427"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2098"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    次</w:t>
            </w:r>
          </w:p>
        </w:tc>
        <w:tc>
          <w:tcPr>
            <w:tcW w:w="624" w:type="dxa"/>
            <w:tcBorders>
              <w:top w:val="nil"/>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0"/>
                <w:szCs w:val="20"/>
                <w:highlight w:val="none"/>
                <w:u w:val="none"/>
              </w:rPr>
            </w:pPr>
          </w:p>
        </w:tc>
        <w:tc>
          <w:tcPr>
            <w:tcW w:w="129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w:t>
            </w:r>
          </w:p>
        </w:tc>
        <w:tc>
          <w:tcPr>
            <w:tcW w:w="1219"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w:t>
            </w:r>
          </w:p>
        </w:tc>
        <w:tc>
          <w:tcPr>
            <w:tcW w:w="1219"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4</w:t>
            </w:r>
          </w:p>
        </w:tc>
        <w:tc>
          <w:tcPr>
            <w:tcW w:w="1219" w:type="dxa"/>
            <w:tcBorders>
              <w:top w:val="nil"/>
              <w:left w:val="nil"/>
              <w:bottom w:val="single" w:color="000000" w:sz="4" w:space="0"/>
              <w:right w:val="single" w:color="000000" w:sz="8"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w:t>
            </w:r>
          </w:p>
        </w:tc>
        <w:tc>
          <w:tcPr>
            <w:tcW w:w="14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1,635.99</w:t>
            </w:r>
          </w:p>
        </w:tc>
        <w:tc>
          <w:tcPr>
            <w:tcW w:w="2098"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一、一般公共服务支出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33</w:t>
            </w:r>
          </w:p>
        </w:tc>
        <w:tc>
          <w:tcPr>
            <w:tcW w:w="1295"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899.15</w:t>
            </w: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899.15</w:t>
            </w: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14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35.00</w:t>
            </w:r>
          </w:p>
        </w:tc>
        <w:tc>
          <w:tcPr>
            <w:tcW w:w="2098"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二、外交支出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34</w:t>
            </w:r>
          </w:p>
        </w:tc>
        <w:tc>
          <w:tcPr>
            <w:tcW w:w="1295"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14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三、国防支出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35</w:t>
            </w:r>
          </w:p>
        </w:tc>
        <w:tc>
          <w:tcPr>
            <w:tcW w:w="1295"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14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四、公共安全支出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36</w:t>
            </w:r>
          </w:p>
        </w:tc>
        <w:tc>
          <w:tcPr>
            <w:tcW w:w="1295"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14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五、教育支出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37</w:t>
            </w:r>
          </w:p>
        </w:tc>
        <w:tc>
          <w:tcPr>
            <w:tcW w:w="1295"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73.44</w:t>
            </w: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73.44</w:t>
            </w: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c>
          <w:tcPr>
            <w:tcW w:w="14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六、科学技术支出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38</w:t>
            </w:r>
          </w:p>
        </w:tc>
        <w:tc>
          <w:tcPr>
            <w:tcW w:w="1295"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7</w:t>
            </w:r>
          </w:p>
        </w:tc>
        <w:tc>
          <w:tcPr>
            <w:tcW w:w="14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七、文化旅游体育与传媒支出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39</w:t>
            </w:r>
          </w:p>
        </w:tc>
        <w:tc>
          <w:tcPr>
            <w:tcW w:w="1295"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1.50</w:t>
            </w: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1.50</w:t>
            </w: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8</w:t>
            </w:r>
          </w:p>
        </w:tc>
        <w:tc>
          <w:tcPr>
            <w:tcW w:w="14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八、社会保障和就业支出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40</w:t>
            </w:r>
          </w:p>
        </w:tc>
        <w:tc>
          <w:tcPr>
            <w:tcW w:w="1295"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101.46</w:t>
            </w: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101.46</w:t>
            </w: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9</w:t>
            </w:r>
          </w:p>
        </w:tc>
        <w:tc>
          <w:tcPr>
            <w:tcW w:w="14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九、卫生健康支出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41</w:t>
            </w:r>
          </w:p>
        </w:tc>
        <w:tc>
          <w:tcPr>
            <w:tcW w:w="1295"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51.02</w:t>
            </w: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51.02</w:t>
            </w: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10</w:t>
            </w:r>
          </w:p>
        </w:tc>
        <w:tc>
          <w:tcPr>
            <w:tcW w:w="14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十、节能环保支出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42</w:t>
            </w:r>
          </w:p>
        </w:tc>
        <w:tc>
          <w:tcPr>
            <w:tcW w:w="1295"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11</w:t>
            </w:r>
          </w:p>
        </w:tc>
        <w:tc>
          <w:tcPr>
            <w:tcW w:w="14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十一、城乡社区支出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43</w:t>
            </w:r>
          </w:p>
        </w:tc>
        <w:tc>
          <w:tcPr>
            <w:tcW w:w="1295"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438.03</w:t>
            </w: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403.03</w:t>
            </w: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35.00</w:t>
            </w:r>
          </w:p>
        </w:tc>
        <w:tc>
          <w:tcPr>
            <w:tcW w:w="1219" w:type="dxa"/>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auto"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auto"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12</w:t>
            </w:r>
          </w:p>
        </w:tc>
        <w:tc>
          <w:tcPr>
            <w:tcW w:w="1427" w:type="dxa"/>
            <w:tcBorders>
              <w:top w:val="nil"/>
              <w:left w:val="nil"/>
              <w:bottom w:val="single" w:color="auto"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auto"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十二、农林水支出</w:t>
            </w:r>
          </w:p>
        </w:tc>
        <w:tc>
          <w:tcPr>
            <w:tcW w:w="624" w:type="dxa"/>
            <w:tcBorders>
              <w:top w:val="nil"/>
              <w:left w:val="nil"/>
              <w:bottom w:val="single" w:color="auto"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44</w:t>
            </w:r>
          </w:p>
        </w:tc>
        <w:tc>
          <w:tcPr>
            <w:tcW w:w="1295" w:type="dxa"/>
            <w:gridSpan w:val="2"/>
            <w:tcBorders>
              <w:top w:val="nil"/>
              <w:left w:val="nil"/>
              <w:bottom w:val="single" w:color="auto"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30.50</w:t>
            </w:r>
          </w:p>
        </w:tc>
        <w:tc>
          <w:tcPr>
            <w:tcW w:w="1219" w:type="dxa"/>
            <w:tcBorders>
              <w:top w:val="nil"/>
              <w:left w:val="nil"/>
              <w:bottom w:val="single" w:color="auto"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30.50</w:t>
            </w:r>
          </w:p>
        </w:tc>
        <w:tc>
          <w:tcPr>
            <w:tcW w:w="1219" w:type="dxa"/>
            <w:tcBorders>
              <w:top w:val="nil"/>
              <w:left w:val="nil"/>
              <w:bottom w:val="single" w:color="auto"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auto"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13</w:t>
            </w:r>
          </w:p>
        </w:tc>
        <w:tc>
          <w:tcPr>
            <w:tcW w:w="1427"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十三、交通运输支出</w:t>
            </w: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45</w:t>
            </w:r>
          </w:p>
        </w:tc>
        <w:tc>
          <w:tcPr>
            <w:tcW w:w="1295"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14</w:t>
            </w:r>
          </w:p>
        </w:tc>
        <w:tc>
          <w:tcPr>
            <w:tcW w:w="1427"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十四、资源勘探工业信息等支出</w:t>
            </w: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46</w:t>
            </w:r>
          </w:p>
        </w:tc>
        <w:tc>
          <w:tcPr>
            <w:tcW w:w="1295"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15</w:t>
            </w:r>
          </w:p>
        </w:tc>
        <w:tc>
          <w:tcPr>
            <w:tcW w:w="1427"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十五、商业服务业等支出</w:t>
            </w: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47</w:t>
            </w:r>
          </w:p>
        </w:tc>
        <w:tc>
          <w:tcPr>
            <w:tcW w:w="1295"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16</w:t>
            </w:r>
          </w:p>
        </w:tc>
        <w:tc>
          <w:tcPr>
            <w:tcW w:w="1427"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十六、金融支出</w:t>
            </w: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48</w:t>
            </w:r>
          </w:p>
        </w:tc>
        <w:tc>
          <w:tcPr>
            <w:tcW w:w="1295"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17</w:t>
            </w:r>
          </w:p>
        </w:tc>
        <w:tc>
          <w:tcPr>
            <w:tcW w:w="1427"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十七、援助其他地区支出</w:t>
            </w: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49</w:t>
            </w:r>
          </w:p>
        </w:tc>
        <w:tc>
          <w:tcPr>
            <w:tcW w:w="1295"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18</w:t>
            </w:r>
          </w:p>
        </w:tc>
        <w:tc>
          <w:tcPr>
            <w:tcW w:w="1427"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十八、自然资源海洋气象等支出</w:t>
            </w: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50</w:t>
            </w:r>
          </w:p>
        </w:tc>
        <w:tc>
          <w:tcPr>
            <w:tcW w:w="1295"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19</w:t>
            </w:r>
          </w:p>
        </w:tc>
        <w:tc>
          <w:tcPr>
            <w:tcW w:w="1427"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十九、住房保障支出</w:t>
            </w: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51</w:t>
            </w:r>
          </w:p>
        </w:tc>
        <w:tc>
          <w:tcPr>
            <w:tcW w:w="1295"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75.88</w:t>
            </w: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75.88</w:t>
            </w: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20</w:t>
            </w:r>
          </w:p>
        </w:tc>
        <w:tc>
          <w:tcPr>
            <w:tcW w:w="1427"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二十、粮油物资储备支出</w:t>
            </w: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52</w:t>
            </w:r>
          </w:p>
        </w:tc>
        <w:tc>
          <w:tcPr>
            <w:tcW w:w="1295"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21</w:t>
            </w:r>
          </w:p>
        </w:tc>
        <w:tc>
          <w:tcPr>
            <w:tcW w:w="1427"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二十一、国有资本经营预算支出</w:t>
            </w: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53</w:t>
            </w:r>
          </w:p>
        </w:tc>
        <w:tc>
          <w:tcPr>
            <w:tcW w:w="1295"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22</w:t>
            </w:r>
          </w:p>
        </w:tc>
        <w:tc>
          <w:tcPr>
            <w:tcW w:w="1427"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二十二、灾害防治及应急管理支出</w:t>
            </w: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54</w:t>
            </w:r>
          </w:p>
        </w:tc>
        <w:tc>
          <w:tcPr>
            <w:tcW w:w="1295"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23</w:t>
            </w:r>
          </w:p>
        </w:tc>
        <w:tc>
          <w:tcPr>
            <w:tcW w:w="1427"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二十三、其他支出</w:t>
            </w: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55</w:t>
            </w:r>
          </w:p>
        </w:tc>
        <w:tc>
          <w:tcPr>
            <w:tcW w:w="1295"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single" w:color="auto" w:sz="4" w:space="0"/>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24</w:t>
            </w:r>
          </w:p>
        </w:tc>
        <w:tc>
          <w:tcPr>
            <w:tcW w:w="1427" w:type="dxa"/>
            <w:tcBorders>
              <w:top w:val="single" w:color="auto" w:sz="4" w:space="0"/>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二十四、债务还本支出</w:t>
            </w:r>
          </w:p>
        </w:tc>
        <w:tc>
          <w:tcPr>
            <w:tcW w:w="624" w:type="dxa"/>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56</w:t>
            </w:r>
          </w:p>
        </w:tc>
        <w:tc>
          <w:tcPr>
            <w:tcW w:w="1295" w:type="dxa"/>
            <w:gridSpan w:val="2"/>
            <w:tcBorders>
              <w:top w:val="single" w:color="auto" w:sz="4" w:space="0"/>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pPr>
              <w:jc w:val="center"/>
              <w:rPr>
                <w:rFonts w:hint="eastAsia" w:ascii="宋体" w:hAnsi="宋体" w:eastAsia="宋体" w:cs="宋体"/>
                <w:b/>
                <w:bCs/>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25</w:t>
            </w:r>
          </w:p>
        </w:tc>
        <w:tc>
          <w:tcPr>
            <w:tcW w:w="14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二十五、债务付息支出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57</w:t>
            </w:r>
          </w:p>
        </w:tc>
        <w:tc>
          <w:tcPr>
            <w:tcW w:w="1295"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26</w:t>
            </w:r>
          </w:p>
        </w:tc>
        <w:tc>
          <w:tcPr>
            <w:tcW w:w="14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二十六、抗疫特别国债安排的支出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58</w:t>
            </w:r>
          </w:p>
        </w:tc>
        <w:tc>
          <w:tcPr>
            <w:tcW w:w="1295"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本年收入合计</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27</w:t>
            </w:r>
          </w:p>
        </w:tc>
        <w:tc>
          <w:tcPr>
            <w:tcW w:w="14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1,670.99</w:t>
            </w:r>
          </w:p>
        </w:tc>
        <w:tc>
          <w:tcPr>
            <w:tcW w:w="2098"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本年支出合计</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59</w:t>
            </w:r>
          </w:p>
        </w:tc>
        <w:tc>
          <w:tcPr>
            <w:tcW w:w="1295"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1,670.99</w:t>
            </w: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1,635.99</w:t>
            </w: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35.00</w:t>
            </w:r>
          </w:p>
        </w:tc>
        <w:tc>
          <w:tcPr>
            <w:tcW w:w="1219" w:type="dxa"/>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年初财政拨款结转和结余</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28</w:t>
            </w:r>
          </w:p>
        </w:tc>
        <w:tc>
          <w:tcPr>
            <w:tcW w:w="14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年末财政拨款结转和结余</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60</w:t>
            </w:r>
          </w:p>
        </w:tc>
        <w:tc>
          <w:tcPr>
            <w:tcW w:w="1295"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29</w:t>
            </w:r>
          </w:p>
        </w:tc>
        <w:tc>
          <w:tcPr>
            <w:tcW w:w="14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61</w:t>
            </w:r>
          </w:p>
        </w:tc>
        <w:tc>
          <w:tcPr>
            <w:tcW w:w="1295"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pPr>
              <w:jc w:val="lef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30</w:t>
            </w:r>
          </w:p>
        </w:tc>
        <w:tc>
          <w:tcPr>
            <w:tcW w:w="14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62</w:t>
            </w:r>
          </w:p>
        </w:tc>
        <w:tc>
          <w:tcPr>
            <w:tcW w:w="1295"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pPr>
              <w:jc w:val="lef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31</w:t>
            </w:r>
          </w:p>
        </w:tc>
        <w:tc>
          <w:tcPr>
            <w:tcW w:w="14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63</w:t>
            </w:r>
          </w:p>
        </w:tc>
        <w:tc>
          <w:tcPr>
            <w:tcW w:w="1295"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pPr>
              <w:jc w:val="lef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8"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624" w:type="dxa"/>
            <w:tcBorders>
              <w:top w:val="nil"/>
              <w:left w:val="nil"/>
              <w:bottom w:val="single" w:color="000000" w:sz="8"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32</w:t>
            </w:r>
          </w:p>
        </w:tc>
        <w:tc>
          <w:tcPr>
            <w:tcW w:w="1427" w:type="dxa"/>
            <w:tcBorders>
              <w:top w:val="nil"/>
              <w:left w:val="nil"/>
              <w:bottom w:val="single" w:color="000000" w:sz="8"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1,670.99</w:t>
            </w:r>
          </w:p>
        </w:tc>
        <w:tc>
          <w:tcPr>
            <w:tcW w:w="2098" w:type="dxa"/>
            <w:gridSpan w:val="2"/>
            <w:tcBorders>
              <w:top w:val="nil"/>
              <w:left w:val="nil"/>
              <w:bottom w:val="single" w:color="000000" w:sz="8"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624" w:type="dxa"/>
            <w:tcBorders>
              <w:top w:val="nil"/>
              <w:left w:val="nil"/>
              <w:bottom w:val="single" w:color="000000" w:sz="8"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64</w:t>
            </w:r>
          </w:p>
        </w:tc>
        <w:tc>
          <w:tcPr>
            <w:tcW w:w="1295" w:type="dxa"/>
            <w:gridSpan w:val="2"/>
            <w:tcBorders>
              <w:top w:val="nil"/>
              <w:left w:val="nil"/>
              <w:bottom w:val="single" w:color="000000" w:sz="8"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1,670.99</w:t>
            </w:r>
          </w:p>
        </w:tc>
        <w:tc>
          <w:tcPr>
            <w:tcW w:w="1219" w:type="dxa"/>
            <w:tcBorders>
              <w:top w:val="nil"/>
              <w:left w:val="nil"/>
              <w:bottom w:val="single" w:color="000000" w:sz="8" w:space="0"/>
              <w:right w:val="single" w:color="000000" w:sz="4" w:space="0"/>
            </w:tcBorders>
            <w:noWrap/>
            <w:vAlign w:val="center"/>
          </w:tcPr>
          <w:p>
            <w:pPr>
              <w:jc w:val="right"/>
              <w:rPr>
                <w:rFonts w:hint="default" w:ascii="Times New Roman" w:hAnsi="Times New Roman" w:cs="Times New Roman"/>
                <w:sz w:val="20"/>
                <w:szCs w:val="20"/>
                <w:highlight w:val="none"/>
              </w:rPr>
            </w:pPr>
          </w:p>
          <w:p>
            <w:pPr>
              <w:jc w:val="right"/>
              <w:rPr>
                <w:rFonts w:hint="default" w:ascii="Times New Roman" w:hAnsi="Times New Roman" w:cs="Times New Roman"/>
                <w:sz w:val="20"/>
                <w:szCs w:val="20"/>
                <w:highlight w:val="none"/>
              </w:rPr>
            </w:pPr>
            <w:r>
              <w:rPr>
                <w:rFonts w:hint="default" w:ascii="Times New Roman" w:hAnsi="Times New Roman" w:cs="Times New Roman"/>
                <w:sz w:val="20"/>
                <w:szCs w:val="20"/>
                <w:highlight w:val="none"/>
              </w:rPr>
              <w:t>1,635.99</w:t>
            </w:r>
          </w:p>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8"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35.00</w:t>
            </w:r>
          </w:p>
        </w:tc>
        <w:tc>
          <w:tcPr>
            <w:tcW w:w="1219" w:type="dxa"/>
            <w:tcBorders>
              <w:top w:val="nil"/>
              <w:left w:val="nil"/>
              <w:bottom w:val="single" w:color="000000" w:sz="8"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1709" w:type="dxa"/>
            <w:gridSpan w:val="11"/>
            <w:tcBorders>
              <w:top w:val="nil"/>
              <w:left w:val="nil"/>
              <w:bottom w:val="nil"/>
              <w:right w:val="nil"/>
            </w:tcBorders>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注：本表反映部门本年度一般公共预算财政拨款、政府性基金预算财政拨款和国有资本经营预算财政拨款的总收支和年末结转结余情况。</w:t>
            </w:r>
          </w:p>
        </w:tc>
      </w:tr>
    </w:tbl>
    <w:p>
      <w:pPr>
        <w:keepNext w:val="0"/>
        <w:keepLines w:val="0"/>
        <w:pageBreakBefore w:val="0"/>
        <w:widowControl w:val="0"/>
        <w:kinsoku/>
        <w:wordWrap/>
        <w:overflowPunct/>
        <w:topLinePunct w:val="0"/>
        <w:autoSpaceDE/>
        <w:autoSpaceDN/>
        <w:bidi w:val="0"/>
        <w:adjustRightInd/>
        <w:snapToGrid/>
        <w:spacing w:line="240" w:lineRule="auto"/>
        <w:ind w:firstLine="0" w:firstLineChars="0"/>
        <w:jc w:val="both"/>
        <w:textAlignment w:val="auto"/>
        <w:outlineLvl w:val="9"/>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t>备注：无内容应公开空表并说明情况。</w:t>
      </w:r>
    </w:p>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p>
      <w:pPr>
        <w:keepNext w:val="0"/>
        <w:keepLines w:val="0"/>
        <w:pageBreakBefore w:val="0"/>
        <w:widowControl w:val="0"/>
        <w:kinsoku/>
        <w:wordWrap/>
        <w:overflowPunct/>
        <w:topLinePunct w:val="0"/>
        <w:autoSpaceDE/>
        <w:autoSpaceDN/>
        <w:bidi w:val="0"/>
        <w:adjustRightInd/>
        <w:snapToGrid/>
        <w:spacing w:line="240" w:lineRule="auto"/>
        <w:jc w:val="center"/>
        <w:textAlignment w:val="auto"/>
        <w:outlineLvl w:val="9"/>
        <w:rPr>
          <w:rFonts w:hint="eastAsia" w:ascii="宋体" w:hAnsi="宋体" w:eastAsia="宋体" w:cs="宋体"/>
          <w:spacing w:val="-2"/>
          <w:sz w:val="20"/>
          <w:highlight w:val="none"/>
          <w:lang w:val="en-US" w:eastAsia="zh-CN"/>
        </w:rPr>
      </w:pPr>
    </w:p>
    <w:tbl>
      <w:tblPr>
        <w:tblStyle w:val="11"/>
        <w:tblW w:w="9092" w:type="dxa"/>
        <w:tblInd w:w="-65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889"/>
        <w:gridCol w:w="1435"/>
        <w:gridCol w:w="789"/>
        <w:gridCol w:w="1467"/>
        <w:gridCol w:w="1527"/>
        <w:gridCol w:w="729"/>
        <w:gridCol w:w="2256"/>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9092" w:type="dxa"/>
            <w:gridSpan w:val="7"/>
            <w:tcBorders>
              <w:top w:val="nil"/>
              <w:left w:val="nil"/>
              <w:bottom w:val="nil"/>
              <w:right w:val="nil"/>
            </w:tcBorders>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一般公共预算财政拨款支出决算表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9092" w:type="dxa"/>
            <w:gridSpan w:val="7"/>
            <w:tcBorders>
              <w:top w:val="nil"/>
              <w:left w:val="nil"/>
              <w:bottom w:val="nil"/>
              <w:right w:val="nil"/>
            </w:tcBorders>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方正仿宋_GB2312" w:cs="Times New Roman"/>
                <w:i w:val="0"/>
                <w:iCs w:val="0"/>
                <w:color w:val="000000"/>
                <w:kern w:val="0"/>
                <w:sz w:val="20"/>
                <w:szCs w:val="20"/>
                <w:highlight w:val="none"/>
                <w:u w:val="none"/>
                <w:lang w:val="en-US" w:eastAsia="zh-CN" w:bidi="ar"/>
              </w:rPr>
              <w:t>05</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3113" w:type="dxa"/>
            <w:gridSpan w:val="3"/>
            <w:tcBorders>
              <w:top w:val="nil"/>
              <w:left w:val="nil"/>
              <w:bottom w:val="single" w:color="auto" w:sz="4" w:space="0"/>
              <w:right w:val="nil"/>
            </w:tcBorders>
            <w:noWrap/>
            <w:vAlign w:val="bottom"/>
          </w:tcPr>
          <w:p>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编制部门（单位）：</w:t>
            </w:r>
            <w:r>
              <w:rPr>
                <w:rFonts w:hint="eastAsia" w:ascii="仿宋" w:hAnsi="仿宋" w:eastAsia="仿宋" w:cs="仿宋"/>
                <w:i w:val="0"/>
                <w:iCs w:val="0"/>
                <w:color w:val="000000"/>
                <w:kern w:val="0"/>
                <w:sz w:val="20"/>
                <w:szCs w:val="20"/>
                <w:highlight w:val="none"/>
                <w:u w:val="none"/>
                <w:lang w:val="en-US" w:eastAsia="zh-CN" w:bidi="ar"/>
              </w:rPr>
              <w:t>石家庄市鹿泉区上寨乡人民政府(本级)</w:t>
            </w:r>
          </w:p>
        </w:tc>
        <w:tc>
          <w:tcPr>
            <w:tcW w:w="2994" w:type="dxa"/>
            <w:gridSpan w:val="2"/>
            <w:tcBorders>
              <w:top w:val="nil"/>
              <w:left w:val="nil"/>
              <w:bottom w:val="single" w:color="auto" w:sz="4" w:space="0"/>
              <w:right w:val="nil"/>
            </w:tcBorders>
            <w:noWrap/>
            <w:vAlign w:val="bottom"/>
          </w:tcPr>
          <w:p>
            <w:pPr>
              <w:keepNext w:val="0"/>
              <w:keepLines w:val="0"/>
              <w:widowControl/>
              <w:suppressLineNumbers w:val="0"/>
              <w:jc w:val="center"/>
              <w:textAlignment w:val="bottom"/>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i w:val="0"/>
                <w:iCs w:val="0"/>
                <w:color w:val="000000"/>
                <w:kern w:val="0"/>
                <w:sz w:val="20"/>
                <w:szCs w:val="20"/>
                <w:highlight w:val="none"/>
                <w:u w:val="none"/>
                <w:lang w:val="en-US" w:eastAsia="zh-CN" w:bidi="ar"/>
              </w:rPr>
              <w:t>2023</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2985" w:type="dxa"/>
            <w:gridSpan w:val="2"/>
            <w:tcBorders>
              <w:top w:val="nil"/>
              <w:left w:val="nil"/>
              <w:bottom w:val="single" w:color="auto" w:sz="4" w:space="0"/>
              <w:right w:val="nil"/>
            </w:tcBorders>
            <w:noWrap/>
            <w:vAlign w:val="bottom"/>
          </w:tcPr>
          <w:p>
            <w:pPr>
              <w:keepNext w:val="0"/>
              <w:keepLines w:val="0"/>
              <w:widowControl/>
              <w:suppressLineNumbers w:val="0"/>
              <w:jc w:val="right"/>
              <w:textAlignment w:val="bottom"/>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5" w:hRule="atLeast"/>
        </w:trPr>
        <w:tc>
          <w:tcPr>
            <w:tcW w:w="2324" w:type="dxa"/>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6768" w:type="dxa"/>
            <w:gridSpan w:val="5"/>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889" w:type="dxa"/>
            <w:vMerge w:val="restart"/>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科目代码</w:t>
            </w:r>
          </w:p>
        </w:tc>
        <w:tc>
          <w:tcPr>
            <w:tcW w:w="1435" w:type="dxa"/>
            <w:vMerge w:val="restart"/>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2256" w:type="dxa"/>
            <w:gridSpan w:val="2"/>
            <w:vMerge w:val="restart"/>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小计</w:t>
            </w:r>
          </w:p>
        </w:tc>
        <w:tc>
          <w:tcPr>
            <w:tcW w:w="2256" w:type="dxa"/>
            <w:gridSpan w:val="2"/>
            <w:vMerge w:val="restart"/>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2256" w:type="dxa"/>
            <w:vMerge w:val="restart"/>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7" w:hRule="atLeast"/>
        </w:trPr>
        <w:tc>
          <w:tcPr>
            <w:tcW w:w="889" w:type="dxa"/>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435" w:type="dxa"/>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2256" w:type="dxa"/>
            <w:gridSpan w:val="2"/>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2256" w:type="dxa"/>
            <w:gridSpan w:val="2"/>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2256" w:type="dxa"/>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889" w:type="dxa"/>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435" w:type="dxa"/>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2256" w:type="dxa"/>
            <w:gridSpan w:val="2"/>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2256" w:type="dxa"/>
            <w:gridSpan w:val="2"/>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2256" w:type="dxa"/>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2324" w:type="dxa"/>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2256"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1</w:t>
            </w:r>
          </w:p>
        </w:tc>
        <w:tc>
          <w:tcPr>
            <w:tcW w:w="2256"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2</w:t>
            </w:r>
          </w:p>
        </w:tc>
        <w:tc>
          <w:tcPr>
            <w:tcW w:w="2256"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2324" w:type="dxa"/>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2256"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1,635.99</w:t>
            </w:r>
          </w:p>
        </w:tc>
        <w:tc>
          <w:tcPr>
            <w:tcW w:w="2256"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933.89</w:t>
            </w:r>
          </w:p>
        </w:tc>
        <w:tc>
          <w:tcPr>
            <w:tcW w:w="2256"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702.09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8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w:t>
            </w:r>
          </w:p>
        </w:tc>
        <w:tc>
          <w:tcPr>
            <w:tcW w:w="1435"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一般公共服务支出</w:t>
            </w:r>
          </w:p>
        </w:tc>
        <w:tc>
          <w:tcPr>
            <w:tcW w:w="2256"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899.15</w:t>
            </w:r>
          </w:p>
        </w:tc>
        <w:tc>
          <w:tcPr>
            <w:tcW w:w="2256"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717.59</w:t>
            </w:r>
          </w:p>
        </w:tc>
        <w:tc>
          <w:tcPr>
            <w:tcW w:w="2256"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181.56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8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20103</w:t>
            </w:r>
          </w:p>
        </w:tc>
        <w:tc>
          <w:tcPr>
            <w:tcW w:w="1435"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政府办公厅（室）及相关机构事务</w:t>
            </w:r>
          </w:p>
        </w:tc>
        <w:tc>
          <w:tcPr>
            <w:tcW w:w="2256"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899.15</w:t>
            </w:r>
          </w:p>
        </w:tc>
        <w:tc>
          <w:tcPr>
            <w:tcW w:w="2256"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717.59</w:t>
            </w:r>
          </w:p>
        </w:tc>
        <w:tc>
          <w:tcPr>
            <w:tcW w:w="2256"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181.56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8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2010301</w:t>
            </w:r>
          </w:p>
        </w:tc>
        <w:tc>
          <w:tcPr>
            <w:tcW w:w="1435"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行政运行</w:t>
            </w:r>
          </w:p>
        </w:tc>
        <w:tc>
          <w:tcPr>
            <w:tcW w:w="2256"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717.59</w:t>
            </w:r>
          </w:p>
        </w:tc>
        <w:tc>
          <w:tcPr>
            <w:tcW w:w="2256"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717.59</w:t>
            </w:r>
          </w:p>
        </w:tc>
        <w:tc>
          <w:tcPr>
            <w:tcW w:w="2256"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8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2010302</w:t>
            </w:r>
          </w:p>
        </w:tc>
        <w:tc>
          <w:tcPr>
            <w:tcW w:w="1435"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一般行政管理事务</w:t>
            </w:r>
          </w:p>
        </w:tc>
        <w:tc>
          <w:tcPr>
            <w:tcW w:w="2256"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181.56</w:t>
            </w:r>
          </w:p>
        </w:tc>
        <w:tc>
          <w:tcPr>
            <w:tcW w:w="2256"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256"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181.56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8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205</w:t>
            </w:r>
          </w:p>
        </w:tc>
        <w:tc>
          <w:tcPr>
            <w:tcW w:w="1435"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教育支出</w:t>
            </w:r>
          </w:p>
        </w:tc>
        <w:tc>
          <w:tcPr>
            <w:tcW w:w="2256"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73.44</w:t>
            </w:r>
          </w:p>
        </w:tc>
        <w:tc>
          <w:tcPr>
            <w:tcW w:w="2256"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256"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73.44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8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20502</w:t>
            </w:r>
          </w:p>
        </w:tc>
        <w:tc>
          <w:tcPr>
            <w:tcW w:w="1435"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普通教育</w:t>
            </w:r>
          </w:p>
        </w:tc>
        <w:tc>
          <w:tcPr>
            <w:tcW w:w="2256"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73.44</w:t>
            </w:r>
          </w:p>
        </w:tc>
        <w:tc>
          <w:tcPr>
            <w:tcW w:w="2256"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256"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73.44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8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2050202</w:t>
            </w:r>
          </w:p>
        </w:tc>
        <w:tc>
          <w:tcPr>
            <w:tcW w:w="1435"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小学教育</w:t>
            </w:r>
          </w:p>
        </w:tc>
        <w:tc>
          <w:tcPr>
            <w:tcW w:w="2256"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73.44</w:t>
            </w:r>
          </w:p>
        </w:tc>
        <w:tc>
          <w:tcPr>
            <w:tcW w:w="2256"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256"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73.44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8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207</w:t>
            </w:r>
          </w:p>
        </w:tc>
        <w:tc>
          <w:tcPr>
            <w:tcW w:w="1435"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文化旅游体育与传媒支出</w:t>
            </w:r>
          </w:p>
        </w:tc>
        <w:tc>
          <w:tcPr>
            <w:tcW w:w="2256"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1.50</w:t>
            </w:r>
          </w:p>
        </w:tc>
        <w:tc>
          <w:tcPr>
            <w:tcW w:w="2256"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256"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1.50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8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20701</w:t>
            </w:r>
          </w:p>
        </w:tc>
        <w:tc>
          <w:tcPr>
            <w:tcW w:w="1435"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文化和旅游</w:t>
            </w:r>
          </w:p>
        </w:tc>
        <w:tc>
          <w:tcPr>
            <w:tcW w:w="2256"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1.50</w:t>
            </w:r>
          </w:p>
        </w:tc>
        <w:tc>
          <w:tcPr>
            <w:tcW w:w="2256"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256"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1.50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8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2070109</w:t>
            </w:r>
          </w:p>
        </w:tc>
        <w:tc>
          <w:tcPr>
            <w:tcW w:w="1435"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群众文化</w:t>
            </w:r>
          </w:p>
        </w:tc>
        <w:tc>
          <w:tcPr>
            <w:tcW w:w="2256"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1.50</w:t>
            </w:r>
          </w:p>
        </w:tc>
        <w:tc>
          <w:tcPr>
            <w:tcW w:w="2256"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256"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1.50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8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w:t>
            </w:r>
          </w:p>
        </w:tc>
        <w:tc>
          <w:tcPr>
            <w:tcW w:w="1435"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社会保障和就业支出</w:t>
            </w:r>
          </w:p>
        </w:tc>
        <w:tc>
          <w:tcPr>
            <w:tcW w:w="2256"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101.46</w:t>
            </w:r>
          </w:p>
        </w:tc>
        <w:tc>
          <w:tcPr>
            <w:tcW w:w="2256"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89.40</w:t>
            </w:r>
          </w:p>
        </w:tc>
        <w:tc>
          <w:tcPr>
            <w:tcW w:w="2256"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12.06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8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w:t>
            </w:r>
          </w:p>
        </w:tc>
        <w:tc>
          <w:tcPr>
            <w:tcW w:w="1435"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行政事业单位养老支出</w:t>
            </w:r>
          </w:p>
        </w:tc>
        <w:tc>
          <w:tcPr>
            <w:tcW w:w="2256"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89.40</w:t>
            </w:r>
          </w:p>
        </w:tc>
        <w:tc>
          <w:tcPr>
            <w:tcW w:w="2256"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89.40</w:t>
            </w:r>
          </w:p>
        </w:tc>
        <w:tc>
          <w:tcPr>
            <w:tcW w:w="2256"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8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2080501</w:t>
            </w:r>
          </w:p>
        </w:tc>
        <w:tc>
          <w:tcPr>
            <w:tcW w:w="1435"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行政单位离退休</w:t>
            </w:r>
          </w:p>
        </w:tc>
        <w:tc>
          <w:tcPr>
            <w:tcW w:w="2256"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9.40</w:t>
            </w:r>
          </w:p>
        </w:tc>
        <w:tc>
          <w:tcPr>
            <w:tcW w:w="2256"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9.40</w:t>
            </w:r>
          </w:p>
        </w:tc>
        <w:tc>
          <w:tcPr>
            <w:tcW w:w="2256"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8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2080505</w:t>
            </w:r>
          </w:p>
        </w:tc>
        <w:tc>
          <w:tcPr>
            <w:tcW w:w="1435"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机关事业单位基本养老保险缴费支出</w:t>
            </w:r>
          </w:p>
        </w:tc>
        <w:tc>
          <w:tcPr>
            <w:tcW w:w="2256"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80.00</w:t>
            </w:r>
          </w:p>
        </w:tc>
        <w:tc>
          <w:tcPr>
            <w:tcW w:w="2256"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80.00</w:t>
            </w:r>
          </w:p>
        </w:tc>
        <w:tc>
          <w:tcPr>
            <w:tcW w:w="2256"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8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20809</w:t>
            </w:r>
          </w:p>
        </w:tc>
        <w:tc>
          <w:tcPr>
            <w:tcW w:w="1435"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退役安置</w:t>
            </w:r>
          </w:p>
        </w:tc>
        <w:tc>
          <w:tcPr>
            <w:tcW w:w="2256"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12.06</w:t>
            </w:r>
          </w:p>
        </w:tc>
        <w:tc>
          <w:tcPr>
            <w:tcW w:w="2256"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256"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12.06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8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2080901</w:t>
            </w:r>
          </w:p>
        </w:tc>
        <w:tc>
          <w:tcPr>
            <w:tcW w:w="1435"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退役士兵安置</w:t>
            </w:r>
          </w:p>
        </w:tc>
        <w:tc>
          <w:tcPr>
            <w:tcW w:w="2256"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12.06</w:t>
            </w:r>
          </w:p>
        </w:tc>
        <w:tc>
          <w:tcPr>
            <w:tcW w:w="2256"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256"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12.06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8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w:t>
            </w:r>
          </w:p>
        </w:tc>
        <w:tc>
          <w:tcPr>
            <w:tcW w:w="1435"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卫生健康支出</w:t>
            </w:r>
          </w:p>
        </w:tc>
        <w:tc>
          <w:tcPr>
            <w:tcW w:w="2256"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51.02</w:t>
            </w:r>
          </w:p>
        </w:tc>
        <w:tc>
          <w:tcPr>
            <w:tcW w:w="2256"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51.02</w:t>
            </w:r>
          </w:p>
        </w:tc>
        <w:tc>
          <w:tcPr>
            <w:tcW w:w="2256"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8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w:t>
            </w:r>
          </w:p>
        </w:tc>
        <w:tc>
          <w:tcPr>
            <w:tcW w:w="1435"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行政事业单位医疗</w:t>
            </w:r>
          </w:p>
        </w:tc>
        <w:tc>
          <w:tcPr>
            <w:tcW w:w="2256"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51.02</w:t>
            </w:r>
          </w:p>
        </w:tc>
        <w:tc>
          <w:tcPr>
            <w:tcW w:w="2256"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51.02</w:t>
            </w:r>
          </w:p>
        </w:tc>
        <w:tc>
          <w:tcPr>
            <w:tcW w:w="2256"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8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2101101</w:t>
            </w:r>
          </w:p>
        </w:tc>
        <w:tc>
          <w:tcPr>
            <w:tcW w:w="1435"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行政单位医疗</w:t>
            </w:r>
          </w:p>
        </w:tc>
        <w:tc>
          <w:tcPr>
            <w:tcW w:w="2256"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51.02</w:t>
            </w:r>
          </w:p>
        </w:tc>
        <w:tc>
          <w:tcPr>
            <w:tcW w:w="2256"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51.02</w:t>
            </w:r>
          </w:p>
        </w:tc>
        <w:tc>
          <w:tcPr>
            <w:tcW w:w="2256"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8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w:t>
            </w:r>
          </w:p>
        </w:tc>
        <w:tc>
          <w:tcPr>
            <w:tcW w:w="1435"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城乡社区支出</w:t>
            </w:r>
          </w:p>
        </w:tc>
        <w:tc>
          <w:tcPr>
            <w:tcW w:w="2256"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403.03</w:t>
            </w:r>
          </w:p>
        </w:tc>
        <w:tc>
          <w:tcPr>
            <w:tcW w:w="2256"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256"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403.03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8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21201</w:t>
            </w:r>
          </w:p>
        </w:tc>
        <w:tc>
          <w:tcPr>
            <w:tcW w:w="1435"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城乡社区管理事务</w:t>
            </w:r>
          </w:p>
        </w:tc>
        <w:tc>
          <w:tcPr>
            <w:tcW w:w="2256"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7.68</w:t>
            </w:r>
          </w:p>
        </w:tc>
        <w:tc>
          <w:tcPr>
            <w:tcW w:w="2256"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256"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7.68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8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2120104</w:t>
            </w:r>
          </w:p>
        </w:tc>
        <w:tc>
          <w:tcPr>
            <w:tcW w:w="1435"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城管执法</w:t>
            </w:r>
          </w:p>
        </w:tc>
        <w:tc>
          <w:tcPr>
            <w:tcW w:w="2256"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7.68</w:t>
            </w:r>
          </w:p>
        </w:tc>
        <w:tc>
          <w:tcPr>
            <w:tcW w:w="2256"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256"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7.68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8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21202</w:t>
            </w:r>
          </w:p>
        </w:tc>
        <w:tc>
          <w:tcPr>
            <w:tcW w:w="1435"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城乡社区规划与管理</w:t>
            </w:r>
          </w:p>
        </w:tc>
        <w:tc>
          <w:tcPr>
            <w:tcW w:w="2256"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67.95</w:t>
            </w:r>
          </w:p>
        </w:tc>
        <w:tc>
          <w:tcPr>
            <w:tcW w:w="2256"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256"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67.95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8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2120201</w:t>
            </w:r>
          </w:p>
        </w:tc>
        <w:tc>
          <w:tcPr>
            <w:tcW w:w="1435"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城乡社区规划与管理</w:t>
            </w:r>
          </w:p>
        </w:tc>
        <w:tc>
          <w:tcPr>
            <w:tcW w:w="2256"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67.95</w:t>
            </w:r>
          </w:p>
        </w:tc>
        <w:tc>
          <w:tcPr>
            <w:tcW w:w="2256"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256"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67.95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8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21203</w:t>
            </w:r>
          </w:p>
        </w:tc>
        <w:tc>
          <w:tcPr>
            <w:tcW w:w="1435"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城乡社区公共设施</w:t>
            </w:r>
          </w:p>
        </w:tc>
        <w:tc>
          <w:tcPr>
            <w:tcW w:w="2256"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188.04</w:t>
            </w:r>
          </w:p>
        </w:tc>
        <w:tc>
          <w:tcPr>
            <w:tcW w:w="2256"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256"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188.04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8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2120303</w:t>
            </w:r>
          </w:p>
        </w:tc>
        <w:tc>
          <w:tcPr>
            <w:tcW w:w="1435"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小城镇基础设施建设</w:t>
            </w:r>
          </w:p>
        </w:tc>
        <w:tc>
          <w:tcPr>
            <w:tcW w:w="2256"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188.04</w:t>
            </w:r>
          </w:p>
        </w:tc>
        <w:tc>
          <w:tcPr>
            <w:tcW w:w="2256"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256"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188.04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8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21205</w:t>
            </w:r>
          </w:p>
        </w:tc>
        <w:tc>
          <w:tcPr>
            <w:tcW w:w="1435"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城乡社区环境卫生</w:t>
            </w:r>
          </w:p>
        </w:tc>
        <w:tc>
          <w:tcPr>
            <w:tcW w:w="2256"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139.37</w:t>
            </w:r>
          </w:p>
        </w:tc>
        <w:tc>
          <w:tcPr>
            <w:tcW w:w="2256"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256"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139.37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8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2120501</w:t>
            </w:r>
          </w:p>
        </w:tc>
        <w:tc>
          <w:tcPr>
            <w:tcW w:w="1435"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城乡社区环境卫生</w:t>
            </w:r>
          </w:p>
        </w:tc>
        <w:tc>
          <w:tcPr>
            <w:tcW w:w="2256"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139.37</w:t>
            </w:r>
          </w:p>
        </w:tc>
        <w:tc>
          <w:tcPr>
            <w:tcW w:w="2256"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256"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139.37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8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213</w:t>
            </w:r>
          </w:p>
        </w:tc>
        <w:tc>
          <w:tcPr>
            <w:tcW w:w="1435"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农林水支出</w:t>
            </w:r>
          </w:p>
        </w:tc>
        <w:tc>
          <w:tcPr>
            <w:tcW w:w="2256"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30.50</w:t>
            </w:r>
          </w:p>
        </w:tc>
        <w:tc>
          <w:tcPr>
            <w:tcW w:w="2256"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256"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30.50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8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21303</w:t>
            </w:r>
          </w:p>
        </w:tc>
        <w:tc>
          <w:tcPr>
            <w:tcW w:w="1435"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水利</w:t>
            </w:r>
          </w:p>
        </w:tc>
        <w:tc>
          <w:tcPr>
            <w:tcW w:w="2256"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30.50</w:t>
            </w:r>
          </w:p>
        </w:tc>
        <w:tc>
          <w:tcPr>
            <w:tcW w:w="2256"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256"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30.50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8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2130304</w:t>
            </w:r>
          </w:p>
        </w:tc>
        <w:tc>
          <w:tcPr>
            <w:tcW w:w="1435"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水利行业业务管理</w:t>
            </w:r>
          </w:p>
        </w:tc>
        <w:tc>
          <w:tcPr>
            <w:tcW w:w="2256"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15.00</w:t>
            </w:r>
          </w:p>
        </w:tc>
        <w:tc>
          <w:tcPr>
            <w:tcW w:w="2256"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256"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15.00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8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2130314</w:t>
            </w:r>
          </w:p>
        </w:tc>
        <w:tc>
          <w:tcPr>
            <w:tcW w:w="1435"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防汛</w:t>
            </w:r>
          </w:p>
        </w:tc>
        <w:tc>
          <w:tcPr>
            <w:tcW w:w="2256"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15.50</w:t>
            </w:r>
          </w:p>
        </w:tc>
        <w:tc>
          <w:tcPr>
            <w:tcW w:w="2256"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256"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15.50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8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w:t>
            </w:r>
          </w:p>
        </w:tc>
        <w:tc>
          <w:tcPr>
            <w:tcW w:w="1435"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住房保障支出</w:t>
            </w:r>
          </w:p>
        </w:tc>
        <w:tc>
          <w:tcPr>
            <w:tcW w:w="2256"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75.88</w:t>
            </w:r>
          </w:p>
        </w:tc>
        <w:tc>
          <w:tcPr>
            <w:tcW w:w="2256"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75.88</w:t>
            </w:r>
          </w:p>
        </w:tc>
        <w:tc>
          <w:tcPr>
            <w:tcW w:w="2256"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8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w:t>
            </w:r>
          </w:p>
        </w:tc>
        <w:tc>
          <w:tcPr>
            <w:tcW w:w="1435"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住房改革支出</w:t>
            </w:r>
          </w:p>
        </w:tc>
        <w:tc>
          <w:tcPr>
            <w:tcW w:w="2256"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75.88</w:t>
            </w:r>
          </w:p>
        </w:tc>
        <w:tc>
          <w:tcPr>
            <w:tcW w:w="2256"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75.88</w:t>
            </w:r>
          </w:p>
        </w:tc>
        <w:tc>
          <w:tcPr>
            <w:tcW w:w="2256"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8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2210201</w:t>
            </w:r>
          </w:p>
        </w:tc>
        <w:tc>
          <w:tcPr>
            <w:tcW w:w="1435"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住房公积金</w:t>
            </w:r>
          </w:p>
        </w:tc>
        <w:tc>
          <w:tcPr>
            <w:tcW w:w="2256"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75.88</w:t>
            </w:r>
          </w:p>
        </w:tc>
        <w:tc>
          <w:tcPr>
            <w:tcW w:w="2256"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75.88</w:t>
            </w:r>
          </w:p>
        </w:tc>
        <w:tc>
          <w:tcPr>
            <w:tcW w:w="2256"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9092" w:type="dxa"/>
            <w:gridSpan w:val="7"/>
            <w:tcBorders>
              <w:top w:val="single" w:color="auto" w:sz="4" w:space="0"/>
              <w:left w:val="nil"/>
              <w:bottom w:val="nil"/>
              <w:right w:val="nil"/>
            </w:tcBorders>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注：本表反映部门本年度一般公共预算财政拨款支出情况。</w:t>
            </w:r>
          </w:p>
        </w:tc>
      </w:tr>
    </w:tbl>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t>备注：无内容应公开空表并说明情况。</w:t>
      </w:r>
    </w:p>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11338" w:type="dxa"/>
        <w:tblInd w:w="-161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964"/>
        <w:gridCol w:w="1814"/>
        <w:gridCol w:w="1020"/>
        <w:gridCol w:w="964"/>
        <w:gridCol w:w="438"/>
        <w:gridCol w:w="1376"/>
        <w:gridCol w:w="587"/>
        <w:gridCol w:w="377"/>
        <w:gridCol w:w="964"/>
        <w:gridCol w:w="1814"/>
        <w:gridCol w:w="102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24" w:hRule="atLeast"/>
        </w:trPr>
        <w:tc>
          <w:tcPr>
            <w:tcW w:w="11338" w:type="dxa"/>
            <w:gridSpan w:val="11"/>
            <w:tcBorders>
              <w:top w:val="nil"/>
              <w:left w:val="nil"/>
              <w:bottom w:val="nil"/>
              <w:right w:val="nil"/>
            </w:tcBorders>
            <w:noWrap/>
            <w:vAlign w:val="bottom"/>
          </w:tcPr>
          <w:p>
            <w:pPr>
              <w:keepNext w:val="0"/>
              <w:keepLines w:val="0"/>
              <w:widowControl/>
              <w:suppressLineNumbers w:val="0"/>
              <w:jc w:val="center"/>
              <w:textAlignment w:val="bottom"/>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一般公共预算财政拨款基本支出决算表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11338" w:type="dxa"/>
            <w:gridSpan w:val="11"/>
            <w:tcBorders>
              <w:top w:val="nil"/>
              <w:left w:val="nil"/>
              <w:bottom w:val="nil"/>
              <w:right w:val="nil"/>
            </w:tcBorders>
            <w:noWrap/>
            <w:vAlign w:val="bottom"/>
          </w:tcPr>
          <w:p>
            <w:pPr>
              <w:keepNext w:val="0"/>
              <w:keepLines w:val="0"/>
              <w:widowControl/>
              <w:suppressLineNumbers w:val="0"/>
              <w:jc w:val="right"/>
              <w:textAlignment w:val="bottom"/>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公开</w:t>
            </w:r>
            <w:r>
              <w:rPr>
                <w:rFonts w:hint="default" w:ascii="Times New Roman" w:hAnsi="Times New Roman" w:eastAsia="方正仿宋_GB2312" w:cs="Times New Roman"/>
                <w:i w:val="0"/>
                <w:iCs w:val="0"/>
                <w:color w:val="000000"/>
                <w:kern w:val="0"/>
                <w:sz w:val="18"/>
                <w:szCs w:val="18"/>
                <w:highlight w:val="none"/>
                <w:u w:val="none"/>
                <w:lang w:val="en-US" w:eastAsia="zh-CN" w:bidi="ar"/>
              </w:rPr>
              <w:t>06</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5200" w:type="dxa"/>
            <w:gridSpan w:val="5"/>
            <w:tcBorders>
              <w:top w:val="nil"/>
              <w:left w:val="nil"/>
              <w:bottom w:val="single" w:color="auto" w:sz="4" w:space="0"/>
              <w:right w:val="nil"/>
            </w:tcBorders>
            <w:noWrap/>
            <w:vAlign w:val="bottom"/>
          </w:tcPr>
          <w:p>
            <w:pP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编制部门（单位）：</w:t>
            </w:r>
            <w:r>
              <w:rPr>
                <w:rFonts w:hint="eastAsia" w:ascii="仿宋" w:hAnsi="仿宋" w:eastAsia="仿宋" w:cs="仿宋"/>
                <w:i w:val="0"/>
                <w:iCs w:val="0"/>
                <w:color w:val="000000"/>
                <w:kern w:val="0"/>
                <w:sz w:val="20"/>
                <w:szCs w:val="20"/>
                <w:highlight w:val="none"/>
                <w:u w:val="none"/>
                <w:lang w:val="en-US" w:eastAsia="zh-CN" w:bidi="ar"/>
              </w:rPr>
              <w:t xml:space="preserve">石家庄市鹿泉区上寨乡人民政府(本级)  </w:t>
            </w:r>
            <w:r>
              <w:rPr>
                <w:rFonts w:hint="eastAsia" w:asciiTheme="minorEastAsia" w:hAnsiTheme="minorEastAsia" w:cstheme="minorEastAsia"/>
                <w:i w:val="0"/>
                <w:iCs w:val="0"/>
                <w:color w:val="000000"/>
                <w:kern w:val="0"/>
                <w:sz w:val="18"/>
                <w:szCs w:val="18"/>
                <w:highlight w:val="none"/>
                <w:u w:val="none"/>
                <w:lang w:val="en-US" w:eastAsia="zh-CN" w:bidi="ar"/>
              </w:rPr>
              <w:t xml:space="preserve">                                                                  </w:t>
            </w:r>
          </w:p>
        </w:tc>
        <w:tc>
          <w:tcPr>
            <w:tcW w:w="1963" w:type="dxa"/>
            <w:gridSpan w:val="2"/>
            <w:tcBorders>
              <w:top w:val="nil"/>
              <w:left w:val="nil"/>
              <w:bottom w:val="single" w:color="auto" w:sz="4" w:space="0"/>
              <w:right w:val="nil"/>
            </w:tcBorders>
            <w:noWrap/>
            <w:vAlign w:val="bottom"/>
          </w:tcPr>
          <w:p>
            <w:pPr>
              <w:jc w:val="center"/>
              <w:rPr>
                <w:rFonts w:hint="default" w:asciiTheme="minorEastAsia" w:hAnsiTheme="minorEastAsia" w:eastAsiaTheme="minorEastAsia" w:cstheme="minorEastAsia"/>
                <w:i w:val="0"/>
                <w:iCs w:val="0"/>
                <w:color w:val="000000"/>
                <w:kern w:val="0"/>
                <w:sz w:val="18"/>
                <w:szCs w:val="18"/>
                <w:highlight w:val="none"/>
                <w:u w:val="none"/>
                <w:lang w:val="en-US" w:eastAsia="zh-CN" w:bidi="ar"/>
              </w:rPr>
            </w:pPr>
            <w:r>
              <w:rPr>
                <w:rFonts w:hint="eastAsia" w:asciiTheme="minorEastAsia" w:hAnsiTheme="minorEastAsia" w:cstheme="minorEastAsia"/>
                <w:i w:val="0"/>
                <w:iCs w:val="0"/>
                <w:color w:val="000000"/>
                <w:kern w:val="0"/>
                <w:sz w:val="18"/>
                <w:szCs w:val="18"/>
                <w:highlight w:val="none"/>
                <w:u w:val="none"/>
                <w:lang w:val="en-US" w:eastAsia="zh-CN" w:bidi="ar"/>
              </w:rPr>
              <w:t>2023</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年度</w:t>
            </w:r>
          </w:p>
        </w:tc>
        <w:tc>
          <w:tcPr>
            <w:tcW w:w="4175" w:type="dxa"/>
            <w:gridSpan w:val="4"/>
            <w:tcBorders>
              <w:top w:val="nil"/>
              <w:left w:val="nil"/>
              <w:bottom w:val="single" w:color="auto" w:sz="4" w:space="0"/>
              <w:right w:val="nil"/>
            </w:tcBorders>
            <w:noWrap/>
            <w:vAlign w:val="bottom"/>
          </w:tcPr>
          <w:p>
            <w:pPr>
              <w:jc w:val="right"/>
              <w:rPr>
                <w:rFonts w:hint="default" w:asciiTheme="minorEastAsia" w:hAnsiTheme="minorEastAsia" w:eastAsiaTheme="minorEastAsia" w:cstheme="minorEastAsia"/>
                <w:i w:val="0"/>
                <w:iCs w:val="0"/>
                <w:color w:val="000000"/>
                <w:kern w:val="0"/>
                <w:sz w:val="18"/>
                <w:szCs w:val="18"/>
                <w:highlight w:val="none"/>
                <w:u w:val="none"/>
                <w:lang w:val="en-US" w:eastAsia="zh-CN" w:bidi="ar"/>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3798" w:type="dxa"/>
            <w:gridSpan w:val="3"/>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人员经费</w:t>
            </w:r>
          </w:p>
        </w:tc>
        <w:tc>
          <w:tcPr>
            <w:tcW w:w="7540" w:type="dxa"/>
            <w:gridSpan w:val="8"/>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公用经费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科目代码</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1020"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c>
          <w:tcPr>
            <w:tcW w:w="964" w:type="dxa"/>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eastAsia="zh-CN"/>
              </w:rPr>
            </w:pPr>
            <w:r>
              <w:rPr>
                <w:rFonts w:hint="eastAsia" w:ascii="方正仿宋_GB2312" w:hAnsi="方正仿宋_GB2312" w:eastAsia="方正仿宋_GB2312" w:cs="方正仿宋_GB2312"/>
                <w:i w:val="0"/>
                <w:iCs w:val="0"/>
                <w:color w:val="000000"/>
                <w:sz w:val="18"/>
                <w:szCs w:val="18"/>
                <w:highlight w:val="none"/>
                <w:u w:val="none"/>
                <w:lang w:val="en-US" w:eastAsia="zh-CN"/>
              </w:rPr>
              <w:t>科目代码</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c>
          <w:tcPr>
            <w:tcW w:w="964" w:type="dxa"/>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eastAsia="zh-CN"/>
              </w:rPr>
            </w:pPr>
            <w:r>
              <w:rPr>
                <w:rFonts w:hint="eastAsia" w:ascii="方正仿宋_GB2312" w:hAnsi="方正仿宋_GB2312" w:eastAsia="方正仿宋_GB2312" w:cs="方正仿宋_GB2312"/>
                <w:i w:val="0"/>
                <w:iCs w:val="0"/>
                <w:color w:val="000000"/>
                <w:sz w:val="18"/>
                <w:szCs w:val="18"/>
                <w:highlight w:val="none"/>
                <w:u w:val="none"/>
                <w:lang w:val="en-US" w:eastAsia="zh-CN"/>
              </w:rPr>
              <w:t>科目代码</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1020"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工资福利支出</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747.51</w:t>
            </w: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商品和服务支出</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177.04</w:t>
            </w: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债务利息及费用支出</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30101</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基本工资</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155.95</w:t>
            </w: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30201</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办公费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4.56</w:t>
            </w: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30701</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国内债务付息</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30102</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津贴补贴</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128.02</w:t>
            </w: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30202</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印刷费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1.19</w:t>
            </w: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30702</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国外债务付息</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30103</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奖金</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172.12</w:t>
            </w: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30203</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咨询费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资本性支出</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30106</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伙食补助费</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30204</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手续费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31001</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房屋建筑物购建</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30107</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绩效工资</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82.12</w:t>
            </w: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30205</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水费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31002</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办公设备购置</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30108</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机关事业单位基本养老保险缴费</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80.00</w:t>
            </w: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30206</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电费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7.61</w:t>
            </w: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31003</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专用设备购置</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30109</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职业年金缴费</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30207</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邮电费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13.38</w:t>
            </w: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31005</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基础设施建设</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30110</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职工基本医疗保险缴费</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32.60</w:t>
            </w: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30208</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取暖费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2.00</w:t>
            </w: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31006</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大型修缮</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30111</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公务员医疗补助缴费</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18.39</w:t>
            </w: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30209</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物业管理费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1.38</w:t>
            </w: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31007</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信息网络及软件购置更新</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30112</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其他社会保障缴费</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2.43</w:t>
            </w: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30211</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差旅费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3.20</w:t>
            </w: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31008</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物资储备</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30113</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住房公积金</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75.88</w:t>
            </w: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30212</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因公出国（境）费用</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31009</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土地补偿</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30114</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医疗费</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30213</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维修（护）费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2.86</w:t>
            </w: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31010</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安置补助</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30199</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其他工资福利支出</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30214</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租赁费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31011</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地上附着物和青苗补偿</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对个人和家庭的补助</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9.35</w:t>
            </w: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30215</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会议费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31012</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拆迁补偿</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30301</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离休费</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30216</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培训费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31013</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30302</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退休费</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9.33</w:t>
            </w: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30217</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31019</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其他交通工具购置</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30303</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退职（役）费</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30218</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专用材料费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31021</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文物和陈列品购置</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30304</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抚恤金</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30224</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被装购置费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31022</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无形资产购置</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30305</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生活补助</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30225</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专用燃料费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31099</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其他资本性支出</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30306</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救济费</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30226</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劳务费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6.76</w:t>
            </w: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对企业补助</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30307</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医疗费补助</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30227</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委托业务费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96.96</w:t>
            </w: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31201</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资本金注入</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30308</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助学金</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30228</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工会经费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3.10</w:t>
            </w: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31203</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政府投资基金股权投资</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30309</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奖励金</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0.02</w:t>
            </w: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30229</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福利费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3.45</w:t>
            </w: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31204</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费用补贴</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30310</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个人农业生产补贴</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30231</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5.36</w:t>
            </w: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31205</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利息补贴</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30311</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代缴社会保险费</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30239</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其他交通费用</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25.15</w:t>
            </w: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31299</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其他对企业补助</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30399</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其他对个人和家庭的补助</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30240</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税金及附加费用</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其他支出</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jc w:val="center"/>
              <w:rPr>
                <w:rFonts w:hint="eastAsia" w:asciiTheme="minorEastAsia" w:hAnsiTheme="minorEastAsia" w:eastAsiaTheme="minorEastAsia" w:cstheme="minorEastAsia"/>
                <w:i w:val="0"/>
                <w:iCs w:val="0"/>
                <w:color w:val="000000"/>
                <w:sz w:val="18"/>
                <w:szCs w:val="18"/>
                <w:highlight w:val="none"/>
                <w:u w:val="none"/>
              </w:rPr>
            </w:pPr>
          </w:p>
        </w:tc>
        <w:tc>
          <w:tcPr>
            <w:tcW w:w="1814"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1020" w:type="dxa"/>
            <w:tcBorders>
              <w:top w:val="single" w:color="auto" w:sz="4" w:space="0"/>
              <w:left w:val="single" w:color="auto" w:sz="4" w:space="0"/>
              <w:bottom w:val="single" w:color="auto" w:sz="4" w:space="0"/>
              <w:right w:val="single" w:color="auto" w:sz="4" w:space="0"/>
            </w:tcBorders>
            <w:noWrap/>
            <w:vAlign w:val="center"/>
          </w:tcPr>
          <w:p>
            <w:pPr>
              <w:jc w:val="lef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30299</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其他商品和服务支出</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0.07</w:t>
            </w: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39907</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国家赔偿费用支出</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jc w:val="center"/>
              <w:rPr>
                <w:rFonts w:hint="eastAsia" w:asciiTheme="minorEastAsia" w:hAnsiTheme="minorEastAsia" w:eastAsiaTheme="minorEastAsia" w:cstheme="minorEastAsia"/>
                <w:i w:val="0"/>
                <w:iCs w:val="0"/>
                <w:color w:val="000000"/>
                <w:sz w:val="18"/>
                <w:szCs w:val="18"/>
                <w:highlight w:val="none"/>
                <w:u w:val="none"/>
              </w:rPr>
            </w:pPr>
          </w:p>
        </w:tc>
        <w:tc>
          <w:tcPr>
            <w:tcW w:w="1814"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1020"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lef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39908</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对民间非营利组织和群众性自治组织补贴</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jc w:val="center"/>
              <w:rPr>
                <w:rFonts w:hint="eastAsia" w:asciiTheme="minorEastAsia" w:hAnsiTheme="minorEastAsia" w:eastAsiaTheme="minorEastAsia" w:cstheme="minorEastAsia"/>
                <w:i w:val="0"/>
                <w:iCs w:val="0"/>
                <w:color w:val="000000"/>
                <w:sz w:val="18"/>
                <w:szCs w:val="18"/>
                <w:highlight w:val="none"/>
                <w:u w:val="none"/>
              </w:rPr>
            </w:pPr>
          </w:p>
        </w:tc>
        <w:tc>
          <w:tcPr>
            <w:tcW w:w="1814"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1020"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lef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39909</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经常性赠与</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jc w:val="center"/>
              <w:rPr>
                <w:rFonts w:hint="eastAsia" w:asciiTheme="minorEastAsia" w:hAnsiTheme="minorEastAsia" w:eastAsiaTheme="minorEastAsia" w:cstheme="minorEastAsia"/>
                <w:i w:val="0"/>
                <w:iCs w:val="0"/>
                <w:color w:val="000000"/>
                <w:sz w:val="18"/>
                <w:szCs w:val="18"/>
                <w:highlight w:val="none"/>
                <w:u w:val="none"/>
              </w:rPr>
            </w:pPr>
          </w:p>
        </w:tc>
        <w:tc>
          <w:tcPr>
            <w:tcW w:w="1814"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1020"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lef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39910</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资本性赠与</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jc w:val="center"/>
              <w:rPr>
                <w:rFonts w:hint="eastAsia" w:asciiTheme="minorEastAsia" w:hAnsiTheme="minorEastAsia" w:eastAsiaTheme="minorEastAsia" w:cstheme="minorEastAsia"/>
                <w:i w:val="0"/>
                <w:iCs w:val="0"/>
                <w:color w:val="000000"/>
                <w:sz w:val="18"/>
                <w:szCs w:val="18"/>
                <w:highlight w:val="none"/>
                <w:u w:val="none"/>
              </w:rPr>
            </w:pPr>
          </w:p>
        </w:tc>
        <w:tc>
          <w:tcPr>
            <w:tcW w:w="1814"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1020"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lef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39999</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其他支出</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2778" w:type="dxa"/>
            <w:gridSpan w:val="2"/>
            <w:tcBorders>
              <w:top w:val="single" w:color="auto" w:sz="4" w:space="0"/>
              <w:left w:val="single" w:color="auto" w:sz="4" w:space="0"/>
              <w:bottom w:val="single" w:color="auto" w:sz="4" w:space="0"/>
              <w:right w:val="single" w:color="auto" w:sz="4" w:space="0"/>
            </w:tcBorders>
            <w:noWrap/>
            <w:vAlign w:val="center"/>
          </w:tcPr>
          <w:p>
            <w:pPr>
              <w:jc w:val="center"/>
              <w:rPr>
                <w:rFonts w:hint="default" w:ascii="Times New Roman" w:hAnsi="Times New Roman" w:cs="Times New Roman" w:eastAsiaTheme="minorEastAsia"/>
                <w:sz w:val="18"/>
                <w:szCs w:val="18"/>
                <w:highlight w:val="none"/>
                <w:lang w:val="en-US" w:eastAsia="zh-CN"/>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人员经费合计</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sz w:val="18"/>
                <w:szCs w:val="18"/>
                <w:highlight w:val="none"/>
              </w:rPr>
            </w:pPr>
            <w:r>
              <w:rPr>
                <w:rFonts w:hint="default" w:ascii="Times New Roman" w:hAnsi="Times New Roman" w:cs="Times New Roman" w:eastAsiaTheme="minorEastAsia"/>
                <w:sz w:val="18"/>
                <w:szCs w:val="18"/>
                <w:highlight w:val="none"/>
              </w:rPr>
              <w:t>756.85</w:t>
            </w:r>
          </w:p>
        </w:tc>
        <w:tc>
          <w:tcPr>
            <w:tcW w:w="6520" w:type="dxa"/>
            <w:gridSpan w:val="7"/>
            <w:tcBorders>
              <w:top w:val="single" w:color="auto" w:sz="4" w:space="0"/>
              <w:left w:val="single" w:color="auto" w:sz="4" w:space="0"/>
              <w:bottom w:val="single" w:color="auto" w:sz="4" w:space="0"/>
              <w:right w:val="single" w:color="auto" w:sz="4" w:space="0"/>
            </w:tcBorders>
            <w:noWrap/>
            <w:vAlign w:val="center"/>
          </w:tcPr>
          <w:p>
            <w:pPr>
              <w:jc w:val="cente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公用经费合计</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177.04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11338" w:type="dxa"/>
            <w:gridSpan w:val="11"/>
            <w:tcBorders>
              <w:top w:val="single" w:color="auto" w:sz="4" w:space="0"/>
              <w:left w:val="nil"/>
              <w:bottom w:val="nil"/>
              <w:right w:val="nil"/>
            </w:tcBorders>
            <w:noWrap/>
            <w:vAlign w:val="center"/>
          </w:tcPr>
          <w:p>
            <w:pPr>
              <w:keepNext w:val="0"/>
              <w:keepLines w:val="0"/>
              <w:widowControl/>
              <w:suppressLineNumbers w:val="0"/>
              <w:jc w:val="left"/>
              <w:textAlignment w:val="cente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注：本表反映部门本年度一般公共预算财政拨款基本支出明细情况。</w:t>
            </w:r>
          </w:p>
        </w:tc>
      </w:tr>
    </w:tbl>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t>备注：无内容应公开空表并说明情况。</w:t>
      </w:r>
    </w:p>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p>
      <w:pPr>
        <w:keepNext w:val="0"/>
        <w:keepLines w:val="0"/>
        <w:pageBreakBefore w:val="0"/>
        <w:widowControl w:val="0"/>
        <w:kinsoku/>
        <w:wordWrap/>
        <w:overflowPunct/>
        <w:topLinePunct w:val="0"/>
        <w:autoSpaceDE/>
        <w:autoSpaceDN/>
        <w:bidi w:val="0"/>
        <w:adjustRightInd/>
        <w:snapToGrid/>
        <w:spacing w:line="240" w:lineRule="auto"/>
        <w:jc w:val="center"/>
        <w:textAlignment w:val="auto"/>
        <w:outlineLvl w:val="9"/>
        <w:rPr>
          <w:rFonts w:hint="eastAsia" w:ascii="仿宋_GB2312" w:hAnsi="宋体" w:eastAsia="仿宋_GB2312"/>
          <w:b/>
          <w:color w:val="auto"/>
          <w:kern w:val="0"/>
          <w:sz w:val="32"/>
          <w:szCs w:val="32"/>
          <w:highlight w:val="none"/>
        </w:rPr>
      </w:pPr>
    </w:p>
    <w:tbl>
      <w:tblPr>
        <w:tblStyle w:val="11"/>
        <w:tblW w:w="10480" w:type="dxa"/>
        <w:tblInd w:w="-1404"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260"/>
        <w:gridCol w:w="1474"/>
        <w:gridCol w:w="1306"/>
        <w:gridCol w:w="1027"/>
        <w:gridCol w:w="1107"/>
        <w:gridCol w:w="418"/>
        <w:gridCol w:w="702"/>
        <w:gridCol w:w="1146"/>
        <w:gridCol w:w="204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10480" w:type="dxa"/>
            <w:gridSpan w:val="9"/>
            <w:tcBorders>
              <w:top w:val="nil"/>
              <w:left w:val="nil"/>
              <w:bottom w:val="nil"/>
              <w:right w:val="nil"/>
            </w:tcBorders>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政府性基金预算财政拨款收入支出决算表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10480" w:type="dxa"/>
            <w:gridSpan w:val="9"/>
            <w:tcBorders>
              <w:top w:val="nil"/>
              <w:left w:val="nil"/>
              <w:bottom w:val="nil"/>
              <w:right w:val="nil"/>
            </w:tcBorders>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宋体" w:cs="Times New Roman"/>
                <w:i w:val="0"/>
                <w:iCs w:val="0"/>
                <w:color w:val="000000"/>
                <w:kern w:val="0"/>
                <w:sz w:val="20"/>
                <w:szCs w:val="20"/>
                <w:highlight w:val="none"/>
                <w:u w:val="none"/>
                <w:lang w:val="en-US" w:eastAsia="zh-CN" w:bidi="ar"/>
              </w:rPr>
              <w:t>07</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4040" w:type="dxa"/>
            <w:gridSpan w:val="3"/>
            <w:tcBorders>
              <w:top w:val="nil"/>
              <w:left w:val="nil"/>
              <w:bottom w:val="single" w:color="auto" w:sz="4" w:space="0"/>
              <w:right w:val="nil"/>
            </w:tcBorders>
            <w:noWrap/>
            <w:vAlign w:val="bottom"/>
          </w:tcPr>
          <w:p>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编制部门（单位）：</w:t>
            </w:r>
            <w:r>
              <w:rPr>
                <w:rFonts w:hint="eastAsia" w:ascii="仿宋" w:hAnsi="仿宋" w:eastAsia="仿宋" w:cs="仿宋"/>
                <w:i w:val="0"/>
                <w:iCs w:val="0"/>
                <w:color w:val="000000"/>
                <w:kern w:val="0"/>
                <w:sz w:val="20"/>
                <w:szCs w:val="20"/>
                <w:highlight w:val="none"/>
                <w:u w:val="none"/>
                <w:lang w:val="en-US" w:eastAsia="zh-CN" w:bidi="ar"/>
              </w:rPr>
              <w:t xml:space="preserve">石家庄市鹿泉区上寨乡人民政府(本级)     </w:t>
            </w:r>
            <w:r>
              <w:rPr>
                <w:rFonts w:hint="eastAsia" w:ascii="宋体" w:hAnsi="宋体" w:eastAsia="宋体" w:cs="宋体"/>
                <w:i w:val="0"/>
                <w:iCs w:val="0"/>
                <w:color w:val="000000"/>
                <w:kern w:val="0"/>
                <w:sz w:val="20"/>
                <w:szCs w:val="20"/>
                <w:highlight w:val="none"/>
                <w:u w:val="none"/>
                <w:lang w:val="en-US" w:eastAsia="zh-CN" w:bidi="ar"/>
              </w:rPr>
              <w:t xml:space="preserve">                                                                                 </w:t>
            </w:r>
          </w:p>
        </w:tc>
        <w:tc>
          <w:tcPr>
            <w:tcW w:w="2552" w:type="dxa"/>
            <w:gridSpan w:val="3"/>
            <w:tcBorders>
              <w:top w:val="nil"/>
              <w:left w:val="nil"/>
              <w:bottom w:val="single" w:color="auto" w:sz="4" w:space="0"/>
              <w:right w:val="nil"/>
            </w:tcBorders>
            <w:noWrap/>
            <w:vAlign w:val="bottom"/>
          </w:tcPr>
          <w:p>
            <w:pPr>
              <w:keepNext w:val="0"/>
              <w:keepLines w:val="0"/>
              <w:widowControl/>
              <w:suppressLineNumbers w:val="0"/>
              <w:jc w:val="center"/>
              <w:textAlignment w:val="bottom"/>
              <w:rPr>
                <w:rFonts w:hint="default" w:ascii="宋体" w:hAnsi="宋体" w:eastAsia="宋体" w:cs="宋体"/>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2023</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3888" w:type="dxa"/>
            <w:gridSpan w:val="3"/>
            <w:tcBorders>
              <w:top w:val="nil"/>
              <w:left w:val="nil"/>
              <w:bottom w:val="single" w:color="auto" w:sz="4" w:space="0"/>
              <w:right w:val="nil"/>
            </w:tcBorders>
            <w:noWrap/>
            <w:vAlign w:val="bottom"/>
          </w:tcPr>
          <w:p>
            <w:pPr>
              <w:keepNext w:val="0"/>
              <w:keepLines w:val="0"/>
              <w:widowControl/>
              <w:suppressLineNumbers w:val="0"/>
              <w:jc w:val="right"/>
              <w:textAlignment w:val="bottom"/>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2734" w:type="dxa"/>
            <w:gridSpan w:val="2"/>
            <w:tcBorders>
              <w:top w:val="single" w:color="auto"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1306" w:type="dxa"/>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年初结转和结余</w:t>
            </w:r>
          </w:p>
        </w:tc>
        <w:tc>
          <w:tcPr>
            <w:tcW w:w="1027" w:type="dxa"/>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本年收入</w:t>
            </w:r>
          </w:p>
        </w:tc>
        <w:tc>
          <w:tcPr>
            <w:tcW w:w="3373" w:type="dxa"/>
            <w:gridSpan w:val="4"/>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w:t>
            </w:r>
          </w:p>
        </w:tc>
        <w:tc>
          <w:tcPr>
            <w:tcW w:w="2040" w:type="dxa"/>
            <w:vMerge w:val="restart"/>
            <w:tcBorders>
              <w:top w:val="single" w:color="auto" w:sz="4" w:space="0"/>
              <w:left w:val="nil"/>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年末结转和结余</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260" w:type="dxa"/>
            <w:vMerge w:val="restart"/>
            <w:tcBorders>
              <w:top w:val="nil"/>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1474" w:type="dxa"/>
            <w:vMerge w:val="restar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1306"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07" w:type="dxa"/>
            <w:vMerge w:val="restar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小计</w:t>
            </w:r>
          </w:p>
        </w:tc>
        <w:tc>
          <w:tcPr>
            <w:tcW w:w="1120" w:type="dxa"/>
            <w:gridSpan w:val="2"/>
            <w:vMerge w:val="restar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1146" w:type="dxa"/>
            <w:vMerge w:val="restar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c>
          <w:tcPr>
            <w:tcW w:w="2040" w:type="dxa"/>
            <w:vMerge w:val="continue"/>
            <w:tcBorders>
              <w:left w:val="nil"/>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结转</w:t>
            </w:r>
          </w:p>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结余</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260" w:type="dxa"/>
            <w:vMerge w:val="continue"/>
            <w:tcBorders>
              <w:top w:val="nil"/>
              <w:left w:val="single" w:color="000000" w:sz="4" w:space="0"/>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474" w:type="dxa"/>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306"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07" w:type="dxa"/>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20" w:type="dxa"/>
            <w:gridSpan w:val="2"/>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46" w:type="dxa"/>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2040" w:type="dxa"/>
            <w:vMerge w:val="continue"/>
            <w:tcBorders>
              <w:left w:val="nil"/>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260" w:type="dxa"/>
            <w:vMerge w:val="continue"/>
            <w:tcBorders>
              <w:top w:val="nil"/>
              <w:left w:val="single" w:color="000000" w:sz="4" w:space="0"/>
              <w:bottom w:val="single" w:color="auto"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474" w:type="dxa"/>
            <w:vMerge w:val="continue"/>
            <w:tcBorders>
              <w:top w:val="nil"/>
              <w:left w:val="nil"/>
              <w:bottom w:val="single" w:color="auto"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306"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07" w:type="dxa"/>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20" w:type="dxa"/>
            <w:gridSpan w:val="2"/>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46" w:type="dxa"/>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2040" w:type="dxa"/>
            <w:vMerge w:val="continue"/>
            <w:tcBorders>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2734" w:type="dxa"/>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1306" w:type="dxa"/>
            <w:tcBorders>
              <w:top w:val="nil"/>
              <w:left w:val="single" w:color="auto"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1</w:t>
            </w:r>
          </w:p>
        </w:tc>
        <w:tc>
          <w:tcPr>
            <w:tcW w:w="1027"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2</w:t>
            </w:r>
          </w:p>
        </w:tc>
        <w:tc>
          <w:tcPr>
            <w:tcW w:w="1107"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3</w:t>
            </w:r>
          </w:p>
        </w:tc>
        <w:tc>
          <w:tcPr>
            <w:tcW w:w="1120"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4</w:t>
            </w:r>
          </w:p>
        </w:tc>
        <w:tc>
          <w:tcPr>
            <w:tcW w:w="1146"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5</w:t>
            </w:r>
          </w:p>
        </w:tc>
        <w:tc>
          <w:tcPr>
            <w:tcW w:w="2040"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lang w:val="en-US" w:eastAsia="zh-CN"/>
              </w:rPr>
            </w:pPr>
            <w:r>
              <w:rPr>
                <w:rFonts w:hint="default" w:ascii="Times New Roman" w:hAnsi="Times New Roman" w:eastAsia="方正仿宋_GB2312" w:cs="Times New Roman"/>
                <w:i w:val="0"/>
                <w:iCs w:val="0"/>
                <w:color w:val="000000"/>
                <w:sz w:val="20"/>
                <w:szCs w:val="20"/>
                <w:highlight w:val="none"/>
                <w:u w:val="none"/>
                <w:lang w:val="en-US" w:eastAsia="zh-CN"/>
              </w:rPr>
              <w:t>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9" w:hRule="atLeast"/>
        </w:trPr>
        <w:tc>
          <w:tcPr>
            <w:tcW w:w="2734" w:type="dxa"/>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1306" w:type="dxa"/>
            <w:tcBorders>
              <w:top w:val="nil"/>
              <w:left w:val="single" w:color="auto" w:sz="4" w:space="0"/>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35.00</w:t>
            </w:r>
          </w:p>
        </w:tc>
        <w:tc>
          <w:tcPr>
            <w:tcW w:w="110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35.00</w:t>
            </w:r>
          </w:p>
        </w:tc>
        <w:tc>
          <w:tcPr>
            <w:tcW w:w="1120"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4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35.00</w:t>
            </w:r>
          </w:p>
        </w:tc>
        <w:tc>
          <w:tcPr>
            <w:tcW w:w="2040"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26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w:t>
            </w:r>
          </w:p>
        </w:tc>
        <w:tc>
          <w:tcPr>
            <w:tcW w:w="1474"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城乡社区支出</w:t>
            </w:r>
          </w:p>
        </w:tc>
        <w:tc>
          <w:tcPr>
            <w:tcW w:w="130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35.00</w:t>
            </w:r>
          </w:p>
        </w:tc>
        <w:tc>
          <w:tcPr>
            <w:tcW w:w="110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35.00</w:t>
            </w:r>
          </w:p>
        </w:tc>
        <w:tc>
          <w:tcPr>
            <w:tcW w:w="1120"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4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35.00</w:t>
            </w:r>
          </w:p>
        </w:tc>
        <w:tc>
          <w:tcPr>
            <w:tcW w:w="2040"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26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21208</w:t>
            </w:r>
          </w:p>
        </w:tc>
        <w:tc>
          <w:tcPr>
            <w:tcW w:w="1474"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国有土地使用权出让收入安排的支出</w:t>
            </w:r>
          </w:p>
        </w:tc>
        <w:tc>
          <w:tcPr>
            <w:tcW w:w="130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35.00</w:t>
            </w:r>
          </w:p>
        </w:tc>
        <w:tc>
          <w:tcPr>
            <w:tcW w:w="110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35.00</w:t>
            </w:r>
          </w:p>
        </w:tc>
        <w:tc>
          <w:tcPr>
            <w:tcW w:w="1120"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4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35.00</w:t>
            </w:r>
          </w:p>
        </w:tc>
        <w:tc>
          <w:tcPr>
            <w:tcW w:w="2040"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26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2120804</w:t>
            </w:r>
          </w:p>
        </w:tc>
        <w:tc>
          <w:tcPr>
            <w:tcW w:w="1474"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农村基础设施建设支出</w:t>
            </w:r>
          </w:p>
        </w:tc>
        <w:tc>
          <w:tcPr>
            <w:tcW w:w="130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35.00</w:t>
            </w:r>
          </w:p>
        </w:tc>
        <w:tc>
          <w:tcPr>
            <w:tcW w:w="110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35.00</w:t>
            </w:r>
          </w:p>
        </w:tc>
        <w:tc>
          <w:tcPr>
            <w:tcW w:w="1120"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4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35.00</w:t>
            </w:r>
          </w:p>
        </w:tc>
        <w:tc>
          <w:tcPr>
            <w:tcW w:w="2040"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0480" w:type="dxa"/>
            <w:gridSpan w:val="9"/>
            <w:tcBorders>
              <w:top w:val="nil"/>
              <w:left w:val="nil"/>
              <w:bottom w:val="nil"/>
              <w:right w:val="nil"/>
            </w:tcBorders>
            <w:noWrap/>
            <w:vAlign w:val="center"/>
          </w:tcPr>
          <w:p>
            <w:pP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注：本表反映部门本年度政府性基金预算财政拨款收入、支出及结转和结余情况。（如无相关数据，则需注明空表列示）</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br w:type="page"/>
            </w:r>
          </w:p>
        </w:tc>
      </w:tr>
    </w:tbl>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t>备注：无内容应公开空表并说明情况。</w:t>
      </w:r>
    </w:p>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p>
      <w:pPr>
        <w:keepNext w:val="0"/>
        <w:keepLines w:val="0"/>
        <w:widowControl/>
        <w:suppressLineNumbers w:val="0"/>
        <w:jc w:val="center"/>
        <w:textAlignment w:val="bottom"/>
        <w:rPr>
          <w:rFonts w:hint="eastAsia" w:ascii="宋体" w:hAnsi="宋体" w:eastAsia="宋体" w:cs="宋体"/>
          <w:spacing w:val="-2"/>
          <w:sz w:val="20"/>
          <w:highlight w:val="none"/>
          <w:lang w:val="en-US" w:eastAsia="zh-CN"/>
        </w:rPr>
      </w:pPr>
    </w:p>
    <w:tbl>
      <w:tblPr>
        <w:tblStyle w:val="11"/>
        <w:tblW w:w="8750" w:type="dxa"/>
        <w:tblInd w:w="-709"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972"/>
        <w:gridCol w:w="1557"/>
        <w:gridCol w:w="1224"/>
        <w:gridCol w:w="1332"/>
        <w:gridCol w:w="5"/>
        <w:gridCol w:w="47"/>
        <w:gridCol w:w="1281"/>
        <w:gridCol w:w="10"/>
        <w:gridCol w:w="1322"/>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8750" w:type="dxa"/>
            <w:gridSpan w:val="9"/>
            <w:tcBorders>
              <w:top w:val="nil"/>
              <w:left w:val="nil"/>
              <w:bottom w:val="nil"/>
              <w:right w:val="nil"/>
            </w:tcBorders>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国有资本经营预算财政拨款支出决算表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8750" w:type="dxa"/>
            <w:gridSpan w:val="9"/>
            <w:tcBorders>
              <w:top w:val="nil"/>
              <w:left w:val="nil"/>
              <w:bottom w:val="nil"/>
              <w:right w:val="nil"/>
            </w:tcBorders>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方正仿宋_GB2312" w:cs="Times New Roman"/>
                <w:i w:val="0"/>
                <w:iCs w:val="0"/>
                <w:color w:val="000000"/>
                <w:kern w:val="0"/>
                <w:sz w:val="20"/>
                <w:szCs w:val="20"/>
                <w:highlight w:val="none"/>
                <w:u w:val="none"/>
                <w:lang w:val="en-US" w:eastAsia="zh-CN" w:bidi="ar"/>
              </w:rPr>
              <w:t>08</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3529" w:type="dxa"/>
            <w:gridSpan w:val="2"/>
            <w:tcBorders>
              <w:top w:val="nil"/>
              <w:left w:val="nil"/>
              <w:bottom w:val="single" w:color="auto" w:sz="4" w:space="0"/>
              <w:right w:val="nil"/>
            </w:tcBorders>
            <w:noWrap/>
            <w:vAlign w:val="bottom"/>
          </w:tcPr>
          <w:p>
            <w:pPr>
              <w:keepNext w:val="0"/>
              <w:keepLines w:val="0"/>
              <w:widowControl/>
              <w:suppressLineNumbers w:val="0"/>
              <w:jc w:val="both"/>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编制部门（单位）：</w:t>
            </w:r>
            <w:r>
              <w:rPr>
                <w:rFonts w:hint="eastAsia" w:ascii="仿宋" w:hAnsi="仿宋" w:eastAsia="仿宋" w:cs="仿宋"/>
                <w:i w:val="0"/>
                <w:iCs w:val="0"/>
                <w:color w:val="000000"/>
                <w:kern w:val="0"/>
                <w:sz w:val="20"/>
                <w:szCs w:val="20"/>
                <w:highlight w:val="none"/>
                <w:u w:val="none"/>
                <w:lang w:val="en-US" w:eastAsia="zh-CN" w:bidi="ar"/>
              </w:rPr>
              <w:t>石家庄市鹿泉区上寨乡人民政府(本级)</w:t>
            </w:r>
          </w:p>
        </w:tc>
        <w:tc>
          <w:tcPr>
            <w:tcW w:w="2608" w:type="dxa"/>
            <w:gridSpan w:val="4"/>
            <w:tcBorders>
              <w:top w:val="nil"/>
              <w:left w:val="nil"/>
              <w:bottom w:val="single" w:color="auto" w:sz="4" w:space="0"/>
              <w:right w:val="nil"/>
            </w:tcBorders>
            <w:noWrap/>
            <w:vAlign w:val="bottom"/>
          </w:tcPr>
          <w:p>
            <w:pPr>
              <w:keepNext w:val="0"/>
              <w:keepLines w:val="0"/>
              <w:widowControl/>
              <w:suppressLineNumbers w:val="0"/>
              <w:jc w:val="center"/>
              <w:textAlignment w:val="bottom"/>
              <w:rPr>
                <w:rFonts w:hint="default" w:ascii="宋体" w:hAnsi="宋体" w:eastAsia="宋体" w:cs="宋体"/>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2023</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2613" w:type="dxa"/>
            <w:gridSpan w:val="3"/>
            <w:tcBorders>
              <w:top w:val="nil"/>
              <w:left w:val="nil"/>
              <w:bottom w:val="single" w:color="auto" w:sz="4" w:space="0"/>
              <w:right w:val="nil"/>
            </w:tcBorders>
            <w:noWrap/>
            <w:vAlign w:val="bottom"/>
          </w:tcPr>
          <w:p>
            <w:pPr>
              <w:keepNext w:val="0"/>
              <w:keepLines w:val="0"/>
              <w:widowControl/>
              <w:suppressLineNumbers w:val="0"/>
              <w:jc w:val="right"/>
              <w:textAlignment w:val="bottom"/>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4753" w:type="dxa"/>
            <w:gridSpan w:val="3"/>
            <w:vMerge w:val="restart"/>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项目</w:t>
            </w:r>
          </w:p>
        </w:tc>
        <w:tc>
          <w:tcPr>
            <w:tcW w:w="3997" w:type="dxa"/>
            <w:gridSpan w:val="6"/>
            <w:vMerge w:val="restart"/>
            <w:tcBorders>
              <w:top w:val="single" w:color="auto" w:sz="4" w:space="0"/>
              <w:left w:val="single" w:color="auto" w:sz="4" w:space="0"/>
              <w:right w:val="single" w:color="000000" w:sz="4" w:space="0"/>
            </w:tcBorders>
            <w:noWrap w:val="0"/>
            <w:vAlign w:val="center"/>
          </w:tcPr>
          <w:p>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本年支出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4753" w:type="dxa"/>
            <w:gridSpan w:val="3"/>
            <w:vMerge w:val="continue"/>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3997" w:type="dxa"/>
            <w:gridSpan w:val="6"/>
            <w:vMerge w:val="continue"/>
            <w:tcBorders>
              <w:left w:val="single" w:color="auto"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972" w:type="dxa"/>
            <w:vMerge w:val="restart"/>
            <w:tcBorders>
              <w:top w:val="single" w:color="auto" w:sz="4" w:space="0"/>
              <w:left w:val="single" w:color="auto" w:sz="4" w:space="0"/>
              <w:bottom w:val="single" w:color="auto" w:sz="4" w:space="0"/>
              <w:right w:val="single" w:color="auto" w:sz="4" w:space="0"/>
            </w:tcBorders>
            <w:noWrap w:val="0"/>
            <w:vAlign w:val="center"/>
          </w:tcPr>
          <w:p>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2781" w:type="dxa"/>
            <w:gridSpan w:val="2"/>
            <w:vMerge w:val="restart"/>
            <w:tcBorders>
              <w:top w:val="single" w:color="auto" w:sz="4" w:space="0"/>
              <w:left w:val="single" w:color="auto" w:sz="4" w:space="0"/>
              <w:bottom w:val="single" w:color="auto" w:sz="4" w:space="0"/>
              <w:right w:val="single" w:color="auto" w:sz="4" w:space="0"/>
            </w:tcBorders>
            <w:noWrap w:val="0"/>
            <w:vAlign w:val="center"/>
          </w:tcPr>
          <w:p>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科目名称</w:t>
            </w:r>
          </w:p>
        </w:tc>
        <w:tc>
          <w:tcPr>
            <w:tcW w:w="1337" w:type="dxa"/>
            <w:gridSpan w:val="2"/>
            <w:vMerge w:val="restart"/>
            <w:tcBorders>
              <w:top w:val="nil"/>
              <w:left w:val="single" w:color="auto"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合计</w:t>
            </w:r>
          </w:p>
        </w:tc>
        <w:tc>
          <w:tcPr>
            <w:tcW w:w="1338" w:type="dxa"/>
            <w:gridSpan w:val="3"/>
            <w:vMerge w:val="restart"/>
            <w:tcBorders>
              <w:top w:val="nil"/>
              <w:left w:val="nil"/>
              <w:right w:val="single" w:color="000000" w:sz="4" w:space="0"/>
            </w:tcBorders>
            <w:noWrap w:val="0"/>
            <w:vAlign w:val="center"/>
          </w:tcPr>
          <w:p>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基本支出</w:t>
            </w:r>
          </w:p>
        </w:tc>
        <w:tc>
          <w:tcPr>
            <w:tcW w:w="1322" w:type="dxa"/>
            <w:vMerge w:val="restart"/>
            <w:tcBorders>
              <w:top w:val="nil"/>
              <w:left w:val="nil"/>
              <w:right w:val="single" w:color="000000" w:sz="4" w:space="0"/>
            </w:tcBorders>
            <w:noWrap w:val="0"/>
            <w:vAlign w:val="center"/>
          </w:tcPr>
          <w:p>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项目支出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972" w:type="dxa"/>
            <w:vMerge w:val="continue"/>
            <w:tcBorders>
              <w:top w:val="single" w:color="auto" w:sz="4" w:space="0"/>
              <w:left w:val="single" w:color="auto" w:sz="4" w:space="0"/>
              <w:bottom w:val="single" w:color="auto"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2781" w:type="dxa"/>
            <w:gridSpan w:val="2"/>
            <w:vMerge w:val="continue"/>
            <w:tcBorders>
              <w:top w:val="single" w:color="auto" w:sz="4" w:space="0"/>
              <w:left w:val="nil"/>
              <w:bottom w:val="single" w:color="auto" w:sz="4" w:space="0"/>
              <w:right w:val="single" w:color="auto"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337" w:type="dxa"/>
            <w:gridSpan w:val="2"/>
            <w:vMerge w:val="continue"/>
            <w:tcBorders>
              <w:left w:val="single" w:color="auto" w:sz="4" w:space="0"/>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338" w:type="dxa"/>
            <w:gridSpan w:val="3"/>
            <w:vMerge w:val="continue"/>
            <w:tcBorders>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322" w:type="dxa"/>
            <w:vMerge w:val="continue"/>
            <w:tcBorders>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4753" w:type="dxa"/>
            <w:gridSpan w:val="3"/>
            <w:tcBorders>
              <w:top w:val="single" w:color="auto" w:sz="4" w:space="0"/>
              <w:left w:val="single" w:color="auto" w:sz="4" w:space="0"/>
              <w:bottom w:val="single" w:color="000000" w:sz="4" w:space="0"/>
              <w:right w:val="single" w:color="auto" w:sz="4" w:space="0"/>
            </w:tcBorders>
            <w:noWrap/>
            <w:vAlign w:val="center"/>
          </w:tcPr>
          <w:p>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栏次</w:t>
            </w:r>
          </w:p>
        </w:tc>
        <w:tc>
          <w:tcPr>
            <w:tcW w:w="1332" w:type="dxa"/>
            <w:tcBorders>
              <w:top w:val="nil"/>
              <w:left w:val="single" w:color="auto"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1</w:t>
            </w:r>
          </w:p>
        </w:tc>
        <w:tc>
          <w:tcPr>
            <w:tcW w:w="1333" w:type="dxa"/>
            <w:gridSpan w:val="3"/>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2</w:t>
            </w:r>
          </w:p>
        </w:tc>
        <w:tc>
          <w:tcPr>
            <w:tcW w:w="1332"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4753" w:type="dxa"/>
            <w:gridSpan w:val="3"/>
            <w:tcBorders>
              <w:top w:val="single" w:color="000000" w:sz="4" w:space="0"/>
              <w:left w:val="single" w:color="000000" w:sz="4" w:space="0"/>
              <w:bottom w:val="single" w:color="000000" w:sz="4" w:space="0"/>
              <w:right w:val="single" w:color="000000" w:sz="4" w:space="0"/>
            </w:tcBorders>
            <w:noWrap/>
            <w:vAlign w:val="center"/>
          </w:tcPr>
          <w:p>
            <w:pPr>
              <w:jc w:val="center"/>
              <w:rPr>
                <w:rFonts w:hint="default" w:ascii="Times New Roman" w:hAnsi="Times New Roman" w:eastAsia="宋体"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合计</w:t>
            </w:r>
          </w:p>
        </w:tc>
        <w:tc>
          <w:tcPr>
            <w:tcW w:w="1332" w:type="dxa"/>
            <w:tcBorders>
              <w:top w:val="single" w:color="000000" w:sz="4" w:space="0"/>
              <w:left w:val="single" w:color="000000" w:sz="4" w:space="0"/>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33" w:type="dxa"/>
            <w:gridSpan w:val="3"/>
            <w:tcBorders>
              <w:top w:val="single" w:color="000000" w:sz="4" w:space="0"/>
              <w:left w:val="single" w:color="000000" w:sz="4" w:space="0"/>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32" w:type="dxa"/>
            <w:gridSpan w:val="2"/>
            <w:tcBorders>
              <w:top w:val="single" w:color="000000" w:sz="4" w:space="0"/>
              <w:left w:val="single" w:color="000000" w:sz="4" w:space="0"/>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750" w:type="dxa"/>
            <w:gridSpan w:val="9"/>
            <w:tcBorders>
              <w:top w:val="nil"/>
              <w:left w:val="nil"/>
              <w:bottom w:val="nil"/>
              <w:right w:val="nil"/>
            </w:tcBorders>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注：本表反映部门本年度国有资本经营预算财政拨款支出情况。（如无相关数据，则需注明空表列示）</w:t>
            </w:r>
          </w:p>
        </w:tc>
      </w:tr>
    </w:tbl>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t>备注：无内容应公开空表并说明情况。</w:t>
      </w:r>
    </w:p>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pPr w:leftFromText="180" w:rightFromText="180" w:vertAnchor="text" w:horzAnchor="page" w:tblpX="282" w:tblpY="39"/>
        <w:tblOverlap w:val="never"/>
        <w:tblW w:w="11596"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987"/>
        <w:gridCol w:w="1226"/>
        <w:gridCol w:w="814"/>
        <w:gridCol w:w="946"/>
        <w:gridCol w:w="519"/>
        <w:gridCol w:w="544"/>
        <w:gridCol w:w="777"/>
        <w:gridCol w:w="845"/>
        <w:gridCol w:w="5"/>
        <w:gridCol w:w="1133"/>
        <w:gridCol w:w="640"/>
        <w:gridCol w:w="1027"/>
        <w:gridCol w:w="946"/>
        <w:gridCol w:w="1187"/>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11596" w:type="dxa"/>
            <w:gridSpan w:val="14"/>
            <w:tcBorders>
              <w:top w:val="nil"/>
              <w:left w:val="nil"/>
              <w:bottom w:val="nil"/>
              <w:right w:val="nil"/>
            </w:tcBorders>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财政拨款“三公”经费支出决算表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60" w:hRule="atLeast"/>
        </w:trPr>
        <w:tc>
          <w:tcPr>
            <w:tcW w:w="11596" w:type="dxa"/>
            <w:gridSpan w:val="14"/>
            <w:tcBorders>
              <w:top w:val="nil"/>
              <w:left w:val="nil"/>
              <w:bottom w:val="nil"/>
              <w:right w:val="nil"/>
            </w:tcBorders>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公开</w:t>
            </w:r>
            <w:r>
              <w:rPr>
                <w:rFonts w:hint="default" w:ascii="Times New Roman" w:hAnsi="Times New Roman" w:eastAsia="方正仿宋_GB2312" w:cs="Times New Roman"/>
                <w:i w:val="0"/>
                <w:iCs w:val="0"/>
                <w:color w:val="000000"/>
                <w:kern w:val="0"/>
                <w:sz w:val="18"/>
                <w:szCs w:val="18"/>
                <w:highlight w:val="none"/>
                <w:u w:val="none"/>
                <w:lang w:val="en-US" w:eastAsia="zh-CN" w:bidi="ar"/>
              </w:rPr>
              <w:t>09</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60" w:hRule="atLeast"/>
        </w:trPr>
        <w:tc>
          <w:tcPr>
            <w:tcW w:w="4492" w:type="dxa"/>
            <w:gridSpan w:val="5"/>
            <w:tcBorders>
              <w:top w:val="nil"/>
              <w:left w:val="nil"/>
              <w:bottom w:val="single" w:color="auto" w:sz="4" w:space="0"/>
              <w:right w:val="nil"/>
            </w:tcBorders>
            <w:noWrap/>
            <w:vAlign w:val="bottom"/>
          </w:tcPr>
          <w:p>
            <w:pPr>
              <w:keepNext w:val="0"/>
              <w:keepLines w:val="0"/>
              <w:widowControl/>
              <w:suppressLineNumbers w:val="0"/>
              <w:jc w:val="left"/>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编制部门（单位）：</w:t>
            </w:r>
            <w:r>
              <w:rPr>
                <w:rFonts w:hint="eastAsia" w:ascii="仿宋" w:hAnsi="仿宋" w:eastAsia="仿宋" w:cs="仿宋"/>
                <w:i w:val="0"/>
                <w:iCs w:val="0"/>
                <w:color w:val="000000"/>
                <w:kern w:val="0"/>
                <w:sz w:val="20"/>
                <w:szCs w:val="20"/>
                <w:highlight w:val="none"/>
                <w:u w:val="none"/>
                <w:lang w:val="en-US" w:eastAsia="zh-CN" w:bidi="ar"/>
              </w:rPr>
              <w:t>石家庄市鹿泉区上寨乡人民政府(本级)</w:t>
            </w:r>
          </w:p>
        </w:tc>
        <w:tc>
          <w:tcPr>
            <w:tcW w:w="2166" w:type="dxa"/>
            <w:gridSpan w:val="3"/>
            <w:tcBorders>
              <w:top w:val="nil"/>
              <w:left w:val="nil"/>
              <w:bottom w:val="single" w:color="auto" w:sz="4" w:space="0"/>
              <w:right w:val="nil"/>
            </w:tcBorders>
            <w:noWrap/>
            <w:vAlign w:val="bottom"/>
          </w:tcPr>
          <w:p>
            <w:pPr>
              <w:keepNext w:val="0"/>
              <w:keepLines w:val="0"/>
              <w:widowControl/>
              <w:suppressLineNumbers w:val="0"/>
              <w:jc w:val="center"/>
              <w:textAlignment w:val="bottom"/>
              <w:rPr>
                <w:rFonts w:hint="default" w:ascii="宋体" w:hAnsi="宋体" w:eastAsia="宋体" w:cs="宋体"/>
                <w:i w:val="0"/>
                <w:iCs w:val="0"/>
                <w:color w:val="000000"/>
                <w:kern w:val="0"/>
                <w:sz w:val="18"/>
                <w:szCs w:val="18"/>
                <w:highlight w:val="none"/>
                <w:u w:val="none"/>
                <w:lang w:val="en-US" w:eastAsia="zh-CN" w:bidi="ar"/>
              </w:rPr>
            </w:pPr>
            <w:r>
              <w:rPr>
                <w:rFonts w:hint="default" w:ascii="Times New Roman" w:hAnsi="Times New Roman" w:eastAsia="宋体" w:cs="Times New Roman"/>
                <w:i w:val="0"/>
                <w:iCs w:val="0"/>
                <w:color w:val="000000"/>
                <w:kern w:val="0"/>
                <w:sz w:val="18"/>
                <w:szCs w:val="18"/>
                <w:highlight w:val="none"/>
                <w:u w:val="none"/>
                <w:lang w:val="en-US" w:eastAsia="zh-CN" w:bidi="ar"/>
              </w:rPr>
              <w:t>2023</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年度</w:t>
            </w:r>
          </w:p>
        </w:tc>
        <w:tc>
          <w:tcPr>
            <w:tcW w:w="4938" w:type="dxa"/>
            <w:gridSpan w:val="6"/>
            <w:tcBorders>
              <w:top w:val="nil"/>
              <w:left w:val="nil"/>
              <w:bottom w:val="single" w:color="auto" w:sz="4" w:space="0"/>
              <w:right w:val="nil"/>
            </w:tcBorders>
            <w:noWrap/>
            <w:vAlign w:val="bottom"/>
          </w:tcPr>
          <w:p>
            <w:pPr>
              <w:keepNext w:val="0"/>
              <w:keepLines w:val="0"/>
              <w:widowControl/>
              <w:suppressLineNumbers w:val="0"/>
              <w:jc w:val="right"/>
              <w:textAlignment w:val="bottom"/>
              <w:rPr>
                <w:rFonts w:hint="default" w:ascii="宋体" w:hAnsi="宋体" w:eastAsia="宋体" w:cs="宋体"/>
                <w:i w:val="0"/>
                <w:iCs w:val="0"/>
                <w:color w:val="000000"/>
                <w:kern w:val="0"/>
                <w:sz w:val="18"/>
                <w:szCs w:val="18"/>
                <w:highlight w:val="none"/>
                <w:u w:val="none"/>
                <w:lang w:val="en-US" w:eastAsia="zh-CN" w:bidi="ar"/>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5813" w:type="dxa"/>
            <w:gridSpan w:val="7"/>
            <w:tcBorders>
              <w:top w:val="single" w:color="auto"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预算数</w:t>
            </w:r>
          </w:p>
        </w:tc>
        <w:tc>
          <w:tcPr>
            <w:tcW w:w="5783" w:type="dxa"/>
            <w:gridSpan w:val="7"/>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决算数</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987" w:type="dxa"/>
            <w:vMerge w:val="restar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合计</w:t>
            </w:r>
          </w:p>
        </w:tc>
        <w:tc>
          <w:tcPr>
            <w:tcW w:w="1226" w:type="dxa"/>
            <w:vMerge w:val="restar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w:t>
            </w:r>
          </w:p>
        </w:tc>
        <w:tc>
          <w:tcPr>
            <w:tcW w:w="2823" w:type="dxa"/>
            <w:gridSpan w:val="4"/>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公务用车购置及运行维护费</w:t>
            </w:r>
          </w:p>
        </w:tc>
        <w:tc>
          <w:tcPr>
            <w:tcW w:w="777" w:type="dxa"/>
            <w:vMerge w:val="restar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c>
          <w:tcPr>
            <w:tcW w:w="850" w:type="dxa"/>
            <w:gridSpan w:val="2"/>
            <w:vMerge w:val="restar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合计</w:t>
            </w:r>
          </w:p>
        </w:tc>
        <w:tc>
          <w:tcPr>
            <w:tcW w:w="1133" w:type="dxa"/>
            <w:vMerge w:val="restar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w:t>
            </w:r>
          </w:p>
        </w:tc>
        <w:tc>
          <w:tcPr>
            <w:tcW w:w="2613" w:type="dxa"/>
            <w:gridSpan w:val="3"/>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公务用车购置及运行维护费</w:t>
            </w:r>
          </w:p>
        </w:tc>
        <w:tc>
          <w:tcPr>
            <w:tcW w:w="1187" w:type="dxa"/>
            <w:vMerge w:val="restar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987" w:type="dxa"/>
            <w:vMerge w:val="continue"/>
            <w:tcBorders>
              <w:top w:val="nil"/>
              <w:left w:val="single" w:color="000000" w:sz="4" w:space="0"/>
              <w:bottom w:val="single" w:color="000000" w:sz="4" w:space="0"/>
              <w:right w:val="single" w:color="000000" w:sz="4" w:space="0"/>
            </w:tcBorders>
            <w:noWrap/>
            <w:vAlign w:val="center"/>
          </w:tcPr>
          <w:p>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1226" w:type="dxa"/>
            <w:vMerge w:val="continue"/>
            <w:tcBorders>
              <w:top w:val="nil"/>
              <w:left w:val="nil"/>
              <w:bottom w:val="single" w:color="000000" w:sz="4" w:space="0"/>
              <w:right w:val="single" w:color="000000" w:sz="4" w:space="0"/>
            </w:tcBorders>
            <w:noWrap/>
            <w:vAlign w:val="center"/>
          </w:tcPr>
          <w:p>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81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小计</w:t>
            </w:r>
          </w:p>
        </w:tc>
        <w:tc>
          <w:tcPr>
            <w:tcW w:w="946"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公务用车购置费</w:t>
            </w:r>
          </w:p>
        </w:tc>
        <w:tc>
          <w:tcPr>
            <w:tcW w:w="1063"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777" w:type="dxa"/>
            <w:vMerge w:val="continue"/>
            <w:tcBorders>
              <w:top w:val="nil"/>
              <w:left w:val="nil"/>
              <w:bottom w:val="single" w:color="000000" w:sz="4" w:space="0"/>
              <w:right w:val="single" w:color="000000" w:sz="4" w:space="0"/>
            </w:tcBorders>
            <w:noWrap/>
            <w:vAlign w:val="center"/>
          </w:tcPr>
          <w:p>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850" w:type="dxa"/>
            <w:gridSpan w:val="2"/>
            <w:vMerge w:val="continue"/>
            <w:tcBorders>
              <w:top w:val="nil"/>
              <w:left w:val="nil"/>
              <w:bottom w:val="single" w:color="000000" w:sz="4" w:space="0"/>
              <w:right w:val="single" w:color="000000" w:sz="4" w:space="0"/>
            </w:tcBorders>
            <w:noWrap/>
            <w:vAlign w:val="center"/>
          </w:tcPr>
          <w:p>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1133" w:type="dxa"/>
            <w:vMerge w:val="continue"/>
            <w:tcBorders>
              <w:top w:val="nil"/>
              <w:left w:val="nil"/>
              <w:bottom w:val="single" w:color="000000" w:sz="4" w:space="0"/>
              <w:right w:val="single" w:color="000000" w:sz="4" w:space="0"/>
            </w:tcBorders>
            <w:noWrap/>
            <w:vAlign w:val="center"/>
          </w:tcPr>
          <w:p>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640"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小计</w:t>
            </w:r>
          </w:p>
        </w:tc>
        <w:tc>
          <w:tcPr>
            <w:tcW w:w="1027"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公务用车购置费</w:t>
            </w:r>
          </w:p>
        </w:tc>
        <w:tc>
          <w:tcPr>
            <w:tcW w:w="946"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1187" w:type="dxa"/>
            <w:vMerge w:val="continue"/>
            <w:tcBorders>
              <w:top w:val="nil"/>
              <w:left w:val="nil"/>
              <w:bottom w:val="single" w:color="000000" w:sz="4" w:space="0"/>
              <w:right w:val="single" w:color="000000" w:sz="4" w:space="0"/>
            </w:tcBorders>
            <w:noWrap/>
            <w:vAlign w:val="center"/>
          </w:tcPr>
          <w:p>
            <w:pPr>
              <w:jc w:val="center"/>
              <w:rPr>
                <w:rFonts w:hint="eastAsia" w:ascii="方正仿宋_GB2312" w:hAnsi="方正仿宋_GB2312" w:eastAsia="方正仿宋_GB2312" w:cs="方正仿宋_GB2312"/>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987"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w:t>
            </w:r>
          </w:p>
        </w:tc>
        <w:tc>
          <w:tcPr>
            <w:tcW w:w="1226"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2</w:t>
            </w:r>
          </w:p>
        </w:tc>
        <w:tc>
          <w:tcPr>
            <w:tcW w:w="81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3</w:t>
            </w:r>
          </w:p>
        </w:tc>
        <w:tc>
          <w:tcPr>
            <w:tcW w:w="946"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4</w:t>
            </w:r>
          </w:p>
        </w:tc>
        <w:tc>
          <w:tcPr>
            <w:tcW w:w="1063"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5</w:t>
            </w:r>
          </w:p>
        </w:tc>
        <w:tc>
          <w:tcPr>
            <w:tcW w:w="777"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6</w:t>
            </w:r>
          </w:p>
        </w:tc>
        <w:tc>
          <w:tcPr>
            <w:tcW w:w="850"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7</w:t>
            </w:r>
          </w:p>
        </w:tc>
        <w:tc>
          <w:tcPr>
            <w:tcW w:w="1133"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8</w:t>
            </w:r>
          </w:p>
        </w:tc>
        <w:tc>
          <w:tcPr>
            <w:tcW w:w="640"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9</w:t>
            </w:r>
          </w:p>
        </w:tc>
        <w:tc>
          <w:tcPr>
            <w:tcW w:w="1027"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10</w:t>
            </w:r>
          </w:p>
        </w:tc>
        <w:tc>
          <w:tcPr>
            <w:tcW w:w="946"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11</w:t>
            </w:r>
          </w:p>
        </w:tc>
        <w:tc>
          <w:tcPr>
            <w:tcW w:w="1187"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987" w:type="dxa"/>
            <w:tcBorders>
              <w:top w:val="nil"/>
              <w:left w:val="single" w:color="000000" w:sz="4" w:space="0"/>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5.40</w:t>
            </w:r>
          </w:p>
        </w:tc>
        <w:tc>
          <w:tcPr>
            <w:tcW w:w="12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p>
        </w:tc>
        <w:tc>
          <w:tcPr>
            <w:tcW w:w="81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5.40</w:t>
            </w:r>
          </w:p>
        </w:tc>
        <w:tc>
          <w:tcPr>
            <w:tcW w:w="94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p>
        </w:tc>
        <w:tc>
          <w:tcPr>
            <w:tcW w:w="1063"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5.40</w:t>
            </w:r>
          </w:p>
        </w:tc>
        <w:tc>
          <w:tcPr>
            <w:tcW w:w="77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p>
        </w:tc>
        <w:tc>
          <w:tcPr>
            <w:tcW w:w="850"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5.36</w:t>
            </w:r>
          </w:p>
        </w:tc>
        <w:tc>
          <w:tcPr>
            <w:tcW w:w="1133"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p>
        </w:tc>
        <w:tc>
          <w:tcPr>
            <w:tcW w:w="640"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5.36</w:t>
            </w: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p>
        </w:tc>
        <w:tc>
          <w:tcPr>
            <w:tcW w:w="94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5.36</w:t>
            </w:r>
          </w:p>
        </w:tc>
        <w:tc>
          <w:tcPr>
            <w:tcW w:w="11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11596" w:type="dxa"/>
            <w:gridSpan w:val="14"/>
            <w:tcBorders>
              <w:top w:val="nil"/>
              <w:left w:val="nil"/>
              <w:bottom w:val="nil"/>
              <w:right w:val="nil"/>
            </w:tcBorders>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注：本表反映部门本年度财政拨款“三公”经费支出预决算情况。其中：预算数为“三公”经费全年预算数，反映按规定程序调整后的预算数；决算数是包括当年财政拨款和以前年度结转资金安排的实际支出。</w:t>
            </w:r>
          </w:p>
        </w:tc>
      </w:tr>
    </w:tbl>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t>备注：无内容应公开空表并说明情况。</w:t>
      </w:r>
    </w:p>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sectPr>
          <w:pgSz w:w="11906" w:h="16838"/>
          <w:pgMar w:top="1531" w:right="1984" w:bottom="1531" w:left="2098" w:header="851" w:footer="992" w:gutter="0"/>
          <w:cols w:space="720" w:num="1"/>
          <w:docGrid w:type="lines" w:linePitch="312" w:charSpace="0"/>
        </w:sectPr>
      </w:pP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outlineLvl w:val="0"/>
        <w:rPr>
          <w:rFonts w:hint="default" w:ascii="Arial" w:hAnsi="Arial" w:eastAsia="Arial" w:cs="Arial"/>
          <w:highlight w:val="none"/>
        </w:rPr>
      </w:pPr>
      <w:r>
        <w:rPr>
          <w:rFonts w:hint="eastAsia" w:ascii="黑体" w:hAnsi="宋体" w:eastAsia="黑体" w:cs="黑体"/>
          <w:i w:val="0"/>
          <w:iCs w:val="0"/>
          <w:caps w:val="0"/>
          <w:color w:val="000000"/>
          <w:spacing w:val="0"/>
          <w:sz w:val="72"/>
          <w:szCs w:val="72"/>
          <w:highlight w:val="none"/>
          <w:shd w:val="clear" w:fill="FFFFFF"/>
        </w:rPr>
        <w:t>第三部分</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spacing w:val="-20"/>
          <w:highlight w:val="none"/>
        </w:rPr>
      </w:pPr>
      <w:r>
        <w:rPr>
          <w:rFonts w:hint="eastAsia" w:ascii="黑体" w:hAnsi="宋体" w:eastAsia="黑体" w:cs="黑体"/>
          <w:i w:val="0"/>
          <w:iCs w:val="0"/>
          <w:caps w:val="0"/>
          <w:color w:val="000000"/>
          <w:spacing w:val="-20"/>
          <w:sz w:val="72"/>
          <w:szCs w:val="72"/>
          <w:highlight w:val="none"/>
          <w:shd w:val="clear" w:fill="FFFFFF"/>
        </w:rPr>
        <w:t>202</w:t>
      </w:r>
      <w:r>
        <w:rPr>
          <w:rFonts w:hint="eastAsia" w:ascii="黑体" w:hAnsi="宋体" w:eastAsia="黑体" w:cs="黑体"/>
          <w:i w:val="0"/>
          <w:iCs w:val="0"/>
          <w:caps w:val="0"/>
          <w:color w:val="000000"/>
          <w:spacing w:val="-20"/>
          <w:sz w:val="72"/>
          <w:szCs w:val="72"/>
          <w:highlight w:val="none"/>
          <w:shd w:val="clear" w:fill="FFFFFF"/>
          <w:lang w:val="en-US" w:eastAsia="zh-CN"/>
        </w:rPr>
        <w:t>3</w:t>
      </w:r>
      <w:r>
        <w:rPr>
          <w:rFonts w:hint="eastAsia" w:ascii="黑体" w:hAnsi="宋体" w:eastAsia="黑体" w:cs="黑体"/>
          <w:i w:val="0"/>
          <w:iCs w:val="0"/>
          <w:caps w:val="0"/>
          <w:color w:val="000000"/>
          <w:spacing w:val="-20"/>
          <w:sz w:val="72"/>
          <w:szCs w:val="72"/>
          <w:highlight w:val="none"/>
          <w:shd w:val="clear" w:fill="FFFFFF"/>
        </w:rPr>
        <w:t>年</w:t>
      </w:r>
      <w:r>
        <w:rPr>
          <w:rFonts w:hint="eastAsia" w:ascii="黑体" w:hAnsi="宋体" w:eastAsia="黑体" w:cs="黑体"/>
          <w:i w:val="0"/>
          <w:iCs w:val="0"/>
          <w:caps w:val="0"/>
          <w:color w:val="000000"/>
          <w:spacing w:val="-20"/>
          <w:sz w:val="72"/>
          <w:szCs w:val="72"/>
          <w:highlight w:val="none"/>
          <w:shd w:val="clear" w:fill="FFFFFF"/>
          <w:lang w:val="en-US" w:eastAsia="zh-CN"/>
        </w:rPr>
        <w:t>度</w:t>
      </w:r>
      <w:r>
        <w:rPr>
          <w:rFonts w:hint="eastAsia" w:ascii="黑体" w:hAnsi="宋体" w:eastAsia="黑体" w:cs="黑体"/>
          <w:i w:val="0"/>
          <w:iCs w:val="0"/>
          <w:caps w:val="0"/>
          <w:color w:val="000000"/>
          <w:spacing w:val="-20"/>
          <w:sz w:val="72"/>
          <w:szCs w:val="72"/>
          <w:highlight w:val="none"/>
          <w:shd w:val="clear" w:fill="FFFFFF"/>
        </w:rPr>
        <w:t>部门决算情况说明</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i w:val="0"/>
          <w:iCs w:val="0"/>
          <w:caps w:val="0"/>
          <w:color w:val="000000"/>
          <w:spacing w:val="0"/>
          <w:sz w:val="18"/>
          <w:szCs w:val="18"/>
          <w:highlight w:val="none"/>
          <w:shd w:val="clear" w:fill="FFFFFF"/>
        </w:rPr>
      </w:pPr>
      <w:r>
        <w:rPr>
          <w:rFonts w:hint="default" w:ascii="Arial" w:hAnsi="Arial" w:eastAsia="Arial" w:cs="Arial"/>
          <w:i w:val="0"/>
          <w:iCs w:val="0"/>
          <w:caps w:val="0"/>
          <w:color w:val="000000"/>
          <w:spacing w:val="0"/>
          <w:sz w:val="18"/>
          <w:szCs w:val="18"/>
          <w:highlight w:val="none"/>
          <w:shd w:val="clear" w:fill="FFFFFF"/>
        </w:rPr>
        <w:t> </w:t>
      </w:r>
    </w:p>
    <w:p>
      <w:pPr>
        <w:rPr>
          <w:rFonts w:hint="default" w:ascii="Arial" w:hAnsi="Arial" w:eastAsia="Arial" w:cs="Arial"/>
          <w:i w:val="0"/>
          <w:iCs w:val="0"/>
          <w:caps w:val="0"/>
          <w:color w:val="000000"/>
          <w:spacing w:val="0"/>
          <w:sz w:val="18"/>
          <w:szCs w:val="18"/>
          <w:highlight w:val="none"/>
          <w:shd w:val="clear" w:fill="FFFFFF"/>
        </w:rPr>
      </w:pPr>
      <w:r>
        <w:rPr>
          <w:rFonts w:hint="default" w:ascii="Arial" w:hAnsi="Arial" w:eastAsia="Arial" w:cs="Arial"/>
          <w:i w:val="0"/>
          <w:iCs w:val="0"/>
          <w:caps w:val="0"/>
          <w:color w:val="000000"/>
          <w:spacing w:val="0"/>
          <w:sz w:val="18"/>
          <w:szCs w:val="18"/>
          <w:highlight w:val="none"/>
          <w:shd w:val="clear" w:fill="FFFFFF"/>
        </w:rPr>
        <w:br w:type="page"/>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i w:val="0"/>
          <w:iCs w:val="0"/>
          <w:caps w:val="0"/>
          <w:color w:val="000000"/>
          <w:spacing w:val="0"/>
          <w:sz w:val="18"/>
          <w:szCs w:val="18"/>
          <w:highlight w:val="none"/>
          <w:shd w:val="clear" w:fill="FFFFFF"/>
        </w:rPr>
      </w:pP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outlineLvl w:val="1"/>
        <w:rPr>
          <w:rFonts w:hint="default" w:ascii="黑体" w:hAnsi="Calibri" w:eastAsia="黑体" w:cs="Times New Roman"/>
          <w:kern w:val="2"/>
          <w:sz w:val="32"/>
          <w:szCs w:val="32"/>
          <w:lang w:val="en-US" w:eastAsia="zh-CN" w:bidi="ar-SA"/>
        </w:rPr>
      </w:pPr>
      <w:r>
        <w:rPr>
          <w:rFonts w:hint="eastAsia" w:ascii="黑体" w:hAnsi="Calibri" w:eastAsia="黑体" w:cs="Times New Roman"/>
          <w:kern w:val="2"/>
          <w:sz w:val="32"/>
          <w:szCs w:val="32"/>
          <w:lang w:val="en-US" w:eastAsia="zh-CN" w:bidi="ar-SA"/>
        </w:rPr>
        <w:t>一、收入支出决算总体情况说明</w:t>
      </w:r>
    </w:p>
    <w:p>
      <w:pPr>
        <w:autoSpaceDE w:val="0"/>
        <w:autoSpaceDN w:val="0"/>
        <w:adjustRightInd w:val="0"/>
        <w:spacing w:line="580" w:lineRule="exact"/>
        <w:ind w:firstLine="640" w:firstLineChars="200"/>
        <w:jc w:val="left"/>
        <w:rPr>
          <w:rFonts w:hint="eastAsia" w:ascii="仿宋" w:hAnsi="仿宋" w:eastAsia="仿宋" w:cs="仿宋"/>
          <w:kern w:val="2"/>
          <w:sz w:val="32"/>
          <w:szCs w:val="32"/>
          <w:lang w:val="en-US" w:eastAsia="zh-CN" w:bidi="ar-SA"/>
        </w:rPr>
      </w:pPr>
      <w:r>
        <w:rPr>
          <w:rFonts w:hint="eastAsia" w:ascii="仿宋" w:hAnsi="仿宋" w:eastAsia="仿宋" w:cs="仿宋"/>
          <w:kern w:val="2"/>
          <w:sz w:val="32"/>
          <w:szCs w:val="32"/>
          <w:lang w:eastAsia="zh-CN"/>
        </w:rPr>
        <w:t>本单位</w:t>
      </w:r>
      <w:r>
        <w:rPr>
          <w:rFonts w:hint="eastAsia" w:ascii="仿宋" w:hAnsi="仿宋" w:eastAsia="仿宋" w:cs="仿宋"/>
          <w:kern w:val="2"/>
          <w:sz w:val="32"/>
          <w:szCs w:val="32"/>
          <w:lang w:val="zh-CN"/>
        </w:rPr>
        <w:t>2023年度收、</w:t>
      </w:r>
      <w:r>
        <w:rPr>
          <w:rFonts w:hint="eastAsia" w:ascii="仿宋" w:hAnsi="仿宋" w:eastAsia="仿宋" w:cs="仿宋"/>
          <w:kern w:val="2"/>
          <w:sz w:val="32"/>
          <w:szCs w:val="32"/>
          <w:lang w:val="en-US" w:eastAsia="zh-CN"/>
        </w:rPr>
        <w:t>支</w:t>
      </w:r>
      <w:r>
        <w:rPr>
          <w:rFonts w:hint="eastAsia" w:ascii="仿宋" w:hAnsi="仿宋" w:eastAsia="仿宋" w:cs="仿宋"/>
          <w:kern w:val="2"/>
          <w:sz w:val="32"/>
          <w:szCs w:val="32"/>
          <w:lang w:val="zh-CN"/>
        </w:rPr>
        <w:t>总计(含结转和结余)</w:t>
      </w:r>
      <w:r>
        <w:rPr>
          <w:rFonts w:hint="eastAsia" w:ascii="仿宋" w:hAnsi="仿宋" w:eastAsia="仿宋" w:cs="仿宋"/>
          <w:kern w:val="2"/>
          <w:sz w:val="32"/>
          <w:szCs w:val="32"/>
          <w:lang w:val="zh-CN" w:eastAsia="zh-CN"/>
        </w:rPr>
        <w:t>1,670.99</w:t>
      </w:r>
      <w:r>
        <w:rPr>
          <w:rFonts w:hint="eastAsia" w:ascii="仿宋" w:hAnsi="仿宋" w:eastAsia="仿宋" w:cs="仿宋"/>
          <w:kern w:val="2"/>
          <w:sz w:val="32"/>
          <w:szCs w:val="32"/>
          <w:lang w:val="en-US" w:eastAsia="zh-CN"/>
        </w:rPr>
        <w:t>万</w:t>
      </w:r>
      <w:r>
        <w:rPr>
          <w:rFonts w:hint="eastAsia" w:ascii="仿宋" w:hAnsi="仿宋" w:eastAsia="仿宋" w:cs="仿宋"/>
          <w:kern w:val="2"/>
          <w:sz w:val="32"/>
          <w:szCs w:val="32"/>
        </w:rPr>
        <w:t>元，与2022年度决算相比</w:t>
      </w:r>
      <w:r>
        <w:rPr>
          <w:rFonts w:hint="eastAsia" w:ascii="仿宋" w:hAnsi="仿宋" w:eastAsia="仿宋" w:cs="仿宋"/>
          <w:kern w:val="2"/>
          <w:sz w:val="32"/>
          <w:szCs w:val="32"/>
          <w:lang w:eastAsia="zh-CN"/>
        </w:rPr>
        <w:t>，</w:t>
      </w:r>
      <w:r>
        <w:rPr>
          <w:rFonts w:hint="eastAsia" w:ascii="仿宋" w:hAnsi="仿宋" w:eastAsia="仿宋" w:cs="仿宋"/>
          <w:kern w:val="2"/>
          <w:sz w:val="32"/>
          <w:szCs w:val="32"/>
        </w:rPr>
        <w:t>收支各</w:t>
      </w:r>
      <w:r>
        <w:rPr>
          <w:rFonts w:hint="eastAsia" w:ascii="仿宋" w:hAnsi="仿宋" w:eastAsia="仿宋" w:cs="仿宋"/>
          <w:sz w:val="32"/>
          <w:szCs w:val="32"/>
          <w:highlight w:val="none"/>
          <w:lang w:val="zh-CN"/>
        </w:rPr>
        <w:t>减少949.4万元</w:t>
      </w:r>
      <w:r>
        <w:rPr>
          <w:rFonts w:hint="eastAsia" w:ascii="仿宋" w:hAnsi="仿宋" w:eastAsia="仿宋" w:cs="仿宋"/>
          <w:sz w:val="32"/>
          <w:szCs w:val="32"/>
          <w:highlight w:val="none"/>
          <w:lang w:val="en-US" w:eastAsia="zh-CN"/>
        </w:rPr>
        <w:t>,</w:t>
      </w:r>
      <w:r>
        <w:rPr>
          <w:rFonts w:hint="eastAsia" w:ascii="仿宋" w:hAnsi="仿宋" w:eastAsia="仿宋" w:cs="仿宋"/>
          <w:sz w:val="32"/>
          <w:szCs w:val="32"/>
          <w:highlight w:val="none"/>
          <w:lang w:val="zh-CN"/>
        </w:rPr>
        <w:t>降低36.23%，</w:t>
      </w:r>
      <w:r>
        <w:rPr>
          <w:rFonts w:hint="eastAsia" w:ascii="仿宋" w:hAnsi="仿宋" w:eastAsia="仿宋" w:cs="仿宋"/>
          <w:kern w:val="2"/>
          <w:sz w:val="32"/>
          <w:szCs w:val="32"/>
        </w:rPr>
        <w:t>主要是</w:t>
      </w:r>
      <w:r>
        <w:rPr>
          <w:rFonts w:hint="eastAsia" w:ascii="仿宋" w:hAnsi="仿宋" w:eastAsia="仿宋" w:cs="仿宋"/>
          <w:kern w:val="2"/>
          <w:sz w:val="32"/>
          <w:szCs w:val="32"/>
          <w:lang w:val="en-US" w:eastAsia="zh-CN"/>
        </w:rPr>
        <w:t>2023年度我乡绿化租地相关费用、电力迁改旧欠等项目资金减少</w:t>
      </w:r>
      <w:r>
        <w:rPr>
          <w:rFonts w:hint="eastAsia" w:ascii="仿宋" w:hAnsi="仿宋" w:eastAsia="仿宋" w:cs="仿宋"/>
          <w:kern w:val="2"/>
          <w:sz w:val="32"/>
          <w:szCs w:val="32"/>
          <w:lang w:val="en-US" w:eastAsia="zh-CN" w:bidi="ar-SA"/>
        </w:rPr>
        <w:t>。</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eastAsia="Arial" w:cs="Times New Roman"/>
          <w:highlight w:val="none"/>
        </w:rPr>
      </w:pPr>
      <w:r>
        <w:drawing>
          <wp:inline distT="0" distB="0" distL="114300" distR="114300">
            <wp:extent cx="4572000" cy="2743200"/>
            <wp:effectExtent l="4445" t="4445" r="8255" b="8255"/>
            <wp:docPr id="5" name="图表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r>
        <w:rPr>
          <w:rFonts w:hint="default" w:ascii="Times New Roman" w:hAnsi="Times New Roman" w:eastAsia="Arial" w:cs="Times New Roman"/>
          <w:i w:val="0"/>
          <w:iCs w:val="0"/>
          <w:caps w:val="0"/>
          <w:color w:val="000000"/>
          <w:spacing w:val="0"/>
          <w:sz w:val="18"/>
          <w:szCs w:val="18"/>
          <w:highlight w:val="none"/>
          <w:shd w:val="clear" w:fill="FFFFFF"/>
        </w:rPr>
        <w:t> </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outlineLvl w:val="1"/>
        <w:rPr>
          <w:rFonts w:hint="default" w:ascii="Times New Roman" w:hAnsi="Times New Roman" w:eastAsia="黑体" w:cs="Times New Roman"/>
          <w:kern w:val="2"/>
          <w:sz w:val="32"/>
          <w:szCs w:val="32"/>
          <w:lang w:val="en-US" w:eastAsia="zh-CN" w:bidi="ar-SA"/>
        </w:rPr>
      </w:pPr>
      <w:r>
        <w:rPr>
          <w:rFonts w:hint="default" w:ascii="Times New Roman" w:hAnsi="Times New Roman" w:eastAsia="黑体" w:cs="Times New Roman"/>
          <w:kern w:val="2"/>
          <w:sz w:val="32"/>
          <w:szCs w:val="32"/>
          <w:lang w:val="en-US" w:eastAsia="zh-CN" w:bidi="ar-SA"/>
        </w:rPr>
        <w:t>二、收入决算情况说明</w:t>
      </w:r>
    </w:p>
    <w:p>
      <w:pPr>
        <w:autoSpaceDE w:val="0"/>
        <w:autoSpaceDN w:val="0"/>
        <w:adjustRightInd w:val="0"/>
        <w:spacing w:line="580" w:lineRule="exact"/>
        <w:ind w:firstLine="640" w:firstLineChars="200"/>
        <w:jc w:val="left"/>
        <w:rPr>
          <w:rFonts w:hint="default" w:ascii="仿宋" w:hAnsi="仿宋" w:eastAsia="仿宋" w:cs="仿宋"/>
          <w:kern w:val="2"/>
          <w:sz w:val="32"/>
          <w:szCs w:val="32"/>
          <w:lang w:val="zh-CN"/>
        </w:rPr>
      </w:pPr>
      <w:r>
        <w:rPr>
          <w:rFonts w:hint="default" w:ascii="仿宋" w:hAnsi="仿宋" w:eastAsia="仿宋" w:cs="仿宋"/>
          <w:kern w:val="2"/>
          <w:sz w:val="32"/>
          <w:szCs w:val="32"/>
          <w:lang w:val="zh-CN" w:eastAsia="zh-CN"/>
        </w:rPr>
        <w:t>本单位2023</w:t>
      </w:r>
      <w:r>
        <w:rPr>
          <w:rFonts w:hint="default" w:ascii="仿宋" w:hAnsi="仿宋" w:eastAsia="仿宋" w:cs="仿宋"/>
          <w:kern w:val="2"/>
          <w:sz w:val="32"/>
          <w:szCs w:val="32"/>
          <w:lang w:val="zh-CN"/>
        </w:rPr>
        <w:t>年度本年收入合计</w:t>
      </w:r>
      <w:r>
        <w:rPr>
          <w:rFonts w:hint="default" w:ascii="仿宋" w:hAnsi="仿宋" w:eastAsia="仿宋" w:cs="仿宋"/>
          <w:kern w:val="2"/>
          <w:sz w:val="32"/>
          <w:szCs w:val="32"/>
          <w:lang w:val="zh-CN" w:eastAsia="zh-CN"/>
        </w:rPr>
        <w:t>1,670.99万元</w:t>
      </w:r>
      <w:r>
        <w:rPr>
          <w:rFonts w:hint="default" w:ascii="仿宋" w:hAnsi="仿宋" w:eastAsia="仿宋" w:cs="仿宋"/>
          <w:kern w:val="2"/>
          <w:sz w:val="32"/>
          <w:szCs w:val="32"/>
          <w:lang w:val="zh-CN"/>
        </w:rPr>
        <w:t>，其中：财政拨款收入</w:t>
      </w:r>
      <w:r>
        <w:rPr>
          <w:rFonts w:hint="default" w:ascii="仿宋" w:hAnsi="仿宋" w:eastAsia="仿宋" w:cs="仿宋"/>
          <w:kern w:val="2"/>
          <w:sz w:val="32"/>
          <w:szCs w:val="32"/>
          <w:lang w:val="zh-CN" w:eastAsia="zh-CN"/>
        </w:rPr>
        <w:t>1,670.99</w:t>
      </w:r>
      <w:r>
        <w:rPr>
          <w:rFonts w:hint="default" w:ascii="仿宋" w:hAnsi="仿宋" w:eastAsia="仿宋" w:cs="仿宋"/>
          <w:kern w:val="2"/>
          <w:sz w:val="32"/>
          <w:szCs w:val="32"/>
          <w:lang w:val="zh-CN"/>
        </w:rPr>
        <w:t>万元，占</w:t>
      </w:r>
      <w:r>
        <w:rPr>
          <w:rFonts w:hint="default" w:ascii="仿宋" w:hAnsi="仿宋" w:eastAsia="仿宋" w:cs="仿宋"/>
          <w:kern w:val="2"/>
          <w:sz w:val="32"/>
          <w:szCs w:val="32"/>
          <w:lang w:val="zh-CN" w:eastAsia="zh-CN"/>
        </w:rPr>
        <w:t>100%；</w:t>
      </w:r>
      <w:r>
        <w:rPr>
          <w:rFonts w:hint="default" w:ascii="仿宋" w:hAnsi="仿宋" w:eastAsia="仿宋" w:cs="仿宋"/>
          <w:kern w:val="2"/>
          <w:sz w:val="32"/>
          <w:szCs w:val="32"/>
          <w:lang w:val="zh-CN"/>
        </w:rPr>
        <w:t>上级补助收入0万元，</w:t>
      </w:r>
      <w:r>
        <w:rPr>
          <w:rFonts w:hint="default" w:ascii="仿宋" w:hAnsi="仿宋" w:eastAsia="仿宋" w:cs="仿宋"/>
          <w:kern w:val="2"/>
          <w:sz w:val="32"/>
          <w:szCs w:val="32"/>
          <w:lang w:val="zh-CN" w:eastAsia="zh-CN"/>
        </w:rPr>
        <w:t>占</w:t>
      </w:r>
      <w:r>
        <w:rPr>
          <w:rFonts w:hint="default" w:ascii="仿宋" w:hAnsi="仿宋" w:eastAsia="仿宋" w:cs="仿宋"/>
          <w:kern w:val="2"/>
          <w:sz w:val="32"/>
          <w:szCs w:val="32"/>
          <w:lang w:val="zh-CN"/>
        </w:rPr>
        <w:t>0%；事业收入0万元，</w:t>
      </w:r>
      <w:r>
        <w:rPr>
          <w:rFonts w:hint="default" w:ascii="仿宋" w:hAnsi="仿宋" w:eastAsia="仿宋" w:cs="仿宋"/>
          <w:kern w:val="2"/>
          <w:sz w:val="32"/>
          <w:szCs w:val="32"/>
          <w:lang w:val="zh-CN" w:eastAsia="zh-CN"/>
        </w:rPr>
        <w:t>占</w:t>
      </w:r>
      <w:r>
        <w:rPr>
          <w:rFonts w:hint="default" w:ascii="仿宋" w:hAnsi="仿宋" w:eastAsia="仿宋" w:cs="仿宋"/>
          <w:kern w:val="2"/>
          <w:sz w:val="32"/>
          <w:szCs w:val="32"/>
          <w:lang w:val="zh-CN"/>
        </w:rPr>
        <w:t>0%；经营收入0万元，</w:t>
      </w:r>
      <w:r>
        <w:rPr>
          <w:rFonts w:hint="default" w:ascii="仿宋" w:hAnsi="仿宋" w:eastAsia="仿宋" w:cs="仿宋"/>
          <w:kern w:val="2"/>
          <w:sz w:val="32"/>
          <w:szCs w:val="32"/>
          <w:lang w:val="zh-CN" w:eastAsia="zh-CN"/>
        </w:rPr>
        <w:t>占</w:t>
      </w:r>
      <w:r>
        <w:rPr>
          <w:rFonts w:hint="default" w:ascii="仿宋" w:hAnsi="仿宋" w:eastAsia="仿宋" w:cs="仿宋"/>
          <w:kern w:val="2"/>
          <w:sz w:val="32"/>
          <w:szCs w:val="32"/>
          <w:lang w:val="zh-CN"/>
        </w:rPr>
        <w:t>0%；附属单位上缴收入0万元，</w:t>
      </w:r>
      <w:r>
        <w:rPr>
          <w:rFonts w:hint="default" w:ascii="仿宋" w:hAnsi="仿宋" w:eastAsia="仿宋" w:cs="仿宋"/>
          <w:kern w:val="2"/>
          <w:sz w:val="32"/>
          <w:szCs w:val="32"/>
          <w:lang w:val="zh-CN" w:eastAsia="zh-CN"/>
        </w:rPr>
        <w:t>占</w:t>
      </w:r>
      <w:r>
        <w:rPr>
          <w:rFonts w:hint="default" w:ascii="仿宋" w:hAnsi="仿宋" w:eastAsia="仿宋" w:cs="仿宋"/>
          <w:kern w:val="2"/>
          <w:sz w:val="32"/>
          <w:szCs w:val="32"/>
          <w:lang w:val="zh-CN"/>
        </w:rPr>
        <w:t>0%；其他收入0万元，</w:t>
      </w:r>
      <w:r>
        <w:rPr>
          <w:rFonts w:hint="default" w:ascii="仿宋" w:hAnsi="仿宋" w:eastAsia="仿宋" w:cs="仿宋"/>
          <w:kern w:val="2"/>
          <w:sz w:val="32"/>
          <w:szCs w:val="32"/>
          <w:lang w:val="zh-CN" w:eastAsia="zh-CN"/>
        </w:rPr>
        <w:t>占</w:t>
      </w:r>
      <w:r>
        <w:rPr>
          <w:rFonts w:hint="default" w:ascii="仿宋" w:hAnsi="仿宋" w:eastAsia="仿宋" w:cs="仿宋"/>
          <w:kern w:val="2"/>
          <w:sz w:val="32"/>
          <w:szCs w:val="32"/>
          <w:lang w:val="zh-CN"/>
        </w:rPr>
        <w:t>0%</w:t>
      </w:r>
      <w:r>
        <w:rPr>
          <w:rFonts w:hint="eastAsia" w:ascii="仿宋" w:hAnsi="仿宋" w:eastAsia="仿宋" w:cs="仿宋"/>
          <w:kern w:val="2"/>
          <w:sz w:val="32"/>
          <w:szCs w:val="32"/>
          <w:lang w:val="zh-CN"/>
        </w:rPr>
        <w:t>。</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outlineLvl w:val="1"/>
        <w:rPr>
          <w:rFonts w:hint="default" w:ascii="Times New Roman" w:hAnsi="Times New Roman" w:eastAsia="黑体" w:cs="Times New Roman"/>
          <w:kern w:val="2"/>
          <w:sz w:val="32"/>
          <w:szCs w:val="32"/>
          <w:lang w:val="en-US" w:eastAsia="zh-CN" w:bidi="ar-SA"/>
        </w:rPr>
      </w:pPr>
      <w:r>
        <w:rPr>
          <w:rFonts w:hint="default" w:ascii="Times New Roman" w:hAnsi="Times New Roman" w:eastAsia="黑体" w:cs="Times New Roman"/>
          <w:kern w:val="2"/>
          <w:sz w:val="32"/>
          <w:szCs w:val="32"/>
          <w:lang w:val="en-US" w:eastAsia="zh-CN" w:bidi="ar-SA"/>
        </w:rPr>
        <w:t>三、支出决算情况说明</w:t>
      </w:r>
    </w:p>
    <w:p>
      <w:pPr>
        <w:autoSpaceDE w:val="0"/>
        <w:autoSpaceDN w:val="0"/>
        <w:adjustRightInd w:val="0"/>
        <w:spacing w:line="580" w:lineRule="exact"/>
        <w:ind w:firstLine="600"/>
        <w:jc w:val="left"/>
        <w:rPr>
          <w:rFonts w:hint="default" w:ascii="Times New Roman" w:hAnsi="Times New Roman" w:eastAsia="仿宋_GB2312" w:cs="Times New Roman"/>
          <w:kern w:val="2"/>
          <w:sz w:val="32"/>
          <w:szCs w:val="32"/>
          <w:lang w:val="en-US"/>
        </w:rPr>
      </w:pPr>
      <w:r>
        <w:rPr>
          <w:rFonts w:hint="default" w:ascii="仿宋" w:hAnsi="仿宋" w:eastAsia="仿宋" w:cs="仿宋"/>
          <w:kern w:val="2"/>
          <w:sz w:val="32"/>
          <w:szCs w:val="32"/>
          <w:lang w:val="zh-CN" w:eastAsia="zh-CN"/>
        </w:rPr>
        <w:t>本单位2023年度本年支出合计1,670.99万元，其中：基本支出933.89万元，占55.89%；项目支出737.09万元，占44.11%；上缴上级支出0万元，占0%；经营支出0万元，占0%</w:t>
      </w:r>
      <w:r>
        <w:rPr>
          <w:rFonts w:hint="eastAsia" w:ascii="仿宋" w:hAnsi="仿宋" w:eastAsia="仿宋" w:cs="仿宋"/>
          <w:kern w:val="2"/>
          <w:sz w:val="32"/>
          <w:szCs w:val="32"/>
          <w:lang w:val="zh-CN" w:eastAsia="zh-CN"/>
        </w:rPr>
        <w:t>；</w:t>
      </w:r>
      <w:r>
        <w:rPr>
          <w:rFonts w:hint="default" w:ascii="仿宋" w:hAnsi="仿宋" w:eastAsia="仿宋" w:cs="仿宋"/>
          <w:kern w:val="2"/>
          <w:sz w:val="32"/>
          <w:szCs w:val="32"/>
          <w:lang w:val="zh-CN" w:eastAsia="zh-CN"/>
        </w:rPr>
        <w:t>对附属单位补助支出0万元，占0%</w:t>
      </w:r>
      <w:r>
        <w:rPr>
          <w:rFonts w:hint="eastAsia" w:ascii="仿宋" w:hAnsi="仿宋" w:eastAsia="仿宋" w:cs="仿宋"/>
          <w:kern w:val="2"/>
          <w:sz w:val="32"/>
          <w:szCs w:val="32"/>
          <w:lang w:val="zh-CN" w:eastAsia="zh-CN"/>
        </w:rPr>
        <w:t>。</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outlineLvl w:val="1"/>
      </w:pPr>
      <w:r>
        <w:drawing>
          <wp:inline distT="0" distB="0" distL="114300" distR="114300">
            <wp:extent cx="4572000" cy="2743200"/>
            <wp:effectExtent l="0" t="0" r="0" b="0"/>
            <wp:docPr id="7" name="图表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outlineLvl w:val="1"/>
      </w:pP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outlineLvl w:val="1"/>
        <w:rPr>
          <w:rFonts w:hint="default" w:ascii="Times New Roman" w:hAnsi="Times New Roman" w:eastAsia="Arial" w:cs="Times New Roman"/>
          <w:highlight w:val="none"/>
        </w:rPr>
      </w:pPr>
      <w:r>
        <w:rPr>
          <w:rFonts w:hint="default" w:ascii="Times New Roman" w:hAnsi="Times New Roman" w:eastAsia="黑体" w:cs="Times New Roman"/>
          <w:kern w:val="2"/>
          <w:sz w:val="32"/>
          <w:szCs w:val="32"/>
          <w:lang w:val="en-US" w:eastAsia="zh-CN" w:bidi="ar-SA"/>
        </w:rPr>
        <w:t>四、财政拨款收入支出决算总体情况说明</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outlineLvl w:val="2"/>
        <w:rPr>
          <w:rFonts w:hint="default" w:ascii="Times New Roman" w:hAnsi="Times New Roman" w:eastAsia="楷体_GB2312" w:cs="Times New Roman"/>
          <w:b/>
          <w:bCs/>
          <w:kern w:val="2"/>
          <w:sz w:val="32"/>
          <w:szCs w:val="32"/>
          <w:lang w:val="en-US" w:eastAsia="zh-CN" w:bidi="ar-SA"/>
        </w:rPr>
      </w:pPr>
      <w:r>
        <w:rPr>
          <w:rFonts w:hint="default" w:ascii="Times New Roman" w:hAnsi="Times New Roman" w:eastAsia="楷体_GB2312" w:cs="Times New Roman"/>
          <w:b/>
          <w:bCs/>
          <w:kern w:val="2"/>
          <w:sz w:val="32"/>
          <w:szCs w:val="32"/>
          <w:lang w:val="en-US" w:eastAsia="zh-CN" w:bidi="ar-SA"/>
        </w:rPr>
        <w:t>（一）财政拨款收支与2022年度决算对比情况</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right="0" w:firstLine="640" w:firstLineChars="200"/>
        <w:jc w:val="left"/>
        <w:rPr>
          <w:rFonts w:hint="default" w:ascii="Times New Roman" w:hAnsi="Times New Roman" w:eastAsia="仿宋_GB2312" w:cs="Times New Roman"/>
          <w:sz w:val="30"/>
          <w:szCs w:val="30"/>
          <w:highlight w:val="none"/>
        </w:rPr>
      </w:pPr>
      <w:r>
        <w:rPr>
          <w:rFonts w:hint="default" w:ascii="Times New Roman" w:hAnsi="Times New Roman" w:eastAsia="仿宋_GB2312" w:cs="Times New Roman"/>
          <w:color w:val="auto"/>
          <w:kern w:val="2"/>
          <w:sz w:val="32"/>
          <w:szCs w:val="32"/>
          <w:lang w:val="zh-CN" w:eastAsia="zh-CN" w:bidi="ar-SA"/>
        </w:rPr>
        <w:t>本单位202</w:t>
      </w:r>
      <w:r>
        <w:rPr>
          <w:rFonts w:hint="default" w:ascii="Times New Roman" w:hAnsi="Times New Roman" w:eastAsia="仿宋_GB2312" w:cs="Times New Roman"/>
          <w:color w:val="auto"/>
          <w:kern w:val="2"/>
          <w:sz w:val="32"/>
          <w:szCs w:val="32"/>
          <w:lang w:val="en-US" w:eastAsia="zh-CN" w:bidi="ar-SA"/>
        </w:rPr>
        <w:t>3</w:t>
      </w:r>
      <w:r>
        <w:rPr>
          <w:rFonts w:hint="default" w:ascii="Times New Roman" w:hAnsi="Times New Roman" w:eastAsia="仿宋_GB2312" w:cs="Times New Roman"/>
          <w:color w:val="auto"/>
          <w:kern w:val="2"/>
          <w:sz w:val="32"/>
          <w:szCs w:val="32"/>
          <w:lang w:val="zh-CN" w:eastAsia="zh-CN" w:bidi="ar-SA"/>
        </w:rPr>
        <w:t>年度财政拨款本年收入1,670.99</w:t>
      </w:r>
      <w:r>
        <w:rPr>
          <w:rFonts w:hint="default" w:ascii="Times New Roman" w:hAnsi="Times New Roman" w:eastAsia="仿宋_GB2312" w:cs="Times New Roman"/>
          <w:color w:val="auto"/>
          <w:kern w:val="2"/>
          <w:sz w:val="32"/>
          <w:szCs w:val="32"/>
          <w:lang w:val="en-US" w:eastAsia="zh-CN" w:bidi="ar-SA"/>
        </w:rPr>
        <w:t>万</w:t>
      </w:r>
      <w:r>
        <w:rPr>
          <w:rFonts w:hint="default" w:ascii="Times New Roman" w:hAnsi="Times New Roman" w:eastAsia="仿宋_GB2312" w:cs="Times New Roman"/>
          <w:color w:val="auto"/>
          <w:kern w:val="2"/>
          <w:sz w:val="32"/>
          <w:szCs w:val="32"/>
          <w:lang w:val="zh-CN" w:eastAsia="zh-CN" w:bidi="ar-SA"/>
        </w:rPr>
        <w:t>元,比上年</w:t>
      </w:r>
      <w:r>
        <w:rPr>
          <w:rFonts w:hint="eastAsia" w:ascii="Times New Roman" w:hAnsi="Times New Roman" w:eastAsia="仿宋_GB2312" w:cs="Times New Roman"/>
          <w:sz w:val="30"/>
          <w:szCs w:val="30"/>
          <w:highlight w:val="none"/>
          <w:lang w:val="zh-CN"/>
        </w:rPr>
        <w:t>减少903.88万元</w:t>
      </w:r>
      <w:r>
        <w:rPr>
          <w:rFonts w:hint="default" w:ascii="Times New Roman" w:hAnsi="Times New Roman" w:eastAsia="仿宋_GB2312" w:cs="Times New Roman"/>
          <w:color w:val="auto"/>
          <w:kern w:val="2"/>
          <w:sz w:val="32"/>
          <w:szCs w:val="32"/>
          <w:lang w:val="zh-CN" w:eastAsia="zh-CN" w:bidi="ar-SA"/>
        </w:rPr>
        <w:t>，</w:t>
      </w:r>
      <w:r>
        <w:rPr>
          <w:rFonts w:hint="eastAsia" w:ascii="Times New Roman" w:hAnsi="Times New Roman" w:eastAsia="仿宋_GB2312" w:cs="Times New Roman"/>
          <w:sz w:val="30"/>
          <w:szCs w:val="30"/>
          <w:highlight w:val="none"/>
          <w:lang w:val="zh-CN"/>
        </w:rPr>
        <w:t>降低35.1%，</w:t>
      </w:r>
      <w:r>
        <w:rPr>
          <w:rFonts w:hint="default" w:ascii="Times New Roman" w:hAnsi="Times New Roman" w:eastAsia="仿宋_GB2312" w:cs="Times New Roman"/>
          <w:color w:val="auto"/>
          <w:kern w:val="2"/>
          <w:sz w:val="32"/>
          <w:szCs w:val="32"/>
          <w:lang w:val="zh-CN" w:eastAsia="zh-CN" w:bidi="ar-SA"/>
        </w:rPr>
        <w:t>主要是</w:t>
      </w:r>
      <w:r>
        <w:rPr>
          <w:rFonts w:hint="eastAsia" w:ascii="仿宋_GB2312" w:hAnsi="Times New Roman" w:eastAsia="仿宋_GB2312" w:cs="仿宋_GB2312"/>
          <w:sz w:val="32"/>
          <w:szCs w:val="32"/>
        </w:rPr>
        <w:t>项目拨款</w:t>
      </w:r>
      <w:r>
        <w:rPr>
          <w:rFonts w:hint="eastAsia" w:ascii="仿宋_GB2312" w:hAnsi="Times New Roman" w:eastAsia="仿宋_GB2312" w:cs="仿宋_GB2312"/>
          <w:sz w:val="32"/>
          <w:szCs w:val="32"/>
          <w:lang w:val="en-US" w:eastAsia="zh-CN"/>
        </w:rPr>
        <w:t>减少</w:t>
      </w:r>
      <w:r>
        <w:rPr>
          <w:rFonts w:hint="default" w:ascii="Times New Roman" w:hAnsi="Times New Roman" w:eastAsia="仿宋_GB2312" w:cs="Times New Roman"/>
          <w:color w:val="auto"/>
          <w:kern w:val="2"/>
          <w:sz w:val="32"/>
          <w:szCs w:val="32"/>
          <w:lang w:val="zh-CN" w:eastAsia="zh-CN" w:bidi="ar-SA"/>
        </w:rPr>
        <w:t>；本年支出 1,670.99</w:t>
      </w:r>
      <w:r>
        <w:rPr>
          <w:rFonts w:hint="eastAsia" w:ascii="Times New Roman" w:hAnsi="Times New Roman" w:eastAsia="仿宋_GB2312" w:cs="Times New Roman"/>
          <w:color w:val="auto"/>
          <w:kern w:val="2"/>
          <w:sz w:val="32"/>
          <w:szCs w:val="32"/>
          <w:lang w:val="en-US" w:eastAsia="zh-CN" w:bidi="ar-SA"/>
        </w:rPr>
        <w:t>万</w:t>
      </w:r>
      <w:r>
        <w:rPr>
          <w:rFonts w:hint="default" w:ascii="Times New Roman" w:hAnsi="Times New Roman" w:eastAsia="仿宋_GB2312" w:cs="Times New Roman"/>
          <w:color w:val="auto"/>
          <w:kern w:val="2"/>
          <w:sz w:val="32"/>
          <w:szCs w:val="32"/>
          <w:lang w:val="zh-CN" w:eastAsia="zh-CN" w:bidi="ar-SA"/>
        </w:rPr>
        <w:t>元，比上年</w:t>
      </w:r>
      <w:r>
        <w:rPr>
          <w:rFonts w:hint="eastAsia" w:ascii="Times New Roman" w:hAnsi="Times New Roman" w:eastAsia="仿宋_GB2312" w:cs="Times New Roman"/>
          <w:sz w:val="30"/>
          <w:szCs w:val="30"/>
          <w:highlight w:val="none"/>
          <w:lang w:val="zh-CN"/>
        </w:rPr>
        <w:t>减少904.4万元</w:t>
      </w:r>
      <w:r>
        <w:rPr>
          <w:rFonts w:hint="default" w:ascii="Times New Roman" w:hAnsi="Times New Roman" w:eastAsia="仿宋_GB2312" w:cs="Times New Roman"/>
          <w:color w:val="auto"/>
          <w:kern w:val="2"/>
          <w:sz w:val="32"/>
          <w:szCs w:val="32"/>
          <w:lang w:val="zh-CN" w:eastAsia="zh-CN" w:bidi="ar-SA"/>
        </w:rPr>
        <w:t>，</w:t>
      </w:r>
      <w:r>
        <w:rPr>
          <w:rFonts w:hint="eastAsia" w:ascii="Times New Roman" w:hAnsi="Times New Roman" w:eastAsia="仿宋_GB2312" w:cs="Times New Roman"/>
          <w:sz w:val="30"/>
          <w:szCs w:val="30"/>
          <w:highlight w:val="none"/>
          <w:lang w:val="zh-CN"/>
        </w:rPr>
        <w:t>降低35.12%，</w:t>
      </w:r>
      <w:r>
        <w:rPr>
          <w:rFonts w:hint="default" w:ascii="Times New Roman" w:hAnsi="Times New Roman" w:eastAsia="仿宋_GB2312" w:cs="Times New Roman"/>
          <w:color w:val="auto"/>
          <w:kern w:val="2"/>
          <w:sz w:val="32"/>
          <w:szCs w:val="32"/>
          <w:lang w:val="zh-CN" w:eastAsia="zh-CN" w:bidi="ar-SA"/>
        </w:rPr>
        <w:t>主要是</w:t>
      </w:r>
      <w:r>
        <w:rPr>
          <w:rFonts w:hint="eastAsia" w:ascii="Times New Roman" w:hAnsi="Times New Roman" w:eastAsia="仿宋_GB2312" w:cs="Times New Roman"/>
          <w:color w:val="auto"/>
          <w:kern w:val="2"/>
          <w:sz w:val="32"/>
          <w:szCs w:val="32"/>
          <w:lang w:val="en-US" w:eastAsia="zh-CN" w:bidi="ar-SA"/>
        </w:rPr>
        <w:t>项目支出减少</w:t>
      </w:r>
      <w:r>
        <w:rPr>
          <w:rFonts w:hint="default" w:ascii="Times New Roman" w:hAnsi="Times New Roman" w:eastAsia="仿宋_GB2312" w:cs="Times New Roman"/>
          <w:color w:val="auto"/>
          <w:kern w:val="2"/>
          <w:sz w:val="32"/>
          <w:szCs w:val="32"/>
          <w:lang w:val="zh-CN" w:eastAsia="zh-CN" w:bidi="ar-SA"/>
        </w:rPr>
        <w:t>。具体情况如下：</w:t>
      </w:r>
    </w:p>
    <w:p>
      <w:pPr>
        <w:autoSpaceDE w:val="0"/>
        <w:autoSpaceDN w:val="0"/>
        <w:adjustRightInd w:val="0"/>
        <w:spacing w:line="580" w:lineRule="exact"/>
        <w:ind w:firstLine="640" w:firstLineChars="200"/>
        <w:jc w:val="left"/>
        <w:rPr>
          <w:rFonts w:hint="default" w:ascii="Times New Roman" w:hAnsi="Times New Roman" w:eastAsia="仿宋_GB2312" w:cs="Times New Roman"/>
          <w:kern w:val="2"/>
          <w:sz w:val="32"/>
          <w:szCs w:val="32"/>
          <w:lang w:val="zh-CN"/>
        </w:rPr>
      </w:pPr>
      <w:r>
        <w:rPr>
          <w:rFonts w:hint="default" w:ascii="Times New Roman" w:hAnsi="Times New Roman" w:eastAsia="仿宋_GB2312" w:cs="Times New Roman"/>
          <w:kern w:val="2"/>
          <w:sz w:val="32"/>
          <w:szCs w:val="32"/>
          <w:lang w:val="zh-CN"/>
        </w:rPr>
        <w:t>1. 一般公共预算财政拨款本年收入1,635.99</w:t>
      </w:r>
      <w:r>
        <w:rPr>
          <w:rFonts w:hint="default" w:ascii="Times New Roman" w:hAnsi="Times New Roman" w:eastAsia="仿宋_GB2312" w:cs="Times New Roman"/>
          <w:kern w:val="2"/>
          <w:sz w:val="32"/>
          <w:szCs w:val="32"/>
          <w:lang w:val="zh-CN" w:eastAsia="zh-CN"/>
        </w:rPr>
        <w:t>万元</w:t>
      </w:r>
      <w:r>
        <w:rPr>
          <w:rFonts w:hint="default" w:ascii="Times New Roman" w:hAnsi="Times New Roman" w:eastAsia="仿宋_GB2312" w:cs="Times New Roman"/>
          <w:kern w:val="2"/>
          <w:sz w:val="32"/>
          <w:szCs w:val="32"/>
          <w:lang w:val="zh-CN"/>
        </w:rPr>
        <w:t>,比上年</w:t>
      </w:r>
      <w:r>
        <w:rPr>
          <w:rFonts w:hint="eastAsia" w:ascii="Times New Roman" w:hAnsi="Times New Roman" w:eastAsia="仿宋_GB2312" w:cs="Times New Roman"/>
          <w:sz w:val="30"/>
          <w:szCs w:val="30"/>
          <w:highlight w:val="none"/>
          <w:lang w:val="zh-CN"/>
        </w:rPr>
        <w:t>减少321.67万元，降低16.43%，</w:t>
      </w:r>
      <w:r>
        <w:rPr>
          <w:rFonts w:hint="default" w:ascii="Times New Roman" w:hAnsi="Times New Roman" w:eastAsia="仿宋_GB2312" w:cs="Times New Roman"/>
          <w:kern w:val="2"/>
          <w:sz w:val="32"/>
          <w:szCs w:val="32"/>
          <w:lang w:val="zh-CN"/>
        </w:rPr>
        <w:t>主要是</w:t>
      </w:r>
      <w:r>
        <w:rPr>
          <w:rFonts w:hint="eastAsia" w:ascii="仿宋_GB2312" w:hAnsi="Times New Roman" w:eastAsia="仿宋_GB2312" w:cs="仿宋_GB2312"/>
          <w:sz w:val="32"/>
          <w:szCs w:val="32"/>
          <w:lang w:val="en-US" w:eastAsia="zh-CN"/>
        </w:rPr>
        <w:t>城乡社区项目收入减少</w:t>
      </w:r>
      <w:r>
        <w:rPr>
          <w:rFonts w:hint="default" w:ascii="Times New Roman" w:hAnsi="Times New Roman" w:eastAsia="仿宋_GB2312" w:cs="Times New Roman"/>
          <w:kern w:val="2"/>
          <w:sz w:val="32"/>
          <w:szCs w:val="32"/>
          <w:lang w:val="zh-CN"/>
        </w:rPr>
        <w:t>；本年支出 1,635.99</w:t>
      </w:r>
      <w:r>
        <w:rPr>
          <w:rFonts w:hint="default" w:ascii="Times New Roman" w:hAnsi="Times New Roman" w:eastAsia="仿宋_GB2312" w:cs="Times New Roman"/>
          <w:kern w:val="2"/>
          <w:sz w:val="32"/>
          <w:szCs w:val="32"/>
          <w:lang w:val="en-US" w:eastAsia="zh-CN"/>
        </w:rPr>
        <w:t>万</w:t>
      </w:r>
      <w:r>
        <w:rPr>
          <w:rFonts w:hint="default" w:ascii="Times New Roman" w:hAnsi="Times New Roman" w:eastAsia="仿宋_GB2312" w:cs="Times New Roman"/>
          <w:kern w:val="2"/>
          <w:sz w:val="32"/>
          <w:szCs w:val="32"/>
          <w:lang w:val="zh-CN"/>
        </w:rPr>
        <w:t>元，比上年</w:t>
      </w:r>
      <w:r>
        <w:rPr>
          <w:rFonts w:hint="eastAsia" w:ascii="Times New Roman" w:hAnsi="Times New Roman" w:eastAsia="仿宋_GB2312" w:cs="Times New Roman"/>
          <w:sz w:val="30"/>
          <w:szCs w:val="30"/>
          <w:highlight w:val="none"/>
          <w:lang w:val="zh-CN"/>
        </w:rPr>
        <w:t>减少322.19万元</w:t>
      </w:r>
      <w:r>
        <w:rPr>
          <w:rFonts w:hint="default" w:ascii="Times New Roman" w:hAnsi="Times New Roman" w:eastAsia="仿宋_GB2312" w:cs="Times New Roman"/>
          <w:kern w:val="2"/>
          <w:sz w:val="32"/>
          <w:szCs w:val="32"/>
          <w:lang w:val="zh-CN"/>
        </w:rPr>
        <w:t>，</w:t>
      </w:r>
      <w:r>
        <w:rPr>
          <w:rFonts w:hint="eastAsia" w:ascii="Times New Roman" w:hAnsi="Times New Roman" w:eastAsia="仿宋_GB2312" w:cs="Times New Roman"/>
          <w:sz w:val="30"/>
          <w:szCs w:val="30"/>
          <w:highlight w:val="none"/>
          <w:lang w:val="zh-CN"/>
        </w:rPr>
        <w:t>降低16.45%，</w:t>
      </w:r>
      <w:r>
        <w:rPr>
          <w:rFonts w:hint="default" w:ascii="Times New Roman" w:hAnsi="Times New Roman" w:eastAsia="仿宋_GB2312" w:cs="Times New Roman"/>
          <w:kern w:val="2"/>
          <w:sz w:val="32"/>
          <w:szCs w:val="32"/>
          <w:lang w:val="zh-CN"/>
        </w:rPr>
        <w:t>主要是</w:t>
      </w:r>
      <w:r>
        <w:rPr>
          <w:rFonts w:hint="eastAsia" w:ascii="仿宋_GB2312" w:hAnsi="Times New Roman" w:eastAsia="仿宋_GB2312" w:cs="仿宋_GB2312"/>
          <w:sz w:val="32"/>
          <w:szCs w:val="32"/>
          <w:lang w:val="en-US" w:eastAsia="zh-CN"/>
        </w:rPr>
        <w:t>乡社区项目支出减少</w:t>
      </w:r>
      <w:r>
        <w:rPr>
          <w:rFonts w:hint="default" w:ascii="Times New Roman" w:hAnsi="Times New Roman" w:eastAsia="仿宋_GB2312" w:cs="Times New Roman"/>
          <w:kern w:val="2"/>
          <w:sz w:val="32"/>
          <w:szCs w:val="32"/>
          <w:lang w:val="zh-CN"/>
        </w:rPr>
        <w:t>。</w:t>
      </w:r>
    </w:p>
    <w:p>
      <w:pPr>
        <w:autoSpaceDE w:val="0"/>
        <w:autoSpaceDN w:val="0"/>
        <w:adjustRightInd w:val="0"/>
        <w:spacing w:line="580" w:lineRule="exact"/>
        <w:ind w:firstLine="640" w:firstLineChars="200"/>
        <w:jc w:val="left"/>
        <w:rPr>
          <w:rFonts w:hint="default" w:ascii="Times New Roman" w:hAnsi="Times New Roman" w:eastAsia="仿宋_GB2312" w:cs="Times New Roman"/>
          <w:sz w:val="32"/>
          <w:szCs w:val="32"/>
        </w:rPr>
      </w:pPr>
      <w:r>
        <w:rPr>
          <w:rFonts w:hint="default" w:ascii="Times New Roman" w:hAnsi="Times New Roman" w:eastAsia="仿宋_GB2312" w:cs="Times New Roman"/>
          <w:kern w:val="2"/>
          <w:sz w:val="32"/>
          <w:szCs w:val="32"/>
          <w:lang w:val="zh-CN"/>
        </w:rPr>
        <w:t>2. 政府性基金预算财政拨款本年收入35</w:t>
      </w:r>
      <w:r>
        <w:rPr>
          <w:rFonts w:hint="default" w:ascii="Times New Roman" w:hAnsi="Times New Roman" w:eastAsia="仿宋_GB2312" w:cs="Times New Roman"/>
          <w:kern w:val="2"/>
          <w:sz w:val="32"/>
          <w:szCs w:val="32"/>
          <w:lang w:val="en-US" w:eastAsia="zh-CN"/>
        </w:rPr>
        <w:t>万</w:t>
      </w:r>
      <w:r>
        <w:rPr>
          <w:rFonts w:hint="default" w:ascii="Times New Roman" w:hAnsi="Times New Roman" w:eastAsia="仿宋_GB2312" w:cs="Times New Roman"/>
          <w:kern w:val="2"/>
          <w:sz w:val="32"/>
          <w:szCs w:val="32"/>
          <w:lang w:val="zh-CN"/>
        </w:rPr>
        <w:t>元，比上年</w:t>
      </w:r>
      <w:r>
        <w:rPr>
          <w:rFonts w:hint="eastAsia" w:ascii="Times New Roman" w:hAnsi="Times New Roman" w:eastAsia="仿宋_GB2312" w:cs="Times New Roman"/>
          <w:sz w:val="30"/>
          <w:szCs w:val="30"/>
          <w:highlight w:val="none"/>
          <w:lang w:val="zh-CN"/>
        </w:rPr>
        <w:t>减少582.21万元</w:t>
      </w:r>
      <w:r>
        <w:rPr>
          <w:rFonts w:hint="default" w:ascii="Times New Roman" w:hAnsi="Times New Roman" w:eastAsia="仿宋_GB2312" w:cs="Times New Roman"/>
          <w:kern w:val="2"/>
          <w:sz w:val="32"/>
          <w:szCs w:val="32"/>
          <w:lang w:val="zh-CN"/>
        </w:rPr>
        <w:t>，</w:t>
      </w:r>
      <w:r>
        <w:rPr>
          <w:rFonts w:hint="eastAsia" w:ascii="Times New Roman" w:hAnsi="Times New Roman" w:eastAsia="仿宋_GB2312" w:cs="Times New Roman"/>
          <w:sz w:val="30"/>
          <w:szCs w:val="30"/>
          <w:highlight w:val="none"/>
          <w:lang w:val="zh-CN"/>
        </w:rPr>
        <w:t>降低94.33%，</w:t>
      </w:r>
      <w:r>
        <w:rPr>
          <w:rFonts w:hint="default" w:ascii="Times New Roman" w:hAnsi="Times New Roman" w:eastAsia="仿宋_GB2312" w:cs="Times New Roman"/>
          <w:kern w:val="2"/>
          <w:sz w:val="32"/>
          <w:szCs w:val="32"/>
          <w:lang w:val="zh-CN"/>
        </w:rPr>
        <w:t>主要原因是</w:t>
      </w:r>
      <w:r>
        <w:rPr>
          <w:rFonts w:hint="eastAsia" w:ascii="Times New Roman" w:hAnsi="Times New Roman" w:eastAsia="仿宋_GB2312" w:cs="Times New Roman"/>
          <w:kern w:val="2"/>
          <w:sz w:val="32"/>
          <w:szCs w:val="32"/>
          <w:lang w:val="en-US" w:eastAsia="zh-CN"/>
        </w:rPr>
        <w:t>项目收入减少</w:t>
      </w:r>
      <w:r>
        <w:rPr>
          <w:rFonts w:hint="default" w:ascii="Times New Roman" w:hAnsi="Times New Roman" w:eastAsia="仿宋_GB2312" w:cs="Times New Roman"/>
          <w:kern w:val="2"/>
          <w:sz w:val="32"/>
          <w:szCs w:val="32"/>
          <w:lang w:val="zh-CN"/>
        </w:rPr>
        <w:t>；本年支出 35</w:t>
      </w:r>
      <w:r>
        <w:rPr>
          <w:rFonts w:hint="default" w:ascii="Times New Roman" w:hAnsi="Times New Roman" w:eastAsia="仿宋_GB2312" w:cs="Times New Roman"/>
          <w:kern w:val="2"/>
          <w:sz w:val="32"/>
          <w:szCs w:val="32"/>
          <w:lang w:val="en-US" w:eastAsia="zh-CN"/>
        </w:rPr>
        <w:t>万</w:t>
      </w:r>
      <w:r>
        <w:rPr>
          <w:rFonts w:hint="default" w:ascii="Times New Roman" w:hAnsi="Times New Roman" w:eastAsia="仿宋_GB2312" w:cs="Times New Roman"/>
          <w:kern w:val="2"/>
          <w:sz w:val="32"/>
          <w:szCs w:val="32"/>
          <w:lang w:val="zh-CN"/>
        </w:rPr>
        <w:t>元，比上年</w:t>
      </w:r>
      <w:r>
        <w:rPr>
          <w:rFonts w:hint="eastAsia" w:ascii="Times New Roman" w:hAnsi="Times New Roman" w:eastAsia="仿宋_GB2312" w:cs="Times New Roman"/>
          <w:sz w:val="30"/>
          <w:szCs w:val="30"/>
          <w:highlight w:val="none"/>
          <w:lang w:val="zh-CN"/>
        </w:rPr>
        <w:t>减少582.21万元</w:t>
      </w:r>
      <w:r>
        <w:rPr>
          <w:rFonts w:hint="default" w:ascii="Times New Roman" w:hAnsi="Times New Roman" w:eastAsia="仿宋_GB2312" w:cs="Times New Roman"/>
          <w:kern w:val="2"/>
          <w:sz w:val="32"/>
          <w:szCs w:val="32"/>
          <w:lang w:val="zh-CN"/>
        </w:rPr>
        <w:t>，</w:t>
      </w:r>
      <w:r>
        <w:rPr>
          <w:rFonts w:hint="eastAsia" w:ascii="Times New Roman" w:hAnsi="Times New Roman" w:eastAsia="仿宋_GB2312" w:cs="Times New Roman"/>
          <w:sz w:val="30"/>
          <w:szCs w:val="30"/>
          <w:highlight w:val="none"/>
          <w:lang w:val="zh-CN"/>
        </w:rPr>
        <w:t>降低94.33%，</w:t>
      </w:r>
      <w:r>
        <w:rPr>
          <w:rFonts w:hint="default" w:ascii="Times New Roman" w:hAnsi="Times New Roman" w:eastAsia="仿宋_GB2312" w:cs="Times New Roman"/>
          <w:kern w:val="2"/>
          <w:sz w:val="32"/>
          <w:szCs w:val="32"/>
          <w:lang w:val="zh-CN"/>
        </w:rPr>
        <w:t>主要是</w:t>
      </w:r>
      <w:r>
        <w:rPr>
          <w:rFonts w:hint="eastAsia" w:ascii="Times New Roman" w:hAnsi="Times New Roman" w:eastAsia="仿宋_GB2312" w:cs="Times New Roman"/>
          <w:kern w:val="2"/>
          <w:sz w:val="32"/>
          <w:szCs w:val="32"/>
          <w:lang w:val="en-US" w:eastAsia="zh-CN"/>
        </w:rPr>
        <w:t>项目支出减少</w:t>
      </w:r>
      <w:r>
        <w:rPr>
          <w:rFonts w:hint="default" w:ascii="Times New Roman" w:hAnsi="Times New Roman" w:eastAsia="仿宋_GB2312" w:cs="Times New Roman"/>
          <w:kern w:val="2"/>
          <w:sz w:val="32"/>
          <w:szCs w:val="32"/>
          <w:lang w:val="zh-CN"/>
        </w:rPr>
        <w:t>。</w:t>
      </w:r>
    </w:p>
    <w:p>
      <w:pPr>
        <w:autoSpaceDE w:val="0"/>
        <w:autoSpaceDN w:val="0"/>
        <w:adjustRightInd w:val="0"/>
        <w:spacing w:line="580" w:lineRule="exact"/>
        <w:ind w:firstLine="640" w:firstLineChars="200"/>
        <w:jc w:val="left"/>
        <w:rPr>
          <w:rFonts w:hint="default" w:ascii="Times New Roman" w:hAnsi="Times New Roman" w:eastAsia="仿宋_GB2312" w:cs="Times New Roman"/>
          <w:kern w:val="2"/>
          <w:sz w:val="32"/>
          <w:szCs w:val="32"/>
          <w:lang w:val="zh-CN"/>
        </w:rPr>
      </w:pPr>
      <w:r>
        <w:rPr>
          <w:rFonts w:hint="default" w:ascii="Times New Roman" w:hAnsi="Times New Roman" w:eastAsia="仿宋_GB2312" w:cs="Times New Roman"/>
          <w:kern w:val="2"/>
          <w:sz w:val="32"/>
          <w:szCs w:val="32"/>
          <w:lang w:val="zh-CN"/>
        </w:rPr>
        <w:t>3. 国有资本经营预算财政拨款本年收入0</w:t>
      </w:r>
      <w:r>
        <w:rPr>
          <w:rFonts w:hint="default" w:ascii="Times New Roman" w:hAnsi="Times New Roman" w:eastAsia="仿宋_GB2312" w:cs="Times New Roman"/>
          <w:kern w:val="2"/>
          <w:sz w:val="32"/>
          <w:szCs w:val="32"/>
          <w:lang w:val="en-US" w:eastAsia="zh-CN"/>
        </w:rPr>
        <w:t>万</w:t>
      </w:r>
      <w:r>
        <w:rPr>
          <w:rFonts w:hint="default" w:ascii="Times New Roman" w:hAnsi="Times New Roman" w:eastAsia="仿宋_GB2312" w:cs="Times New Roman"/>
          <w:kern w:val="2"/>
          <w:sz w:val="32"/>
          <w:szCs w:val="32"/>
          <w:lang w:val="zh-CN"/>
        </w:rPr>
        <w:t>元，比上年</w:t>
      </w:r>
      <w:r>
        <w:rPr>
          <w:rFonts w:hint="eastAsia" w:ascii="Times New Roman" w:hAnsi="Times New Roman" w:eastAsia="仿宋_GB2312" w:cs="Times New Roman"/>
          <w:sz w:val="30"/>
          <w:szCs w:val="30"/>
          <w:highlight w:val="none"/>
          <w:lang w:val="zh-CN"/>
        </w:rPr>
        <w:t>持平，</w:t>
      </w:r>
      <w:r>
        <w:rPr>
          <w:rFonts w:hint="eastAsia" w:ascii="仿宋_GB2312" w:hAnsi="Times New Roman" w:eastAsia="仿宋_GB2312" w:cs="仿宋_GB2312"/>
          <w:sz w:val="32"/>
          <w:szCs w:val="32"/>
          <w:lang w:val="en-US" w:eastAsia="zh-CN"/>
        </w:rPr>
        <w:t>主要原因是2022年度、2023年度我单位均无</w:t>
      </w:r>
      <w:r>
        <w:rPr>
          <w:rFonts w:ascii="仿宋_GB2312" w:hAnsi="Times New Roman" w:eastAsia="仿宋_GB2312" w:cs="仿宋_GB2312"/>
          <w:sz w:val="32"/>
          <w:szCs w:val="32"/>
        </w:rPr>
        <w:t>国有资本经营预算财政拨款收入；</w:t>
      </w:r>
      <w:r>
        <w:rPr>
          <w:rFonts w:hint="default" w:ascii="Times New Roman" w:hAnsi="Times New Roman" w:eastAsia="仿宋_GB2312" w:cs="Times New Roman"/>
          <w:kern w:val="2"/>
          <w:sz w:val="32"/>
          <w:szCs w:val="32"/>
          <w:lang w:val="zh-CN"/>
        </w:rPr>
        <w:t>本年支出0</w:t>
      </w:r>
      <w:r>
        <w:rPr>
          <w:rFonts w:hint="default" w:ascii="Times New Roman" w:hAnsi="Times New Roman" w:eastAsia="仿宋_GB2312" w:cs="Times New Roman"/>
          <w:kern w:val="2"/>
          <w:sz w:val="32"/>
          <w:szCs w:val="32"/>
          <w:lang w:val="en-US" w:eastAsia="zh-CN"/>
        </w:rPr>
        <w:t>万</w:t>
      </w:r>
      <w:r>
        <w:rPr>
          <w:rFonts w:hint="default" w:ascii="Times New Roman" w:hAnsi="Times New Roman" w:eastAsia="仿宋_GB2312" w:cs="Times New Roman"/>
          <w:kern w:val="2"/>
          <w:sz w:val="32"/>
          <w:szCs w:val="32"/>
          <w:lang w:val="zh-CN"/>
        </w:rPr>
        <w:t>元，比上年</w:t>
      </w:r>
      <w:r>
        <w:rPr>
          <w:rFonts w:hint="eastAsia" w:ascii="Times New Roman" w:hAnsi="Times New Roman" w:eastAsia="仿宋_GB2312" w:cs="Times New Roman"/>
          <w:sz w:val="30"/>
          <w:szCs w:val="30"/>
          <w:highlight w:val="none"/>
          <w:lang w:val="zh-CN"/>
        </w:rPr>
        <w:t>持平，</w:t>
      </w:r>
      <w:r>
        <w:rPr>
          <w:rFonts w:hint="eastAsia" w:ascii="仿宋_GB2312" w:hAnsi="Times New Roman" w:eastAsia="仿宋_GB2312" w:cs="仿宋_GB2312"/>
          <w:sz w:val="32"/>
          <w:szCs w:val="32"/>
          <w:lang w:val="en-US" w:eastAsia="zh-CN"/>
        </w:rPr>
        <w:t>主要原因是2022年度、2023年度我单位均无</w:t>
      </w:r>
      <w:r>
        <w:rPr>
          <w:rFonts w:ascii="仿宋_GB2312" w:hAnsi="Times New Roman" w:eastAsia="仿宋_GB2312" w:cs="仿宋_GB2312"/>
          <w:sz w:val="32"/>
          <w:szCs w:val="32"/>
        </w:rPr>
        <w:t>国有资本经营预算财政拨款</w:t>
      </w:r>
      <w:r>
        <w:rPr>
          <w:rFonts w:hint="eastAsia" w:ascii="仿宋_GB2312" w:hAnsi="Times New Roman" w:eastAsia="仿宋_GB2312" w:cs="仿宋_GB2312"/>
          <w:sz w:val="32"/>
          <w:szCs w:val="32"/>
          <w:lang w:val="en-US" w:eastAsia="zh-CN"/>
        </w:rPr>
        <w:t>支出</w:t>
      </w:r>
      <w:r>
        <w:rPr>
          <w:rFonts w:hint="default" w:ascii="Times New Roman" w:hAnsi="Times New Roman" w:eastAsia="仿宋_GB2312" w:cs="Times New Roman"/>
          <w:kern w:val="2"/>
          <w:sz w:val="32"/>
          <w:szCs w:val="32"/>
          <w:lang w:val="zh-CN"/>
        </w:rPr>
        <w:t>。</w:t>
      </w:r>
    </w:p>
    <w:p>
      <w:pPr>
        <w:autoSpaceDE w:val="0"/>
        <w:autoSpaceDN w:val="0"/>
        <w:adjustRightInd w:val="0"/>
        <w:spacing w:line="580" w:lineRule="exact"/>
        <w:ind w:firstLine="480" w:firstLineChars="200"/>
        <w:jc w:val="left"/>
        <w:rPr>
          <w:rFonts w:hint="default" w:ascii="Times New Roman" w:hAnsi="Times New Roman" w:eastAsia="仿宋_GB2312" w:cs="Times New Roman"/>
          <w:kern w:val="2"/>
          <w:sz w:val="32"/>
          <w:szCs w:val="32"/>
          <w:lang w:val="zh-CN"/>
        </w:rPr>
      </w:pPr>
      <w:r>
        <w:drawing>
          <wp:anchor distT="0" distB="0" distL="114300" distR="114300" simplePos="0" relativeHeight="251668480" behindDoc="0" locked="0" layoutInCell="1" allowOverlap="1">
            <wp:simplePos x="0" y="0"/>
            <wp:positionH relativeFrom="column">
              <wp:posOffset>320040</wp:posOffset>
            </wp:positionH>
            <wp:positionV relativeFrom="paragraph">
              <wp:posOffset>3324225</wp:posOffset>
            </wp:positionV>
            <wp:extent cx="4572000" cy="2743200"/>
            <wp:effectExtent l="4445" t="4445" r="8255" b="8255"/>
            <wp:wrapTopAndBottom/>
            <wp:docPr id="11" name="图表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anchor>
        </w:drawing>
      </w:r>
      <w:r>
        <w:drawing>
          <wp:anchor distT="0" distB="0" distL="114300" distR="114300" simplePos="0" relativeHeight="251667456" behindDoc="0" locked="0" layoutInCell="1" allowOverlap="1">
            <wp:simplePos x="0" y="0"/>
            <wp:positionH relativeFrom="column">
              <wp:posOffset>309245</wp:posOffset>
            </wp:positionH>
            <wp:positionV relativeFrom="paragraph">
              <wp:posOffset>126365</wp:posOffset>
            </wp:positionV>
            <wp:extent cx="4572000" cy="2743200"/>
            <wp:effectExtent l="4445" t="4445" r="8255" b="8255"/>
            <wp:wrapTopAndBottom/>
            <wp:docPr id="10" name="图表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anchor>
        </w:drawing>
      </w:r>
    </w:p>
    <w:p>
      <w:pPr>
        <w:snapToGrid w:val="0"/>
        <w:spacing w:line="580" w:lineRule="exact"/>
        <w:rPr>
          <w:rFonts w:hint="default" w:ascii="Times New Roman" w:hAnsi="Times New Roman" w:eastAsia="楷体_GB2312" w:cs="Times New Roman"/>
          <w:b/>
          <w:bCs/>
          <w:kern w:val="2"/>
          <w:sz w:val="32"/>
          <w:szCs w:val="32"/>
        </w:rPr>
      </w:pPr>
      <w:r>
        <w:rPr>
          <w:rFonts w:hint="default" w:ascii="Times New Roman" w:hAnsi="Times New Roman" w:eastAsia="楷体_GB2312" w:cs="Times New Roman"/>
          <w:b/>
          <w:bCs/>
          <w:kern w:val="2"/>
          <w:sz w:val="32"/>
          <w:szCs w:val="32"/>
        </w:rPr>
        <w:t>（二）财政拨款收支与年初预算数对比情况</w:t>
      </w:r>
    </w:p>
    <w:p>
      <w:pPr>
        <w:autoSpaceDE w:val="0"/>
        <w:autoSpaceDN w:val="0"/>
        <w:adjustRightInd w:val="0"/>
        <w:spacing w:line="580" w:lineRule="exact"/>
        <w:ind w:firstLine="640" w:firstLineChars="200"/>
        <w:jc w:val="left"/>
        <w:rPr>
          <w:rFonts w:hint="default" w:ascii="Times New Roman" w:hAnsi="Times New Roman" w:eastAsia="仿宋_GB2312" w:cs="Times New Roman"/>
          <w:kern w:val="2"/>
          <w:sz w:val="32"/>
          <w:szCs w:val="32"/>
          <w:lang w:val="zh-CN"/>
        </w:rPr>
      </w:pPr>
      <w:r>
        <w:rPr>
          <w:rFonts w:hint="default" w:ascii="Times New Roman" w:hAnsi="Times New Roman" w:eastAsia="仿宋_GB2312" w:cs="Times New Roman"/>
          <w:color w:val="auto"/>
          <w:kern w:val="2"/>
          <w:sz w:val="32"/>
          <w:szCs w:val="32"/>
          <w:lang w:val="zh-CN" w:eastAsia="zh-CN" w:bidi="ar-SA"/>
        </w:rPr>
        <w:t>本单位202</w:t>
      </w:r>
      <w:r>
        <w:rPr>
          <w:rFonts w:hint="default" w:ascii="Times New Roman" w:hAnsi="Times New Roman" w:eastAsia="仿宋_GB2312" w:cs="Times New Roman"/>
          <w:color w:val="auto"/>
          <w:kern w:val="2"/>
          <w:sz w:val="32"/>
          <w:szCs w:val="32"/>
          <w:lang w:val="en-US" w:eastAsia="zh-CN" w:bidi="ar-SA"/>
        </w:rPr>
        <w:t>3</w:t>
      </w:r>
      <w:r>
        <w:rPr>
          <w:rFonts w:hint="default" w:ascii="Times New Roman" w:hAnsi="Times New Roman" w:eastAsia="仿宋_GB2312" w:cs="Times New Roman"/>
          <w:color w:val="auto"/>
          <w:kern w:val="2"/>
          <w:sz w:val="32"/>
          <w:szCs w:val="32"/>
          <w:lang w:val="zh-CN" w:eastAsia="zh-CN" w:bidi="ar-SA"/>
        </w:rPr>
        <w:t>年度财政拨款本年收入1,670.99万元，完成年初预算的86.2%，比年初预算</w:t>
      </w:r>
      <w:r>
        <w:rPr>
          <w:rFonts w:hint="eastAsia" w:ascii="Times New Roman" w:hAnsi="Times New Roman" w:eastAsia="仿宋_GB2312" w:cs="Times New Roman"/>
          <w:sz w:val="30"/>
          <w:szCs w:val="30"/>
          <w:highlight w:val="none"/>
          <w:lang w:val="zh-CN"/>
        </w:rPr>
        <w:t>减少267.61万元</w:t>
      </w:r>
      <w:r>
        <w:rPr>
          <w:rFonts w:hint="default" w:ascii="Times New Roman" w:hAnsi="Times New Roman" w:eastAsia="仿宋_GB2312" w:cs="Times New Roman"/>
          <w:color w:val="auto"/>
          <w:kern w:val="2"/>
          <w:sz w:val="32"/>
          <w:szCs w:val="32"/>
          <w:lang w:val="zh-CN" w:eastAsia="zh-CN" w:bidi="ar-SA"/>
        </w:rPr>
        <w:t>，决算数小于预算数主要原因是</w:t>
      </w:r>
      <w:r>
        <w:rPr>
          <w:rFonts w:hint="eastAsia" w:ascii="Times New Roman" w:hAnsi="Times New Roman" w:eastAsia="仿宋_GB2312" w:cs="Times New Roman"/>
          <w:color w:val="auto"/>
          <w:kern w:val="2"/>
          <w:sz w:val="32"/>
          <w:szCs w:val="32"/>
          <w:lang w:val="en-US" w:eastAsia="zh-CN" w:bidi="ar-SA"/>
        </w:rPr>
        <w:t>项目拨款减少</w:t>
      </w:r>
      <w:r>
        <w:rPr>
          <w:rFonts w:hint="default" w:ascii="Times New Roman" w:hAnsi="Times New Roman" w:eastAsia="仿宋_GB2312" w:cs="Times New Roman"/>
          <w:color w:val="auto"/>
          <w:kern w:val="2"/>
          <w:sz w:val="32"/>
          <w:szCs w:val="32"/>
          <w:lang w:val="zh-CN" w:eastAsia="zh-CN" w:bidi="ar-SA"/>
        </w:rPr>
        <w:t>；本年支出1,670.99万元，完成年初预算的86.2%，比年初预算</w:t>
      </w:r>
      <w:r>
        <w:rPr>
          <w:rFonts w:hint="eastAsia" w:ascii="Times New Roman" w:hAnsi="Times New Roman" w:eastAsia="仿宋_GB2312" w:cs="Times New Roman"/>
          <w:sz w:val="30"/>
          <w:szCs w:val="30"/>
          <w:highlight w:val="none"/>
          <w:lang w:val="zh-CN"/>
        </w:rPr>
        <w:t>减少267.61万元</w:t>
      </w:r>
      <w:r>
        <w:rPr>
          <w:rFonts w:hint="default" w:ascii="Times New Roman" w:hAnsi="Times New Roman" w:eastAsia="仿宋_GB2312" w:cs="Times New Roman"/>
          <w:color w:val="auto"/>
          <w:kern w:val="2"/>
          <w:sz w:val="32"/>
          <w:szCs w:val="32"/>
          <w:lang w:val="zh-CN" w:eastAsia="zh-CN" w:bidi="ar-SA"/>
        </w:rPr>
        <w:t>，决算数小于</w:t>
      </w:r>
      <w:r>
        <w:rPr>
          <w:rFonts w:hint="default" w:ascii="Times New Roman" w:hAnsi="Times New Roman" w:eastAsia="仿宋_GB2312" w:cs="Times New Roman"/>
          <w:kern w:val="2"/>
          <w:sz w:val="32"/>
          <w:szCs w:val="32"/>
          <w:lang w:val="zh-CN"/>
        </w:rPr>
        <w:t>预算数主要原因是</w:t>
      </w:r>
      <w:r>
        <w:rPr>
          <w:rFonts w:hint="eastAsia" w:ascii="Times New Roman" w:hAnsi="Times New Roman" w:eastAsia="仿宋_GB2312" w:cs="Times New Roman"/>
          <w:kern w:val="2"/>
          <w:sz w:val="32"/>
          <w:szCs w:val="32"/>
          <w:lang w:val="en-US" w:eastAsia="zh-CN"/>
        </w:rPr>
        <w:t>项目支出减少</w:t>
      </w:r>
      <w:r>
        <w:rPr>
          <w:rFonts w:hint="default" w:ascii="Times New Roman" w:hAnsi="Times New Roman" w:eastAsia="仿宋_GB2312" w:cs="Times New Roman"/>
          <w:kern w:val="2"/>
          <w:sz w:val="32"/>
          <w:szCs w:val="32"/>
          <w:lang w:val="zh-CN"/>
        </w:rPr>
        <w:t>。具体情况如下：</w:t>
      </w:r>
    </w:p>
    <w:p>
      <w:pPr>
        <w:autoSpaceDE w:val="0"/>
        <w:autoSpaceDN w:val="0"/>
        <w:adjustRightInd w:val="0"/>
        <w:spacing w:line="580" w:lineRule="exact"/>
        <w:ind w:firstLine="640" w:firstLineChars="200"/>
        <w:jc w:val="left"/>
        <w:rPr>
          <w:rFonts w:hint="default" w:ascii="Times New Roman" w:hAnsi="Times New Roman" w:eastAsia="仿宋_GB2312" w:cs="Times New Roman"/>
          <w:kern w:val="2"/>
          <w:sz w:val="32"/>
          <w:szCs w:val="32"/>
          <w:lang w:val="zh-CN"/>
        </w:rPr>
      </w:pPr>
      <w:r>
        <w:rPr>
          <w:rFonts w:hint="default" w:ascii="Times New Roman" w:hAnsi="Times New Roman" w:eastAsia="仿宋_GB2312" w:cs="Times New Roman"/>
          <w:kern w:val="2"/>
          <w:sz w:val="32"/>
          <w:szCs w:val="32"/>
          <w:lang w:val="en-US" w:eastAsia="zh-CN"/>
        </w:rPr>
        <w:t>1.</w:t>
      </w:r>
      <w:r>
        <w:rPr>
          <w:rFonts w:hint="default" w:ascii="Times New Roman" w:hAnsi="Times New Roman" w:eastAsia="仿宋_GB2312" w:cs="Times New Roman"/>
          <w:kern w:val="2"/>
          <w:sz w:val="32"/>
          <w:szCs w:val="32"/>
          <w:lang w:val="zh-CN"/>
        </w:rPr>
        <w:t>一般公共预算财政拨款</w:t>
      </w:r>
      <w:r>
        <w:rPr>
          <w:rFonts w:hint="default" w:ascii="Times New Roman" w:hAnsi="Times New Roman" w:eastAsia="仿宋_GB2312" w:cs="Times New Roman"/>
          <w:kern w:val="2"/>
          <w:sz w:val="32"/>
          <w:szCs w:val="32"/>
          <w:lang w:val="en-US" w:eastAsia="zh-CN"/>
        </w:rPr>
        <w:t>本年</w:t>
      </w:r>
      <w:r>
        <w:rPr>
          <w:rFonts w:hint="default" w:ascii="Times New Roman" w:hAnsi="Times New Roman" w:eastAsia="仿宋_GB2312" w:cs="Times New Roman"/>
          <w:kern w:val="2"/>
          <w:sz w:val="32"/>
          <w:szCs w:val="32"/>
          <w:lang w:val="zh-CN"/>
        </w:rPr>
        <w:t>收入1,635.99万元，完成年初预算的 126.71%，比年初预算</w:t>
      </w:r>
      <w:r>
        <w:rPr>
          <w:rFonts w:hint="eastAsia" w:ascii="Times New Roman" w:hAnsi="Times New Roman" w:eastAsia="仿宋_GB2312" w:cs="Times New Roman"/>
          <w:sz w:val="30"/>
          <w:szCs w:val="30"/>
          <w:highlight w:val="none"/>
          <w:lang w:val="zh-CN"/>
        </w:rPr>
        <w:t>增加344.89万元</w:t>
      </w:r>
      <w:r>
        <w:rPr>
          <w:rFonts w:hint="default" w:ascii="Times New Roman" w:hAnsi="Times New Roman" w:eastAsia="仿宋_GB2312" w:cs="Times New Roman"/>
          <w:kern w:val="2"/>
          <w:sz w:val="32"/>
          <w:szCs w:val="32"/>
          <w:lang w:val="zh-CN"/>
        </w:rPr>
        <w:t>，主要原因是</w:t>
      </w:r>
      <w:r>
        <w:rPr>
          <w:rFonts w:hint="eastAsia" w:ascii="Times New Roman" w:hAnsi="Times New Roman" w:eastAsia="仿宋_GB2312" w:cs="Times New Roman"/>
          <w:kern w:val="2"/>
          <w:sz w:val="32"/>
          <w:szCs w:val="32"/>
          <w:lang w:val="en-US" w:eastAsia="zh-CN"/>
        </w:rPr>
        <w:t>人员调入较多，基本支出增加，一般公共预算类财政拨款增加</w:t>
      </w:r>
      <w:r>
        <w:rPr>
          <w:rFonts w:hint="default" w:ascii="Times New Roman" w:hAnsi="Times New Roman" w:eastAsia="仿宋_GB2312" w:cs="Times New Roman"/>
          <w:kern w:val="2"/>
          <w:sz w:val="32"/>
          <w:szCs w:val="32"/>
          <w:lang w:val="zh-CN"/>
        </w:rPr>
        <w:t>；本年支出1,635.99万元，完成年初预算的126.71%，比年初预算</w:t>
      </w:r>
      <w:r>
        <w:rPr>
          <w:rFonts w:hint="eastAsia" w:ascii="Times New Roman" w:hAnsi="Times New Roman" w:eastAsia="仿宋_GB2312" w:cs="Times New Roman"/>
          <w:sz w:val="30"/>
          <w:szCs w:val="30"/>
          <w:highlight w:val="none"/>
          <w:lang w:val="zh-CN"/>
        </w:rPr>
        <w:t>增加344.89万元</w:t>
      </w:r>
      <w:r>
        <w:rPr>
          <w:rFonts w:hint="default" w:ascii="Times New Roman" w:hAnsi="Times New Roman" w:eastAsia="仿宋_GB2312" w:cs="Times New Roman"/>
          <w:kern w:val="2"/>
          <w:sz w:val="32"/>
          <w:szCs w:val="32"/>
          <w:lang w:val="zh-CN"/>
        </w:rPr>
        <w:t>，主要原因是主要是</w:t>
      </w:r>
      <w:r>
        <w:rPr>
          <w:rFonts w:hint="eastAsia" w:ascii="Times New Roman" w:hAnsi="Times New Roman" w:eastAsia="仿宋_GB2312" w:cs="Times New Roman"/>
          <w:kern w:val="2"/>
          <w:sz w:val="32"/>
          <w:szCs w:val="32"/>
          <w:lang w:val="en-US" w:eastAsia="zh-CN"/>
        </w:rPr>
        <w:t>人员调入较多，基本支出增加，一般公共预算类财支出增加</w:t>
      </w:r>
      <w:r>
        <w:rPr>
          <w:rFonts w:hint="default" w:ascii="Times New Roman" w:hAnsi="Times New Roman" w:eastAsia="仿宋_GB2312" w:cs="Times New Roman"/>
          <w:kern w:val="2"/>
          <w:sz w:val="32"/>
          <w:szCs w:val="32"/>
          <w:lang w:val="zh-CN"/>
        </w:rPr>
        <w:t>。</w:t>
      </w:r>
    </w:p>
    <w:p>
      <w:pPr>
        <w:autoSpaceDE w:val="0"/>
        <w:autoSpaceDN w:val="0"/>
        <w:adjustRightInd w:val="0"/>
        <w:spacing w:line="580" w:lineRule="exact"/>
        <w:ind w:firstLine="640" w:firstLineChars="200"/>
        <w:jc w:val="left"/>
        <w:rPr>
          <w:rFonts w:hint="default" w:ascii="Times New Roman" w:hAnsi="Times New Roman" w:eastAsia="仿宋_GB2312" w:cs="Times New Roman"/>
          <w:kern w:val="2"/>
          <w:sz w:val="32"/>
          <w:szCs w:val="32"/>
          <w:lang w:val="zh-CN"/>
        </w:rPr>
      </w:pPr>
      <w:r>
        <w:rPr>
          <w:rFonts w:hint="default" w:ascii="Times New Roman" w:hAnsi="Times New Roman" w:eastAsia="仿宋_GB2312" w:cs="Times New Roman"/>
          <w:kern w:val="2"/>
          <w:sz w:val="32"/>
          <w:szCs w:val="32"/>
          <w:lang w:val="zh-CN"/>
        </w:rPr>
        <w:t>2. 政府性基金预算财政拨款本年收入35万元，完成年初预算的5.41%，比年初预算</w:t>
      </w:r>
      <w:r>
        <w:rPr>
          <w:rFonts w:hint="eastAsia" w:ascii="Times New Roman" w:hAnsi="Times New Roman" w:eastAsia="仿宋_GB2312" w:cs="Times New Roman"/>
          <w:sz w:val="30"/>
          <w:szCs w:val="30"/>
          <w:highlight w:val="none"/>
          <w:lang w:val="zh-CN"/>
        </w:rPr>
        <w:t>减少612.5万元</w:t>
      </w:r>
      <w:r>
        <w:rPr>
          <w:rFonts w:hint="default" w:ascii="Times New Roman" w:hAnsi="Times New Roman" w:eastAsia="仿宋_GB2312" w:cs="Times New Roman"/>
          <w:kern w:val="2"/>
          <w:sz w:val="32"/>
          <w:szCs w:val="32"/>
          <w:lang w:val="zh-CN"/>
        </w:rPr>
        <w:t>，主要原因是</w:t>
      </w:r>
      <w:r>
        <w:rPr>
          <w:rFonts w:hint="eastAsia" w:ascii="Times New Roman" w:hAnsi="Times New Roman" w:eastAsia="仿宋_GB2312" w:cs="Times New Roman"/>
          <w:kern w:val="2"/>
          <w:sz w:val="32"/>
          <w:szCs w:val="32"/>
          <w:lang w:val="en-US" w:eastAsia="zh-CN"/>
        </w:rPr>
        <w:t>政府性基金项目拨款减少</w:t>
      </w:r>
      <w:r>
        <w:rPr>
          <w:rFonts w:hint="default" w:ascii="Times New Roman" w:hAnsi="Times New Roman" w:eastAsia="仿宋_GB2312" w:cs="Times New Roman"/>
          <w:kern w:val="2"/>
          <w:sz w:val="32"/>
          <w:szCs w:val="32"/>
          <w:lang w:val="zh-CN"/>
        </w:rPr>
        <w:t>；本年支出35万元，完成年初预算的5.41%，比年初预算</w:t>
      </w:r>
      <w:r>
        <w:rPr>
          <w:rFonts w:hint="eastAsia" w:ascii="Times New Roman" w:hAnsi="Times New Roman" w:eastAsia="仿宋_GB2312" w:cs="Times New Roman"/>
          <w:sz w:val="30"/>
          <w:szCs w:val="30"/>
          <w:highlight w:val="none"/>
          <w:lang w:val="zh-CN"/>
        </w:rPr>
        <w:t>减少612.5万元</w:t>
      </w:r>
      <w:r>
        <w:rPr>
          <w:rFonts w:hint="default" w:ascii="Times New Roman" w:hAnsi="Times New Roman" w:eastAsia="仿宋_GB2312" w:cs="Times New Roman"/>
          <w:kern w:val="2"/>
          <w:sz w:val="32"/>
          <w:szCs w:val="32"/>
          <w:lang w:val="zh-CN"/>
        </w:rPr>
        <w:t>，主要原因是</w:t>
      </w:r>
      <w:r>
        <w:rPr>
          <w:rFonts w:hint="eastAsia" w:ascii="Times New Roman" w:hAnsi="Times New Roman" w:eastAsia="仿宋_GB2312" w:cs="Times New Roman"/>
          <w:kern w:val="2"/>
          <w:sz w:val="32"/>
          <w:szCs w:val="32"/>
          <w:lang w:val="en-US" w:eastAsia="zh-CN"/>
        </w:rPr>
        <w:t>政府性基金项目支出减少</w:t>
      </w:r>
      <w:r>
        <w:rPr>
          <w:rFonts w:hint="default" w:ascii="Times New Roman" w:hAnsi="Times New Roman" w:eastAsia="仿宋_GB2312" w:cs="Times New Roman"/>
          <w:kern w:val="2"/>
          <w:sz w:val="32"/>
          <w:szCs w:val="32"/>
          <w:lang w:val="zh-CN"/>
        </w:rPr>
        <w:t>。</w:t>
      </w:r>
    </w:p>
    <w:p>
      <w:pPr>
        <w:autoSpaceDE w:val="0"/>
        <w:autoSpaceDN w:val="0"/>
        <w:adjustRightInd w:val="0"/>
        <w:spacing w:line="580" w:lineRule="exact"/>
        <w:ind w:firstLine="640" w:firstLineChars="200"/>
        <w:jc w:val="left"/>
        <w:rPr>
          <w:rFonts w:hint="default" w:ascii="Times New Roman" w:hAnsi="Times New Roman" w:eastAsia="仿宋_GB2312" w:cs="Times New Roman"/>
          <w:i w:val="0"/>
          <w:iCs w:val="0"/>
          <w:caps w:val="0"/>
          <w:color w:val="000000"/>
          <w:spacing w:val="0"/>
          <w:sz w:val="33"/>
          <w:szCs w:val="33"/>
          <w:highlight w:val="none"/>
          <w:shd w:val="clear" w:fill="FFFFFF"/>
        </w:rPr>
      </w:pPr>
      <w:r>
        <w:rPr>
          <w:rFonts w:hint="default" w:ascii="Times New Roman" w:hAnsi="Times New Roman" w:eastAsia="仿宋_GB2312" w:cs="Times New Roman"/>
          <w:kern w:val="2"/>
          <w:sz w:val="32"/>
          <w:szCs w:val="32"/>
          <w:lang w:val="zh-CN"/>
        </w:rPr>
        <w:t>3. 国有资本经营预算财政拨款本年收入0万元，完成年初预算的0%，</w:t>
      </w:r>
      <w:r>
        <w:rPr>
          <w:rFonts w:hint="default" w:ascii="Times New Roman" w:hAnsi="Times New Roman" w:eastAsia="仿宋_GB2312" w:cs="Times New Roman"/>
          <w:sz w:val="30"/>
          <w:szCs w:val="30"/>
          <w:highlight w:val="none"/>
          <w:lang w:val="zh-CN"/>
        </w:rPr>
        <w:t>比年初预算</w:t>
      </w:r>
      <w:r>
        <w:rPr>
          <w:rFonts w:hint="eastAsia" w:ascii="Times New Roman" w:hAnsi="Times New Roman" w:eastAsia="仿宋_GB2312" w:cs="Times New Roman"/>
          <w:sz w:val="30"/>
          <w:szCs w:val="30"/>
          <w:highlight w:val="none"/>
          <w:lang w:val="zh-CN"/>
        </w:rPr>
        <w:t>持平，</w:t>
      </w:r>
      <w:r>
        <w:rPr>
          <w:rFonts w:hint="eastAsia" w:ascii="Times New Roman" w:hAnsi="Times New Roman" w:eastAsia="仿宋_GB2312" w:cs="Times New Roman"/>
          <w:sz w:val="30"/>
          <w:szCs w:val="30"/>
          <w:highlight w:val="none"/>
          <w:lang w:val="en-US" w:eastAsia="zh-CN"/>
        </w:rPr>
        <w:t>主要原因是2022年度、2023年度我单位均无</w:t>
      </w:r>
      <w:r>
        <w:rPr>
          <w:rFonts w:hint="default" w:ascii="Times New Roman" w:hAnsi="Times New Roman" w:eastAsia="仿宋_GB2312" w:cs="Times New Roman"/>
          <w:kern w:val="2"/>
          <w:sz w:val="32"/>
          <w:szCs w:val="32"/>
          <w:lang w:val="zh-CN"/>
        </w:rPr>
        <w:t xml:space="preserve"> 国有资本经营预算财政拨款</w:t>
      </w:r>
      <w:r>
        <w:rPr>
          <w:rFonts w:hint="eastAsia" w:ascii="Times New Roman" w:hAnsi="Times New Roman" w:eastAsia="仿宋_GB2312" w:cs="Times New Roman"/>
          <w:kern w:val="2"/>
          <w:sz w:val="32"/>
          <w:szCs w:val="32"/>
          <w:lang w:val="en-US" w:eastAsia="zh-CN"/>
        </w:rPr>
        <w:t>收入</w:t>
      </w:r>
      <w:r>
        <w:rPr>
          <w:rFonts w:hint="default" w:ascii="Times New Roman" w:hAnsi="Times New Roman" w:eastAsia="仿宋_GB2312" w:cs="Times New Roman"/>
          <w:kern w:val="2"/>
          <w:sz w:val="32"/>
          <w:szCs w:val="32"/>
          <w:lang w:val="zh-CN"/>
        </w:rPr>
        <w:t>；本年支出0万元，完成年初预算的0%，比年初预算</w:t>
      </w:r>
      <w:r>
        <w:rPr>
          <w:rFonts w:hint="eastAsia" w:ascii="Times New Roman" w:hAnsi="Times New Roman" w:eastAsia="仿宋_GB2312" w:cs="Times New Roman"/>
          <w:sz w:val="30"/>
          <w:szCs w:val="30"/>
          <w:highlight w:val="none"/>
          <w:lang w:val="zh-CN"/>
        </w:rPr>
        <w:t>持平，</w:t>
      </w:r>
      <w:r>
        <w:rPr>
          <w:rFonts w:hint="eastAsia" w:ascii="Times New Roman" w:hAnsi="Times New Roman" w:eastAsia="仿宋_GB2312" w:cs="Times New Roman"/>
          <w:sz w:val="30"/>
          <w:szCs w:val="30"/>
          <w:highlight w:val="none"/>
          <w:lang w:val="en-US" w:eastAsia="zh-CN"/>
        </w:rPr>
        <w:t>主要原因是2022年度、2023年度我单位均无</w:t>
      </w:r>
      <w:r>
        <w:rPr>
          <w:rFonts w:hint="default" w:ascii="Times New Roman" w:hAnsi="Times New Roman" w:eastAsia="仿宋_GB2312" w:cs="Times New Roman"/>
          <w:kern w:val="2"/>
          <w:sz w:val="32"/>
          <w:szCs w:val="32"/>
          <w:lang w:val="zh-CN"/>
        </w:rPr>
        <w:t xml:space="preserve"> 国有资本经营预算财政拨款</w:t>
      </w:r>
      <w:r>
        <w:rPr>
          <w:rFonts w:hint="eastAsia" w:ascii="Times New Roman" w:hAnsi="Times New Roman" w:eastAsia="仿宋_GB2312" w:cs="Times New Roman"/>
          <w:kern w:val="2"/>
          <w:sz w:val="32"/>
          <w:szCs w:val="32"/>
          <w:lang w:val="en-US" w:eastAsia="zh-CN"/>
        </w:rPr>
        <w:t>支出</w:t>
      </w:r>
      <w:r>
        <w:rPr>
          <w:rFonts w:hint="default" w:ascii="Times New Roman" w:hAnsi="Times New Roman" w:eastAsia="仿宋_GB2312" w:cs="Times New Roman"/>
          <w:kern w:val="2"/>
          <w:sz w:val="32"/>
          <w:szCs w:val="32"/>
          <w:lang w:val="zh-CN"/>
        </w:rPr>
        <w:t>。</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ascii="Times New Roman" w:hAnsi="Times New Roman" w:eastAsia="Arial" w:cs="Times New Roman"/>
          <w:highlight w:val="none"/>
        </w:rPr>
      </w:pP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outlineLvl w:val="2"/>
        <w:rPr>
          <w:rFonts w:hint="default" w:ascii="Times New Roman" w:hAnsi="Times New Roman" w:eastAsia="楷体_GB2312" w:cs="Times New Roman"/>
          <w:b/>
          <w:bCs/>
          <w:kern w:val="2"/>
          <w:sz w:val="32"/>
          <w:szCs w:val="32"/>
          <w:lang w:val="en-US" w:eastAsia="zh-CN" w:bidi="ar-SA"/>
        </w:rPr>
      </w:pPr>
      <w:r>
        <w:rPr>
          <w:rFonts w:hint="default" w:ascii="Times New Roman" w:hAnsi="Times New Roman" w:eastAsia="楷体_GB2312" w:cs="Times New Roman"/>
          <w:b/>
          <w:bCs/>
          <w:kern w:val="2"/>
          <w:sz w:val="32"/>
          <w:szCs w:val="32"/>
          <w:lang w:val="en-US" w:eastAsia="zh-CN" w:bidi="ar-SA"/>
        </w:rPr>
        <w:t>（三）财政拨款支出决算结构情况</w:t>
      </w:r>
    </w:p>
    <w:p>
      <w:pPr>
        <w:keepNext w:val="0"/>
        <w:keepLines w:val="0"/>
        <w:pageBreakBefore w:val="0"/>
        <w:kinsoku/>
        <w:wordWrap/>
        <w:overflowPunct/>
        <w:topLinePunct w:val="0"/>
        <w:autoSpaceDE/>
        <w:autoSpaceDN/>
        <w:bidi w:val="0"/>
        <w:adjustRightInd w:val="0"/>
        <w:snapToGrid w:val="0"/>
        <w:spacing w:line="580" w:lineRule="exact"/>
        <w:ind w:firstLine="660" w:firstLineChars="200"/>
        <w:jc w:val="left"/>
        <w:textAlignment w:val="auto"/>
        <w:rPr>
          <w:rFonts w:hint="default" w:ascii="Times New Roman" w:hAnsi="Times New Roman" w:eastAsia="仿宋_GB2312" w:cs="Times New Roman"/>
          <w:sz w:val="32"/>
          <w:szCs w:val="32"/>
          <w:highlight w:val="yellow"/>
        </w:rPr>
      </w:pPr>
      <w:r>
        <w:rPr>
          <w:rFonts w:hint="default" w:ascii="Times New Roman" w:hAnsi="Times New Roman" w:eastAsia="仿宋_GB2312" w:cs="Times New Roman"/>
          <w:i w:val="0"/>
          <w:iCs w:val="0"/>
          <w:caps w:val="0"/>
          <w:color w:val="000000"/>
          <w:spacing w:val="0"/>
          <w:sz w:val="33"/>
          <w:szCs w:val="33"/>
          <w:highlight w:val="none"/>
          <w:shd w:val="clear" w:fill="FFFFFF"/>
        </w:rPr>
        <w:t> </w:t>
      </w:r>
      <w:r>
        <w:rPr>
          <w:rFonts w:hint="default" w:ascii="Times New Roman" w:hAnsi="Times New Roman" w:eastAsia="仿宋_GB2312" w:cs="Times New Roman"/>
          <w:kern w:val="2"/>
          <w:sz w:val="32"/>
          <w:szCs w:val="32"/>
          <w:lang w:val="zh-CN"/>
        </w:rPr>
        <w:t> 202</w:t>
      </w:r>
      <w:r>
        <w:rPr>
          <w:rFonts w:hint="default" w:ascii="Times New Roman" w:hAnsi="Times New Roman" w:eastAsia="仿宋_GB2312" w:cs="Times New Roman"/>
          <w:kern w:val="2"/>
          <w:sz w:val="32"/>
          <w:szCs w:val="32"/>
          <w:lang w:val="en-US" w:eastAsia="zh-CN"/>
        </w:rPr>
        <w:t>3</w:t>
      </w:r>
      <w:r>
        <w:rPr>
          <w:rFonts w:hint="default" w:ascii="Times New Roman" w:hAnsi="Times New Roman" w:eastAsia="仿宋_GB2312" w:cs="Times New Roman"/>
          <w:kern w:val="2"/>
          <w:sz w:val="32"/>
          <w:szCs w:val="32"/>
          <w:lang w:val="zh-CN"/>
        </w:rPr>
        <w:t>年度财政拨款支出1,670.99万元，主要用于以下方面：</w:t>
      </w:r>
    </w:p>
    <w:p>
      <w:pPr>
        <w:pStyle w:val="10"/>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ind w:left="0" w:right="0"/>
        <w:jc w:val="left"/>
        <w:textAlignment w:val="auto"/>
        <w:rPr>
          <w:rFonts w:hint="default" w:ascii="Times New Roman" w:hAnsi="Times New Roman" w:eastAsia="仿宋_GB2312" w:cs="Times New Roman"/>
          <w:color w:val="auto"/>
          <w:kern w:val="2"/>
          <w:sz w:val="32"/>
          <w:szCs w:val="32"/>
          <w:lang w:val="zh-CN" w:eastAsia="zh-CN" w:bidi="ar-SA"/>
        </w:rPr>
      </w:pPr>
      <w:r>
        <w:rPr>
          <w:rFonts w:hint="default" w:ascii="Times New Roman" w:hAnsi="Times New Roman" w:eastAsia="仿宋_GB2312" w:cs="Times New Roman"/>
          <w:color w:val="auto"/>
          <w:kern w:val="2"/>
          <w:sz w:val="32"/>
          <w:szCs w:val="32"/>
          <w:lang w:val="zh-CN" w:eastAsia="zh-CN" w:bidi="ar-SA"/>
        </w:rPr>
        <w:t>一般公共服务（类）支出899.15万元，占53.81%；教育（类）支出73.44万元，占4.4%；文化旅游体育与传媒（类）支出1.5万元，占0.09%；社会保障和就业 （类）支出101.46万元，占6.07%；卫生健康（类）支出51.02万元，占3.05%；城乡社区（类）支出438.03万元，占26.21%；农林水（类）支出30.5万元，占1.83%；住房保障（类）支出75.88万元，占4.54%。</w:t>
      </w:r>
    </w:p>
    <w:p>
      <w:pPr>
        <w:pStyle w:val="10"/>
        <w:keepNext w:val="0"/>
        <w:keepLines w:val="0"/>
        <w:widowControl/>
        <w:numPr>
          <w:ilvl w:val="0"/>
          <w:numId w:val="2"/>
        </w:numPr>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outlineLvl w:val="2"/>
        <w:rPr>
          <w:rFonts w:hint="default" w:ascii="Times New Roman" w:hAnsi="Times New Roman" w:eastAsia="楷体_GB2312" w:cs="Times New Roman"/>
          <w:b/>
          <w:bCs/>
          <w:kern w:val="2"/>
          <w:sz w:val="32"/>
          <w:szCs w:val="32"/>
          <w:lang w:val="en-US" w:eastAsia="zh-CN" w:bidi="ar-SA"/>
        </w:rPr>
      </w:pPr>
      <w:r>
        <w:rPr>
          <w:rFonts w:hint="default" w:ascii="Times New Roman" w:hAnsi="Times New Roman" w:eastAsia="楷体_GB2312" w:cs="Times New Roman"/>
          <w:b/>
          <w:bCs/>
          <w:kern w:val="2"/>
          <w:sz w:val="32"/>
          <w:szCs w:val="32"/>
          <w:lang w:val="en-US" w:eastAsia="zh-CN" w:bidi="ar-SA"/>
        </w:rPr>
        <w:t>一般公共预算基本支出决算情况说明</w:t>
      </w:r>
    </w:p>
    <w:p>
      <w:pPr>
        <w:pStyle w:val="10"/>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ind w:left="0" w:right="0" w:firstLine="640" w:firstLineChars="200"/>
        <w:jc w:val="left"/>
        <w:textAlignment w:val="auto"/>
        <w:rPr>
          <w:rFonts w:hint="default" w:ascii="Times New Roman" w:hAnsi="Times New Roman" w:eastAsia="仿宋_GB2312" w:cs="Times New Roman"/>
          <w:color w:val="auto"/>
          <w:kern w:val="2"/>
          <w:sz w:val="32"/>
          <w:szCs w:val="32"/>
          <w:lang w:val="zh-CN" w:eastAsia="zh-CN" w:bidi="ar-SA"/>
        </w:rPr>
      </w:pPr>
      <w:r>
        <w:rPr>
          <w:rFonts w:hint="default" w:ascii="Times New Roman" w:hAnsi="Times New Roman" w:eastAsia="仿宋_GB2312" w:cs="Times New Roman"/>
          <w:color w:val="auto"/>
          <w:kern w:val="2"/>
          <w:sz w:val="32"/>
          <w:szCs w:val="32"/>
          <w:lang w:val="zh-CN" w:eastAsia="zh-CN" w:bidi="ar-SA"/>
        </w:rPr>
        <w:t>202</w:t>
      </w:r>
      <w:r>
        <w:rPr>
          <w:rFonts w:hint="default" w:ascii="Times New Roman" w:hAnsi="Times New Roman" w:eastAsia="仿宋_GB2312" w:cs="Times New Roman"/>
          <w:color w:val="auto"/>
          <w:kern w:val="2"/>
          <w:sz w:val="32"/>
          <w:szCs w:val="32"/>
          <w:lang w:val="en-US" w:eastAsia="zh-CN" w:bidi="ar-SA"/>
        </w:rPr>
        <w:t>3</w:t>
      </w:r>
      <w:r>
        <w:rPr>
          <w:rFonts w:hint="default" w:ascii="Times New Roman" w:hAnsi="Times New Roman" w:eastAsia="仿宋_GB2312" w:cs="Times New Roman"/>
          <w:color w:val="auto"/>
          <w:kern w:val="2"/>
          <w:sz w:val="32"/>
          <w:szCs w:val="32"/>
          <w:lang w:val="zh-CN" w:eastAsia="zh-CN" w:bidi="ar-SA"/>
        </w:rPr>
        <w:t>年度财政拨款基本支出933.89万元，其中：</w:t>
      </w:r>
    </w:p>
    <w:p>
      <w:pPr>
        <w:pStyle w:val="10"/>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ind w:left="0" w:right="0" w:firstLine="640" w:firstLineChars="200"/>
        <w:jc w:val="left"/>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color w:val="auto"/>
          <w:kern w:val="2"/>
          <w:sz w:val="32"/>
          <w:szCs w:val="32"/>
          <w:lang w:val="zh-CN" w:eastAsia="zh-CN" w:bidi="ar-SA"/>
        </w:rPr>
        <w:t>人员经费756.85万元，主要包括基本工资、津贴补贴、奖金、绩效工资、机关事业部门基本养老保险缴费、职业年金缴费、职工基本医疗保险缴费、公务员医疗补助缴费、住房公积金、医疗费、其他社会保障缴费、其他工资福利支出、离休费、 退休费、生活补助、医疗费补助、奖励金、其他对</w:t>
      </w:r>
      <w:r>
        <w:rPr>
          <w:rFonts w:hint="default" w:ascii="Times New Roman" w:hAnsi="Times New Roman" w:eastAsia="仿宋_GB2312" w:cs="Times New Roman"/>
          <w:i w:val="0"/>
          <w:iCs w:val="0"/>
          <w:caps w:val="0"/>
          <w:color w:val="333333"/>
          <w:spacing w:val="0"/>
          <w:sz w:val="33"/>
          <w:szCs w:val="33"/>
          <w:highlight w:val="none"/>
          <w:shd w:val="clear" w:fill="FFFFFF"/>
        </w:rPr>
        <w:t>个人和家庭</w:t>
      </w:r>
      <w:r>
        <w:rPr>
          <w:rFonts w:hint="default" w:ascii="Times New Roman" w:hAnsi="Times New Roman" w:eastAsia="仿宋_GB2312" w:cs="Times New Roman"/>
          <w:color w:val="auto"/>
          <w:kern w:val="2"/>
          <w:sz w:val="32"/>
          <w:szCs w:val="32"/>
          <w:lang w:val="zh-CN" w:eastAsia="zh-CN" w:bidi="ar-SA"/>
        </w:rPr>
        <w:t>的补助支出。</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ascii="Times New Roman" w:hAnsi="Times New Roman" w:eastAsia="仿宋_GB2312" w:cs="Times New Roman"/>
          <w:color w:val="auto"/>
          <w:kern w:val="0"/>
          <w:sz w:val="32"/>
          <w:szCs w:val="32"/>
          <w:highlight w:val="yellow"/>
          <w:lang w:val="en-US" w:eastAsia="zh-CN" w:bidi="ar-SA"/>
        </w:rPr>
      </w:pPr>
      <w:r>
        <w:rPr>
          <w:rFonts w:hint="default" w:ascii="Times New Roman" w:hAnsi="Times New Roman" w:eastAsia="仿宋_GB2312" w:cs="Times New Roman"/>
          <w:i w:val="0"/>
          <w:iCs w:val="0"/>
          <w:caps w:val="0"/>
          <w:color w:val="333333"/>
          <w:spacing w:val="0"/>
          <w:sz w:val="33"/>
          <w:szCs w:val="33"/>
          <w:highlight w:val="none"/>
          <w:shd w:val="clear" w:fill="FFFFFF"/>
        </w:rPr>
        <w:t> </w:t>
      </w:r>
      <w:r>
        <w:rPr>
          <w:rFonts w:hint="default" w:ascii="Times New Roman" w:hAnsi="Times New Roman" w:eastAsia="仿宋_GB2312" w:cs="Times New Roman"/>
          <w:i w:val="0"/>
          <w:iCs w:val="0"/>
          <w:caps w:val="0"/>
          <w:color w:val="333333"/>
          <w:spacing w:val="0"/>
          <w:sz w:val="33"/>
          <w:szCs w:val="33"/>
          <w:highlight w:val="none"/>
          <w:shd w:val="clear" w:fill="FFFFFF"/>
          <w:lang w:val="en-US" w:eastAsia="zh-CN"/>
        </w:rPr>
        <w:t xml:space="preserve">   </w:t>
      </w:r>
      <w:r>
        <w:rPr>
          <w:rFonts w:hint="default" w:ascii="Times New Roman" w:hAnsi="Times New Roman" w:eastAsia="仿宋_GB2312" w:cs="Times New Roman"/>
          <w:color w:val="auto"/>
          <w:kern w:val="2"/>
          <w:sz w:val="32"/>
          <w:szCs w:val="32"/>
          <w:lang w:val="zh-CN" w:eastAsia="zh-CN" w:bidi="ar-SA"/>
        </w:rPr>
        <w:t>公用经费177.04万元，主要包括办公费、印刷费、咨询费、水费、电费、邮电费、取暖费、物业管理费、差旅费、维修（护）费、租赁费劳务费、委托业务费、工会经费、福利费、公务用车运行维护费、其他交通费用、税金及附加费用、办公设备购置。</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outlineLvl w:val="1"/>
        <w:rPr>
          <w:rFonts w:hint="default" w:ascii="Times New Roman" w:hAnsi="Times New Roman" w:eastAsia="仿宋_GB2312" w:cs="Times New Roman"/>
          <w:color w:val="auto"/>
          <w:kern w:val="0"/>
          <w:sz w:val="32"/>
          <w:szCs w:val="32"/>
          <w:highlight w:val="yellow"/>
          <w:lang w:val="en-US" w:eastAsia="zh-CN" w:bidi="ar-SA"/>
        </w:rPr>
      </w:pPr>
      <w:r>
        <w:rPr>
          <w:rFonts w:hint="default" w:ascii="Times New Roman" w:hAnsi="Times New Roman" w:eastAsia="黑体" w:cs="Times New Roman"/>
          <w:kern w:val="2"/>
          <w:sz w:val="32"/>
          <w:szCs w:val="32"/>
          <w:lang w:val="en-US" w:eastAsia="zh-CN" w:bidi="ar-SA"/>
        </w:rPr>
        <w:t>五、财政拨款“三公” 经费支出决算情况说明</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outlineLvl w:val="2"/>
        <w:rPr>
          <w:rFonts w:hint="default" w:ascii="Times New Roman" w:hAnsi="Times New Roman" w:eastAsia="楷体_GB2312" w:cs="Times New Roman"/>
          <w:b/>
          <w:bCs/>
          <w:kern w:val="2"/>
          <w:sz w:val="32"/>
          <w:szCs w:val="32"/>
          <w:lang w:val="en-US" w:eastAsia="zh-CN" w:bidi="ar-SA"/>
        </w:rPr>
      </w:pPr>
      <w:r>
        <w:rPr>
          <w:rFonts w:hint="default" w:ascii="Times New Roman" w:hAnsi="Times New Roman" w:eastAsia="楷体_GB2312" w:cs="Times New Roman"/>
          <w:b/>
          <w:bCs/>
          <w:kern w:val="2"/>
          <w:sz w:val="32"/>
          <w:szCs w:val="32"/>
          <w:lang w:val="en-US" w:eastAsia="zh-CN" w:bidi="ar-SA"/>
        </w:rPr>
        <w:t>（一）“三公”经费财政拨款支出决算总体情况说明</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ascii="Times New Roman" w:hAnsi="Times New Roman" w:eastAsia="仿宋_GB2312" w:cs="Times New Roman"/>
          <w:color w:val="auto"/>
          <w:kern w:val="2"/>
          <w:sz w:val="32"/>
          <w:szCs w:val="32"/>
          <w:lang w:val="zh-CN" w:eastAsia="zh-CN" w:bidi="ar-SA"/>
        </w:rPr>
      </w:pPr>
      <w:r>
        <w:rPr>
          <w:rFonts w:hint="default" w:ascii="Times New Roman" w:hAnsi="Times New Roman" w:eastAsia="仿宋_GB2312" w:cs="Times New Roman"/>
          <w:i w:val="0"/>
          <w:iCs w:val="0"/>
          <w:caps w:val="0"/>
          <w:color w:val="333333"/>
          <w:spacing w:val="0"/>
          <w:sz w:val="33"/>
          <w:szCs w:val="33"/>
          <w:highlight w:val="none"/>
          <w:shd w:val="clear" w:fill="FFFFFF"/>
        </w:rPr>
        <w:t>   </w:t>
      </w:r>
      <w:r>
        <w:rPr>
          <w:rFonts w:hint="default" w:ascii="Times New Roman" w:hAnsi="Times New Roman" w:eastAsia="仿宋_GB2312" w:cs="Times New Roman"/>
          <w:i w:val="0"/>
          <w:iCs w:val="0"/>
          <w:caps w:val="0"/>
          <w:color w:val="333333"/>
          <w:spacing w:val="0"/>
          <w:sz w:val="33"/>
          <w:szCs w:val="33"/>
          <w:highlight w:val="none"/>
          <w:shd w:val="clear" w:fill="FFFFFF"/>
          <w:lang w:eastAsia="zh-CN"/>
        </w:rPr>
        <w:t xml:space="preserve"> </w:t>
      </w:r>
      <w:r>
        <w:rPr>
          <w:rFonts w:hint="default" w:ascii="Times New Roman" w:hAnsi="Times New Roman" w:eastAsia="仿宋_GB2312" w:cs="Times New Roman"/>
          <w:color w:val="auto"/>
          <w:kern w:val="2"/>
          <w:sz w:val="32"/>
          <w:szCs w:val="32"/>
          <w:lang w:val="en-US" w:eastAsia="zh-CN" w:bidi="ar-SA"/>
        </w:rPr>
        <w:t xml:space="preserve"> </w:t>
      </w:r>
      <w:r>
        <w:rPr>
          <w:rFonts w:hint="default" w:ascii="Times New Roman" w:hAnsi="Times New Roman" w:eastAsia="仿宋_GB2312" w:cs="Times New Roman"/>
          <w:color w:val="auto"/>
          <w:kern w:val="2"/>
          <w:sz w:val="32"/>
          <w:szCs w:val="32"/>
          <w:lang w:val="zh-CN" w:eastAsia="zh-CN" w:bidi="ar-SA"/>
        </w:rPr>
        <w:t>本单位202</w:t>
      </w:r>
      <w:r>
        <w:rPr>
          <w:rFonts w:hint="default" w:ascii="Times New Roman" w:hAnsi="Times New Roman" w:eastAsia="仿宋_GB2312" w:cs="Times New Roman"/>
          <w:color w:val="auto"/>
          <w:kern w:val="2"/>
          <w:sz w:val="32"/>
          <w:szCs w:val="32"/>
          <w:lang w:val="en-US" w:eastAsia="zh-CN" w:bidi="ar-SA"/>
        </w:rPr>
        <w:t>3</w:t>
      </w:r>
      <w:r>
        <w:rPr>
          <w:rFonts w:hint="default" w:ascii="Times New Roman" w:hAnsi="Times New Roman" w:eastAsia="仿宋_GB2312" w:cs="Times New Roman"/>
          <w:color w:val="auto"/>
          <w:kern w:val="2"/>
          <w:sz w:val="32"/>
          <w:szCs w:val="32"/>
          <w:lang w:val="zh-CN" w:eastAsia="zh-CN" w:bidi="ar-SA"/>
        </w:rPr>
        <w:t>年度“三公”经费财政拨款支出预算为5.4万元，支出决算为 5.36万元，完成预算的 99.22%，较预算</w:t>
      </w:r>
      <w:r>
        <w:rPr>
          <w:rFonts w:hint="eastAsia" w:ascii="Times New Roman" w:hAnsi="Times New Roman" w:eastAsia="仿宋_GB2312" w:cs="Times New Roman"/>
          <w:color w:val="auto"/>
          <w:kern w:val="2"/>
          <w:sz w:val="32"/>
          <w:szCs w:val="32"/>
          <w:lang w:val="zh-CN" w:eastAsia="zh-CN" w:bidi="ar-SA"/>
        </w:rPr>
        <w:t>减少0.04万元，降低0.78%，</w:t>
      </w:r>
      <w:r>
        <w:rPr>
          <w:rFonts w:hint="default" w:ascii="Times New Roman" w:hAnsi="Times New Roman" w:eastAsia="仿宋_GB2312" w:cs="Times New Roman"/>
          <w:color w:val="auto"/>
          <w:kern w:val="2"/>
          <w:sz w:val="32"/>
          <w:szCs w:val="32"/>
          <w:lang w:val="zh-CN" w:eastAsia="zh-CN" w:bidi="ar-SA"/>
        </w:rPr>
        <w:t>主要是</w:t>
      </w:r>
      <w:r>
        <w:rPr>
          <w:rFonts w:ascii="仿宋_GB2312" w:hAnsi="Times New Roman" w:eastAsia="仿宋_GB2312" w:cs="仿宋_GB2312"/>
          <w:sz w:val="32"/>
          <w:szCs w:val="32"/>
        </w:rPr>
        <w:t>严格控制“三公”经费支出的原因</w:t>
      </w:r>
      <w:r>
        <w:rPr>
          <w:rFonts w:hint="default" w:ascii="Times New Roman" w:hAnsi="Times New Roman" w:eastAsia="仿宋_GB2312" w:cs="Times New Roman"/>
          <w:color w:val="auto"/>
          <w:kern w:val="2"/>
          <w:sz w:val="32"/>
          <w:szCs w:val="32"/>
          <w:lang w:val="zh-CN" w:eastAsia="zh-CN" w:bidi="ar-SA"/>
        </w:rPr>
        <w:t>；较2022年度决算</w:t>
      </w:r>
      <w:r>
        <w:rPr>
          <w:rFonts w:hint="eastAsia" w:ascii="Times New Roman" w:hAnsi="Times New Roman" w:eastAsia="仿宋_GB2312" w:cs="Times New Roman"/>
          <w:color w:val="auto"/>
          <w:kern w:val="2"/>
          <w:sz w:val="32"/>
          <w:szCs w:val="32"/>
          <w:lang w:val="zh-CN" w:eastAsia="zh-CN" w:bidi="ar-SA"/>
        </w:rPr>
        <w:t>减少0万元</w:t>
      </w:r>
      <w:r>
        <w:rPr>
          <w:rFonts w:hint="eastAsia" w:ascii="Times New Roman" w:hAnsi="Times New Roman" w:eastAsia="仿宋_GB2312" w:cs="仿宋_GB2312"/>
          <w:sz w:val="30"/>
          <w:szCs w:val="30"/>
          <w:highlight w:val="none"/>
        </w:rPr>
        <w:t>，</w:t>
      </w:r>
      <w:r>
        <w:rPr>
          <w:rFonts w:hint="eastAsia" w:ascii="Times New Roman" w:hAnsi="Times New Roman" w:eastAsia="仿宋_GB2312" w:cs="Times New Roman"/>
          <w:color w:val="auto"/>
          <w:kern w:val="2"/>
          <w:sz w:val="32"/>
          <w:szCs w:val="32"/>
          <w:lang w:val="zh-CN" w:eastAsia="zh-CN" w:bidi="ar-SA"/>
        </w:rPr>
        <w:t>降低0%，</w:t>
      </w:r>
      <w:r>
        <w:rPr>
          <w:rFonts w:hint="default" w:ascii="Times New Roman" w:hAnsi="Times New Roman" w:eastAsia="仿宋_GB2312" w:cs="Times New Roman"/>
          <w:color w:val="auto"/>
          <w:kern w:val="2"/>
          <w:sz w:val="32"/>
          <w:szCs w:val="32"/>
          <w:lang w:val="zh-CN" w:eastAsia="zh-CN" w:bidi="ar-SA"/>
        </w:rPr>
        <w:t>主要是</w:t>
      </w:r>
      <w:r>
        <w:rPr>
          <w:rFonts w:ascii="仿宋_GB2312" w:hAnsi="Times New Roman" w:eastAsia="仿宋_GB2312" w:cs="仿宋_GB2312"/>
          <w:sz w:val="32"/>
          <w:szCs w:val="32"/>
        </w:rPr>
        <w:t>严格控制“三公”经费支出的原因</w:t>
      </w:r>
      <w:r>
        <w:rPr>
          <w:rFonts w:hint="default" w:ascii="Times New Roman" w:hAnsi="Times New Roman" w:eastAsia="仿宋_GB2312" w:cs="Times New Roman"/>
          <w:color w:val="auto"/>
          <w:kern w:val="2"/>
          <w:sz w:val="32"/>
          <w:szCs w:val="32"/>
          <w:lang w:val="zh-CN" w:eastAsia="zh-CN" w:bidi="ar-SA"/>
        </w:rPr>
        <w:t>。</w:t>
      </w:r>
    </w:p>
    <w:p>
      <w:pPr>
        <w:adjustRightInd w:val="0"/>
        <w:snapToGrid w:val="0"/>
        <w:spacing w:line="580" w:lineRule="exact"/>
        <w:rPr>
          <w:rFonts w:hint="default" w:ascii="Times New Roman" w:hAnsi="Times New Roman" w:eastAsia="楷体_GB2312" w:cs="Times New Roman"/>
          <w:b/>
          <w:bCs/>
          <w:kern w:val="2"/>
          <w:sz w:val="32"/>
          <w:szCs w:val="32"/>
        </w:rPr>
      </w:pPr>
      <w:r>
        <w:rPr>
          <w:rFonts w:hint="default" w:ascii="Times New Roman" w:hAnsi="Times New Roman" w:eastAsia="楷体_GB2312" w:cs="Times New Roman"/>
          <w:b/>
          <w:bCs/>
          <w:kern w:val="2"/>
          <w:sz w:val="32"/>
          <w:szCs w:val="32"/>
        </w:rPr>
        <w:t>（二）“三公”经费财政拨款支出决算具体情况说明</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643" w:firstLineChars="200"/>
        <w:jc w:val="left"/>
        <w:rPr>
          <w:rFonts w:hint="default" w:ascii="Times New Roman" w:hAnsi="Times New Roman" w:eastAsia="仿宋_GB2312" w:cs="Times New Roman"/>
          <w:color w:val="auto"/>
          <w:kern w:val="2"/>
          <w:sz w:val="32"/>
          <w:szCs w:val="32"/>
          <w:lang w:val="en-US" w:eastAsia="zh-CN" w:bidi="ar-SA"/>
        </w:rPr>
      </w:pPr>
      <w:r>
        <w:rPr>
          <w:rFonts w:hint="default" w:ascii="Times New Roman" w:hAnsi="Times New Roman" w:eastAsia="楷体_GB2312" w:cs="Times New Roman"/>
          <w:b/>
          <w:bCs/>
          <w:kern w:val="2"/>
          <w:sz w:val="32"/>
          <w:szCs w:val="32"/>
          <w:lang w:val="en-US" w:eastAsia="zh-CN" w:bidi="ar-SA"/>
        </w:rPr>
        <w:t>1.因公出国（境）费支出情况。</w:t>
      </w:r>
      <w:r>
        <w:rPr>
          <w:rFonts w:hint="default" w:ascii="Times New Roman" w:hAnsi="Times New Roman" w:eastAsia="仿宋_GB2312" w:cs="Times New Roman"/>
          <w:color w:val="auto"/>
          <w:kern w:val="2"/>
          <w:sz w:val="32"/>
          <w:szCs w:val="32"/>
          <w:lang w:val="zh-CN" w:eastAsia="zh-CN" w:bidi="ar-SA"/>
        </w:rPr>
        <w:t>本单位</w:t>
      </w:r>
      <w:r>
        <w:rPr>
          <w:rFonts w:hint="default" w:ascii="Times New Roman" w:hAnsi="Times New Roman" w:eastAsia="仿宋_GB2312" w:cs="Times New Roman"/>
          <w:color w:val="auto"/>
          <w:kern w:val="2"/>
          <w:sz w:val="32"/>
          <w:szCs w:val="32"/>
          <w:lang w:val="en-US" w:eastAsia="zh-CN" w:bidi="ar-SA"/>
        </w:rPr>
        <w:t>2023年度因公出国（境）费支出预算为0万元,支出决算0万元。完成预算的0%。因公出国（境）费支出较预算</w:t>
      </w:r>
      <w:r>
        <w:rPr>
          <w:rFonts w:hint="eastAsia" w:ascii="Times New Roman" w:hAnsi="Times New Roman" w:eastAsia="仿宋_GB2312" w:cs="Times New Roman"/>
          <w:color w:val="auto"/>
          <w:kern w:val="2"/>
          <w:sz w:val="32"/>
          <w:szCs w:val="32"/>
          <w:lang w:val="zh-CN" w:eastAsia="zh-CN" w:bidi="ar-SA"/>
        </w:rPr>
        <w:t>持平</w:t>
      </w:r>
      <w:r>
        <w:rPr>
          <w:rFonts w:hint="default" w:ascii="Times New Roman" w:hAnsi="Times New Roman" w:eastAsia="仿宋_GB2312" w:cs="Times New Roman"/>
          <w:color w:val="auto"/>
          <w:kern w:val="2"/>
          <w:sz w:val="32"/>
          <w:szCs w:val="32"/>
          <w:lang w:val="en-US" w:eastAsia="zh-CN" w:bidi="ar-SA"/>
        </w:rPr>
        <w:t>；较上年</w:t>
      </w:r>
      <w:r>
        <w:rPr>
          <w:rFonts w:hint="eastAsia" w:ascii="Times New Roman" w:hAnsi="Times New Roman" w:eastAsia="仿宋_GB2312" w:cs="Times New Roman"/>
          <w:color w:val="auto"/>
          <w:kern w:val="2"/>
          <w:sz w:val="32"/>
          <w:szCs w:val="32"/>
          <w:lang w:val="zh-CN" w:eastAsia="zh-CN" w:bidi="ar-SA"/>
        </w:rPr>
        <w:t>持平</w:t>
      </w:r>
      <w:r>
        <w:rPr>
          <w:rFonts w:hint="default" w:ascii="Times New Roman" w:hAnsi="Times New Roman" w:eastAsia="仿宋_GB2312" w:cs="Times New Roman"/>
          <w:color w:val="auto"/>
          <w:kern w:val="2"/>
          <w:sz w:val="32"/>
          <w:szCs w:val="32"/>
          <w:lang w:val="en-US" w:eastAsia="zh-CN" w:bidi="ar-SA"/>
        </w:rPr>
        <w:t>。因公出国（境）团组0个、共0人、参加其他单位组织的因公出国（境）团组</w:t>
      </w:r>
      <w:r>
        <w:rPr>
          <w:rFonts w:hint="eastAsia" w:ascii="Times New Roman" w:hAnsi="Times New Roman" w:eastAsia="仿宋_GB2312" w:cs="Times New Roman"/>
          <w:color w:val="auto"/>
          <w:kern w:val="2"/>
          <w:sz w:val="32"/>
          <w:szCs w:val="32"/>
          <w:lang w:val="en-US" w:eastAsia="zh-CN" w:bidi="ar-SA"/>
        </w:rPr>
        <w:t>0</w:t>
      </w:r>
      <w:r>
        <w:rPr>
          <w:rFonts w:hint="default" w:ascii="Times New Roman" w:hAnsi="Times New Roman" w:eastAsia="仿宋_GB2312" w:cs="Times New Roman"/>
          <w:color w:val="auto"/>
          <w:kern w:val="2"/>
          <w:sz w:val="32"/>
          <w:szCs w:val="32"/>
          <w:lang w:val="en-US" w:eastAsia="zh-CN" w:bidi="ar-SA"/>
        </w:rPr>
        <w:t>个、无本部门组织的出国（境）团组。</w:t>
      </w:r>
    </w:p>
    <w:p>
      <w:pPr>
        <w:keepNext w:val="0"/>
        <w:keepLines w:val="0"/>
        <w:pageBreakBefore w:val="0"/>
        <w:kinsoku/>
        <w:wordWrap/>
        <w:overflowPunct/>
        <w:topLinePunct w:val="0"/>
        <w:autoSpaceDE/>
        <w:autoSpaceDN/>
        <w:bidi w:val="0"/>
        <w:adjustRightInd w:val="0"/>
        <w:snapToGrid w:val="0"/>
        <w:spacing w:line="580" w:lineRule="exact"/>
        <w:ind w:firstLine="643" w:firstLineChars="200"/>
        <w:jc w:val="left"/>
        <w:textAlignment w:val="auto"/>
        <w:rPr>
          <w:rFonts w:hint="default" w:ascii="Times New Roman" w:hAnsi="Times New Roman" w:eastAsia="仿宋_GB2312" w:cs="Times New Roman"/>
          <w:color w:val="auto"/>
          <w:kern w:val="2"/>
          <w:sz w:val="32"/>
          <w:szCs w:val="32"/>
          <w:lang w:val="zh-CN" w:eastAsia="zh-CN" w:bidi="ar-SA"/>
        </w:rPr>
      </w:pPr>
      <w:r>
        <w:rPr>
          <w:rFonts w:hint="default" w:ascii="Times New Roman" w:hAnsi="Times New Roman" w:eastAsia="楷体_GB2312" w:cs="Times New Roman"/>
          <w:b/>
          <w:bCs/>
          <w:kern w:val="2"/>
          <w:sz w:val="32"/>
          <w:szCs w:val="32"/>
          <w:lang w:val="en-US" w:eastAsia="zh-CN" w:bidi="ar-SA"/>
        </w:rPr>
        <w:t>2.</w:t>
      </w:r>
      <w:r>
        <w:rPr>
          <w:rFonts w:hint="default" w:ascii="Times New Roman" w:hAnsi="Times New Roman" w:eastAsia="楷体_GB2312" w:cs="Times New Roman"/>
          <w:b/>
          <w:bCs/>
          <w:sz w:val="32"/>
          <w:szCs w:val="32"/>
        </w:rPr>
        <w:t>公务用车购置及运行维护费支出情况。</w:t>
      </w:r>
      <w:r>
        <w:rPr>
          <w:rFonts w:hint="default" w:ascii="Times New Roman" w:hAnsi="Times New Roman" w:eastAsia="仿宋_GB2312" w:cs="Times New Roman"/>
          <w:color w:val="auto"/>
          <w:kern w:val="2"/>
          <w:sz w:val="32"/>
          <w:szCs w:val="32"/>
          <w:lang w:val="zh-CN" w:eastAsia="zh-CN" w:bidi="ar-SA"/>
        </w:rPr>
        <w:t>本单位202</w:t>
      </w:r>
      <w:r>
        <w:rPr>
          <w:rFonts w:hint="default" w:ascii="Times New Roman" w:hAnsi="Times New Roman" w:eastAsia="仿宋_GB2312" w:cs="Times New Roman"/>
          <w:color w:val="auto"/>
          <w:kern w:val="2"/>
          <w:sz w:val="32"/>
          <w:szCs w:val="32"/>
          <w:lang w:val="en-US" w:eastAsia="zh-CN" w:bidi="ar-SA"/>
        </w:rPr>
        <w:t>3</w:t>
      </w:r>
      <w:r>
        <w:rPr>
          <w:rFonts w:hint="default" w:ascii="Times New Roman" w:hAnsi="Times New Roman" w:eastAsia="仿宋_GB2312" w:cs="Times New Roman"/>
          <w:color w:val="auto"/>
          <w:kern w:val="2"/>
          <w:sz w:val="32"/>
          <w:szCs w:val="32"/>
          <w:lang w:val="zh-CN" w:eastAsia="zh-CN" w:bidi="ar-SA"/>
        </w:rPr>
        <w:t>年度公务用车购置及运行维护费预算为5.4万元，支出决算 5.36万元，完成预算的99.22%</w:t>
      </w:r>
      <w:r>
        <w:rPr>
          <w:rFonts w:hint="eastAsia" w:ascii="Times New Roman" w:hAnsi="Times New Roman" w:eastAsia="仿宋_GB2312" w:cs="Times New Roman"/>
          <w:color w:val="auto"/>
          <w:kern w:val="2"/>
          <w:sz w:val="32"/>
          <w:szCs w:val="32"/>
          <w:lang w:val="zh-CN" w:eastAsia="zh-CN" w:bidi="ar-SA"/>
        </w:rPr>
        <w:t>，</w:t>
      </w:r>
      <w:r>
        <w:rPr>
          <w:rFonts w:hint="default" w:ascii="Times New Roman" w:hAnsi="Times New Roman" w:eastAsia="仿宋_GB2312" w:cs="Times New Roman"/>
          <w:color w:val="auto"/>
          <w:kern w:val="2"/>
          <w:sz w:val="32"/>
          <w:szCs w:val="32"/>
          <w:lang w:val="zh-CN" w:eastAsia="zh-CN" w:bidi="ar-SA"/>
        </w:rPr>
        <w:t>较预算</w:t>
      </w:r>
      <w:r>
        <w:rPr>
          <w:rFonts w:hint="eastAsia" w:ascii="Times New Roman" w:hAnsi="Times New Roman" w:eastAsia="仿宋_GB2312" w:cs="Times New Roman"/>
          <w:color w:val="auto"/>
          <w:kern w:val="2"/>
          <w:sz w:val="32"/>
          <w:szCs w:val="32"/>
          <w:lang w:val="zh-CN" w:eastAsia="zh-CN" w:bidi="ar-SA"/>
        </w:rPr>
        <w:t>减少0.04万元</w:t>
      </w:r>
      <w:r>
        <w:rPr>
          <w:rFonts w:hint="default" w:ascii="Times New Roman" w:hAnsi="Times New Roman" w:eastAsia="仿宋_GB2312" w:cs="Times New Roman"/>
          <w:color w:val="auto"/>
          <w:kern w:val="2"/>
          <w:sz w:val="32"/>
          <w:szCs w:val="32"/>
          <w:lang w:val="zh-CN" w:eastAsia="zh-CN" w:bidi="ar-SA"/>
        </w:rPr>
        <w:t>，</w:t>
      </w:r>
      <w:r>
        <w:rPr>
          <w:rFonts w:hint="eastAsia" w:ascii="Times New Roman" w:hAnsi="Times New Roman" w:eastAsia="仿宋_GB2312" w:cs="Times New Roman"/>
          <w:color w:val="auto"/>
          <w:kern w:val="2"/>
          <w:sz w:val="32"/>
          <w:szCs w:val="32"/>
          <w:lang w:val="zh-CN" w:eastAsia="zh-CN" w:bidi="ar-SA"/>
        </w:rPr>
        <w:t>降低0.78%，</w:t>
      </w:r>
      <w:r>
        <w:rPr>
          <w:rFonts w:hint="default" w:ascii="Times New Roman" w:hAnsi="Times New Roman" w:eastAsia="仿宋_GB2312" w:cs="Times New Roman"/>
          <w:color w:val="auto"/>
          <w:kern w:val="2"/>
          <w:sz w:val="32"/>
          <w:szCs w:val="32"/>
          <w:lang w:val="zh-CN" w:eastAsia="zh-CN" w:bidi="ar-SA"/>
        </w:rPr>
        <w:t>主要是</w:t>
      </w:r>
      <w:r>
        <w:rPr>
          <w:rFonts w:hint="eastAsia" w:ascii="仿宋_GB2312" w:hAnsi="Times New Roman" w:eastAsia="仿宋_GB2312" w:cs="仿宋_GB2312"/>
          <w:sz w:val="32"/>
          <w:szCs w:val="32"/>
          <w:lang w:val="en-US" w:eastAsia="zh-CN"/>
        </w:rPr>
        <w:t>节约用车开支</w:t>
      </w:r>
      <w:r>
        <w:rPr>
          <w:rFonts w:hint="default" w:ascii="Times New Roman" w:hAnsi="Times New Roman" w:eastAsia="仿宋_GB2312" w:cs="Times New Roman"/>
          <w:color w:val="auto"/>
          <w:kern w:val="2"/>
          <w:sz w:val="32"/>
          <w:szCs w:val="32"/>
          <w:lang w:val="zh-CN" w:eastAsia="zh-CN" w:bidi="ar-SA"/>
        </w:rPr>
        <w:t>；较上年</w:t>
      </w:r>
      <w:r>
        <w:rPr>
          <w:rFonts w:hint="eastAsia" w:ascii="Times New Roman" w:hAnsi="Times New Roman" w:eastAsia="仿宋_GB2312" w:cs="Times New Roman"/>
          <w:color w:val="auto"/>
          <w:kern w:val="2"/>
          <w:sz w:val="32"/>
          <w:szCs w:val="32"/>
          <w:lang w:val="zh-CN" w:eastAsia="zh-CN" w:bidi="ar-SA"/>
        </w:rPr>
        <w:t>减少0万元</w:t>
      </w:r>
      <w:r>
        <w:rPr>
          <w:rFonts w:hint="default" w:ascii="Times New Roman" w:hAnsi="Times New Roman" w:eastAsia="仿宋_GB2312" w:cs="Times New Roman"/>
          <w:color w:val="auto"/>
          <w:kern w:val="2"/>
          <w:sz w:val="32"/>
          <w:szCs w:val="32"/>
          <w:lang w:val="zh-CN" w:eastAsia="zh-CN" w:bidi="ar-SA"/>
        </w:rPr>
        <w:t>，</w:t>
      </w:r>
      <w:r>
        <w:rPr>
          <w:rFonts w:hint="eastAsia" w:ascii="Times New Roman" w:hAnsi="Times New Roman" w:eastAsia="仿宋_GB2312" w:cs="Times New Roman"/>
          <w:color w:val="auto"/>
          <w:kern w:val="2"/>
          <w:sz w:val="32"/>
          <w:szCs w:val="32"/>
          <w:lang w:val="zh-CN" w:eastAsia="zh-CN" w:bidi="ar-SA"/>
        </w:rPr>
        <w:t>降低0%，</w:t>
      </w:r>
      <w:r>
        <w:rPr>
          <w:rFonts w:hint="default" w:ascii="Times New Roman" w:hAnsi="Times New Roman" w:eastAsia="仿宋_GB2312" w:cs="Times New Roman"/>
          <w:color w:val="auto"/>
          <w:kern w:val="2"/>
          <w:sz w:val="32"/>
          <w:szCs w:val="32"/>
          <w:lang w:val="zh-CN" w:eastAsia="zh-CN" w:bidi="ar-SA"/>
        </w:rPr>
        <w:t>主要是</w:t>
      </w:r>
      <w:r>
        <w:rPr>
          <w:rFonts w:hint="eastAsia" w:ascii="仿宋_GB2312" w:hAnsi="Times New Roman" w:eastAsia="仿宋_GB2312" w:cs="仿宋_GB2312"/>
          <w:sz w:val="32"/>
          <w:szCs w:val="32"/>
          <w:lang w:val="en-US" w:eastAsia="zh-CN"/>
        </w:rPr>
        <w:t>节约用车开支</w:t>
      </w:r>
      <w:r>
        <w:rPr>
          <w:rFonts w:hint="default" w:ascii="Times New Roman" w:hAnsi="Times New Roman" w:eastAsia="仿宋_GB2312" w:cs="Times New Roman"/>
          <w:color w:val="auto"/>
          <w:kern w:val="2"/>
          <w:sz w:val="32"/>
          <w:szCs w:val="32"/>
          <w:lang w:val="zh-CN" w:eastAsia="zh-CN" w:bidi="ar-SA"/>
        </w:rPr>
        <w:t>。其中：</w:t>
      </w:r>
    </w:p>
    <w:p>
      <w:pPr>
        <w:pStyle w:val="10"/>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ind w:left="0" w:right="0"/>
        <w:jc w:val="left"/>
        <w:textAlignment w:val="auto"/>
        <w:rPr>
          <w:rFonts w:hint="default" w:ascii="Times New Roman" w:hAnsi="Times New Roman" w:eastAsia="Arial" w:cs="Times New Roman"/>
          <w:highlight w:val="none"/>
        </w:rPr>
      </w:pP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643" w:firstLineChars="200"/>
        <w:jc w:val="left"/>
        <w:rPr>
          <w:rFonts w:hint="default" w:ascii="Times New Roman" w:hAnsi="Times New Roman" w:eastAsia="仿宋_GB2312" w:cs="Times New Roman"/>
          <w:color w:val="auto"/>
          <w:kern w:val="0"/>
          <w:sz w:val="32"/>
          <w:szCs w:val="32"/>
          <w:highlight w:val="yellow"/>
          <w:lang w:val="en-US" w:eastAsia="zh-CN" w:bidi="ar-SA"/>
        </w:rPr>
      </w:pPr>
      <w:r>
        <w:rPr>
          <w:rFonts w:hint="default" w:ascii="Times New Roman" w:hAnsi="Times New Roman" w:eastAsia="仿宋_GB2312" w:cs="Times New Roman"/>
          <w:b/>
          <w:sz w:val="32"/>
          <w:szCs w:val="32"/>
        </w:rPr>
        <w:t>公务用车购置费支出</w:t>
      </w:r>
      <w:r>
        <w:rPr>
          <w:rFonts w:hint="eastAsia" w:ascii="Times New Roman" w:hAnsi="Times New Roman" w:eastAsia="楷体_GB2312" w:cs="Times New Roman"/>
          <w:b/>
          <w:bCs/>
          <w:sz w:val="32"/>
          <w:szCs w:val="32"/>
          <w:lang w:val="en-US" w:eastAsia="zh-CN"/>
        </w:rPr>
        <w:t>0</w:t>
      </w:r>
      <w:r>
        <w:rPr>
          <w:rFonts w:hint="default" w:ascii="Times New Roman" w:hAnsi="Times New Roman" w:eastAsia="楷体_GB2312" w:cs="Times New Roman"/>
          <w:b/>
          <w:bCs/>
          <w:sz w:val="32"/>
          <w:szCs w:val="32"/>
        </w:rPr>
        <w:t>万元</w:t>
      </w:r>
      <w:r>
        <w:rPr>
          <w:rFonts w:hint="default" w:ascii="Times New Roman" w:hAnsi="Times New Roman" w:eastAsia="仿宋_GB2312" w:cs="Times New Roman"/>
          <w:b/>
          <w:sz w:val="32"/>
          <w:szCs w:val="32"/>
        </w:rPr>
        <w:t>：</w:t>
      </w:r>
      <w:r>
        <w:rPr>
          <w:rFonts w:hint="default" w:ascii="Times New Roman" w:hAnsi="Times New Roman" w:eastAsia="仿宋_GB2312" w:cs="Times New Roman"/>
          <w:color w:val="auto"/>
          <w:kern w:val="2"/>
          <w:sz w:val="32"/>
          <w:szCs w:val="32"/>
          <w:lang w:val="zh-CN" w:eastAsia="zh-CN" w:bidi="ar-SA"/>
        </w:rPr>
        <w:t>本</w:t>
      </w:r>
      <w:r>
        <w:rPr>
          <w:rFonts w:hint="eastAsia" w:ascii="Times New Roman" w:hAnsi="Times New Roman" w:eastAsia="仿宋_GB2312" w:cs="Times New Roman"/>
          <w:color w:val="auto"/>
          <w:kern w:val="2"/>
          <w:sz w:val="32"/>
          <w:szCs w:val="32"/>
          <w:lang w:val="en-US" w:eastAsia="zh-CN" w:bidi="ar-SA"/>
        </w:rPr>
        <w:t>部门</w:t>
      </w:r>
      <w:r>
        <w:rPr>
          <w:rFonts w:hint="default" w:ascii="Times New Roman" w:hAnsi="Times New Roman" w:eastAsia="仿宋_GB2312" w:cs="Times New Roman"/>
          <w:color w:val="auto"/>
          <w:kern w:val="2"/>
          <w:sz w:val="32"/>
          <w:szCs w:val="32"/>
          <w:lang w:val="zh-CN" w:eastAsia="zh-CN" w:bidi="ar-SA"/>
        </w:rPr>
        <w:t>202</w:t>
      </w:r>
      <w:r>
        <w:rPr>
          <w:rFonts w:hint="default" w:ascii="Times New Roman" w:hAnsi="Times New Roman" w:eastAsia="仿宋_GB2312" w:cs="Times New Roman"/>
          <w:color w:val="auto"/>
          <w:kern w:val="2"/>
          <w:sz w:val="32"/>
          <w:szCs w:val="32"/>
          <w:lang w:val="en-US" w:eastAsia="zh-CN" w:bidi="ar-SA"/>
        </w:rPr>
        <w:t>3</w:t>
      </w:r>
      <w:r>
        <w:rPr>
          <w:rFonts w:hint="default" w:ascii="Times New Roman" w:hAnsi="Times New Roman" w:eastAsia="仿宋_GB2312" w:cs="Times New Roman"/>
          <w:color w:val="auto"/>
          <w:kern w:val="2"/>
          <w:sz w:val="32"/>
          <w:szCs w:val="32"/>
          <w:lang w:val="zh-CN" w:eastAsia="zh-CN" w:bidi="ar-SA"/>
        </w:rPr>
        <w:t>年度公务用车购置量0辆，</w:t>
      </w:r>
      <w:r>
        <w:rPr>
          <w:rFonts w:hint="eastAsia" w:ascii="仿宋_GB2312" w:hAnsi="Times New Roman" w:eastAsia="仿宋_GB2312" w:cs="仿宋_GB2312"/>
          <w:sz w:val="32"/>
          <w:szCs w:val="32"/>
        </w:rPr>
        <w:t>未发生“公务用车购置”经费支出。公务用车购置费支出较预算持平，较上年持平</w:t>
      </w:r>
      <w:r>
        <w:rPr>
          <w:rFonts w:hint="eastAsia" w:ascii="仿宋_GB2312" w:hAnsi="Times New Roman" w:eastAsia="仿宋_GB2312" w:cs="仿宋_GB2312"/>
          <w:sz w:val="32"/>
          <w:szCs w:val="32"/>
          <w:lang w:eastAsia="zh-CN"/>
        </w:rPr>
        <w:t>。</w:t>
      </w:r>
    </w:p>
    <w:p>
      <w:pPr>
        <w:keepNext w:val="0"/>
        <w:keepLines w:val="0"/>
        <w:pageBreakBefore w:val="0"/>
        <w:widowControl w:val="0"/>
        <w:kinsoku/>
        <w:wordWrap/>
        <w:overflowPunct/>
        <w:topLinePunct w:val="0"/>
        <w:autoSpaceDE/>
        <w:autoSpaceDN/>
        <w:bidi w:val="0"/>
        <w:adjustRightInd w:val="0"/>
        <w:snapToGrid w:val="0"/>
        <w:spacing w:line="580" w:lineRule="exact"/>
        <w:ind w:firstLine="643" w:firstLineChars="200"/>
        <w:jc w:val="left"/>
        <w:textAlignment w:val="auto"/>
        <w:rPr>
          <w:rFonts w:hint="default" w:ascii="Times New Roman" w:hAnsi="Times New Roman" w:eastAsia="仿宋_GB2312" w:cs="Times New Roman"/>
          <w:color w:val="auto"/>
          <w:kern w:val="2"/>
          <w:sz w:val="32"/>
          <w:szCs w:val="32"/>
          <w:lang w:val="zh-CN" w:eastAsia="zh-CN" w:bidi="ar-SA"/>
        </w:rPr>
      </w:pPr>
      <w:r>
        <w:rPr>
          <w:rFonts w:hint="default" w:ascii="Times New Roman" w:hAnsi="Times New Roman" w:eastAsia="仿宋_GB2312" w:cs="Times New Roman"/>
          <w:b/>
          <w:sz w:val="32"/>
          <w:szCs w:val="32"/>
        </w:rPr>
        <w:t>公务用车运行维护费支出</w:t>
      </w:r>
      <w:r>
        <w:rPr>
          <w:rFonts w:hint="eastAsia" w:ascii="Times New Roman" w:hAnsi="Times New Roman" w:eastAsia="仿宋_GB2312" w:cs="Times New Roman"/>
          <w:b/>
          <w:sz w:val="32"/>
          <w:szCs w:val="32"/>
          <w:lang w:val="en-US" w:eastAsia="zh-CN"/>
        </w:rPr>
        <w:t>5.36</w:t>
      </w:r>
      <w:r>
        <w:rPr>
          <w:rFonts w:hint="default" w:ascii="Times New Roman" w:hAnsi="Times New Roman" w:eastAsia="楷体_GB2312" w:cs="Times New Roman"/>
          <w:b/>
          <w:bCs/>
          <w:sz w:val="32"/>
          <w:szCs w:val="32"/>
        </w:rPr>
        <w:t>万元</w:t>
      </w:r>
      <w:r>
        <w:rPr>
          <w:rFonts w:hint="default" w:ascii="Times New Roman" w:hAnsi="Times New Roman" w:eastAsia="仿宋_GB2312" w:cs="Times New Roman"/>
          <w:b/>
          <w:sz w:val="32"/>
          <w:szCs w:val="32"/>
        </w:rPr>
        <w:t>：</w:t>
      </w:r>
      <w:r>
        <w:rPr>
          <w:rFonts w:hint="default" w:ascii="Times New Roman" w:hAnsi="Times New Roman" w:eastAsia="仿宋_GB2312" w:cs="Times New Roman"/>
          <w:color w:val="auto"/>
          <w:kern w:val="2"/>
          <w:sz w:val="32"/>
          <w:szCs w:val="32"/>
          <w:lang w:val="zh-CN" w:eastAsia="zh-CN" w:bidi="ar-SA"/>
        </w:rPr>
        <w:t>本单位202</w:t>
      </w:r>
      <w:r>
        <w:rPr>
          <w:rFonts w:hint="default" w:ascii="Times New Roman" w:hAnsi="Times New Roman" w:eastAsia="仿宋_GB2312" w:cs="Times New Roman"/>
          <w:color w:val="auto"/>
          <w:kern w:val="2"/>
          <w:sz w:val="32"/>
          <w:szCs w:val="32"/>
          <w:lang w:val="en-US" w:eastAsia="zh-CN" w:bidi="ar-SA"/>
        </w:rPr>
        <w:t>3</w:t>
      </w:r>
      <w:r>
        <w:rPr>
          <w:rFonts w:hint="default" w:ascii="Times New Roman" w:hAnsi="Times New Roman" w:eastAsia="仿宋_GB2312" w:cs="Times New Roman"/>
          <w:color w:val="auto"/>
          <w:kern w:val="2"/>
          <w:sz w:val="32"/>
          <w:szCs w:val="32"/>
          <w:lang w:val="zh-CN" w:eastAsia="zh-CN" w:bidi="ar-SA"/>
        </w:rPr>
        <w:t>年度单位公务用车保有量2辆，发生运行维护费支出5.36万元。公车运行维护费支出较预算</w:t>
      </w:r>
      <w:r>
        <w:rPr>
          <w:rFonts w:hint="eastAsia" w:ascii="Times New Roman" w:hAnsi="Times New Roman" w:eastAsia="仿宋_GB2312" w:cs="Times New Roman"/>
          <w:color w:val="auto"/>
          <w:kern w:val="2"/>
          <w:sz w:val="32"/>
          <w:szCs w:val="32"/>
          <w:lang w:val="zh-CN" w:eastAsia="zh-CN" w:bidi="ar-SA"/>
        </w:rPr>
        <w:t>减少0.04万元</w:t>
      </w:r>
      <w:r>
        <w:rPr>
          <w:rFonts w:hint="default" w:ascii="Times New Roman" w:hAnsi="Times New Roman" w:eastAsia="仿宋_GB2312" w:cs="Times New Roman"/>
          <w:color w:val="auto"/>
          <w:kern w:val="2"/>
          <w:sz w:val="32"/>
          <w:szCs w:val="32"/>
          <w:lang w:val="zh-CN" w:eastAsia="zh-CN" w:bidi="ar-SA"/>
        </w:rPr>
        <w:t>，</w:t>
      </w:r>
      <w:r>
        <w:rPr>
          <w:rFonts w:hint="eastAsia" w:ascii="Times New Roman" w:hAnsi="Times New Roman" w:eastAsia="仿宋_GB2312" w:cs="Times New Roman"/>
          <w:color w:val="auto"/>
          <w:kern w:val="2"/>
          <w:sz w:val="32"/>
          <w:szCs w:val="32"/>
          <w:lang w:val="zh-CN" w:eastAsia="zh-CN" w:bidi="ar-SA"/>
        </w:rPr>
        <w:t>降低0.78%，</w:t>
      </w:r>
      <w:r>
        <w:rPr>
          <w:rFonts w:hint="default" w:ascii="Times New Roman" w:hAnsi="Times New Roman" w:eastAsia="仿宋_GB2312" w:cs="Times New Roman"/>
          <w:color w:val="auto"/>
          <w:kern w:val="2"/>
          <w:sz w:val="32"/>
          <w:szCs w:val="32"/>
          <w:lang w:val="zh-CN" w:eastAsia="zh-CN" w:bidi="ar-SA"/>
        </w:rPr>
        <w:t>主要是</w:t>
      </w:r>
      <w:r>
        <w:rPr>
          <w:rFonts w:hint="eastAsia" w:ascii="仿宋_GB2312" w:hAnsi="Times New Roman" w:eastAsia="仿宋_GB2312" w:cs="仿宋_GB2312"/>
          <w:sz w:val="32"/>
          <w:szCs w:val="32"/>
          <w:lang w:val="en-US" w:eastAsia="zh-CN"/>
        </w:rPr>
        <w:t>节约用车开支</w:t>
      </w:r>
      <w:r>
        <w:rPr>
          <w:rFonts w:hint="default" w:ascii="Times New Roman" w:hAnsi="Times New Roman" w:eastAsia="仿宋_GB2312" w:cs="Times New Roman"/>
          <w:color w:val="auto"/>
          <w:kern w:val="2"/>
          <w:sz w:val="32"/>
          <w:szCs w:val="32"/>
          <w:lang w:val="zh-CN" w:eastAsia="zh-CN" w:bidi="ar-SA"/>
        </w:rPr>
        <w:t>；较上年</w:t>
      </w:r>
      <w:r>
        <w:rPr>
          <w:rFonts w:hint="eastAsia" w:ascii="Times New Roman" w:hAnsi="Times New Roman" w:eastAsia="仿宋_GB2312" w:cs="Times New Roman"/>
          <w:color w:val="auto"/>
          <w:kern w:val="2"/>
          <w:sz w:val="32"/>
          <w:szCs w:val="32"/>
          <w:lang w:val="zh-CN" w:eastAsia="zh-CN" w:bidi="ar-SA"/>
        </w:rPr>
        <w:t>减少0万元</w:t>
      </w:r>
      <w:r>
        <w:rPr>
          <w:rFonts w:hint="default" w:ascii="Times New Roman" w:hAnsi="Times New Roman" w:eastAsia="仿宋_GB2312" w:cs="Times New Roman"/>
          <w:color w:val="auto"/>
          <w:kern w:val="2"/>
          <w:sz w:val="32"/>
          <w:szCs w:val="32"/>
          <w:lang w:val="zh-CN" w:eastAsia="zh-CN" w:bidi="ar-SA"/>
        </w:rPr>
        <w:t>，</w:t>
      </w:r>
      <w:r>
        <w:rPr>
          <w:rFonts w:hint="eastAsia" w:ascii="Times New Roman" w:hAnsi="Times New Roman" w:eastAsia="仿宋_GB2312" w:cs="Times New Roman"/>
          <w:color w:val="auto"/>
          <w:kern w:val="2"/>
          <w:sz w:val="32"/>
          <w:szCs w:val="32"/>
          <w:lang w:val="zh-CN" w:eastAsia="zh-CN" w:bidi="ar-SA"/>
        </w:rPr>
        <w:t>降低0%</w:t>
      </w:r>
      <w:r>
        <w:rPr>
          <w:rFonts w:hint="default" w:ascii="Times New Roman" w:hAnsi="Times New Roman" w:eastAsia="仿宋_GB2312" w:cs="Times New Roman"/>
          <w:color w:val="auto"/>
          <w:kern w:val="2"/>
          <w:sz w:val="32"/>
          <w:szCs w:val="32"/>
          <w:lang w:val="zh-CN" w:eastAsia="zh-CN" w:bidi="ar-SA"/>
        </w:rPr>
        <w:t>。</w:t>
      </w:r>
    </w:p>
    <w:p>
      <w:pPr>
        <w:keepNext w:val="0"/>
        <w:keepLines w:val="0"/>
        <w:pageBreakBefore w:val="0"/>
        <w:widowControl w:val="0"/>
        <w:kinsoku/>
        <w:wordWrap/>
        <w:overflowPunct/>
        <w:topLinePunct w:val="0"/>
        <w:autoSpaceDE/>
        <w:autoSpaceDN/>
        <w:bidi w:val="0"/>
        <w:adjustRightInd w:val="0"/>
        <w:snapToGrid w:val="0"/>
        <w:spacing w:line="580" w:lineRule="exact"/>
        <w:ind w:firstLine="643" w:firstLineChars="200"/>
        <w:jc w:val="left"/>
        <w:textAlignment w:val="auto"/>
        <w:rPr>
          <w:rFonts w:hint="default" w:ascii="Times New Roman" w:hAnsi="Times New Roman" w:eastAsia="仿宋_GB2312" w:cs="Times New Roman"/>
          <w:color w:val="auto"/>
          <w:kern w:val="0"/>
          <w:sz w:val="32"/>
          <w:szCs w:val="32"/>
          <w:highlight w:val="yellow"/>
          <w:lang w:val="en-US" w:eastAsia="zh-CN" w:bidi="ar-SA"/>
        </w:rPr>
      </w:pPr>
      <w:r>
        <w:rPr>
          <w:rFonts w:hint="default" w:ascii="Times New Roman" w:hAnsi="Times New Roman" w:eastAsia="楷体_GB2312" w:cs="Times New Roman"/>
          <w:b/>
          <w:bCs/>
          <w:kern w:val="2"/>
          <w:sz w:val="32"/>
          <w:szCs w:val="32"/>
          <w:lang w:val="en-US" w:eastAsia="zh-CN" w:bidi="ar-SA"/>
        </w:rPr>
        <w:t>3.公务接待费。</w:t>
      </w:r>
      <w:r>
        <w:rPr>
          <w:rFonts w:hint="default" w:ascii="Times New Roman" w:hAnsi="Times New Roman" w:eastAsia="仿宋_GB2312" w:cs="Times New Roman"/>
          <w:color w:val="auto"/>
          <w:kern w:val="2"/>
          <w:sz w:val="32"/>
          <w:szCs w:val="32"/>
          <w:lang w:val="zh-CN" w:eastAsia="zh-CN" w:bidi="ar-SA"/>
        </w:rPr>
        <w:t>本单位202</w:t>
      </w:r>
      <w:r>
        <w:rPr>
          <w:rFonts w:hint="default" w:ascii="Times New Roman" w:hAnsi="Times New Roman" w:eastAsia="仿宋_GB2312" w:cs="Times New Roman"/>
          <w:color w:val="auto"/>
          <w:kern w:val="2"/>
          <w:sz w:val="32"/>
          <w:szCs w:val="32"/>
          <w:lang w:val="en-US" w:eastAsia="zh-CN" w:bidi="ar-SA"/>
        </w:rPr>
        <w:t>3</w:t>
      </w:r>
      <w:r>
        <w:rPr>
          <w:rFonts w:hint="default" w:ascii="Times New Roman" w:hAnsi="Times New Roman" w:eastAsia="仿宋_GB2312" w:cs="Times New Roman"/>
          <w:color w:val="auto"/>
          <w:kern w:val="2"/>
          <w:sz w:val="32"/>
          <w:szCs w:val="32"/>
          <w:lang w:val="zh-CN" w:eastAsia="zh-CN" w:bidi="ar-SA"/>
        </w:rPr>
        <w:t>年度公务接待费支出预算为0万元，支出决算0万元，完成预算的0%。公务接待费支出较预算</w:t>
      </w:r>
      <w:r>
        <w:rPr>
          <w:rFonts w:hint="eastAsia" w:ascii="Times New Roman" w:hAnsi="Times New Roman" w:eastAsia="仿宋_GB2312" w:cs="Times New Roman"/>
          <w:color w:val="auto"/>
          <w:kern w:val="2"/>
          <w:sz w:val="32"/>
          <w:szCs w:val="32"/>
          <w:lang w:val="zh-CN" w:eastAsia="zh-CN" w:bidi="ar-SA"/>
        </w:rPr>
        <w:t>持平，</w:t>
      </w:r>
      <w:r>
        <w:rPr>
          <w:rFonts w:hint="default" w:ascii="Times New Roman" w:hAnsi="Times New Roman" w:eastAsia="仿宋_GB2312" w:cs="Times New Roman"/>
          <w:color w:val="auto"/>
          <w:kern w:val="2"/>
          <w:sz w:val="32"/>
          <w:szCs w:val="32"/>
          <w:lang w:val="zh-CN" w:eastAsia="zh-CN" w:bidi="ar-SA"/>
        </w:rPr>
        <w:t>本年度共发生公务接待</w:t>
      </w:r>
      <w:r>
        <w:rPr>
          <w:rFonts w:hint="eastAsia" w:ascii="Times New Roman" w:hAnsi="Times New Roman" w:eastAsia="仿宋_GB2312" w:cs="Times New Roman"/>
          <w:color w:val="auto"/>
          <w:kern w:val="2"/>
          <w:sz w:val="32"/>
          <w:szCs w:val="32"/>
          <w:lang w:val="en-US" w:eastAsia="zh-CN" w:bidi="ar-SA"/>
        </w:rPr>
        <w:t>0</w:t>
      </w:r>
      <w:r>
        <w:rPr>
          <w:rFonts w:hint="default" w:ascii="Times New Roman" w:hAnsi="Times New Roman" w:eastAsia="仿宋_GB2312" w:cs="Times New Roman"/>
          <w:color w:val="auto"/>
          <w:kern w:val="2"/>
          <w:sz w:val="32"/>
          <w:szCs w:val="32"/>
          <w:lang w:val="zh-CN" w:eastAsia="zh-CN" w:bidi="ar-SA"/>
        </w:rPr>
        <w:t>批次、</w:t>
      </w:r>
      <w:r>
        <w:rPr>
          <w:rFonts w:hint="eastAsia" w:ascii="Times New Roman" w:hAnsi="Times New Roman" w:eastAsia="仿宋_GB2312" w:cs="Times New Roman"/>
          <w:color w:val="auto"/>
          <w:kern w:val="2"/>
          <w:sz w:val="32"/>
          <w:szCs w:val="32"/>
          <w:lang w:val="en-US" w:eastAsia="zh-CN" w:bidi="ar-SA"/>
        </w:rPr>
        <w:t>0</w:t>
      </w:r>
      <w:r>
        <w:rPr>
          <w:rFonts w:hint="default" w:ascii="Times New Roman" w:hAnsi="Times New Roman" w:eastAsia="仿宋_GB2312" w:cs="Times New Roman"/>
          <w:color w:val="auto"/>
          <w:kern w:val="2"/>
          <w:sz w:val="32"/>
          <w:szCs w:val="32"/>
          <w:lang w:val="zh-CN" w:eastAsia="zh-CN" w:bidi="ar-SA"/>
        </w:rPr>
        <w:t>人次。</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outlineLvl w:val="1"/>
        <w:rPr>
          <w:rFonts w:hint="default" w:ascii="Times New Roman" w:hAnsi="Times New Roman" w:eastAsia="仿宋_GB2312" w:cs="Times New Roman"/>
          <w:color w:val="auto"/>
          <w:kern w:val="0"/>
          <w:sz w:val="32"/>
          <w:szCs w:val="32"/>
          <w:highlight w:val="yellow"/>
          <w:lang w:val="en-US" w:eastAsia="zh-CN" w:bidi="ar-SA"/>
        </w:rPr>
      </w:pPr>
      <w:r>
        <w:rPr>
          <w:rFonts w:hint="default" w:ascii="Times New Roman" w:hAnsi="Times New Roman" w:eastAsia="黑体" w:cs="Times New Roman"/>
          <w:i w:val="0"/>
          <w:iCs w:val="0"/>
          <w:caps w:val="0"/>
          <w:color w:val="333333"/>
          <w:spacing w:val="0"/>
          <w:sz w:val="33"/>
          <w:szCs w:val="33"/>
          <w:highlight w:val="none"/>
          <w:shd w:val="clear" w:fill="FFFFFF"/>
        </w:rPr>
        <w:t>六、</w:t>
      </w:r>
      <w:r>
        <w:rPr>
          <w:rFonts w:hint="default" w:ascii="Times New Roman" w:hAnsi="Times New Roman" w:eastAsia="黑体" w:cs="Times New Roman"/>
          <w:sz w:val="32"/>
          <w:szCs w:val="32"/>
        </w:rPr>
        <w:t>机关运行经费支出说明</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ascii="Times New Roman" w:hAnsi="Times New Roman" w:eastAsia="仿宋_GB2312" w:cs="Times New Roman"/>
          <w:color w:val="auto"/>
          <w:kern w:val="0"/>
          <w:sz w:val="32"/>
          <w:szCs w:val="32"/>
          <w:highlight w:val="yellow"/>
          <w:lang w:val="en-US" w:eastAsia="zh-CN" w:bidi="ar-SA"/>
        </w:rPr>
      </w:pPr>
      <w:r>
        <w:rPr>
          <w:rFonts w:hint="default" w:ascii="Times New Roman" w:hAnsi="Times New Roman" w:eastAsia="仿宋_GB2312" w:cs="Times New Roman"/>
          <w:i w:val="0"/>
          <w:iCs w:val="0"/>
          <w:caps w:val="0"/>
          <w:color w:val="333333"/>
          <w:spacing w:val="0"/>
          <w:sz w:val="33"/>
          <w:szCs w:val="33"/>
          <w:highlight w:val="none"/>
          <w:shd w:val="clear" w:fill="FFFFFF"/>
        </w:rPr>
        <w:t>   </w:t>
      </w:r>
      <w:r>
        <w:rPr>
          <w:rFonts w:hint="default" w:ascii="Times New Roman" w:hAnsi="Times New Roman" w:eastAsia="仿宋_GB2312" w:cs="Times New Roman"/>
          <w:i w:val="0"/>
          <w:iCs w:val="0"/>
          <w:caps w:val="0"/>
          <w:color w:val="333333"/>
          <w:spacing w:val="0"/>
          <w:sz w:val="33"/>
          <w:szCs w:val="33"/>
          <w:highlight w:val="none"/>
          <w:shd w:val="clear" w:fill="FFFFFF"/>
          <w:lang w:val="en-US" w:eastAsia="zh-CN"/>
        </w:rPr>
        <w:t xml:space="preserve"> </w:t>
      </w:r>
      <w:r>
        <w:rPr>
          <w:rFonts w:hint="default" w:ascii="Times New Roman" w:hAnsi="Times New Roman" w:eastAsia="仿宋_GB2312" w:cs="Times New Roman"/>
          <w:i w:val="0"/>
          <w:iCs w:val="0"/>
          <w:caps w:val="0"/>
          <w:color w:val="333333"/>
          <w:spacing w:val="0"/>
          <w:sz w:val="33"/>
          <w:szCs w:val="33"/>
          <w:highlight w:val="none"/>
          <w:shd w:val="clear" w:fill="FFFFFF"/>
          <w:lang w:eastAsia="zh-CN"/>
        </w:rPr>
        <w:t xml:space="preserve"> </w:t>
      </w:r>
      <w:r>
        <w:rPr>
          <w:rFonts w:hint="default" w:ascii="Times New Roman" w:hAnsi="Times New Roman" w:eastAsia="仿宋_GB2312" w:cs="Times New Roman"/>
          <w:color w:val="auto"/>
          <w:kern w:val="2"/>
          <w:sz w:val="32"/>
          <w:szCs w:val="32"/>
          <w:lang w:val="zh-CN" w:eastAsia="zh-CN" w:bidi="ar-SA"/>
        </w:rPr>
        <w:t>本单位202</w:t>
      </w:r>
      <w:r>
        <w:rPr>
          <w:rFonts w:hint="default" w:ascii="Times New Roman" w:hAnsi="Times New Roman" w:eastAsia="仿宋_GB2312" w:cs="Times New Roman"/>
          <w:color w:val="auto"/>
          <w:kern w:val="2"/>
          <w:sz w:val="32"/>
          <w:szCs w:val="32"/>
          <w:lang w:val="en-US" w:eastAsia="zh-CN" w:bidi="ar-SA"/>
        </w:rPr>
        <w:t>3</w:t>
      </w:r>
      <w:r>
        <w:rPr>
          <w:rFonts w:hint="default" w:ascii="Times New Roman" w:hAnsi="Times New Roman" w:eastAsia="仿宋_GB2312" w:cs="Times New Roman"/>
          <w:color w:val="auto"/>
          <w:kern w:val="2"/>
          <w:sz w:val="32"/>
          <w:szCs w:val="32"/>
          <w:lang w:val="zh-CN" w:eastAsia="zh-CN" w:bidi="ar-SA"/>
        </w:rPr>
        <w:t>年度机关运行经费支出177.04万元，较2022年度</w:t>
      </w:r>
      <w:r>
        <w:rPr>
          <w:rFonts w:hint="eastAsia" w:ascii="Times New Roman" w:hAnsi="Times New Roman" w:eastAsia="仿宋_GB2312" w:cs="Times New Roman"/>
          <w:color w:val="auto"/>
          <w:kern w:val="2"/>
          <w:sz w:val="32"/>
          <w:szCs w:val="32"/>
          <w:lang w:val="zh-CN" w:eastAsia="zh-CN" w:bidi="ar-SA"/>
        </w:rPr>
        <w:t>增加16.74万元，增长10.44%，</w:t>
      </w:r>
      <w:r>
        <w:rPr>
          <w:rFonts w:hint="default" w:ascii="Times New Roman" w:hAnsi="Times New Roman" w:eastAsia="仿宋_GB2312" w:cs="Times New Roman"/>
          <w:color w:val="auto"/>
          <w:kern w:val="2"/>
          <w:sz w:val="32"/>
          <w:szCs w:val="32"/>
          <w:lang w:val="zh-CN" w:eastAsia="zh-CN" w:bidi="ar-SA"/>
        </w:rPr>
        <w:t>主要原因是</w:t>
      </w:r>
      <w:r>
        <w:rPr>
          <w:rFonts w:hint="eastAsia" w:ascii="Times New Roman" w:hAnsi="Times New Roman" w:eastAsia="仿宋_GB2312" w:cs="Times New Roman"/>
          <w:color w:val="auto"/>
          <w:kern w:val="2"/>
          <w:sz w:val="32"/>
          <w:szCs w:val="32"/>
          <w:lang w:val="en-US" w:eastAsia="zh-CN" w:bidi="ar-SA"/>
        </w:rPr>
        <w:t>本年度调入人员增多，机关运行经费增加</w:t>
      </w:r>
      <w:r>
        <w:rPr>
          <w:rFonts w:hint="default" w:ascii="Times New Roman" w:hAnsi="Times New Roman" w:eastAsia="仿宋_GB2312" w:cs="Times New Roman"/>
          <w:color w:val="auto"/>
          <w:kern w:val="2"/>
          <w:sz w:val="32"/>
          <w:szCs w:val="32"/>
          <w:lang w:val="zh-CN" w:eastAsia="zh-CN" w:bidi="ar-SA"/>
        </w:rPr>
        <w:t>。</w:t>
      </w:r>
    </w:p>
    <w:p>
      <w:pPr>
        <w:adjustRightInd w:val="0"/>
        <w:snapToGrid w:val="0"/>
        <w:spacing w:line="580" w:lineRule="exact"/>
        <w:ind w:firstLine="660" w:firstLineChars="200"/>
        <w:rPr>
          <w:rFonts w:hint="default" w:ascii="Times New Roman" w:hAnsi="Times New Roman" w:eastAsia="仿宋_GB2312" w:cs="Times New Roman"/>
          <w:sz w:val="32"/>
          <w:szCs w:val="32"/>
          <w:highlight w:val="yellow"/>
        </w:rPr>
      </w:pPr>
      <w:r>
        <w:rPr>
          <w:rFonts w:hint="default" w:ascii="Times New Roman" w:hAnsi="Times New Roman" w:eastAsia="黑体" w:cs="Times New Roman"/>
          <w:i w:val="0"/>
          <w:iCs w:val="0"/>
          <w:caps w:val="0"/>
          <w:color w:val="333333"/>
          <w:spacing w:val="0"/>
          <w:sz w:val="33"/>
          <w:szCs w:val="33"/>
          <w:highlight w:val="none"/>
          <w:shd w:val="clear" w:fill="FFFFFF"/>
        </w:rPr>
        <w:t>七、</w:t>
      </w:r>
      <w:r>
        <w:rPr>
          <w:rFonts w:hint="default" w:ascii="Times New Roman" w:hAnsi="Times New Roman" w:eastAsia="黑体" w:cs="Times New Roman"/>
          <w:sz w:val="32"/>
          <w:szCs w:val="32"/>
        </w:rPr>
        <w:t>政府采购支出说明</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ascii="Times New Roman" w:hAnsi="Times New Roman" w:eastAsia="仿宋_GB2312" w:cs="Times New Roman"/>
          <w:sz w:val="32"/>
          <w:szCs w:val="32"/>
          <w:highlight w:val="yellow"/>
        </w:rPr>
      </w:pPr>
      <w:r>
        <w:rPr>
          <w:rFonts w:hint="default" w:ascii="Times New Roman" w:hAnsi="Times New Roman" w:eastAsia="Arial" w:cs="Times New Roman"/>
          <w:i w:val="0"/>
          <w:iCs w:val="0"/>
          <w:caps w:val="0"/>
          <w:color w:val="333333"/>
          <w:spacing w:val="0"/>
          <w:sz w:val="19"/>
          <w:szCs w:val="19"/>
          <w:highlight w:val="none"/>
          <w:shd w:val="clear" w:fill="FFFFFF"/>
        </w:rPr>
        <w:t> </w:t>
      </w:r>
      <w:r>
        <w:rPr>
          <w:rFonts w:hint="default" w:ascii="Times New Roman" w:hAnsi="Times New Roman" w:eastAsia="仿宋_GB2312" w:cs="Times New Roman"/>
          <w:i w:val="0"/>
          <w:iCs w:val="0"/>
          <w:caps w:val="0"/>
          <w:color w:val="333333"/>
          <w:spacing w:val="0"/>
          <w:sz w:val="33"/>
          <w:szCs w:val="33"/>
          <w:highlight w:val="none"/>
          <w:shd w:val="clear" w:fill="FFFFFF"/>
        </w:rPr>
        <w:t>   </w:t>
      </w:r>
      <w:r>
        <w:rPr>
          <w:rFonts w:hint="default" w:ascii="Times New Roman" w:hAnsi="Times New Roman" w:eastAsia="仿宋_GB2312" w:cs="Times New Roman"/>
          <w:i w:val="0"/>
          <w:iCs w:val="0"/>
          <w:caps w:val="0"/>
          <w:color w:val="333333"/>
          <w:spacing w:val="0"/>
          <w:sz w:val="33"/>
          <w:szCs w:val="33"/>
          <w:highlight w:val="none"/>
          <w:shd w:val="clear" w:fill="FFFFFF"/>
          <w:lang w:val="en-US" w:eastAsia="zh-CN"/>
        </w:rPr>
        <w:t xml:space="preserve"> </w:t>
      </w:r>
      <w:r>
        <w:rPr>
          <w:rFonts w:hint="default" w:ascii="Times New Roman" w:hAnsi="Times New Roman" w:eastAsia="仿宋_GB2312" w:cs="Times New Roman"/>
          <w:i w:val="0"/>
          <w:iCs w:val="0"/>
          <w:caps w:val="0"/>
          <w:color w:val="333333"/>
          <w:spacing w:val="0"/>
          <w:sz w:val="33"/>
          <w:szCs w:val="33"/>
          <w:highlight w:val="none"/>
          <w:shd w:val="clear" w:fill="FFFFFF"/>
          <w:lang w:eastAsia="zh-CN"/>
        </w:rPr>
        <w:t xml:space="preserve"> </w:t>
      </w:r>
      <w:r>
        <w:rPr>
          <w:rFonts w:hint="default" w:ascii="Times New Roman" w:hAnsi="Times New Roman" w:eastAsia="仿宋_GB2312" w:cs="Times New Roman"/>
          <w:color w:val="auto"/>
          <w:kern w:val="2"/>
          <w:sz w:val="32"/>
          <w:szCs w:val="32"/>
          <w:lang w:val="zh-CN" w:eastAsia="zh-CN" w:bidi="ar-SA"/>
        </w:rPr>
        <w:t>本单位202</w:t>
      </w:r>
      <w:r>
        <w:rPr>
          <w:rFonts w:hint="default" w:ascii="Times New Roman" w:hAnsi="Times New Roman" w:eastAsia="仿宋_GB2312" w:cs="Times New Roman"/>
          <w:color w:val="auto"/>
          <w:kern w:val="2"/>
          <w:sz w:val="32"/>
          <w:szCs w:val="32"/>
          <w:lang w:val="en-US" w:eastAsia="zh-CN" w:bidi="ar-SA"/>
        </w:rPr>
        <w:t>3</w:t>
      </w:r>
      <w:r>
        <w:rPr>
          <w:rFonts w:hint="default" w:ascii="Times New Roman" w:hAnsi="Times New Roman" w:eastAsia="仿宋_GB2312" w:cs="Times New Roman"/>
          <w:color w:val="auto"/>
          <w:kern w:val="2"/>
          <w:sz w:val="32"/>
          <w:szCs w:val="32"/>
          <w:lang w:val="zh-CN" w:eastAsia="zh-CN" w:bidi="ar-SA"/>
        </w:rPr>
        <w:t>年度政府采购支出总额310.07万元，从采购类型来看，政府采购货物支出4.35万元、政府采购工程支出288.19万元、政府采购服务支出17.53万元。授予中小企业</w:t>
      </w:r>
      <w:r>
        <w:rPr>
          <w:rFonts w:hint="default" w:ascii="Times New Roman" w:hAnsi="Times New Roman" w:eastAsia="仿宋_GB2312" w:cs="Times New Roman"/>
          <w:color w:val="auto"/>
          <w:kern w:val="2"/>
          <w:sz w:val="32"/>
          <w:szCs w:val="32"/>
          <w:lang w:val="en-US" w:eastAsia="zh-CN" w:bidi="ar-SA"/>
        </w:rPr>
        <w:t>合同金额</w:t>
      </w:r>
      <w:r>
        <w:rPr>
          <w:rFonts w:hint="default" w:ascii="Times New Roman" w:hAnsi="Times New Roman" w:eastAsia="仿宋_GB2312" w:cs="Times New Roman"/>
          <w:color w:val="auto"/>
          <w:kern w:val="2"/>
          <w:sz w:val="32"/>
          <w:szCs w:val="32"/>
          <w:lang w:val="zh-CN" w:eastAsia="zh-CN" w:bidi="ar-SA"/>
        </w:rPr>
        <w:t>309.04万元，占政府采购支出总额的99.67%，其中授予小微企业合同金额309.04万元，占政府采购支出总额的99.67%。</w:t>
      </w:r>
    </w:p>
    <w:p>
      <w:pPr>
        <w:snapToGrid w:val="0"/>
        <w:spacing w:line="580" w:lineRule="exact"/>
        <w:ind w:firstLine="660" w:firstLineChars="200"/>
        <w:jc w:val="left"/>
        <w:rPr>
          <w:rFonts w:hint="default" w:ascii="Times New Roman" w:hAnsi="Times New Roman" w:eastAsia="仿宋_GB2312" w:cs="Times New Roman"/>
          <w:sz w:val="32"/>
          <w:szCs w:val="32"/>
          <w:highlight w:val="yellow"/>
        </w:rPr>
      </w:pPr>
      <w:r>
        <w:rPr>
          <w:rFonts w:hint="default" w:ascii="Times New Roman" w:hAnsi="Times New Roman" w:eastAsia="黑体" w:cs="Times New Roman"/>
          <w:i w:val="0"/>
          <w:iCs w:val="0"/>
          <w:caps w:val="0"/>
          <w:color w:val="333333"/>
          <w:spacing w:val="0"/>
          <w:sz w:val="33"/>
          <w:szCs w:val="33"/>
          <w:highlight w:val="none"/>
          <w:shd w:val="clear" w:fill="FFFFFF"/>
        </w:rPr>
        <w:t>八、</w:t>
      </w:r>
      <w:r>
        <w:rPr>
          <w:rFonts w:hint="default" w:ascii="Times New Roman" w:hAnsi="Times New Roman" w:eastAsia="黑体" w:cs="Times New Roman"/>
          <w:sz w:val="32"/>
          <w:szCs w:val="32"/>
        </w:rPr>
        <w:t>国有资产占用情况说明</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ascii="Times New Roman" w:hAnsi="Times New Roman" w:eastAsia="仿宋_GB2312" w:cs="Times New Roman"/>
          <w:color w:val="auto"/>
          <w:kern w:val="2"/>
          <w:sz w:val="32"/>
          <w:szCs w:val="32"/>
          <w:lang w:val="zh-CN" w:eastAsia="zh-CN" w:bidi="ar-SA"/>
        </w:rPr>
      </w:pPr>
      <w:r>
        <w:rPr>
          <w:rFonts w:hint="default" w:ascii="Times New Roman" w:hAnsi="Times New Roman" w:eastAsia="仿宋_GB2312" w:cs="Times New Roman"/>
          <w:i w:val="0"/>
          <w:iCs w:val="0"/>
          <w:caps w:val="0"/>
          <w:color w:val="333333"/>
          <w:spacing w:val="0"/>
          <w:sz w:val="33"/>
          <w:szCs w:val="33"/>
          <w:highlight w:val="none"/>
          <w:shd w:val="clear" w:fill="FFFFFF"/>
        </w:rPr>
        <w:t>  </w:t>
      </w:r>
      <w:r>
        <w:rPr>
          <w:rFonts w:hint="default" w:ascii="Times New Roman" w:hAnsi="Times New Roman" w:eastAsia="仿宋_GB2312" w:cs="Times New Roman"/>
          <w:i w:val="0"/>
          <w:iCs w:val="0"/>
          <w:caps w:val="0"/>
          <w:color w:val="333333"/>
          <w:spacing w:val="0"/>
          <w:sz w:val="33"/>
          <w:szCs w:val="33"/>
          <w:highlight w:val="none"/>
          <w:shd w:val="clear" w:fill="FFFFFF"/>
          <w:lang w:val="en-US" w:eastAsia="zh-CN"/>
        </w:rPr>
        <w:t xml:space="preserve">   </w:t>
      </w:r>
      <w:r>
        <w:rPr>
          <w:rFonts w:hint="default" w:ascii="Times New Roman" w:hAnsi="Times New Roman" w:eastAsia="仿宋_GB2312" w:cs="Times New Roman"/>
          <w:color w:val="auto"/>
          <w:kern w:val="2"/>
          <w:sz w:val="32"/>
          <w:szCs w:val="32"/>
          <w:lang w:val="zh-CN" w:eastAsia="zh-CN" w:bidi="ar-SA"/>
        </w:rPr>
        <w:t>截至202</w:t>
      </w:r>
      <w:r>
        <w:rPr>
          <w:rFonts w:hint="default" w:ascii="Times New Roman" w:hAnsi="Times New Roman" w:eastAsia="仿宋_GB2312" w:cs="Times New Roman"/>
          <w:color w:val="auto"/>
          <w:kern w:val="2"/>
          <w:sz w:val="32"/>
          <w:szCs w:val="32"/>
          <w:lang w:val="en-US" w:eastAsia="zh-CN" w:bidi="ar-SA"/>
        </w:rPr>
        <w:t>3</w:t>
      </w:r>
      <w:r>
        <w:rPr>
          <w:rFonts w:hint="default" w:ascii="Times New Roman" w:hAnsi="Times New Roman" w:eastAsia="仿宋_GB2312" w:cs="Times New Roman"/>
          <w:color w:val="auto"/>
          <w:kern w:val="2"/>
          <w:sz w:val="32"/>
          <w:szCs w:val="32"/>
          <w:lang w:val="zh-CN" w:eastAsia="zh-CN" w:bidi="ar-SA"/>
        </w:rPr>
        <w:t>年12月31日，本单位共有车辆4辆，比上年</w:t>
      </w:r>
      <w:r>
        <w:rPr>
          <w:rFonts w:hint="eastAsia" w:ascii="Times New Roman" w:hAnsi="Times New Roman" w:eastAsia="仿宋_GB2312" w:cs="Times New Roman"/>
          <w:color w:val="auto"/>
          <w:kern w:val="2"/>
          <w:sz w:val="32"/>
          <w:szCs w:val="32"/>
          <w:lang w:val="zh-CN" w:eastAsia="zh-CN" w:bidi="ar-SA"/>
        </w:rPr>
        <w:t>持平</w:t>
      </w:r>
      <w:r>
        <w:rPr>
          <w:rFonts w:hint="default" w:ascii="Times New Roman" w:hAnsi="Times New Roman" w:eastAsia="仿宋_GB2312" w:cs="Times New Roman"/>
          <w:color w:val="auto"/>
          <w:kern w:val="2"/>
          <w:sz w:val="32"/>
          <w:szCs w:val="32"/>
          <w:lang w:val="zh-CN" w:eastAsia="zh-CN" w:bidi="ar-SA"/>
        </w:rPr>
        <w:t>辆</w:t>
      </w:r>
      <w:r>
        <w:rPr>
          <w:rFonts w:hint="eastAsia" w:ascii="Times New Roman" w:hAnsi="Times New Roman" w:eastAsia="仿宋_GB2312" w:cs="Times New Roman"/>
          <w:color w:val="auto"/>
          <w:kern w:val="2"/>
          <w:sz w:val="32"/>
          <w:szCs w:val="32"/>
          <w:lang w:val="zh-CN" w:eastAsia="zh-CN" w:bidi="ar-SA"/>
        </w:rPr>
        <w:t>，</w:t>
      </w:r>
      <w:r>
        <w:rPr>
          <w:rFonts w:hint="eastAsia" w:ascii="Times New Roman" w:hAnsi="Times New Roman" w:eastAsia="仿宋_GB2312" w:cs="Times New Roman"/>
          <w:color w:val="auto"/>
          <w:kern w:val="2"/>
          <w:sz w:val="32"/>
          <w:szCs w:val="32"/>
          <w:lang w:val="en-US" w:eastAsia="zh-CN" w:bidi="ar-SA"/>
        </w:rPr>
        <w:t>无增减变化</w:t>
      </w:r>
      <w:r>
        <w:rPr>
          <w:rFonts w:hint="default" w:ascii="Times New Roman" w:hAnsi="Times New Roman" w:eastAsia="仿宋_GB2312" w:cs="Times New Roman"/>
          <w:color w:val="auto"/>
          <w:kern w:val="2"/>
          <w:sz w:val="32"/>
          <w:szCs w:val="32"/>
          <w:lang w:val="zh-CN" w:eastAsia="zh-CN" w:bidi="ar-SA"/>
        </w:rPr>
        <w:t>。其中，应急保障用车2辆，其他用车2辆，其他用车</w:t>
      </w:r>
      <w:r>
        <w:rPr>
          <w:rFonts w:hint="eastAsia" w:ascii="Times New Roman" w:hAnsi="Times New Roman" w:eastAsia="仿宋_GB2312" w:cs="Times New Roman"/>
          <w:color w:val="auto"/>
          <w:kern w:val="2"/>
          <w:sz w:val="32"/>
          <w:szCs w:val="32"/>
          <w:lang w:val="zh-CN" w:eastAsia="zh-CN" w:bidi="ar-SA"/>
        </w:rPr>
        <w:t>，</w:t>
      </w:r>
      <w:r>
        <w:rPr>
          <w:rFonts w:hint="default" w:ascii="Times New Roman" w:hAnsi="Times New Roman" w:eastAsia="仿宋_GB2312" w:cs="Times New Roman"/>
          <w:color w:val="auto"/>
          <w:kern w:val="2"/>
          <w:sz w:val="32"/>
          <w:szCs w:val="32"/>
          <w:lang w:val="zh-CN" w:eastAsia="zh-CN" w:bidi="ar-SA"/>
        </w:rPr>
        <w:t>主要是</w:t>
      </w:r>
      <w:r>
        <w:rPr>
          <w:rFonts w:hint="eastAsia" w:ascii="Times New Roman" w:hAnsi="Times New Roman" w:eastAsia="仿宋_GB2312" w:cs="Times New Roman"/>
          <w:color w:val="auto"/>
          <w:kern w:val="2"/>
          <w:sz w:val="32"/>
          <w:szCs w:val="32"/>
          <w:lang w:val="en-US" w:eastAsia="zh-CN" w:bidi="ar-SA"/>
        </w:rPr>
        <w:t>保洁清洁用车</w:t>
      </w:r>
      <w:r>
        <w:rPr>
          <w:rFonts w:hint="default" w:ascii="Times New Roman" w:hAnsi="Times New Roman" w:eastAsia="仿宋_GB2312" w:cs="Times New Roman"/>
          <w:color w:val="auto"/>
          <w:kern w:val="2"/>
          <w:sz w:val="32"/>
          <w:szCs w:val="32"/>
          <w:lang w:val="zh-CN" w:eastAsia="zh-CN" w:bidi="ar-SA"/>
        </w:rPr>
        <w:t>。单位价值100万元（含）以上设备（不含车辆）0台（套）。</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640" w:firstLineChars="200"/>
        <w:jc w:val="both"/>
        <w:outlineLvl w:val="1"/>
        <w:rPr>
          <w:rFonts w:hint="default" w:ascii="Times New Roman" w:hAnsi="Times New Roman" w:eastAsia="黑体" w:cs="Times New Roman"/>
          <w:kern w:val="2"/>
          <w:sz w:val="32"/>
          <w:szCs w:val="40"/>
          <w:lang w:val="en-US" w:eastAsia="zh-CN" w:bidi="ar-SA"/>
        </w:rPr>
      </w:pPr>
      <w:r>
        <w:rPr>
          <w:rFonts w:hint="default" w:ascii="Times New Roman" w:hAnsi="Times New Roman" w:eastAsia="黑体" w:cs="Times New Roman"/>
          <w:kern w:val="2"/>
          <w:sz w:val="32"/>
          <w:szCs w:val="40"/>
          <w:lang w:val="en-US" w:eastAsia="zh-CN" w:bidi="ar-SA"/>
        </w:rPr>
        <w:t>九、预算绩效情况说明</w:t>
      </w:r>
    </w:p>
    <w:p>
      <w:pPr>
        <w:adjustRightInd w:val="0"/>
        <w:snapToGrid w:val="0"/>
        <w:spacing w:line="580" w:lineRule="exact"/>
        <w:ind w:firstLine="643" w:firstLineChars="200"/>
        <w:rPr>
          <w:rFonts w:hint="default" w:ascii="Times New Roman" w:hAnsi="Times New Roman" w:eastAsia="仿宋_GB2312" w:cs="Times New Roman"/>
          <w:b/>
          <w:bCs/>
          <w:sz w:val="32"/>
          <w:szCs w:val="32"/>
        </w:rPr>
      </w:pPr>
      <w:r>
        <w:rPr>
          <w:rFonts w:hint="default" w:ascii="Times New Roman" w:hAnsi="Times New Roman" w:eastAsia="仿宋_GB2312" w:cs="Times New Roman"/>
          <w:b/>
          <w:bCs/>
          <w:sz w:val="32"/>
          <w:szCs w:val="32"/>
        </w:rPr>
        <w:t>（一）预算绩效管理工作开展情况</w:t>
      </w:r>
    </w:p>
    <w:p>
      <w:pPr>
        <w:pStyle w:val="10"/>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ind w:left="0" w:right="0" w:firstLine="640" w:firstLineChars="200"/>
        <w:jc w:val="left"/>
        <w:textAlignment w:val="auto"/>
        <w:rPr>
          <w:rFonts w:hint="default" w:ascii="Times New Roman" w:hAnsi="Times New Roman" w:eastAsia="Arial" w:cs="Times New Roman"/>
          <w:highlight w:val="none"/>
        </w:rPr>
      </w:pPr>
      <w:r>
        <w:rPr>
          <w:rFonts w:hint="default" w:ascii="Times New Roman" w:hAnsi="Times New Roman" w:eastAsia="仿宋_GB2312" w:cs="Times New Roman"/>
          <w:color w:val="auto"/>
          <w:kern w:val="2"/>
          <w:sz w:val="32"/>
          <w:szCs w:val="32"/>
          <w:lang w:val="zh-CN" w:eastAsia="zh-CN" w:bidi="ar-SA"/>
        </w:rPr>
        <w:t>根据预算绩效管理要求，本单位组织对2023年度一般公共预算项目支出全面开展绩效自评，其中，一级项目</w:t>
      </w:r>
      <w:r>
        <w:rPr>
          <w:rFonts w:hint="eastAsia" w:ascii="Times New Roman" w:hAnsi="Times New Roman" w:eastAsia="仿宋_GB2312" w:cs="Times New Roman"/>
          <w:color w:val="auto"/>
          <w:kern w:val="2"/>
          <w:sz w:val="32"/>
          <w:szCs w:val="32"/>
          <w:lang w:val="en-US" w:eastAsia="zh-CN" w:bidi="ar-SA"/>
        </w:rPr>
        <w:t>22</w:t>
      </w:r>
      <w:r>
        <w:rPr>
          <w:rFonts w:hint="default" w:ascii="Times New Roman" w:hAnsi="Times New Roman" w:eastAsia="仿宋_GB2312" w:cs="Times New Roman"/>
          <w:color w:val="auto"/>
          <w:kern w:val="2"/>
          <w:sz w:val="32"/>
          <w:szCs w:val="32"/>
          <w:lang w:val="zh-CN" w:eastAsia="zh-CN" w:bidi="ar-SA"/>
        </w:rPr>
        <w:t>个，二级项目</w:t>
      </w:r>
      <w:r>
        <w:rPr>
          <w:rFonts w:hint="eastAsia" w:ascii="Times New Roman" w:hAnsi="Times New Roman" w:eastAsia="仿宋_GB2312" w:cs="Times New Roman"/>
          <w:color w:val="auto"/>
          <w:kern w:val="2"/>
          <w:sz w:val="32"/>
          <w:szCs w:val="32"/>
          <w:lang w:val="en-US" w:eastAsia="zh-CN" w:bidi="ar-SA"/>
        </w:rPr>
        <w:t>0</w:t>
      </w:r>
      <w:r>
        <w:rPr>
          <w:rFonts w:hint="default" w:ascii="Times New Roman" w:hAnsi="Times New Roman" w:eastAsia="仿宋_GB2312" w:cs="Times New Roman"/>
          <w:color w:val="auto"/>
          <w:kern w:val="2"/>
          <w:sz w:val="32"/>
          <w:szCs w:val="32"/>
          <w:lang w:val="zh-CN" w:eastAsia="zh-CN" w:bidi="ar-SA"/>
        </w:rPr>
        <w:t>个，共涉及资金</w:t>
      </w:r>
      <w:r>
        <w:rPr>
          <w:rFonts w:hint="eastAsia" w:ascii="Times New Roman" w:hAnsi="Times New Roman" w:eastAsia="仿宋_GB2312" w:cs="Times New Roman"/>
          <w:color w:val="auto"/>
          <w:kern w:val="2"/>
          <w:sz w:val="32"/>
          <w:szCs w:val="32"/>
          <w:lang w:val="en-US" w:eastAsia="zh-CN" w:bidi="ar-SA"/>
        </w:rPr>
        <w:t>698.06</w:t>
      </w:r>
      <w:r>
        <w:rPr>
          <w:rFonts w:hint="default" w:ascii="Times New Roman" w:hAnsi="Times New Roman" w:eastAsia="仿宋_GB2312" w:cs="Times New Roman"/>
          <w:color w:val="auto"/>
          <w:kern w:val="2"/>
          <w:sz w:val="32"/>
          <w:szCs w:val="32"/>
          <w:lang w:val="zh-CN" w:eastAsia="zh-CN" w:bidi="ar-SA"/>
        </w:rPr>
        <w:t>万元，占一般公共预算项目支出总额的</w:t>
      </w:r>
      <w:r>
        <w:rPr>
          <w:rFonts w:hint="eastAsia" w:ascii="Times New Roman" w:hAnsi="Times New Roman" w:eastAsia="仿宋_GB2312" w:cs="Times New Roman"/>
          <w:color w:val="auto"/>
          <w:kern w:val="2"/>
          <w:sz w:val="32"/>
          <w:szCs w:val="32"/>
          <w:lang w:val="en-US" w:eastAsia="zh-CN" w:bidi="ar-SA"/>
        </w:rPr>
        <w:t>100</w:t>
      </w:r>
      <w:r>
        <w:rPr>
          <w:rFonts w:hint="default" w:ascii="Times New Roman" w:hAnsi="Times New Roman" w:eastAsia="仿宋_GB2312" w:cs="Times New Roman"/>
          <w:color w:val="auto"/>
          <w:kern w:val="2"/>
          <w:sz w:val="32"/>
          <w:szCs w:val="32"/>
          <w:lang w:val="zh-CN" w:eastAsia="zh-CN" w:bidi="ar-SA"/>
        </w:rPr>
        <w:t>%。组织对2023年度区级中以农科违建拆除、区级水悦龙庭违建拆除等</w:t>
      </w:r>
      <w:r>
        <w:rPr>
          <w:rFonts w:hint="eastAsia" w:ascii="Times New Roman" w:hAnsi="Times New Roman" w:eastAsia="仿宋_GB2312" w:cs="Times New Roman"/>
          <w:color w:val="auto"/>
          <w:kern w:val="2"/>
          <w:sz w:val="32"/>
          <w:szCs w:val="32"/>
          <w:lang w:val="en-US" w:eastAsia="zh-CN" w:bidi="ar-SA"/>
        </w:rPr>
        <w:t>3</w:t>
      </w:r>
      <w:r>
        <w:rPr>
          <w:rFonts w:hint="default" w:ascii="Times New Roman" w:hAnsi="Times New Roman" w:eastAsia="仿宋_GB2312" w:cs="Times New Roman"/>
          <w:color w:val="auto"/>
          <w:kern w:val="2"/>
          <w:sz w:val="32"/>
          <w:szCs w:val="32"/>
          <w:lang w:val="zh-CN" w:eastAsia="zh-CN" w:bidi="ar-SA"/>
        </w:rPr>
        <w:t>个政府性基金预算项目支出开展绩效自评，共涉及资金</w:t>
      </w:r>
      <w:r>
        <w:rPr>
          <w:rFonts w:hint="eastAsia" w:ascii="Times New Roman" w:hAnsi="Times New Roman" w:eastAsia="仿宋_GB2312" w:cs="Times New Roman"/>
          <w:color w:val="auto"/>
          <w:kern w:val="2"/>
          <w:sz w:val="32"/>
          <w:szCs w:val="32"/>
          <w:lang w:val="en-US" w:eastAsia="zh-CN" w:bidi="ar-SA"/>
        </w:rPr>
        <w:t>35</w:t>
      </w:r>
      <w:r>
        <w:rPr>
          <w:rFonts w:hint="default" w:ascii="Times New Roman" w:hAnsi="Times New Roman" w:eastAsia="仿宋_GB2312" w:cs="Times New Roman"/>
          <w:color w:val="auto"/>
          <w:kern w:val="2"/>
          <w:sz w:val="32"/>
          <w:szCs w:val="32"/>
          <w:lang w:val="zh-CN" w:eastAsia="zh-CN" w:bidi="ar-SA"/>
        </w:rPr>
        <w:t>万元，占政府性基金预算项目支出总额的</w:t>
      </w:r>
      <w:r>
        <w:rPr>
          <w:rFonts w:hint="eastAsia" w:ascii="Times New Roman" w:hAnsi="Times New Roman" w:eastAsia="仿宋_GB2312" w:cs="Times New Roman"/>
          <w:color w:val="auto"/>
          <w:kern w:val="2"/>
          <w:sz w:val="32"/>
          <w:szCs w:val="32"/>
          <w:lang w:val="en-US" w:eastAsia="zh-CN" w:bidi="ar-SA"/>
        </w:rPr>
        <w:t>100</w:t>
      </w:r>
      <w:r>
        <w:rPr>
          <w:rFonts w:hint="default" w:ascii="Times New Roman" w:hAnsi="Times New Roman" w:eastAsia="仿宋_GB2312" w:cs="Times New Roman"/>
          <w:color w:val="auto"/>
          <w:kern w:val="2"/>
          <w:sz w:val="32"/>
          <w:szCs w:val="32"/>
          <w:lang w:val="zh-CN" w:eastAsia="zh-CN" w:bidi="ar-SA"/>
        </w:rPr>
        <w:t>%。</w:t>
      </w:r>
    </w:p>
    <w:p>
      <w:pPr>
        <w:adjustRightInd w:val="0"/>
        <w:snapToGrid w:val="0"/>
        <w:spacing w:line="580" w:lineRule="exact"/>
        <w:ind w:firstLine="643" w:firstLineChars="200"/>
        <w:rPr>
          <w:rFonts w:hint="default" w:ascii="Times New Roman" w:hAnsi="Times New Roman" w:eastAsia="仿宋_GB2312" w:cs="Times New Roman"/>
          <w:b/>
          <w:bCs/>
          <w:sz w:val="32"/>
          <w:szCs w:val="32"/>
        </w:rPr>
      </w:pPr>
      <w:r>
        <w:rPr>
          <w:rFonts w:hint="default" w:ascii="Times New Roman" w:hAnsi="Times New Roman" w:eastAsia="仿宋_GB2312" w:cs="Times New Roman"/>
          <w:b/>
          <w:bCs/>
          <w:sz w:val="32"/>
          <w:szCs w:val="32"/>
        </w:rPr>
        <w:t>（二）部门决算中项目绩效自评结果</w:t>
      </w:r>
    </w:p>
    <w:p>
      <w:pPr>
        <w:pStyle w:val="10"/>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ind w:left="0" w:right="0" w:firstLine="660" w:firstLineChars="200"/>
        <w:jc w:val="left"/>
        <w:textAlignment w:val="auto"/>
        <w:rPr>
          <w:rFonts w:hint="eastAsia" w:ascii="仿宋" w:hAnsi="仿宋" w:eastAsia="仿宋" w:cs="仿宋"/>
          <w:color w:val="auto"/>
          <w:kern w:val="2"/>
          <w:sz w:val="32"/>
          <w:szCs w:val="32"/>
          <w:lang w:val="zh-CN" w:eastAsia="zh-CN" w:bidi="ar-SA"/>
        </w:rPr>
      </w:pPr>
      <w:r>
        <w:rPr>
          <w:rFonts w:hint="default" w:ascii="Times New Roman" w:hAnsi="Times New Roman" w:eastAsia="仿宋_GB2312" w:cs="Times New Roman"/>
          <w:i w:val="0"/>
          <w:iCs w:val="0"/>
          <w:caps w:val="0"/>
          <w:color w:val="333333"/>
          <w:spacing w:val="0"/>
          <w:sz w:val="33"/>
          <w:szCs w:val="33"/>
          <w:highlight w:val="none"/>
          <w:shd w:val="clear" w:fill="FFFFFF"/>
        </w:rPr>
        <w:t> </w:t>
      </w:r>
      <w:r>
        <w:rPr>
          <w:rFonts w:hint="eastAsia" w:ascii="仿宋" w:hAnsi="仿宋" w:eastAsia="仿宋" w:cs="仿宋"/>
          <w:color w:val="auto"/>
          <w:kern w:val="2"/>
          <w:sz w:val="32"/>
          <w:szCs w:val="32"/>
          <w:lang w:val="zh-CN" w:eastAsia="zh-CN" w:bidi="ar-SA"/>
        </w:rPr>
        <w:t>本单位在今年部门决算公开中反映2023年区级退役军人公益岗位劳务派遣工资及保险项目及 2023年区级衡井线北寨段两侧绿化、环乡路南寨及梁庄绿化、山前大道南延两侧绿化占地租金项目绩效自评结果。</w:t>
      </w:r>
    </w:p>
    <w:p>
      <w:pPr>
        <w:pStyle w:val="10"/>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ind w:left="0" w:right="0" w:firstLine="640" w:firstLineChars="200"/>
        <w:jc w:val="left"/>
        <w:textAlignment w:val="auto"/>
        <w:rPr>
          <w:rFonts w:hint="eastAsia" w:ascii="仿宋" w:hAnsi="仿宋" w:eastAsia="仿宋" w:cs="仿宋"/>
          <w:color w:val="auto"/>
          <w:kern w:val="2"/>
          <w:sz w:val="32"/>
          <w:szCs w:val="32"/>
          <w:lang w:val="zh-CN" w:eastAsia="zh-CN" w:bidi="ar-SA"/>
        </w:rPr>
      </w:pPr>
      <w:r>
        <w:rPr>
          <w:rFonts w:hint="eastAsia" w:ascii="仿宋" w:hAnsi="仿宋" w:eastAsia="仿宋" w:cs="仿宋"/>
          <w:color w:val="auto"/>
          <w:kern w:val="2"/>
          <w:sz w:val="32"/>
          <w:szCs w:val="32"/>
          <w:lang w:val="zh-CN" w:eastAsia="zh-CN" w:bidi="ar-SA"/>
        </w:rPr>
        <w:t>（</w:t>
      </w:r>
      <w:r>
        <w:rPr>
          <w:rFonts w:hint="eastAsia" w:ascii="仿宋" w:hAnsi="仿宋" w:eastAsia="仿宋" w:cs="仿宋"/>
          <w:color w:val="auto"/>
          <w:kern w:val="2"/>
          <w:sz w:val="32"/>
          <w:szCs w:val="32"/>
          <w:lang w:val="en-US" w:eastAsia="zh-CN" w:bidi="ar-SA"/>
        </w:rPr>
        <w:t>1</w:t>
      </w:r>
      <w:r>
        <w:rPr>
          <w:rFonts w:hint="eastAsia" w:ascii="仿宋" w:hAnsi="仿宋" w:eastAsia="仿宋" w:cs="仿宋"/>
          <w:color w:val="auto"/>
          <w:kern w:val="2"/>
          <w:sz w:val="32"/>
          <w:szCs w:val="32"/>
          <w:lang w:val="zh-CN" w:eastAsia="zh-CN" w:bidi="ar-SA"/>
        </w:rPr>
        <w:t>）2023年区级退役军人公益岗位劳务派遣工资及保险项目绩效自评情况：根据年初设定的绩效目标，2023年区级退役军人公益岗位劳务派遣工资及保险项目绩效自评得分为</w:t>
      </w:r>
      <w:r>
        <w:rPr>
          <w:rFonts w:hint="eastAsia" w:ascii="仿宋" w:hAnsi="仿宋" w:eastAsia="仿宋" w:cs="仿宋"/>
          <w:color w:val="auto"/>
          <w:kern w:val="2"/>
          <w:sz w:val="32"/>
          <w:szCs w:val="32"/>
          <w:lang w:val="en-US" w:eastAsia="zh-CN" w:bidi="ar-SA"/>
        </w:rPr>
        <w:t>100</w:t>
      </w:r>
      <w:r>
        <w:rPr>
          <w:rFonts w:hint="eastAsia" w:ascii="仿宋" w:hAnsi="仿宋" w:eastAsia="仿宋" w:cs="仿宋"/>
          <w:color w:val="auto"/>
          <w:kern w:val="2"/>
          <w:sz w:val="32"/>
          <w:szCs w:val="32"/>
          <w:lang w:val="zh-CN" w:eastAsia="zh-CN" w:bidi="ar-SA"/>
        </w:rPr>
        <w:t>分（绩效自评表附后）。全年预算数为12.063296万元，执行数为12.063296万元，完成预算的</w:t>
      </w:r>
      <w:r>
        <w:rPr>
          <w:rFonts w:hint="eastAsia" w:ascii="仿宋" w:hAnsi="仿宋" w:eastAsia="仿宋" w:cs="仿宋"/>
          <w:color w:val="auto"/>
          <w:kern w:val="2"/>
          <w:sz w:val="32"/>
          <w:szCs w:val="32"/>
          <w:lang w:val="en-US" w:eastAsia="zh-CN" w:bidi="ar-SA"/>
        </w:rPr>
        <w:t>100</w:t>
      </w:r>
      <w:r>
        <w:rPr>
          <w:rFonts w:hint="eastAsia" w:ascii="仿宋" w:hAnsi="仿宋" w:eastAsia="仿宋" w:cs="仿宋"/>
          <w:color w:val="auto"/>
          <w:kern w:val="2"/>
          <w:sz w:val="32"/>
          <w:szCs w:val="32"/>
          <w:lang w:val="zh-CN" w:eastAsia="zh-CN" w:bidi="ar-SA"/>
        </w:rPr>
        <w:t>%。项目绩效目标完成情况：</w:t>
      </w:r>
      <w:r>
        <w:rPr>
          <w:rFonts w:hint="eastAsia" w:ascii="仿宋" w:hAnsi="仿宋" w:eastAsia="仿宋" w:cs="仿宋"/>
          <w:color w:val="auto"/>
          <w:kern w:val="2"/>
          <w:sz w:val="32"/>
          <w:szCs w:val="32"/>
          <w:lang w:val="en-US" w:eastAsia="zh-CN" w:bidi="ar-SA"/>
        </w:rPr>
        <w:t>一是</w:t>
      </w:r>
      <w:r>
        <w:rPr>
          <w:rFonts w:hint="eastAsia" w:ascii="仿宋" w:hAnsi="仿宋" w:eastAsia="仿宋" w:cs="仿宋"/>
          <w:color w:val="auto"/>
          <w:kern w:val="2"/>
          <w:sz w:val="32"/>
          <w:szCs w:val="32"/>
          <w:lang w:val="zh-CN" w:eastAsia="zh-CN" w:bidi="ar-SA"/>
        </w:rPr>
        <w:t>按时足额发放涉军公益岗位人员工资，做好退役士兵安置工作；二是做好退役士兵安置工作，切实维护广大退役士兵合法权益，未发现其他问题。</w:t>
      </w:r>
    </w:p>
    <w:p>
      <w:pPr>
        <w:pStyle w:val="10"/>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ind w:left="0" w:right="0" w:firstLine="640" w:firstLineChars="200"/>
        <w:jc w:val="left"/>
        <w:textAlignment w:val="auto"/>
        <w:rPr>
          <w:rFonts w:hint="eastAsia" w:ascii="仿宋" w:hAnsi="仿宋" w:eastAsia="仿宋" w:cs="仿宋"/>
          <w:color w:val="auto"/>
          <w:kern w:val="2"/>
          <w:sz w:val="32"/>
          <w:szCs w:val="32"/>
          <w:lang w:val="zh-CN" w:eastAsia="zh-CN" w:bidi="ar-SA"/>
        </w:rPr>
      </w:pPr>
      <w:r>
        <w:rPr>
          <w:rFonts w:hint="eastAsia" w:ascii="仿宋" w:hAnsi="仿宋" w:eastAsia="仿宋" w:cs="仿宋"/>
          <w:color w:val="auto"/>
          <w:kern w:val="2"/>
          <w:sz w:val="32"/>
          <w:szCs w:val="32"/>
          <w:lang w:val="zh-CN" w:eastAsia="zh-CN" w:bidi="ar-SA"/>
        </w:rPr>
        <w:t>（</w:t>
      </w:r>
      <w:r>
        <w:rPr>
          <w:rFonts w:hint="eastAsia" w:ascii="仿宋" w:hAnsi="仿宋" w:eastAsia="仿宋" w:cs="仿宋"/>
          <w:color w:val="auto"/>
          <w:kern w:val="2"/>
          <w:sz w:val="32"/>
          <w:szCs w:val="32"/>
          <w:lang w:val="en-US" w:eastAsia="zh-CN" w:bidi="ar-SA"/>
        </w:rPr>
        <w:t>2</w:t>
      </w:r>
      <w:r>
        <w:rPr>
          <w:rFonts w:hint="eastAsia" w:ascii="仿宋" w:hAnsi="仿宋" w:eastAsia="仿宋" w:cs="仿宋"/>
          <w:color w:val="auto"/>
          <w:kern w:val="2"/>
          <w:sz w:val="32"/>
          <w:szCs w:val="32"/>
          <w:lang w:val="zh-CN" w:eastAsia="zh-CN" w:bidi="ar-SA"/>
        </w:rPr>
        <w:t>）2023年区级衡井线北寨段两侧绿化、环乡路南寨及梁庄绿化、山前大道南延两侧绿化占地租金项目绩效自评情况：根据年初设定的绩效目标，2023年区级衡井线北寨段两侧绿化、环乡路南寨及梁庄绿化、山前大道南延两侧绿化占地租金项目绩效自评得分为</w:t>
      </w:r>
      <w:r>
        <w:rPr>
          <w:rFonts w:hint="eastAsia" w:ascii="仿宋" w:hAnsi="仿宋" w:eastAsia="仿宋" w:cs="仿宋"/>
          <w:color w:val="auto"/>
          <w:kern w:val="2"/>
          <w:sz w:val="32"/>
          <w:szCs w:val="32"/>
          <w:lang w:val="en-US" w:eastAsia="zh-CN" w:bidi="ar-SA"/>
        </w:rPr>
        <w:t>100</w:t>
      </w:r>
      <w:r>
        <w:rPr>
          <w:rFonts w:hint="eastAsia" w:ascii="仿宋" w:hAnsi="仿宋" w:eastAsia="仿宋" w:cs="仿宋"/>
          <w:color w:val="auto"/>
          <w:kern w:val="2"/>
          <w:sz w:val="32"/>
          <w:szCs w:val="32"/>
          <w:lang w:val="zh-CN" w:eastAsia="zh-CN" w:bidi="ar-SA"/>
        </w:rPr>
        <w:t>分（绩效自评表附后）。全年预算数为</w:t>
      </w:r>
      <w:r>
        <w:rPr>
          <w:rFonts w:hint="eastAsia" w:ascii="仿宋" w:hAnsi="仿宋" w:eastAsia="仿宋" w:cs="仿宋"/>
          <w:color w:val="auto"/>
          <w:kern w:val="2"/>
          <w:sz w:val="32"/>
          <w:szCs w:val="32"/>
          <w:lang w:val="en-US" w:eastAsia="zh-CN" w:bidi="ar-SA"/>
        </w:rPr>
        <w:t>33.946</w:t>
      </w:r>
      <w:r>
        <w:rPr>
          <w:rFonts w:hint="eastAsia" w:ascii="仿宋" w:hAnsi="仿宋" w:eastAsia="仿宋" w:cs="仿宋"/>
          <w:color w:val="auto"/>
          <w:kern w:val="2"/>
          <w:sz w:val="32"/>
          <w:szCs w:val="32"/>
          <w:lang w:val="zh-CN" w:eastAsia="zh-CN" w:bidi="ar-SA"/>
        </w:rPr>
        <w:t>万元，执行数为</w:t>
      </w:r>
      <w:r>
        <w:rPr>
          <w:rFonts w:hint="eastAsia" w:ascii="仿宋" w:hAnsi="仿宋" w:eastAsia="仿宋" w:cs="仿宋"/>
          <w:color w:val="auto"/>
          <w:kern w:val="2"/>
          <w:sz w:val="32"/>
          <w:szCs w:val="32"/>
          <w:lang w:val="en-US" w:eastAsia="zh-CN" w:bidi="ar-SA"/>
        </w:rPr>
        <w:t>33.946</w:t>
      </w:r>
      <w:r>
        <w:rPr>
          <w:rFonts w:hint="eastAsia" w:ascii="仿宋" w:hAnsi="仿宋" w:eastAsia="仿宋" w:cs="仿宋"/>
          <w:color w:val="auto"/>
          <w:kern w:val="2"/>
          <w:sz w:val="32"/>
          <w:szCs w:val="32"/>
          <w:lang w:val="zh-CN" w:eastAsia="zh-CN" w:bidi="ar-SA"/>
        </w:rPr>
        <w:t>万元，完成预算的</w:t>
      </w:r>
      <w:r>
        <w:rPr>
          <w:rFonts w:hint="eastAsia" w:ascii="仿宋" w:hAnsi="仿宋" w:eastAsia="仿宋" w:cs="仿宋"/>
          <w:color w:val="auto"/>
          <w:kern w:val="2"/>
          <w:sz w:val="32"/>
          <w:szCs w:val="32"/>
          <w:lang w:val="en-US" w:eastAsia="zh-CN" w:bidi="ar-SA"/>
        </w:rPr>
        <w:t>100</w:t>
      </w:r>
      <w:r>
        <w:rPr>
          <w:rFonts w:hint="eastAsia" w:ascii="仿宋" w:hAnsi="仿宋" w:eastAsia="仿宋" w:cs="仿宋"/>
          <w:color w:val="auto"/>
          <w:kern w:val="2"/>
          <w:sz w:val="32"/>
          <w:szCs w:val="32"/>
          <w:lang w:val="zh-CN" w:eastAsia="zh-CN" w:bidi="ar-SA"/>
        </w:rPr>
        <w:t>%。项目绩效目标完成情况：按时足额发放</w:t>
      </w:r>
      <w:r>
        <w:rPr>
          <w:rFonts w:hint="eastAsia" w:ascii="仿宋" w:hAnsi="仿宋" w:eastAsia="仿宋" w:cs="仿宋"/>
          <w:color w:val="auto"/>
          <w:kern w:val="2"/>
          <w:sz w:val="32"/>
          <w:szCs w:val="32"/>
          <w:lang w:val="en-US" w:eastAsia="zh-CN" w:bidi="ar-SA"/>
        </w:rPr>
        <w:t>农民租地租金，保障农民合法权益。</w:t>
      </w:r>
      <w:r>
        <w:rPr>
          <w:rFonts w:hint="eastAsia" w:ascii="仿宋" w:hAnsi="仿宋" w:eastAsia="仿宋" w:cs="仿宋"/>
          <w:color w:val="auto"/>
          <w:kern w:val="2"/>
          <w:sz w:val="32"/>
          <w:szCs w:val="32"/>
          <w:lang w:val="zh-CN" w:eastAsia="zh-CN" w:bidi="ar-SA"/>
        </w:rPr>
        <w:t>未发现其他问题。</w:t>
      </w:r>
    </w:p>
    <w:tbl>
      <w:tblPr>
        <w:tblStyle w:val="11"/>
        <w:tblW w:w="10898"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792"/>
        <w:gridCol w:w="459"/>
        <w:gridCol w:w="789"/>
        <w:gridCol w:w="270"/>
        <w:gridCol w:w="789"/>
        <w:gridCol w:w="327"/>
        <w:gridCol w:w="718"/>
        <w:gridCol w:w="496"/>
        <w:gridCol w:w="792"/>
        <w:gridCol w:w="693"/>
        <w:gridCol w:w="792"/>
        <w:gridCol w:w="349"/>
        <w:gridCol w:w="792"/>
        <w:gridCol w:w="432"/>
        <w:gridCol w:w="792"/>
        <w:gridCol w:w="824"/>
        <w:gridCol w:w="792"/>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1"/>
          <w:wAfter w:w="792" w:type="dxa"/>
          <w:trHeight w:val="540" w:hRule="atLeast"/>
          <w:jc w:val="center"/>
        </w:trPr>
        <w:tc>
          <w:tcPr>
            <w:tcW w:w="10106" w:type="dxa"/>
            <w:gridSpan w:val="16"/>
            <w:tcBorders>
              <w:top w:val="nil"/>
              <w:left w:val="nil"/>
              <w:bottom w:val="nil"/>
              <w:right w:val="nil"/>
            </w:tcBorders>
            <w:shd w:val="clear" w:color="auto" w:fill="auto"/>
            <w:noWrap/>
            <w:vAlign w:val="center"/>
          </w:tcPr>
          <w:p>
            <w:pPr>
              <w:keepNext w:val="0"/>
              <w:keepLines w:val="0"/>
              <w:widowControl/>
              <w:suppressLineNumbers w:val="0"/>
              <w:jc w:val="center"/>
              <w:textAlignment w:val="center"/>
              <w:rPr>
                <w:rFonts w:ascii="方正小标宋_GBK" w:hAnsi="方正小标宋_GBK" w:eastAsia="方正小标宋_GBK" w:cs="方正小标宋_GBK"/>
                <w:i w:val="0"/>
                <w:iCs w:val="0"/>
                <w:color w:val="000000"/>
                <w:sz w:val="44"/>
                <w:szCs w:val="44"/>
                <w:u w:val="none"/>
              </w:rPr>
            </w:pPr>
            <w:r>
              <w:rPr>
                <w:rFonts w:hint="default" w:ascii="方正小标宋_GBK" w:hAnsi="方正小标宋_GBK" w:eastAsia="方正小标宋_GBK" w:cs="方正小标宋_GBK"/>
                <w:i w:val="0"/>
                <w:iCs w:val="0"/>
                <w:color w:val="000000"/>
                <w:kern w:val="0"/>
                <w:sz w:val="44"/>
                <w:szCs w:val="44"/>
                <w:u w:val="none"/>
                <w:lang w:val="en-US" w:eastAsia="zh-CN" w:bidi="ar"/>
              </w:rPr>
              <w:t>上寨乡人民政府预算项目绩效自评表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1"/>
          <w:wAfter w:w="792" w:type="dxa"/>
          <w:trHeight w:val="315" w:hRule="atLeast"/>
          <w:jc w:val="center"/>
        </w:trPr>
        <w:tc>
          <w:tcPr>
            <w:tcW w:w="10106" w:type="dxa"/>
            <w:gridSpan w:val="16"/>
            <w:tcBorders>
              <w:top w:val="nil"/>
              <w:left w:val="nil"/>
              <w:bottom w:val="nil"/>
              <w:right w:val="nil"/>
            </w:tcBorders>
            <w:shd w:val="clear" w:color="auto" w:fill="auto"/>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2023年度）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1"/>
          <w:wAfter w:w="792" w:type="dxa"/>
          <w:trHeight w:val="360" w:hRule="atLeast"/>
          <w:jc w:val="center"/>
        </w:trPr>
        <w:tc>
          <w:tcPr>
            <w:tcW w:w="3426" w:type="dxa"/>
            <w:gridSpan w:val="6"/>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填报单位：上寨乡人民政府</w:t>
            </w:r>
          </w:p>
        </w:tc>
        <w:tc>
          <w:tcPr>
            <w:tcW w:w="1214" w:type="dxa"/>
            <w:gridSpan w:val="2"/>
            <w:tcBorders>
              <w:top w:val="nil"/>
              <w:left w:val="nil"/>
              <w:bottom w:val="nil"/>
              <w:right w:val="nil"/>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1485" w:type="dxa"/>
            <w:gridSpan w:val="2"/>
            <w:tcBorders>
              <w:top w:val="nil"/>
              <w:left w:val="nil"/>
              <w:bottom w:val="nil"/>
              <w:right w:val="nil"/>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1141" w:type="dxa"/>
            <w:gridSpan w:val="2"/>
            <w:tcBorders>
              <w:top w:val="nil"/>
              <w:left w:val="nil"/>
              <w:bottom w:val="nil"/>
              <w:right w:val="nil"/>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1224" w:type="dxa"/>
            <w:gridSpan w:val="2"/>
            <w:tcBorders>
              <w:top w:val="nil"/>
              <w:left w:val="nil"/>
              <w:bottom w:val="nil"/>
              <w:right w:val="nil"/>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1616" w:type="dxa"/>
            <w:gridSpan w:val="2"/>
            <w:tcBorders>
              <w:top w:val="nil"/>
              <w:left w:val="nil"/>
              <w:bottom w:val="nil"/>
              <w:right w:val="nil"/>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1"/>
          <w:wAfter w:w="792" w:type="dxa"/>
          <w:trHeight w:val="560" w:hRule="atLeast"/>
          <w:jc w:val="center"/>
        </w:trPr>
        <w:tc>
          <w:tcPr>
            <w:tcW w:w="1251" w:type="dxa"/>
            <w:gridSpan w:val="2"/>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一、</w:t>
            </w:r>
            <w:r>
              <w:rPr>
                <w:rFonts w:ascii="Calibri" w:hAnsi="Calibri" w:eastAsia="宋体" w:cs="Calibri"/>
                <w:i w:val="0"/>
                <w:iCs w:val="0"/>
                <w:color w:val="000000"/>
                <w:kern w:val="0"/>
                <w:sz w:val="20"/>
                <w:szCs w:val="20"/>
                <w:u w:val="none"/>
                <w:lang w:val="en-US" w:eastAsia="zh-CN" w:bidi="ar"/>
              </w:rPr>
              <w:t xml:space="preserve"> </w:t>
            </w:r>
            <w:r>
              <w:rPr>
                <w:rFonts w:hint="eastAsia" w:ascii="宋体" w:hAnsi="宋体" w:eastAsia="宋体" w:cs="宋体"/>
                <w:i w:val="0"/>
                <w:iCs w:val="0"/>
                <w:color w:val="000000"/>
                <w:kern w:val="0"/>
                <w:sz w:val="20"/>
                <w:szCs w:val="20"/>
                <w:u w:val="none"/>
                <w:lang w:val="en-US" w:eastAsia="zh-CN" w:bidi="ar"/>
              </w:rPr>
              <w:t>基本情况</w:t>
            </w:r>
          </w:p>
        </w:tc>
        <w:tc>
          <w:tcPr>
            <w:tcW w:w="105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项目名称</w:t>
            </w:r>
          </w:p>
        </w:tc>
        <w:tc>
          <w:tcPr>
            <w:tcW w:w="2330"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2023年区级退役军人公益岗位劳务派遣工资及保险</w:t>
            </w:r>
          </w:p>
        </w:tc>
        <w:tc>
          <w:tcPr>
            <w:tcW w:w="148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实施(主管）单位</w:t>
            </w:r>
          </w:p>
        </w:tc>
        <w:tc>
          <w:tcPr>
            <w:tcW w:w="3981"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石家庄市鹿泉区上寨乡人民政府</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1"/>
          <w:wAfter w:w="792" w:type="dxa"/>
          <w:trHeight w:val="480" w:hRule="atLeast"/>
          <w:jc w:val="center"/>
        </w:trPr>
        <w:tc>
          <w:tcPr>
            <w:tcW w:w="1251" w:type="dxa"/>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二、预算执行情况</w:t>
            </w:r>
          </w:p>
        </w:tc>
        <w:tc>
          <w:tcPr>
            <w:tcW w:w="2175"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预算安排情况（调整后）</w:t>
            </w:r>
          </w:p>
        </w:tc>
        <w:tc>
          <w:tcPr>
            <w:tcW w:w="2699"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资金到位情况</w:t>
            </w:r>
          </w:p>
        </w:tc>
        <w:tc>
          <w:tcPr>
            <w:tcW w:w="2365"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资金执行情况</w:t>
            </w:r>
          </w:p>
        </w:tc>
        <w:tc>
          <w:tcPr>
            <w:tcW w:w="161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预算执行进度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1"/>
          <w:wAfter w:w="792" w:type="dxa"/>
          <w:trHeight w:val="420" w:hRule="atLeast"/>
          <w:jc w:val="center"/>
        </w:trPr>
        <w:tc>
          <w:tcPr>
            <w:tcW w:w="1251"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05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预算数：</w:t>
            </w:r>
          </w:p>
        </w:tc>
        <w:tc>
          <w:tcPr>
            <w:tcW w:w="111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12.063296</w:t>
            </w:r>
          </w:p>
        </w:tc>
        <w:tc>
          <w:tcPr>
            <w:tcW w:w="121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到位数：</w:t>
            </w:r>
          </w:p>
        </w:tc>
        <w:tc>
          <w:tcPr>
            <w:tcW w:w="148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12.063296</w:t>
            </w:r>
          </w:p>
        </w:tc>
        <w:tc>
          <w:tcPr>
            <w:tcW w:w="114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执行数：</w:t>
            </w:r>
          </w:p>
        </w:tc>
        <w:tc>
          <w:tcPr>
            <w:tcW w:w="122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12.063296</w:t>
            </w:r>
          </w:p>
        </w:tc>
        <w:tc>
          <w:tcPr>
            <w:tcW w:w="1616" w:type="dxa"/>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1"/>
          <w:wAfter w:w="792" w:type="dxa"/>
          <w:trHeight w:val="540" w:hRule="atLeast"/>
          <w:jc w:val="center"/>
        </w:trPr>
        <w:tc>
          <w:tcPr>
            <w:tcW w:w="1251"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05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111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12.063296</w:t>
            </w:r>
          </w:p>
        </w:tc>
        <w:tc>
          <w:tcPr>
            <w:tcW w:w="121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148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12.063296</w:t>
            </w:r>
          </w:p>
        </w:tc>
        <w:tc>
          <w:tcPr>
            <w:tcW w:w="114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122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12.063296</w:t>
            </w:r>
          </w:p>
        </w:tc>
        <w:tc>
          <w:tcPr>
            <w:tcW w:w="1616"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1"/>
          <w:wAfter w:w="792" w:type="dxa"/>
          <w:trHeight w:val="405" w:hRule="atLeast"/>
          <w:jc w:val="center"/>
        </w:trPr>
        <w:tc>
          <w:tcPr>
            <w:tcW w:w="1251"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05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111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default" w:ascii="Calibri" w:hAnsi="Calibri" w:eastAsia="宋体" w:cs="Calibri"/>
                <w:i w:val="0"/>
                <w:iCs w:val="0"/>
                <w:color w:val="000000"/>
                <w:sz w:val="20"/>
                <w:szCs w:val="20"/>
                <w:u w:val="none"/>
              </w:rPr>
            </w:pPr>
          </w:p>
        </w:tc>
        <w:tc>
          <w:tcPr>
            <w:tcW w:w="121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148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20"/>
                <w:szCs w:val="20"/>
                <w:u w:val="none"/>
              </w:rPr>
            </w:pPr>
          </w:p>
        </w:tc>
        <w:tc>
          <w:tcPr>
            <w:tcW w:w="114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122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20"/>
                <w:szCs w:val="20"/>
                <w:u w:val="none"/>
              </w:rPr>
            </w:pPr>
          </w:p>
        </w:tc>
        <w:tc>
          <w:tcPr>
            <w:tcW w:w="1616"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1"/>
          <w:wAfter w:w="792" w:type="dxa"/>
          <w:trHeight w:val="465" w:hRule="atLeast"/>
          <w:jc w:val="center"/>
        </w:trPr>
        <w:tc>
          <w:tcPr>
            <w:tcW w:w="1251" w:type="dxa"/>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三、目标完成情况</w:t>
            </w:r>
          </w:p>
        </w:tc>
        <w:tc>
          <w:tcPr>
            <w:tcW w:w="3389"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年度预期目标</w:t>
            </w:r>
          </w:p>
        </w:tc>
        <w:tc>
          <w:tcPr>
            <w:tcW w:w="3850"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具体完成情况</w:t>
            </w:r>
          </w:p>
        </w:tc>
        <w:tc>
          <w:tcPr>
            <w:tcW w:w="161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总体完成率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1"/>
          <w:wAfter w:w="792" w:type="dxa"/>
          <w:trHeight w:val="240" w:hRule="atLeast"/>
          <w:jc w:val="center"/>
        </w:trPr>
        <w:tc>
          <w:tcPr>
            <w:tcW w:w="1251"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3389" w:type="dxa"/>
            <w:gridSpan w:val="6"/>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安排我乡2名退役军人就业，支付工资及保险，保障退役军人生活水平。</w:t>
            </w:r>
          </w:p>
        </w:tc>
        <w:tc>
          <w:tcPr>
            <w:tcW w:w="3850" w:type="dxa"/>
            <w:gridSpan w:val="6"/>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安排我乡2名退役军人就业，支付工资及保险，保障退役军人生活水平。</w:t>
            </w:r>
          </w:p>
        </w:tc>
        <w:tc>
          <w:tcPr>
            <w:tcW w:w="1616" w:type="dxa"/>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1"/>
          <w:wAfter w:w="792" w:type="dxa"/>
          <w:trHeight w:val="340" w:hRule="atLeast"/>
          <w:jc w:val="center"/>
        </w:trPr>
        <w:tc>
          <w:tcPr>
            <w:tcW w:w="1251"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3389" w:type="dxa"/>
            <w:gridSpan w:val="6"/>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3850" w:type="dxa"/>
            <w:gridSpan w:val="6"/>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616"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1"/>
          <w:wAfter w:w="792" w:type="dxa"/>
          <w:trHeight w:val="30" w:hRule="atLeast"/>
          <w:jc w:val="center"/>
        </w:trPr>
        <w:tc>
          <w:tcPr>
            <w:tcW w:w="1251"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3389" w:type="dxa"/>
            <w:gridSpan w:val="6"/>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3850" w:type="dxa"/>
            <w:gridSpan w:val="6"/>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616"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1"/>
          <w:wAfter w:w="792" w:type="dxa"/>
          <w:trHeight w:val="420" w:hRule="atLeast"/>
          <w:jc w:val="center"/>
        </w:trPr>
        <w:tc>
          <w:tcPr>
            <w:tcW w:w="1251" w:type="dxa"/>
            <w:gridSpan w:val="2"/>
            <w:vMerge w:val="restart"/>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四、</w:t>
            </w:r>
            <w:r>
              <w:rPr>
                <w:rFonts w:ascii="Calibri" w:hAnsi="Calibri" w:eastAsia="宋体" w:cs="Calibri"/>
                <w:i w:val="0"/>
                <w:iCs w:val="0"/>
                <w:color w:val="000000"/>
                <w:kern w:val="0"/>
                <w:sz w:val="20"/>
                <w:szCs w:val="20"/>
                <w:u w:val="none"/>
                <w:lang w:val="en-US" w:eastAsia="zh-CN" w:bidi="ar"/>
              </w:rPr>
              <w:t xml:space="preserve"> </w:t>
            </w:r>
            <w:r>
              <w:rPr>
                <w:rFonts w:hint="eastAsia" w:ascii="宋体" w:hAnsi="宋体" w:eastAsia="宋体" w:cs="宋体"/>
                <w:i w:val="0"/>
                <w:iCs w:val="0"/>
                <w:color w:val="000000"/>
                <w:kern w:val="0"/>
                <w:sz w:val="20"/>
                <w:szCs w:val="20"/>
                <w:u w:val="none"/>
                <w:lang w:val="en-US" w:eastAsia="zh-CN" w:bidi="ar"/>
              </w:rPr>
              <w:t>年度绩效指标完成情况</w:t>
            </w:r>
          </w:p>
        </w:tc>
        <w:tc>
          <w:tcPr>
            <w:tcW w:w="105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一级指标</w:t>
            </w:r>
          </w:p>
        </w:tc>
        <w:tc>
          <w:tcPr>
            <w:tcW w:w="111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二级指标</w:t>
            </w:r>
          </w:p>
        </w:tc>
        <w:tc>
          <w:tcPr>
            <w:tcW w:w="2699"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三级指标</w:t>
            </w:r>
          </w:p>
        </w:tc>
        <w:tc>
          <w:tcPr>
            <w:tcW w:w="114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预期指标值</w:t>
            </w:r>
          </w:p>
        </w:tc>
        <w:tc>
          <w:tcPr>
            <w:tcW w:w="122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实际完成值</w:t>
            </w:r>
          </w:p>
        </w:tc>
        <w:tc>
          <w:tcPr>
            <w:tcW w:w="161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自评得分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1"/>
          <w:wAfter w:w="792" w:type="dxa"/>
          <w:trHeight w:val="660" w:hRule="atLeast"/>
          <w:jc w:val="center"/>
        </w:trPr>
        <w:tc>
          <w:tcPr>
            <w:tcW w:w="1251" w:type="dxa"/>
            <w:gridSpan w:val="2"/>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059" w:type="dxa"/>
            <w:gridSpan w:val="2"/>
            <w:vMerge w:val="restart"/>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产出指标（40）</w:t>
            </w:r>
          </w:p>
        </w:tc>
        <w:tc>
          <w:tcPr>
            <w:tcW w:w="1116" w:type="dxa"/>
            <w:gridSpan w:val="2"/>
            <w:vMerge w:val="restart"/>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数量指标</w:t>
            </w:r>
          </w:p>
        </w:tc>
        <w:tc>
          <w:tcPr>
            <w:tcW w:w="2699"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安排退役军人劳务派遣岗位人数</w:t>
            </w:r>
          </w:p>
        </w:tc>
        <w:tc>
          <w:tcPr>
            <w:tcW w:w="114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2人</w:t>
            </w:r>
          </w:p>
        </w:tc>
        <w:tc>
          <w:tcPr>
            <w:tcW w:w="122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2人</w:t>
            </w:r>
          </w:p>
        </w:tc>
        <w:tc>
          <w:tcPr>
            <w:tcW w:w="161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1"/>
          <w:wAfter w:w="792" w:type="dxa"/>
          <w:trHeight w:val="580" w:hRule="atLeast"/>
          <w:jc w:val="center"/>
        </w:trPr>
        <w:tc>
          <w:tcPr>
            <w:tcW w:w="1251" w:type="dxa"/>
            <w:gridSpan w:val="2"/>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059" w:type="dxa"/>
            <w:gridSpan w:val="2"/>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116" w:type="dxa"/>
            <w:gridSpan w:val="2"/>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2699"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取暖补贴金额</w:t>
            </w:r>
          </w:p>
        </w:tc>
        <w:tc>
          <w:tcPr>
            <w:tcW w:w="114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1900</w:t>
            </w:r>
            <w:r>
              <w:rPr>
                <w:rFonts w:hint="eastAsia" w:ascii="宋体" w:hAnsi="宋体" w:eastAsia="宋体" w:cs="宋体"/>
                <w:i w:val="0"/>
                <w:iCs w:val="0"/>
                <w:color w:val="000000"/>
                <w:kern w:val="0"/>
                <w:sz w:val="20"/>
                <w:szCs w:val="20"/>
                <w:u w:val="none"/>
                <w:lang w:val="en-US" w:eastAsia="zh-CN" w:bidi="ar"/>
              </w:rPr>
              <w:t>元</w:t>
            </w:r>
          </w:p>
        </w:tc>
        <w:tc>
          <w:tcPr>
            <w:tcW w:w="122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1900</w:t>
            </w:r>
            <w:r>
              <w:rPr>
                <w:rFonts w:hint="eastAsia" w:ascii="宋体" w:hAnsi="宋体" w:eastAsia="宋体" w:cs="宋体"/>
                <w:i w:val="0"/>
                <w:iCs w:val="0"/>
                <w:color w:val="000000"/>
                <w:kern w:val="0"/>
                <w:sz w:val="20"/>
                <w:szCs w:val="20"/>
                <w:u w:val="none"/>
                <w:lang w:val="en-US" w:eastAsia="zh-CN" w:bidi="ar"/>
              </w:rPr>
              <w:t>元</w:t>
            </w:r>
          </w:p>
        </w:tc>
        <w:tc>
          <w:tcPr>
            <w:tcW w:w="161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1"/>
          <w:wAfter w:w="792" w:type="dxa"/>
          <w:trHeight w:val="280" w:hRule="atLeast"/>
          <w:jc w:val="center"/>
        </w:trPr>
        <w:tc>
          <w:tcPr>
            <w:tcW w:w="1251" w:type="dxa"/>
            <w:gridSpan w:val="2"/>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059" w:type="dxa"/>
            <w:gridSpan w:val="2"/>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11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质量指标</w:t>
            </w:r>
          </w:p>
        </w:tc>
        <w:tc>
          <w:tcPr>
            <w:tcW w:w="2699"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帮扶符合就业安置退役军人率</w:t>
            </w:r>
          </w:p>
        </w:tc>
        <w:tc>
          <w:tcPr>
            <w:tcW w:w="114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100%</w:t>
            </w:r>
          </w:p>
        </w:tc>
        <w:tc>
          <w:tcPr>
            <w:tcW w:w="122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100%</w:t>
            </w:r>
          </w:p>
        </w:tc>
        <w:tc>
          <w:tcPr>
            <w:tcW w:w="161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1"/>
          <w:wAfter w:w="792" w:type="dxa"/>
          <w:trHeight w:val="280" w:hRule="atLeast"/>
          <w:jc w:val="center"/>
        </w:trPr>
        <w:tc>
          <w:tcPr>
            <w:tcW w:w="1251" w:type="dxa"/>
            <w:gridSpan w:val="2"/>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059" w:type="dxa"/>
            <w:gridSpan w:val="2"/>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11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时效指标</w:t>
            </w:r>
          </w:p>
        </w:tc>
        <w:tc>
          <w:tcPr>
            <w:tcW w:w="2699"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退役军人工资及时发放率</w:t>
            </w:r>
          </w:p>
        </w:tc>
        <w:tc>
          <w:tcPr>
            <w:tcW w:w="114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100%</w:t>
            </w:r>
          </w:p>
        </w:tc>
        <w:tc>
          <w:tcPr>
            <w:tcW w:w="122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100%</w:t>
            </w:r>
          </w:p>
        </w:tc>
        <w:tc>
          <w:tcPr>
            <w:tcW w:w="161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1"/>
          <w:wAfter w:w="792" w:type="dxa"/>
          <w:trHeight w:val="560" w:hRule="atLeast"/>
          <w:jc w:val="center"/>
        </w:trPr>
        <w:tc>
          <w:tcPr>
            <w:tcW w:w="1251" w:type="dxa"/>
            <w:gridSpan w:val="2"/>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059" w:type="dxa"/>
            <w:gridSpan w:val="2"/>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11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成本指标</w:t>
            </w:r>
          </w:p>
        </w:tc>
        <w:tc>
          <w:tcPr>
            <w:tcW w:w="2699"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发放退役军人劳务派遣工资及保险金额</w:t>
            </w:r>
          </w:p>
        </w:tc>
        <w:tc>
          <w:tcPr>
            <w:tcW w:w="114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12.063296</w:t>
            </w:r>
            <w:r>
              <w:rPr>
                <w:rFonts w:hint="eastAsia" w:ascii="宋体" w:hAnsi="宋体" w:eastAsia="宋体" w:cs="宋体"/>
                <w:i w:val="0"/>
                <w:iCs w:val="0"/>
                <w:color w:val="000000"/>
                <w:kern w:val="0"/>
                <w:sz w:val="20"/>
                <w:szCs w:val="20"/>
                <w:u w:val="none"/>
                <w:lang w:val="en-US" w:eastAsia="zh-CN" w:bidi="ar"/>
              </w:rPr>
              <w:t>万元</w:t>
            </w:r>
          </w:p>
        </w:tc>
        <w:tc>
          <w:tcPr>
            <w:tcW w:w="122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12.063296</w:t>
            </w:r>
            <w:r>
              <w:rPr>
                <w:rFonts w:hint="eastAsia" w:ascii="宋体" w:hAnsi="宋体" w:eastAsia="宋体" w:cs="宋体"/>
                <w:i w:val="0"/>
                <w:iCs w:val="0"/>
                <w:color w:val="000000"/>
                <w:kern w:val="0"/>
                <w:sz w:val="20"/>
                <w:szCs w:val="20"/>
                <w:u w:val="none"/>
                <w:lang w:val="en-US" w:eastAsia="zh-CN" w:bidi="ar"/>
              </w:rPr>
              <w:t>万元</w:t>
            </w:r>
          </w:p>
        </w:tc>
        <w:tc>
          <w:tcPr>
            <w:tcW w:w="161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1"/>
          <w:wAfter w:w="792" w:type="dxa"/>
          <w:trHeight w:val="840" w:hRule="atLeast"/>
          <w:jc w:val="center"/>
        </w:trPr>
        <w:tc>
          <w:tcPr>
            <w:tcW w:w="1251" w:type="dxa"/>
            <w:gridSpan w:val="2"/>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05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预算执行率指标</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（10分）</w:t>
            </w:r>
          </w:p>
        </w:tc>
        <w:tc>
          <w:tcPr>
            <w:tcW w:w="1116" w:type="dxa"/>
            <w:gridSpan w:val="2"/>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预算执行率</w:t>
            </w:r>
          </w:p>
        </w:tc>
        <w:tc>
          <w:tcPr>
            <w:tcW w:w="2699"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14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100%</w:t>
            </w:r>
          </w:p>
        </w:tc>
        <w:tc>
          <w:tcPr>
            <w:tcW w:w="122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100%</w:t>
            </w:r>
          </w:p>
        </w:tc>
        <w:tc>
          <w:tcPr>
            <w:tcW w:w="161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1"/>
          <w:wAfter w:w="792" w:type="dxa"/>
          <w:trHeight w:val="520" w:hRule="atLeast"/>
          <w:jc w:val="center"/>
        </w:trPr>
        <w:tc>
          <w:tcPr>
            <w:tcW w:w="1251" w:type="dxa"/>
            <w:gridSpan w:val="2"/>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059" w:type="dxa"/>
            <w:gridSpan w:val="2"/>
            <w:vMerge w:val="restart"/>
            <w:tcBorders>
              <w:top w:val="nil"/>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效益指标（40）</w:t>
            </w:r>
          </w:p>
        </w:tc>
        <w:tc>
          <w:tcPr>
            <w:tcW w:w="1116" w:type="dxa"/>
            <w:gridSpan w:val="2"/>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社会效益指标</w:t>
            </w:r>
          </w:p>
        </w:tc>
        <w:tc>
          <w:tcPr>
            <w:tcW w:w="2699"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解决就业岗位人数</w:t>
            </w:r>
          </w:p>
        </w:tc>
        <w:tc>
          <w:tcPr>
            <w:tcW w:w="114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2人</w:t>
            </w:r>
          </w:p>
        </w:tc>
        <w:tc>
          <w:tcPr>
            <w:tcW w:w="122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2人</w:t>
            </w:r>
          </w:p>
        </w:tc>
        <w:tc>
          <w:tcPr>
            <w:tcW w:w="161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1"/>
          <w:wAfter w:w="792" w:type="dxa"/>
          <w:trHeight w:val="520" w:hRule="atLeast"/>
          <w:jc w:val="center"/>
        </w:trPr>
        <w:tc>
          <w:tcPr>
            <w:tcW w:w="1251" w:type="dxa"/>
            <w:gridSpan w:val="2"/>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059" w:type="dxa"/>
            <w:gridSpan w:val="2"/>
            <w:vMerge w:val="continue"/>
            <w:tcBorders>
              <w:top w:val="nil"/>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116" w:type="dxa"/>
            <w:gridSpan w:val="2"/>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可持续影响指标</w:t>
            </w:r>
          </w:p>
        </w:tc>
        <w:tc>
          <w:tcPr>
            <w:tcW w:w="2699"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缓解退役军人就业率</w:t>
            </w:r>
          </w:p>
        </w:tc>
        <w:tc>
          <w:tcPr>
            <w:tcW w:w="114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100%</w:t>
            </w:r>
          </w:p>
        </w:tc>
        <w:tc>
          <w:tcPr>
            <w:tcW w:w="122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100%</w:t>
            </w:r>
          </w:p>
        </w:tc>
        <w:tc>
          <w:tcPr>
            <w:tcW w:w="161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1"/>
          <w:wAfter w:w="792" w:type="dxa"/>
          <w:trHeight w:val="780" w:hRule="atLeast"/>
          <w:jc w:val="center"/>
        </w:trPr>
        <w:tc>
          <w:tcPr>
            <w:tcW w:w="1251" w:type="dxa"/>
            <w:gridSpan w:val="2"/>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05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满意度指标</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（10分）</w:t>
            </w:r>
          </w:p>
        </w:tc>
        <w:tc>
          <w:tcPr>
            <w:tcW w:w="1116" w:type="dxa"/>
            <w:gridSpan w:val="2"/>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满意度指标</w:t>
            </w:r>
          </w:p>
        </w:tc>
        <w:tc>
          <w:tcPr>
            <w:tcW w:w="2699"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退役军人劳务派遣满意度</w:t>
            </w:r>
          </w:p>
        </w:tc>
        <w:tc>
          <w:tcPr>
            <w:tcW w:w="114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100%</w:t>
            </w:r>
          </w:p>
        </w:tc>
        <w:tc>
          <w:tcPr>
            <w:tcW w:w="122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100%</w:t>
            </w:r>
          </w:p>
        </w:tc>
        <w:tc>
          <w:tcPr>
            <w:tcW w:w="161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1"/>
          <w:wAfter w:w="792" w:type="dxa"/>
          <w:trHeight w:val="280" w:hRule="atLeast"/>
          <w:jc w:val="center"/>
        </w:trPr>
        <w:tc>
          <w:tcPr>
            <w:tcW w:w="1251" w:type="dxa"/>
            <w:gridSpan w:val="2"/>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7239" w:type="dxa"/>
            <w:gridSpan w:val="1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总分</w:t>
            </w:r>
          </w:p>
        </w:tc>
        <w:tc>
          <w:tcPr>
            <w:tcW w:w="161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1"/>
          <w:wAfter w:w="792" w:type="dxa"/>
          <w:trHeight w:val="780" w:hRule="atLeast"/>
          <w:jc w:val="center"/>
        </w:trPr>
        <w:tc>
          <w:tcPr>
            <w:tcW w:w="1251" w:type="dxa"/>
            <w:gridSpan w:val="2"/>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五、</w:t>
            </w:r>
            <w:r>
              <w:rPr>
                <w:rFonts w:ascii="Calibri" w:hAnsi="Calibri" w:eastAsia="宋体" w:cs="Calibri"/>
                <w:i w:val="0"/>
                <w:iCs w:val="0"/>
                <w:color w:val="000000"/>
                <w:kern w:val="0"/>
                <w:sz w:val="20"/>
                <w:szCs w:val="20"/>
                <w:u w:val="none"/>
                <w:lang w:val="en-US" w:eastAsia="zh-CN" w:bidi="ar"/>
              </w:rPr>
              <w:t xml:space="preserve"> </w:t>
            </w:r>
            <w:r>
              <w:rPr>
                <w:rFonts w:hint="eastAsia" w:ascii="宋体" w:hAnsi="宋体" w:eastAsia="宋体" w:cs="宋体"/>
                <w:i w:val="0"/>
                <w:iCs w:val="0"/>
                <w:color w:val="000000"/>
                <w:kern w:val="0"/>
                <w:sz w:val="20"/>
                <w:szCs w:val="20"/>
                <w:u w:val="none"/>
                <w:lang w:val="en-US" w:eastAsia="zh-CN" w:bidi="ar"/>
              </w:rPr>
              <w:t>存在问题、原因及下一步整改措施</w:t>
            </w:r>
          </w:p>
        </w:tc>
        <w:tc>
          <w:tcPr>
            <w:tcW w:w="8855" w:type="dxa"/>
            <w:gridSpan w:val="14"/>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无</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Before w:val="1"/>
          <w:wBefore w:w="792" w:type="dxa"/>
          <w:trHeight w:val="540" w:hRule="atLeast"/>
          <w:jc w:val="center"/>
        </w:trPr>
        <w:tc>
          <w:tcPr>
            <w:tcW w:w="10106" w:type="dxa"/>
            <w:gridSpan w:val="16"/>
            <w:tcBorders>
              <w:top w:val="nil"/>
              <w:left w:val="nil"/>
              <w:bottom w:val="nil"/>
              <w:right w:val="nil"/>
            </w:tcBorders>
            <w:shd w:val="clear" w:color="auto" w:fill="auto"/>
            <w:noWrap/>
            <w:vAlign w:val="center"/>
          </w:tcPr>
          <w:p>
            <w:pPr>
              <w:keepNext w:val="0"/>
              <w:keepLines w:val="0"/>
              <w:widowControl/>
              <w:suppressLineNumbers w:val="0"/>
              <w:jc w:val="center"/>
              <w:textAlignment w:val="center"/>
              <w:rPr>
                <w:rFonts w:ascii="方正小标宋_GBK" w:hAnsi="方正小标宋_GBK" w:eastAsia="方正小标宋_GBK" w:cs="方正小标宋_GBK"/>
                <w:i w:val="0"/>
                <w:iCs w:val="0"/>
                <w:color w:val="000000"/>
                <w:sz w:val="44"/>
                <w:szCs w:val="44"/>
                <w:u w:val="none"/>
              </w:rPr>
            </w:pPr>
            <w:r>
              <w:rPr>
                <w:rFonts w:hint="default" w:ascii="方正小标宋_GBK" w:hAnsi="方正小标宋_GBK" w:eastAsia="方正小标宋_GBK" w:cs="方正小标宋_GBK"/>
                <w:i w:val="0"/>
                <w:iCs w:val="0"/>
                <w:color w:val="000000"/>
                <w:kern w:val="0"/>
                <w:sz w:val="44"/>
                <w:szCs w:val="44"/>
                <w:u w:val="none"/>
                <w:lang w:val="en-US" w:eastAsia="zh-CN" w:bidi="ar"/>
              </w:rPr>
              <w:t>上寨乡人民政府预算项目绩效自评表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Before w:val="1"/>
          <w:wBefore w:w="792" w:type="dxa"/>
          <w:trHeight w:val="315" w:hRule="atLeast"/>
          <w:jc w:val="center"/>
        </w:trPr>
        <w:tc>
          <w:tcPr>
            <w:tcW w:w="10106" w:type="dxa"/>
            <w:gridSpan w:val="16"/>
            <w:tcBorders>
              <w:top w:val="nil"/>
              <w:left w:val="nil"/>
              <w:bottom w:val="nil"/>
              <w:right w:val="nil"/>
            </w:tcBorders>
            <w:shd w:val="clear" w:color="auto" w:fill="auto"/>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2023年度）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Before w:val="1"/>
          <w:wBefore w:w="792" w:type="dxa"/>
          <w:trHeight w:val="360" w:hRule="atLeast"/>
          <w:jc w:val="center"/>
        </w:trPr>
        <w:tc>
          <w:tcPr>
            <w:tcW w:w="3352" w:type="dxa"/>
            <w:gridSpan w:val="6"/>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填报单位：上寨乡人民政府</w:t>
            </w:r>
          </w:p>
        </w:tc>
        <w:tc>
          <w:tcPr>
            <w:tcW w:w="1288" w:type="dxa"/>
            <w:gridSpan w:val="2"/>
            <w:tcBorders>
              <w:top w:val="nil"/>
              <w:left w:val="nil"/>
              <w:bottom w:val="nil"/>
              <w:right w:val="nil"/>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1485" w:type="dxa"/>
            <w:gridSpan w:val="2"/>
            <w:tcBorders>
              <w:top w:val="nil"/>
              <w:left w:val="nil"/>
              <w:bottom w:val="nil"/>
              <w:right w:val="nil"/>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1141" w:type="dxa"/>
            <w:gridSpan w:val="2"/>
            <w:tcBorders>
              <w:top w:val="nil"/>
              <w:left w:val="nil"/>
              <w:bottom w:val="nil"/>
              <w:right w:val="nil"/>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1224" w:type="dxa"/>
            <w:gridSpan w:val="2"/>
            <w:tcBorders>
              <w:top w:val="nil"/>
              <w:left w:val="nil"/>
              <w:bottom w:val="nil"/>
              <w:right w:val="nil"/>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1616" w:type="dxa"/>
            <w:gridSpan w:val="2"/>
            <w:tcBorders>
              <w:top w:val="nil"/>
              <w:left w:val="nil"/>
              <w:bottom w:val="nil"/>
              <w:right w:val="nil"/>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Before w:val="1"/>
          <w:wBefore w:w="792" w:type="dxa"/>
          <w:trHeight w:val="1060" w:hRule="atLeast"/>
          <w:jc w:val="center"/>
        </w:trPr>
        <w:tc>
          <w:tcPr>
            <w:tcW w:w="1248" w:type="dxa"/>
            <w:gridSpan w:val="2"/>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一、</w:t>
            </w:r>
            <w:r>
              <w:rPr>
                <w:rFonts w:ascii="Calibri" w:hAnsi="Calibri" w:eastAsia="宋体" w:cs="Calibri"/>
                <w:i w:val="0"/>
                <w:iCs w:val="0"/>
                <w:color w:val="000000"/>
                <w:kern w:val="0"/>
                <w:sz w:val="20"/>
                <w:szCs w:val="20"/>
                <w:u w:val="none"/>
                <w:lang w:val="en-US" w:eastAsia="zh-CN" w:bidi="ar"/>
              </w:rPr>
              <w:t xml:space="preserve"> </w:t>
            </w:r>
            <w:r>
              <w:rPr>
                <w:rFonts w:hint="eastAsia" w:ascii="宋体" w:hAnsi="宋体" w:eastAsia="宋体" w:cs="宋体"/>
                <w:i w:val="0"/>
                <w:iCs w:val="0"/>
                <w:color w:val="000000"/>
                <w:kern w:val="0"/>
                <w:sz w:val="20"/>
                <w:szCs w:val="20"/>
                <w:u w:val="none"/>
                <w:lang w:val="en-US" w:eastAsia="zh-CN" w:bidi="ar"/>
              </w:rPr>
              <w:t>基本情况</w:t>
            </w:r>
          </w:p>
        </w:tc>
        <w:tc>
          <w:tcPr>
            <w:tcW w:w="105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项目名称</w:t>
            </w:r>
          </w:p>
        </w:tc>
        <w:tc>
          <w:tcPr>
            <w:tcW w:w="2333"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2023年区级衡井线北寨段两侧绿化、环乡路南寨及梁庄绿化、山前大道南延两侧绿化占地租金</w:t>
            </w:r>
          </w:p>
        </w:tc>
        <w:tc>
          <w:tcPr>
            <w:tcW w:w="148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实施(主管）单位</w:t>
            </w:r>
          </w:p>
        </w:tc>
        <w:tc>
          <w:tcPr>
            <w:tcW w:w="3981"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石家庄市鹿泉区上寨乡人民政府</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Before w:val="1"/>
          <w:wBefore w:w="792" w:type="dxa"/>
          <w:trHeight w:val="480" w:hRule="atLeast"/>
          <w:jc w:val="center"/>
        </w:trPr>
        <w:tc>
          <w:tcPr>
            <w:tcW w:w="1248" w:type="dxa"/>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二、预算执行情况</w:t>
            </w:r>
          </w:p>
        </w:tc>
        <w:tc>
          <w:tcPr>
            <w:tcW w:w="2104"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预算安排情况（调整后）</w:t>
            </w:r>
          </w:p>
        </w:tc>
        <w:tc>
          <w:tcPr>
            <w:tcW w:w="2773"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资金到位情况</w:t>
            </w:r>
          </w:p>
        </w:tc>
        <w:tc>
          <w:tcPr>
            <w:tcW w:w="2365"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资金执行情况</w:t>
            </w:r>
          </w:p>
        </w:tc>
        <w:tc>
          <w:tcPr>
            <w:tcW w:w="161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预算执行进度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Before w:val="1"/>
          <w:wBefore w:w="792" w:type="dxa"/>
          <w:trHeight w:val="420" w:hRule="atLeast"/>
          <w:jc w:val="center"/>
        </w:trPr>
        <w:tc>
          <w:tcPr>
            <w:tcW w:w="1248"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05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预算数：</w:t>
            </w:r>
          </w:p>
        </w:tc>
        <w:tc>
          <w:tcPr>
            <w:tcW w:w="104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33.946</w:t>
            </w:r>
          </w:p>
        </w:tc>
        <w:tc>
          <w:tcPr>
            <w:tcW w:w="128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到位数：</w:t>
            </w:r>
          </w:p>
        </w:tc>
        <w:tc>
          <w:tcPr>
            <w:tcW w:w="148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33.946</w:t>
            </w:r>
          </w:p>
        </w:tc>
        <w:tc>
          <w:tcPr>
            <w:tcW w:w="114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执行数：</w:t>
            </w:r>
          </w:p>
        </w:tc>
        <w:tc>
          <w:tcPr>
            <w:tcW w:w="122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33.946</w:t>
            </w:r>
          </w:p>
        </w:tc>
        <w:tc>
          <w:tcPr>
            <w:tcW w:w="1616" w:type="dxa"/>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Before w:val="1"/>
          <w:wBefore w:w="792" w:type="dxa"/>
          <w:trHeight w:val="540" w:hRule="atLeast"/>
          <w:jc w:val="center"/>
        </w:trPr>
        <w:tc>
          <w:tcPr>
            <w:tcW w:w="1248"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05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104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33.946</w:t>
            </w:r>
          </w:p>
        </w:tc>
        <w:tc>
          <w:tcPr>
            <w:tcW w:w="128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148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33.946</w:t>
            </w:r>
          </w:p>
        </w:tc>
        <w:tc>
          <w:tcPr>
            <w:tcW w:w="114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122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33.946</w:t>
            </w:r>
          </w:p>
        </w:tc>
        <w:tc>
          <w:tcPr>
            <w:tcW w:w="1616"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Before w:val="1"/>
          <w:wBefore w:w="792" w:type="dxa"/>
          <w:trHeight w:val="405" w:hRule="atLeast"/>
          <w:jc w:val="center"/>
        </w:trPr>
        <w:tc>
          <w:tcPr>
            <w:tcW w:w="1248"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05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104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default" w:ascii="Calibri" w:hAnsi="Calibri" w:eastAsia="宋体" w:cs="Calibri"/>
                <w:i w:val="0"/>
                <w:iCs w:val="0"/>
                <w:color w:val="000000"/>
                <w:sz w:val="20"/>
                <w:szCs w:val="20"/>
                <w:u w:val="none"/>
              </w:rPr>
            </w:pPr>
          </w:p>
        </w:tc>
        <w:tc>
          <w:tcPr>
            <w:tcW w:w="128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148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20"/>
                <w:szCs w:val="20"/>
                <w:u w:val="none"/>
              </w:rPr>
            </w:pPr>
          </w:p>
        </w:tc>
        <w:tc>
          <w:tcPr>
            <w:tcW w:w="114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122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20"/>
                <w:szCs w:val="20"/>
                <w:u w:val="none"/>
              </w:rPr>
            </w:pPr>
          </w:p>
        </w:tc>
        <w:tc>
          <w:tcPr>
            <w:tcW w:w="1616"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Before w:val="1"/>
          <w:wBefore w:w="792" w:type="dxa"/>
          <w:trHeight w:val="465" w:hRule="atLeast"/>
          <w:jc w:val="center"/>
        </w:trPr>
        <w:tc>
          <w:tcPr>
            <w:tcW w:w="1248" w:type="dxa"/>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三、目标完成情况</w:t>
            </w:r>
          </w:p>
        </w:tc>
        <w:tc>
          <w:tcPr>
            <w:tcW w:w="3392"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年度预期目标</w:t>
            </w:r>
          </w:p>
        </w:tc>
        <w:tc>
          <w:tcPr>
            <w:tcW w:w="3850"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具体完成情况</w:t>
            </w:r>
          </w:p>
        </w:tc>
        <w:tc>
          <w:tcPr>
            <w:tcW w:w="161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总体完成率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Before w:val="1"/>
          <w:wBefore w:w="792" w:type="dxa"/>
          <w:trHeight w:val="120" w:hRule="atLeast"/>
          <w:jc w:val="center"/>
        </w:trPr>
        <w:tc>
          <w:tcPr>
            <w:tcW w:w="1248"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3392" w:type="dxa"/>
            <w:gridSpan w:val="6"/>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对衡井线北寨段、山前大道南延（北寨至上寨段）、村村通环乡路两侧进行绿化，涉及农户共437户，土地共计235.73645亩，共计339460元给予农户补偿。     </w:t>
            </w:r>
          </w:p>
        </w:tc>
        <w:tc>
          <w:tcPr>
            <w:tcW w:w="3850" w:type="dxa"/>
            <w:gridSpan w:val="6"/>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对衡井线北寨段、山前大道南延（北寨至上寨段）、村村通环乡路两侧进行绿化，涉及农户共437户，土地共计235.73645亩，共计339460元给予农户补偿。     </w:t>
            </w:r>
          </w:p>
        </w:tc>
        <w:tc>
          <w:tcPr>
            <w:tcW w:w="1616" w:type="dxa"/>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Before w:val="1"/>
          <w:wBefore w:w="792" w:type="dxa"/>
          <w:trHeight w:val="210" w:hRule="atLeast"/>
          <w:jc w:val="center"/>
        </w:trPr>
        <w:tc>
          <w:tcPr>
            <w:tcW w:w="1248"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3392" w:type="dxa"/>
            <w:gridSpan w:val="6"/>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20"/>
                <w:szCs w:val="20"/>
                <w:u w:val="none"/>
              </w:rPr>
            </w:pPr>
          </w:p>
        </w:tc>
        <w:tc>
          <w:tcPr>
            <w:tcW w:w="3850" w:type="dxa"/>
            <w:gridSpan w:val="6"/>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20"/>
                <w:szCs w:val="20"/>
                <w:u w:val="none"/>
              </w:rPr>
            </w:pPr>
          </w:p>
        </w:tc>
        <w:tc>
          <w:tcPr>
            <w:tcW w:w="1616"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Before w:val="1"/>
          <w:wBefore w:w="792" w:type="dxa"/>
          <w:trHeight w:val="1100" w:hRule="atLeast"/>
          <w:jc w:val="center"/>
        </w:trPr>
        <w:tc>
          <w:tcPr>
            <w:tcW w:w="1248"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3392" w:type="dxa"/>
            <w:gridSpan w:val="6"/>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20"/>
                <w:szCs w:val="20"/>
                <w:u w:val="none"/>
              </w:rPr>
            </w:pPr>
          </w:p>
        </w:tc>
        <w:tc>
          <w:tcPr>
            <w:tcW w:w="3850" w:type="dxa"/>
            <w:gridSpan w:val="6"/>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20"/>
                <w:szCs w:val="20"/>
                <w:u w:val="none"/>
              </w:rPr>
            </w:pPr>
          </w:p>
        </w:tc>
        <w:tc>
          <w:tcPr>
            <w:tcW w:w="1616"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Before w:val="1"/>
          <w:wBefore w:w="792" w:type="dxa"/>
          <w:trHeight w:val="420" w:hRule="atLeast"/>
          <w:jc w:val="center"/>
        </w:trPr>
        <w:tc>
          <w:tcPr>
            <w:tcW w:w="1248" w:type="dxa"/>
            <w:gridSpan w:val="2"/>
            <w:vMerge w:val="restart"/>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四、</w:t>
            </w:r>
            <w:r>
              <w:rPr>
                <w:rFonts w:ascii="Calibri" w:hAnsi="Calibri" w:eastAsia="宋体" w:cs="Calibri"/>
                <w:i w:val="0"/>
                <w:iCs w:val="0"/>
                <w:color w:val="000000"/>
                <w:kern w:val="0"/>
                <w:sz w:val="20"/>
                <w:szCs w:val="20"/>
                <w:u w:val="none"/>
                <w:lang w:val="en-US" w:eastAsia="zh-CN" w:bidi="ar"/>
              </w:rPr>
              <w:t xml:space="preserve"> </w:t>
            </w:r>
            <w:r>
              <w:rPr>
                <w:rFonts w:hint="eastAsia" w:ascii="宋体" w:hAnsi="宋体" w:eastAsia="宋体" w:cs="宋体"/>
                <w:i w:val="0"/>
                <w:iCs w:val="0"/>
                <w:color w:val="000000"/>
                <w:kern w:val="0"/>
                <w:sz w:val="20"/>
                <w:szCs w:val="20"/>
                <w:u w:val="none"/>
                <w:lang w:val="en-US" w:eastAsia="zh-CN" w:bidi="ar"/>
              </w:rPr>
              <w:t>年度绩效指标完成情况</w:t>
            </w:r>
          </w:p>
        </w:tc>
        <w:tc>
          <w:tcPr>
            <w:tcW w:w="105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一级指标</w:t>
            </w:r>
          </w:p>
        </w:tc>
        <w:tc>
          <w:tcPr>
            <w:tcW w:w="104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二级指标</w:t>
            </w:r>
          </w:p>
        </w:tc>
        <w:tc>
          <w:tcPr>
            <w:tcW w:w="2773"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三级指标</w:t>
            </w:r>
          </w:p>
        </w:tc>
        <w:tc>
          <w:tcPr>
            <w:tcW w:w="114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预期指标值</w:t>
            </w:r>
          </w:p>
        </w:tc>
        <w:tc>
          <w:tcPr>
            <w:tcW w:w="122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实际完成值</w:t>
            </w:r>
          </w:p>
        </w:tc>
        <w:tc>
          <w:tcPr>
            <w:tcW w:w="161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自评得分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Before w:val="1"/>
          <w:wBefore w:w="792" w:type="dxa"/>
          <w:trHeight w:val="400" w:hRule="atLeast"/>
          <w:jc w:val="center"/>
        </w:trPr>
        <w:tc>
          <w:tcPr>
            <w:tcW w:w="1248" w:type="dxa"/>
            <w:gridSpan w:val="2"/>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059" w:type="dxa"/>
            <w:gridSpan w:val="2"/>
            <w:vMerge w:val="restart"/>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产出指标（40）</w:t>
            </w:r>
          </w:p>
        </w:tc>
        <w:tc>
          <w:tcPr>
            <w:tcW w:w="1045" w:type="dxa"/>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数量指标</w:t>
            </w:r>
          </w:p>
        </w:tc>
        <w:tc>
          <w:tcPr>
            <w:tcW w:w="2773"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绿化工程数量</w:t>
            </w:r>
          </w:p>
        </w:tc>
        <w:tc>
          <w:tcPr>
            <w:tcW w:w="114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3个</w:t>
            </w:r>
          </w:p>
        </w:tc>
        <w:tc>
          <w:tcPr>
            <w:tcW w:w="122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3个</w:t>
            </w:r>
          </w:p>
        </w:tc>
        <w:tc>
          <w:tcPr>
            <w:tcW w:w="161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Before w:val="1"/>
          <w:wBefore w:w="792" w:type="dxa"/>
          <w:trHeight w:val="300" w:hRule="atLeast"/>
          <w:jc w:val="center"/>
        </w:trPr>
        <w:tc>
          <w:tcPr>
            <w:tcW w:w="1248" w:type="dxa"/>
            <w:gridSpan w:val="2"/>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059" w:type="dxa"/>
            <w:gridSpan w:val="2"/>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045"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2773"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道路绿化涉及村庄数量</w:t>
            </w:r>
          </w:p>
        </w:tc>
        <w:tc>
          <w:tcPr>
            <w:tcW w:w="114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4</w:t>
            </w:r>
            <w:r>
              <w:rPr>
                <w:rFonts w:hint="eastAsia" w:ascii="宋体" w:hAnsi="宋体" w:eastAsia="宋体" w:cs="宋体"/>
                <w:i w:val="0"/>
                <w:iCs w:val="0"/>
                <w:color w:val="000000"/>
                <w:kern w:val="0"/>
                <w:sz w:val="20"/>
                <w:szCs w:val="20"/>
                <w:u w:val="none"/>
                <w:lang w:val="en-US" w:eastAsia="zh-CN" w:bidi="ar"/>
              </w:rPr>
              <w:t>个</w:t>
            </w:r>
          </w:p>
        </w:tc>
        <w:tc>
          <w:tcPr>
            <w:tcW w:w="122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4</w:t>
            </w:r>
            <w:r>
              <w:rPr>
                <w:rFonts w:hint="eastAsia" w:ascii="宋体" w:hAnsi="宋体" w:eastAsia="宋体" w:cs="宋体"/>
                <w:i w:val="0"/>
                <w:iCs w:val="0"/>
                <w:color w:val="000000"/>
                <w:kern w:val="0"/>
                <w:sz w:val="20"/>
                <w:szCs w:val="20"/>
                <w:u w:val="none"/>
                <w:lang w:val="en-US" w:eastAsia="zh-CN" w:bidi="ar"/>
              </w:rPr>
              <w:t>个</w:t>
            </w:r>
          </w:p>
        </w:tc>
        <w:tc>
          <w:tcPr>
            <w:tcW w:w="161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Before w:val="1"/>
          <w:wBefore w:w="792" w:type="dxa"/>
          <w:trHeight w:val="300" w:hRule="atLeast"/>
          <w:jc w:val="center"/>
        </w:trPr>
        <w:tc>
          <w:tcPr>
            <w:tcW w:w="1248" w:type="dxa"/>
            <w:gridSpan w:val="2"/>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059" w:type="dxa"/>
            <w:gridSpan w:val="2"/>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045"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2773"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道路绿化涉及农户数量</w:t>
            </w:r>
          </w:p>
        </w:tc>
        <w:tc>
          <w:tcPr>
            <w:tcW w:w="114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437</w:t>
            </w:r>
            <w:r>
              <w:rPr>
                <w:rFonts w:hint="eastAsia" w:ascii="宋体" w:hAnsi="宋体" w:eastAsia="宋体" w:cs="宋体"/>
                <w:i w:val="0"/>
                <w:iCs w:val="0"/>
                <w:color w:val="000000"/>
                <w:kern w:val="0"/>
                <w:sz w:val="20"/>
                <w:szCs w:val="20"/>
                <w:u w:val="none"/>
                <w:lang w:val="en-US" w:eastAsia="zh-CN" w:bidi="ar"/>
              </w:rPr>
              <w:t>户</w:t>
            </w:r>
          </w:p>
        </w:tc>
        <w:tc>
          <w:tcPr>
            <w:tcW w:w="122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437</w:t>
            </w:r>
            <w:r>
              <w:rPr>
                <w:rFonts w:hint="eastAsia" w:ascii="宋体" w:hAnsi="宋体" w:eastAsia="宋体" w:cs="宋体"/>
                <w:i w:val="0"/>
                <w:iCs w:val="0"/>
                <w:color w:val="000000"/>
                <w:kern w:val="0"/>
                <w:sz w:val="20"/>
                <w:szCs w:val="20"/>
                <w:u w:val="none"/>
                <w:lang w:val="en-US" w:eastAsia="zh-CN" w:bidi="ar"/>
              </w:rPr>
              <w:t>户</w:t>
            </w:r>
          </w:p>
        </w:tc>
        <w:tc>
          <w:tcPr>
            <w:tcW w:w="161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Before w:val="1"/>
          <w:wBefore w:w="792" w:type="dxa"/>
          <w:trHeight w:val="280" w:hRule="atLeast"/>
          <w:jc w:val="center"/>
        </w:trPr>
        <w:tc>
          <w:tcPr>
            <w:tcW w:w="1248" w:type="dxa"/>
            <w:gridSpan w:val="2"/>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059" w:type="dxa"/>
            <w:gridSpan w:val="2"/>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045"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2773"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道路绿化涉及土地数量</w:t>
            </w:r>
          </w:p>
        </w:tc>
        <w:tc>
          <w:tcPr>
            <w:tcW w:w="114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235.73</w:t>
            </w:r>
            <w:r>
              <w:rPr>
                <w:rFonts w:hint="eastAsia" w:ascii="宋体" w:hAnsi="宋体" w:eastAsia="宋体" w:cs="宋体"/>
                <w:i w:val="0"/>
                <w:iCs w:val="0"/>
                <w:color w:val="000000"/>
                <w:kern w:val="0"/>
                <w:sz w:val="20"/>
                <w:szCs w:val="20"/>
                <w:u w:val="none"/>
                <w:lang w:val="en-US" w:eastAsia="zh-CN" w:bidi="ar"/>
              </w:rPr>
              <w:t>亩</w:t>
            </w:r>
          </w:p>
        </w:tc>
        <w:tc>
          <w:tcPr>
            <w:tcW w:w="122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235.73亩</w:t>
            </w:r>
          </w:p>
        </w:tc>
        <w:tc>
          <w:tcPr>
            <w:tcW w:w="161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Before w:val="1"/>
          <w:wBefore w:w="792" w:type="dxa"/>
          <w:trHeight w:val="280" w:hRule="atLeast"/>
          <w:jc w:val="center"/>
        </w:trPr>
        <w:tc>
          <w:tcPr>
            <w:tcW w:w="1248" w:type="dxa"/>
            <w:gridSpan w:val="2"/>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059" w:type="dxa"/>
            <w:gridSpan w:val="2"/>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04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质量指标</w:t>
            </w:r>
          </w:p>
        </w:tc>
        <w:tc>
          <w:tcPr>
            <w:tcW w:w="2773"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道路绿化补偿标准</w:t>
            </w:r>
          </w:p>
        </w:tc>
        <w:tc>
          <w:tcPr>
            <w:tcW w:w="114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1440</w:t>
            </w:r>
            <w:r>
              <w:rPr>
                <w:rFonts w:hint="eastAsia" w:ascii="宋体" w:hAnsi="宋体" w:eastAsia="宋体" w:cs="宋体"/>
                <w:i w:val="0"/>
                <w:iCs w:val="0"/>
                <w:color w:val="000000"/>
                <w:kern w:val="0"/>
                <w:sz w:val="20"/>
                <w:szCs w:val="20"/>
                <w:u w:val="none"/>
                <w:lang w:val="en-US" w:eastAsia="zh-CN" w:bidi="ar"/>
              </w:rPr>
              <w:t>元</w:t>
            </w:r>
            <w:r>
              <w:rPr>
                <w:rStyle w:val="25"/>
                <w:rFonts w:eastAsia="宋体"/>
                <w:lang w:val="en-US" w:eastAsia="zh-CN" w:bidi="ar"/>
              </w:rPr>
              <w:t>/</w:t>
            </w:r>
            <w:r>
              <w:rPr>
                <w:rFonts w:hint="eastAsia" w:ascii="宋体" w:hAnsi="宋体" w:eastAsia="宋体" w:cs="宋体"/>
                <w:i w:val="0"/>
                <w:iCs w:val="0"/>
                <w:color w:val="000000"/>
                <w:kern w:val="0"/>
                <w:sz w:val="20"/>
                <w:szCs w:val="20"/>
                <w:u w:val="none"/>
                <w:lang w:val="en-US" w:eastAsia="zh-CN" w:bidi="ar"/>
              </w:rPr>
              <w:t>亩</w:t>
            </w:r>
          </w:p>
        </w:tc>
        <w:tc>
          <w:tcPr>
            <w:tcW w:w="122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1440</w:t>
            </w:r>
            <w:r>
              <w:rPr>
                <w:rFonts w:hint="eastAsia" w:ascii="宋体" w:hAnsi="宋体" w:eastAsia="宋体" w:cs="宋体"/>
                <w:i w:val="0"/>
                <w:iCs w:val="0"/>
                <w:color w:val="000000"/>
                <w:kern w:val="0"/>
                <w:sz w:val="20"/>
                <w:szCs w:val="20"/>
                <w:u w:val="none"/>
                <w:lang w:val="en-US" w:eastAsia="zh-CN" w:bidi="ar"/>
              </w:rPr>
              <w:t>元</w:t>
            </w:r>
            <w:r>
              <w:rPr>
                <w:rStyle w:val="25"/>
                <w:rFonts w:eastAsia="宋体"/>
                <w:lang w:val="en-US" w:eastAsia="zh-CN" w:bidi="ar"/>
              </w:rPr>
              <w:t>/</w:t>
            </w:r>
            <w:r>
              <w:rPr>
                <w:rFonts w:hint="eastAsia" w:ascii="宋体" w:hAnsi="宋体" w:eastAsia="宋体" w:cs="宋体"/>
                <w:i w:val="0"/>
                <w:iCs w:val="0"/>
                <w:color w:val="000000"/>
                <w:kern w:val="0"/>
                <w:sz w:val="20"/>
                <w:szCs w:val="20"/>
                <w:u w:val="none"/>
                <w:lang w:val="en-US" w:eastAsia="zh-CN" w:bidi="ar"/>
              </w:rPr>
              <w:t>亩</w:t>
            </w:r>
          </w:p>
        </w:tc>
        <w:tc>
          <w:tcPr>
            <w:tcW w:w="161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Before w:val="1"/>
          <w:wBefore w:w="792" w:type="dxa"/>
          <w:trHeight w:val="280" w:hRule="atLeast"/>
          <w:jc w:val="center"/>
        </w:trPr>
        <w:tc>
          <w:tcPr>
            <w:tcW w:w="1248" w:type="dxa"/>
            <w:gridSpan w:val="2"/>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059" w:type="dxa"/>
            <w:gridSpan w:val="2"/>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04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时效指标</w:t>
            </w:r>
          </w:p>
        </w:tc>
        <w:tc>
          <w:tcPr>
            <w:tcW w:w="2773"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补偿发放时限</w:t>
            </w:r>
          </w:p>
        </w:tc>
        <w:tc>
          <w:tcPr>
            <w:tcW w:w="114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6月底之前</w:t>
            </w:r>
          </w:p>
        </w:tc>
        <w:tc>
          <w:tcPr>
            <w:tcW w:w="122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11</w:t>
            </w:r>
            <w:r>
              <w:rPr>
                <w:rFonts w:hint="eastAsia" w:ascii="宋体" w:hAnsi="宋体" w:eastAsia="宋体" w:cs="宋体"/>
                <w:i w:val="0"/>
                <w:iCs w:val="0"/>
                <w:color w:val="000000"/>
                <w:kern w:val="0"/>
                <w:sz w:val="20"/>
                <w:szCs w:val="20"/>
                <w:u w:val="none"/>
                <w:lang w:val="en-US" w:eastAsia="zh-CN" w:bidi="ar"/>
              </w:rPr>
              <w:t>月份</w:t>
            </w:r>
          </w:p>
        </w:tc>
        <w:tc>
          <w:tcPr>
            <w:tcW w:w="161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Before w:val="1"/>
          <w:wBefore w:w="792" w:type="dxa"/>
          <w:trHeight w:val="280" w:hRule="atLeast"/>
          <w:jc w:val="center"/>
        </w:trPr>
        <w:tc>
          <w:tcPr>
            <w:tcW w:w="1248" w:type="dxa"/>
            <w:gridSpan w:val="2"/>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059" w:type="dxa"/>
            <w:gridSpan w:val="2"/>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04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成本指标</w:t>
            </w:r>
          </w:p>
        </w:tc>
        <w:tc>
          <w:tcPr>
            <w:tcW w:w="2773"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道路绿化补偿金额</w:t>
            </w:r>
          </w:p>
        </w:tc>
        <w:tc>
          <w:tcPr>
            <w:tcW w:w="114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33.946</w:t>
            </w:r>
            <w:r>
              <w:rPr>
                <w:rFonts w:hint="eastAsia" w:ascii="宋体" w:hAnsi="宋体" w:eastAsia="宋体" w:cs="宋体"/>
                <w:i w:val="0"/>
                <w:iCs w:val="0"/>
                <w:color w:val="000000"/>
                <w:kern w:val="0"/>
                <w:sz w:val="20"/>
                <w:szCs w:val="20"/>
                <w:u w:val="none"/>
                <w:lang w:val="en-US" w:eastAsia="zh-CN" w:bidi="ar"/>
              </w:rPr>
              <w:t>万元</w:t>
            </w:r>
          </w:p>
        </w:tc>
        <w:tc>
          <w:tcPr>
            <w:tcW w:w="122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33.946</w:t>
            </w:r>
            <w:r>
              <w:rPr>
                <w:rFonts w:hint="eastAsia" w:ascii="宋体" w:hAnsi="宋体" w:eastAsia="宋体" w:cs="宋体"/>
                <w:i w:val="0"/>
                <w:iCs w:val="0"/>
                <w:color w:val="000000"/>
                <w:kern w:val="0"/>
                <w:sz w:val="20"/>
                <w:szCs w:val="20"/>
                <w:u w:val="none"/>
                <w:lang w:val="en-US" w:eastAsia="zh-CN" w:bidi="ar"/>
              </w:rPr>
              <w:t>万元</w:t>
            </w:r>
          </w:p>
        </w:tc>
        <w:tc>
          <w:tcPr>
            <w:tcW w:w="161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Before w:val="1"/>
          <w:wBefore w:w="792" w:type="dxa"/>
          <w:trHeight w:val="840" w:hRule="atLeast"/>
          <w:jc w:val="center"/>
        </w:trPr>
        <w:tc>
          <w:tcPr>
            <w:tcW w:w="1248" w:type="dxa"/>
            <w:gridSpan w:val="2"/>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05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预算执行率指标</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（10分）</w:t>
            </w:r>
          </w:p>
        </w:tc>
        <w:tc>
          <w:tcPr>
            <w:tcW w:w="1045" w:type="dxa"/>
            <w:gridSpan w:val="2"/>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预算执行率</w:t>
            </w:r>
          </w:p>
        </w:tc>
        <w:tc>
          <w:tcPr>
            <w:tcW w:w="2773"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14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100%</w:t>
            </w:r>
          </w:p>
        </w:tc>
        <w:tc>
          <w:tcPr>
            <w:tcW w:w="122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100%</w:t>
            </w:r>
          </w:p>
        </w:tc>
        <w:tc>
          <w:tcPr>
            <w:tcW w:w="161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Before w:val="1"/>
          <w:wBefore w:w="792" w:type="dxa"/>
          <w:trHeight w:val="520" w:hRule="atLeast"/>
          <w:jc w:val="center"/>
        </w:trPr>
        <w:tc>
          <w:tcPr>
            <w:tcW w:w="1248" w:type="dxa"/>
            <w:gridSpan w:val="2"/>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059" w:type="dxa"/>
            <w:gridSpan w:val="2"/>
            <w:tcBorders>
              <w:top w:val="nil"/>
              <w:left w:val="single" w:color="000000" w:sz="4" w:space="0"/>
              <w:bottom w:val="nil"/>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效益指标（40）</w:t>
            </w:r>
          </w:p>
        </w:tc>
        <w:tc>
          <w:tcPr>
            <w:tcW w:w="1045" w:type="dxa"/>
            <w:gridSpan w:val="2"/>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可持续影响指标</w:t>
            </w:r>
          </w:p>
        </w:tc>
        <w:tc>
          <w:tcPr>
            <w:tcW w:w="2773"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道路绿化补偿影响</w:t>
            </w:r>
          </w:p>
        </w:tc>
        <w:tc>
          <w:tcPr>
            <w:tcW w:w="114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提高群众生活水平</w:t>
            </w:r>
          </w:p>
        </w:tc>
        <w:tc>
          <w:tcPr>
            <w:tcW w:w="122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提高群众生活水平</w:t>
            </w:r>
          </w:p>
        </w:tc>
        <w:tc>
          <w:tcPr>
            <w:tcW w:w="161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40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Before w:val="1"/>
          <w:wBefore w:w="792" w:type="dxa"/>
          <w:trHeight w:val="780" w:hRule="atLeast"/>
          <w:jc w:val="center"/>
        </w:trPr>
        <w:tc>
          <w:tcPr>
            <w:tcW w:w="1248" w:type="dxa"/>
            <w:gridSpan w:val="2"/>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05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满意度指标</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（10分）</w:t>
            </w:r>
          </w:p>
        </w:tc>
        <w:tc>
          <w:tcPr>
            <w:tcW w:w="1045" w:type="dxa"/>
            <w:gridSpan w:val="2"/>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满意度指标</w:t>
            </w:r>
          </w:p>
        </w:tc>
        <w:tc>
          <w:tcPr>
            <w:tcW w:w="2773"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群众满意度</w:t>
            </w:r>
          </w:p>
        </w:tc>
        <w:tc>
          <w:tcPr>
            <w:tcW w:w="114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≥80%</w:t>
            </w:r>
          </w:p>
        </w:tc>
        <w:tc>
          <w:tcPr>
            <w:tcW w:w="122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≥80%</w:t>
            </w:r>
          </w:p>
        </w:tc>
        <w:tc>
          <w:tcPr>
            <w:tcW w:w="161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Before w:val="1"/>
          <w:wBefore w:w="792" w:type="dxa"/>
          <w:trHeight w:val="280" w:hRule="atLeast"/>
          <w:jc w:val="center"/>
        </w:trPr>
        <w:tc>
          <w:tcPr>
            <w:tcW w:w="1248" w:type="dxa"/>
            <w:gridSpan w:val="2"/>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7242" w:type="dxa"/>
            <w:gridSpan w:val="1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总分</w:t>
            </w:r>
          </w:p>
        </w:tc>
        <w:tc>
          <w:tcPr>
            <w:tcW w:w="161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95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Before w:val="1"/>
          <w:wBefore w:w="792" w:type="dxa"/>
          <w:trHeight w:val="780" w:hRule="atLeast"/>
          <w:jc w:val="center"/>
        </w:trPr>
        <w:tc>
          <w:tcPr>
            <w:tcW w:w="1248" w:type="dxa"/>
            <w:gridSpan w:val="2"/>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五、</w:t>
            </w:r>
            <w:r>
              <w:rPr>
                <w:rFonts w:ascii="Calibri" w:hAnsi="Calibri" w:eastAsia="宋体" w:cs="Calibri"/>
                <w:i w:val="0"/>
                <w:iCs w:val="0"/>
                <w:color w:val="000000"/>
                <w:kern w:val="0"/>
                <w:sz w:val="20"/>
                <w:szCs w:val="20"/>
                <w:u w:val="none"/>
                <w:lang w:val="en-US" w:eastAsia="zh-CN" w:bidi="ar"/>
              </w:rPr>
              <w:t xml:space="preserve"> </w:t>
            </w:r>
            <w:r>
              <w:rPr>
                <w:rFonts w:hint="eastAsia" w:ascii="宋体" w:hAnsi="宋体" w:eastAsia="宋体" w:cs="宋体"/>
                <w:i w:val="0"/>
                <w:iCs w:val="0"/>
                <w:color w:val="000000"/>
                <w:kern w:val="0"/>
                <w:sz w:val="20"/>
                <w:szCs w:val="20"/>
                <w:u w:val="none"/>
                <w:lang w:val="en-US" w:eastAsia="zh-CN" w:bidi="ar"/>
              </w:rPr>
              <w:t>存在问题、原因及下一步整改措施</w:t>
            </w:r>
          </w:p>
        </w:tc>
        <w:tc>
          <w:tcPr>
            <w:tcW w:w="8858" w:type="dxa"/>
            <w:gridSpan w:val="14"/>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及时申请资金，按时支付资金</w:t>
            </w:r>
          </w:p>
        </w:tc>
      </w:tr>
    </w:tbl>
    <w:p>
      <w:pPr>
        <w:rPr>
          <w:rFonts w:hint="default" w:ascii="Times New Roman" w:hAnsi="Times New Roman" w:eastAsia="仿宋_GB2312" w:cs="Times New Roman"/>
          <w:sz w:val="32"/>
          <w:szCs w:val="32"/>
          <w:highlight w:val="yellow"/>
        </w:rPr>
      </w:pPr>
    </w:p>
    <w:p>
      <w:pPr>
        <w:numPr>
          <w:ilvl w:val="0"/>
          <w:numId w:val="3"/>
        </w:numPr>
        <w:adjustRightInd w:val="0"/>
        <w:snapToGrid w:val="0"/>
        <w:spacing w:line="580" w:lineRule="exact"/>
        <w:ind w:left="480" w:leftChars="200" w:firstLine="321" w:firstLineChars="100"/>
        <w:rPr>
          <w:rFonts w:hint="default" w:ascii="Times New Roman" w:hAnsi="Times New Roman" w:eastAsia="仿宋_GB2312" w:cs="Times New Roman"/>
          <w:b/>
          <w:bCs/>
          <w:sz w:val="32"/>
          <w:szCs w:val="32"/>
        </w:rPr>
      </w:pPr>
      <w:r>
        <w:rPr>
          <w:rFonts w:hint="default" w:ascii="Times New Roman" w:hAnsi="Times New Roman" w:eastAsia="仿宋_GB2312" w:cs="Times New Roman"/>
          <w:b/>
          <w:bCs/>
          <w:sz w:val="32"/>
          <w:szCs w:val="32"/>
        </w:rPr>
        <w:t>部门评价项目绩效评价结果</w:t>
      </w:r>
    </w:p>
    <w:p>
      <w:pPr>
        <w:numPr>
          <w:numId w:val="0"/>
        </w:numPr>
        <w:adjustRightInd w:val="0"/>
        <w:snapToGrid w:val="0"/>
        <w:spacing w:line="580" w:lineRule="exact"/>
        <w:ind w:firstLine="640" w:firstLineChars="200"/>
        <w:rPr>
          <w:rFonts w:hint="default" w:ascii="Times New Roman" w:hAnsi="Times New Roman" w:eastAsia="仿宋_GB2312" w:cs="Times New Roman"/>
          <w:b/>
          <w:bCs/>
          <w:sz w:val="32"/>
          <w:szCs w:val="32"/>
        </w:rPr>
      </w:pPr>
      <w:bookmarkStart w:id="0" w:name="_GoBack"/>
      <w:bookmarkEnd w:id="0"/>
      <w:r>
        <w:rPr>
          <w:rFonts w:hint="eastAsia" w:ascii="仿宋" w:hAnsi="仿宋" w:eastAsia="仿宋" w:cs="仿宋"/>
          <w:sz w:val="32"/>
          <w:szCs w:val="32"/>
        </w:rPr>
        <w:t>作为绩效运行监管主体，我</w:t>
      </w:r>
      <w:r>
        <w:rPr>
          <w:rFonts w:hint="eastAsia" w:ascii="仿宋" w:hAnsi="仿宋" w:eastAsia="仿宋" w:cs="仿宋"/>
          <w:sz w:val="32"/>
          <w:szCs w:val="32"/>
          <w:lang w:val="en-US" w:eastAsia="zh-CN"/>
        </w:rPr>
        <w:t>乡</w:t>
      </w:r>
      <w:r>
        <w:rPr>
          <w:rFonts w:hint="eastAsia" w:ascii="仿宋" w:hAnsi="仿宋" w:eastAsia="仿宋" w:cs="仿宋"/>
          <w:sz w:val="32"/>
          <w:szCs w:val="32"/>
        </w:rPr>
        <w:t>党委、政府认真落实主体责任，定期对绩效监控信息进行收集、汇总、分析，并将 结果上报</w:t>
      </w:r>
      <w:r>
        <w:rPr>
          <w:rFonts w:hint="eastAsia" w:ascii="仿宋" w:hAnsi="仿宋" w:eastAsia="仿宋" w:cs="仿宋"/>
          <w:sz w:val="32"/>
          <w:szCs w:val="32"/>
          <w:lang w:val="en-US" w:eastAsia="zh-CN"/>
        </w:rPr>
        <w:t>乡</w:t>
      </w:r>
      <w:r>
        <w:rPr>
          <w:rFonts w:hint="eastAsia" w:ascii="仿宋" w:hAnsi="仿宋" w:eastAsia="仿宋" w:cs="仿宋"/>
          <w:sz w:val="32"/>
          <w:szCs w:val="32"/>
        </w:rPr>
        <w:t>党委、政府。各责任部门加强监督，及时审核、汇总、报告本部门涉及的项目跟踪监控情况。坚持“全覆盖、 零容忍、重实效 ”的原则，对 2023 年项目开展绩效监控， 并对项目管理及目标调整依据项目的实际情况进行分析，及 时反映预算执行过程中项目绩效目标的运行情况和实现程 度；进一步明确预算管理目标，实行垂直管理和上下联动机 制，根据每月预算支出进度，对项目运行较慢、落实不到位 情况进行纠正和修改绩效目标和指标，分析问题原因，提出 意见建议并进行整改，切实提高我</w:t>
      </w:r>
      <w:r>
        <w:rPr>
          <w:rFonts w:hint="eastAsia" w:ascii="仿宋" w:hAnsi="仿宋" w:eastAsia="仿宋" w:cs="仿宋"/>
          <w:sz w:val="32"/>
          <w:szCs w:val="32"/>
          <w:lang w:val="en-US" w:eastAsia="zh-CN"/>
        </w:rPr>
        <w:t>乡</w:t>
      </w:r>
      <w:r>
        <w:rPr>
          <w:rFonts w:hint="eastAsia" w:ascii="仿宋" w:hAnsi="仿宋" w:eastAsia="仿宋" w:cs="仿宋"/>
          <w:sz w:val="32"/>
          <w:szCs w:val="32"/>
        </w:rPr>
        <w:t>预算资金的使用率</w:t>
      </w:r>
    </w:p>
    <w:p>
      <w:pPr>
        <w:adjustRightInd w:val="0"/>
        <w:snapToGrid w:val="0"/>
        <w:spacing w:line="580" w:lineRule="exact"/>
        <w:ind w:firstLine="640" w:firstLineChars="200"/>
        <w:rPr>
          <w:rFonts w:hint="default" w:ascii="Times New Roman" w:hAnsi="Times New Roman" w:eastAsia="楷体_GB2312" w:cs="Times New Roman"/>
          <w:b/>
          <w:bCs/>
          <w:sz w:val="32"/>
          <w:szCs w:val="32"/>
        </w:rPr>
      </w:pPr>
      <w:r>
        <w:rPr>
          <w:rFonts w:hint="default" w:ascii="Times New Roman" w:hAnsi="Times New Roman" w:eastAsia="黑体" w:cs="Times New Roman"/>
          <w:sz w:val="32"/>
          <w:szCs w:val="32"/>
        </w:rPr>
        <w:t>十、其他需要说明的情况</w:t>
      </w:r>
    </w:p>
    <w:p>
      <w:pPr>
        <w:adjustRightInd w:val="0"/>
        <w:snapToGrid w:val="0"/>
        <w:spacing w:line="580" w:lineRule="exact"/>
        <w:ind w:firstLine="640" w:firstLineChars="20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1. 本部门2023年度</w:t>
      </w:r>
      <w:r>
        <w:rPr>
          <w:rFonts w:hint="eastAsia" w:ascii="方正仿宋_GB2312" w:hAnsi="方正仿宋_GB2312" w:eastAsia="方正仿宋_GB2312" w:cs="方正仿宋_GB2312"/>
          <w:b w:val="0"/>
          <w:bCs/>
          <w:color w:val="auto"/>
          <w:kern w:val="0"/>
          <w:sz w:val="32"/>
          <w:szCs w:val="32"/>
          <w:highlight w:val="none"/>
          <w:lang w:val="en-US" w:eastAsia="zh-CN"/>
        </w:rPr>
        <w:t>国有资本经营预算财政拨款</w:t>
      </w:r>
      <w:r>
        <w:rPr>
          <w:rFonts w:hint="default" w:ascii="Times New Roman" w:hAnsi="Times New Roman" w:eastAsia="仿宋_GB2312" w:cs="Times New Roman"/>
          <w:sz w:val="32"/>
          <w:szCs w:val="32"/>
        </w:rPr>
        <w:t>无收支及结转结余情况，故</w:t>
      </w:r>
      <w:r>
        <w:rPr>
          <w:rFonts w:hint="eastAsia" w:ascii="Times New Roman" w:hAnsi="Times New Roman" w:eastAsia="仿宋_GB2312" w:cs="Times New Roman"/>
          <w:sz w:val="32"/>
          <w:szCs w:val="32"/>
          <w:lang w:val="en-US" w:eastAsia="zh-CN"/>
        </w:rPr>
        <w:t>08</w:t>
      </w:r>
      <w:r>
        <w:rPr>
          <w:rFonts w:hint="default" w:ascii="Times New Roman" w:hAnsi="Times New Roman" w:eastAsia="仿宋_GB2312" w:cs="Times New Roman"/>
          <w:sz w:val="32"/>
          <w:szCs w:val="32"/>
        </w:rPr>
        <w:t>表以空表列示。</w:t>
      </w:r>
    </w:p>
    <w:p>
      <w:pPr>
        <w:adjustRightInd w:val="0"/>
        <w:snapToGrid w:val="0"/>
        <w:spacing w:line="580" w:lineRule="exact"/>
        <w:ind w:firstLine="640" w:firstLineChars="20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2. 由于决算公开表格中金额数值应当保留两位小数，公开数据为四舍五入计算结果，个别数据合计项与分项之和存在小数点后差额，特此说明。</w:t>
      </w:r>
    </w:p>
    <w:p>
      <w:pPr>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br w:type="page"/>
      </w:r>
    </w:p>
    <w:p>
      <w:pPr>
        <w:adjustRightInd w:val="0"/>
        <w:snapToGrid w:val="0"/>
        <w:spacing w:line="580" w:lineRule="exact"/>
        <w:ind w:firstLine="640" w:firstLineChars="200"/>
        <w:rPr>
          <w:rFonts w:hint="default" w:ascii="Times New Roman" w:hAnsi="Times New Roman" w:eastAsia="仿宋_GB2312" w:cs="Times New Roman"/>
          <w:sz w:val="32"/>
          <w:szCs w:val="32"/>
        </w:rPr>
      </w:pPr>
    </w:p>
    <w:p>
      <w:pPr>
        <w:widowControl/>
        <w:spacing w:line="580" w:lineRule="exact"/>
        <w:ind w:firstLine="883" w:firstLineChars="200"/>
        <w:jc w:val="left"/>
        <w:rPr>
          <w:rFonts w:hint="default" w:ascii="Times New Roman" w:hAnsi="Times New Roman" w:eastAsia="宋体" w:cs="Times New Roman"/>
          <w:b/>
          <w:bCs/>
          <w:kern w:val="0"/>
          <w:sz w:val="44"/>
          <w:szCs w:val="44"/>
        </w:rPr>
      </w:pPr>
    </w:p>
    <w:p>
      <w:pPr>
        <w:rPr>
          <w:rFonts w:hint="default" w:ascii="Times New Roman" w:hAnsi="Times New Roman" w:eastAsia="仿宋_GB2312" w:cs="Times New Roman"/>
          <w:sz w:val="32"/>
          <w:szCs w:val="32"/>
        </w:rPr>
      </w:pPr>
    </w:p>
    <w:p>
      <w:pPr>
        <w:widowControl/>
        <w:jc w:val="center"/>
        <w:rPr>
          <w:rFonts w:hint="default"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pPr>
        <w:widowControl/>
        <w:jc w:val="center"/>
        <w:rPr>
          <w:rFonts w:hint="default"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default"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第四部分 相关名词解释</w:t>
      </w:r>
    </w:p>
    <w:p>
      <w:pPr>
        <w:rPr>
          <w:rFonts w:hint="default"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default"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br w:type="page"/>
      </w:r>
    </w:p>
    <w:p>
      <w:pPr>
        <w:numPr>
          <w:ilvl w:val="0"/>
          <w:numId w:val="0"/>
        </w:numPr>
        <w:spacing w:line="580" w:lineRule="exact"/>
        <w:ind w:firstLine="643" w:firstLineChars="200"/>
        <w:rPr>
          <w:rFonts w:hint="default" w:ascii="Times New Roman" w:hAnsi="Times New Roman" w:eastAsia="仿宋_GB2312" w:cs="Times New Roman"/>
          <w:bCs/>
          <w:color w:val="000000"/>
          <w:kern w:val="0"/>
          <w:sz w:val="32"/>
          <w:szCs w:val="32"/>
        </w:rPr>
      </w:pPr>
      <w:r>
        <w:rPr>
          <w:rFonts w:hint="eastAsia" w:ascii="Times New Roman" w:hAnsi="Times New Roman" w:eastAsia="仿宋_GB2312" w:cs="Times New Roman"/>
          <w:b/>
          <w:bCs/>
          <w:color w:val="000000"/>
          <w:kern w:val="0"/>
          <w:sz w:val="32"/>
          <w:szCs w:val="32"/>
          <w:lang w:val="en-US" w:eastAsia="zh-CN"/>
        </w:rPr>
        <w:t>一、</w:t>
      </w:r>
      <w:r>
        <w:rPr>
          <w:rFonts w:hint="default" w:ascii="Times New Roman" w:hAnsi="Times New Roman" w:eastAsia="仿宋_GB2312" w:cs="Times New Roman"/>
          <w:b/>
          <w:bCs/>
          <w:color w:val="000000"/>
          <w:kern w:val="0"/>
          <w:sz w:val="32"/>
          <w:szCs w:val="32"/>
        </w:rPr>
        <w:t>财政拨款收入：</w:t>
      </w:r>
      <w:r>
        <w:rPr>
          <w:rFonts w:hint="default" w:ascii="Times New Roman" w:hAnsi="Times New Roman" w:eastAsia="仿宋_GB2312" w:cs="Times New Roman"/>
          <w:bCs/>
          <w:color w:val="000000"/>
          <w:kern w:val="0"/>
          <w:sz w:val="32"/>
          <w:szCs w:val="32"/>
        </w:rPr>
        <w:t>指单位从同级财政部门取得的财政预算资金。</w:t>
      </w:r>
    </w:p>
    <w:p>
      <w:pPr>
        <w:numPr>
          <w:ilvl w:val="0"/>
          <w:numId w:val="0"/>
        </w:numPr>
        <w:spacing w:line="580" w:lineRule="exact"/>
        <w:ind w:firstLine="643" w:firstLineChars="200"/>
        <w:rPr>
          <w:rFonts w:hint="default" w:ascii="Times New Roman" w:hAnsi="Times New Roman" w:eastAsia="仿宋_GB2312" w:cs="Times New Roman"/>
          <w:bCs/>
          <w:color w:val="000000"/>
          <w:kern w:val="0"/>
          <w:sz w:val="32"/>
          <w:szCs w:val="32"/>
        </w:rPr>
      </w:pPr>
      <w:r>
        <w:rPr>
          <w:rFonts w:hint="eastAsia" w:ascii="Times New Roman" w:hAnsi="Times New Roman" w:eastAsia="仿宋_GB2312" w:cs="Times New Roman"/>
          <w:b/>
          <w:bCs/>
          <w:color w:val="000000"/>
          <w:kern w:val="0"/>
          <w:sz w:val="32"/>
          <w:szCs w:val="32"/>
          <w:lang w:val="en-US" w:eastAsia="zh-CN"/>
        </w:rPr>
        <w:t>二、</w:t>
      </w:r>
      <w:r>
        <w:rPr>
          <w:rFonts w:hint="default" w:ascii="Times New Roman" w:hAnsi="Times New Roman" w:eastAsia="仿宋_GB2312" w:cs="Times New Roman"/>
          <w:b/>
          <w:bCs/>
          <w:color w:val="000000"/>
          <w:kern w:val="0"/>
          <w:sz w:val="32"/>
          <w:szCs w:val="32"/>
        </w:rPr>
        <w:t>事业收入：</w:t>
      </w:r>
      <w:r>
        <w:rPr>
          <w:rFonts w:hint="default" w:ascii="Times New Roman" w:hAnsi="Times New Roman" w:eastAsia="仿宋_GB2312" w:cs="Times New Roman"/>
          <w:bCs/>
          <w:color w:val="000000"/>
          <w:kern w:val="0"/>
          <w:sz w:val="32"/>
          <w:szCs w:val="32"/>
        </w:rPr>
        <w:t>指事业单位开展专业业务活动及辅助活动取得的收入。</w:t>
      </w:r>
    </w:p>
    <w:p>
      <w:pPr>
        <w:numPr>
          <w:ilvl w:val="0"/>
          <w:numId w:val="0"/>
        </w:numPr>
        <w:spacing w:line="580" w:lineRule="exact"/>
        <w:ind w:firstLine="643" w:firstLineChars="200"/>
        <w:rPr>
          <w:rFonts w:hint="default" w:ascii="Times New Roman" w:hAnsi="Times New Roman" w:eastAsia="仿宋_GB2312" w:cs="Times New Roman"/>
          <w:bCs/>
          <w:color w:val="000000"/>
          <w:kern w:val="0"/>
          <w:sz w:val="32"/>
          <w:szCs w:val="32"/>
        </w:rPr>
      </w:pPr>
      <w:r>
        <w:rPr>
          <w:rFonts w:hint="eastAsia" w:ascii="Times New Roman" w:hAnsi="Times New Roman" w:eastAsia="仿宋_GB2312" w:cs="Times New Roman"/>
          <w:b/>
          <w:bCs/>
          <w:color w:val="000000"/>
          <w:kern w:val="0"/>
          <w:sz w:val="32"/>
          <w:szCs w:val="32"/>
          <w:lang w:val="en-US" w:eastAsia="zh-CN"/>
        </w:rPr>
        <w:t>三、</w:t>
      </w:r>
      <w:r>
        <w:rPr>
          <w:rFonts w:hint="default" w:ascii="Times New Roman" w:hAnsi="Times New Roman" w:eastAsia="仿宋_GB2312" w:cs="Times New Roman"/>
          <w:b/>
          <w:bCs/>
          <w:color w:val="000000"/>
          <w:kern w:val="0"/>
          <w:sz w:val="32"/>
          <w:szCs w:val="32"/>
        </w:rPr>
        <w:t>经营收入：</w:t>
      </w:r>
      <w:r>
        <w:rPr>
          <w:rFonts w:hint="default" w:ascii="Times New Roman" w:hAnsi="Times New Roman" w:eastAsia="仿宋_GB2312" w:cs="Times New Roman"/>
          <w:bCs/>
          <w:color w:val="000000"/>
          <w:kern w:val="0"/>
          <w:sz w:val="32"/>
          <w:szCs w:val="32"/>
        </w:rPr>
        <w:t>指事业单位在专业业务活动及其辅助活动之外开展非独立核算经营活动取得的收入。</w:t>
      </w:r>
    </w:p>
    <w:p>
      <w:pPr>
        <w:numPr>
          <w:ilvl w:val="0"/>
          <w:numId w:val="0"/>
        </w:numPr>
        <w:spacing w:line="580" w:lineRule="exact"/>
        <w:ind w:firstLine="643" w:firstLineChars="200"/>
        <w:rPr>
          <w:rFonts w:hint="default" w:ascii="Times New Roman" w:hAnsi="Times New Roman" w:eastAsia="仿宋_GB2312" w:cs="Times New Roman"/>
          <w:bCs/>
          <w:color w:val="000000"/>
          <w:kern w:val="0"/>
          <w:sz w:val="32"/>
          <w:szCs w:val="32"/>
        </w:rPr>
      </w:pPr>
      <w:r>
        <w:rPr>
          <w:rFonts w:hint="eastAsia" w:ascii="Times New Roman" w:hAnsi="Times New Roman" w:eastAsia="仿宋_GB2312" w:cs="Times New Roman"/>
          <w:b/>
          <w:bCs/>
          <w:color w:val="000000"/>
          <w:kern w:val="0"/>
          <w:sz w:val="32"/>
          <w:szCs w:val="32"/>
          <w:lang w:val="en-US" w:eastAsia="zh-CN"/>
        </w:rPr>
        <w:t>四、</w:t>
      </w:r>
      <w:r>
        <w:rPr>
          <w:rFonts w:hint="default" w:ascii="Times New Roman" w:hAnsi="Times New Roman" w:eastAsia="仿宋_GB2312" w:cs="Times New Roman"/>
          <w:b/>
          <w:bCs/>
          <w:color w:val="000000"/>
          <w:kern w:val="0"/>
          <w:sz w:val="32"/>
          <w:szCs w:val="32"/>
        </w:rPr>
        <w:t>其他收入：</w:t>
      </w:r>
      <w:r>
        <w:rPr>
          <w:rFonts w:hint="default" w:ascii="Times New Roman" w:hAnsi="Times New Roman" w:eastAsia="仿宋_GB2312" w:cs="Times New Roman"/>
          <w:bCs/>
          <w:color w:val="000000"/>
          <w:kern w:val="0"/>
          <w:sz w:val="32"/>
          <w:szCs w:val="32"/>
        </w:rPr>
        <w:t>指单位取得的除上述收入以外的各项收</w:t>
      </w:r>
    </w:p>
    <w:p>
      <w:pPr>
        <w:spacing w:line="580" w:lineRule="exact"/>
        <w:rPr>
          <w:rFonts w:hint="default" w:ascii="Times New Roman" w:hAnsi="Times New Roman" w:eastAsia="仿宋_GB2312" w:cs="Times New Roman"/>
          <w:b/>
          <w:bCs/>
          <w:color w:val="000000"/>
          <w:kern w:val="0"/>
          <w:sz w:val="32"/>
          <w:szCs w:val="32"/>
        </w:rPr>
      </w:pPr>
      <w:r>
        <w:rPr>
          <w:rFonts w:hint="default" w:ascii="Times New Roman" w:hAnsi="Times New Roman" w:eastAsia="仿宋_GB2312" w:cs="Times New Roman"/>
          <w:bCs/>
          <w:color w:val="000000"/>
          <w:kern w:val="0"/>
          <w:sz w:val="32"/>
          <w:szCs w:val="32"/>
        </w:rPr>
        <w:t>入。主要是事业单位固定资产出租收入、存款利息收入等。</w:t>
      </w:r>
    </w:p>
    <w:p>
      <w:pPr>
        <w:spacing w:line="580" w:lineRule="exact"/>
        <w:ind w:firstLine="643" w:firstLineChars="200"/>
        <w:rPr>
          <w:rFonts w:hint="default" w:ascii="Times New Roman" w:hAnsi="Times New Roman" w:eastAsia="仿宋_GB2312" w:cs="Times New Roman"/>
          <w:bCs/>
          <w:color w:val="000000"/>
          <w:kern w:val="0"/>
          <w:sz w:val="32"/>
          <w:szCs w:val="32"/>
        </w:rPr>
      </w:pPr>
      <w:r>
        <w:rPr>
          <w:rFonts w:hint="eastAsia" w:ascii="Times New Roman" w:hAnsi="Times New Roman" w:eastAsia="仿宋_GB2312" w:cs="Times New Roman"/>
          <w:b/>
          <w:bCs/>
          <w:color w:val="000000"/>
          <w:kern w:val="0"/>
          <w:sz w:val="32"/>
          <w:szCs w:val="32"/>
          <w:lang w:val="en-US" w:eastAsia="zh-CN"/>
        </w:rPr>
        <w:t>五、</w:t>
      </w:r>
      <w:r>
        <w:rPr>
          <w:rFonts w:hint="default" w:ascii="Times New Roman" w:hAnsi="Times New Roman" w:eastAsia="仿宋_GB2312" w:cs="Times New Roman"/>
          <w:b/>
          <w:bCs/>
          <w:color w:val="000000"/>
          <w:kern w:val="0"/>
          <w:sz w:val="32"/>
          <w:szCs w:val="32"/>
        </w:rPr>
        <w:t>使用非财政拨款结余（含专用结余）：</w:t>
      </w:r>
      <w:r>
        <w:rPr>
          <w:rFonts w:hint="default" w:ascii="Times New Roman" w:hAnsi="Times New Roman" w:eastAsia="仿宋_GB2312" w:cs="Times New Roman"/>
          <w:bCs/>
          <w:color w:val="000000"/>
          <w:kern w:val="0"/>
          <w:sz w:val="32"/>
          <w:szCs w:val="32"/>
        </w:rPr>
        <w:t>指事业单位按照预算管理要求使用非财政拨款结余弥补收支差额的金额，以及使用专用结余安排支出的金额。</w:t>
      </w:r>
    </w:p>
    <w:p>
      <w:pPr>
        <w:numPr>
          <w:ilvl w:val="0"/>
          <w:numId w:val="0"/>
        </w:numPr>
        <w:spacing w:line="580" w:lineRule="exact"/>
        <w:ind w:firstLine="643" w:firstLineChars="200"/>
        <w:rPr>
          <w:rFonts w:hint="default" w:ascii="Times New Roman" w:hAnsi="Times New Roman" w:eastAsia="仿宋_GB2312" w:cs="Times New Roman"/>
          <w:bCs/>
          <w:color w:val="000000"/>
          <w:kern w:val="0"/>
          <w:sz w:val="32"/>
          <w:szCs w:val="32"/>
        </w:rPr>
      </w:pPr>
      <w:r>
        <w:rPr>
          <w:rFonts w:hint="eastAsia" w:ascii="Times New Roman" w:hAnsi="Times New Roman" w:eastAsia="仿宋_GB2312" w:cs="Times New Roman"/>
          <w:b/>
          <w:bCs/>
          <w:color w:val="000000"/>
          <w:kern w:val="0"/>
          <w:sz w:val="32"/>
          <w:szCs w:val="32"/>
          <w:lang w:val="en-US" w:eastAsia="zh-CN"/>
        </w:rPr>
        <w:t>六、</w:t>
      </w:r>
      <w:r>
        <w:rPr>
          <w:rFonts w:hint="default" w:ascii="Times New Roman" w:hAnsi="Times New Roman" w:eastAsia="仿宋_GB2312" w:cs="Times New Roman"/>
          <w:b/>
          <w:bCs/>
          <w:color w:val="000000"/>
          <w:kern w:val="0"/>
          <w:sz w:val="32"/>
          <w:szCs w:val="32"/>
        </w:rPr>
        <w:t>年初结转和结余：</w:t>
      </w:r>
      <w:r>
        <w:rPr>
          <w:rFonts w:hint="default" w:ascii="Times New Roman" w:hAnsi="Times New Roman" w:eastAsia="仿宋_GB2312" w:cs="Times New Roman"/>
          <w:bCs/>
          <w:color w:val="000000"/>
          <w:kern w:val="0"/>
          <w:sz w:val="32"/>
          <w:szCs w:val="32"/>
        </w:rPr>
        <w:t>指单位以前年度尚未完成、结转到本年仍按原规定用途继续使用的资金，或项目已完成等产生的结余资金。</w:t>
      </w:r>
    </w:p>
    <w:p>
      <w:pPr>
        <w:numPr>
          <w:ilvl w:val="0"/>
          <w:numId w:val="0"/>
        </w:numPr>
        <w:spacing w:line="580" w:lineRule="exact"/>
        <w:ind w:firstLine="643" w:firstLineChars="200"/>
        <w:rPr>
          <w:rFonts w:hint="default" w:ascii="Times New Roman" w:hAnsi="Times New Roman" w:eastAsia="仿宋_GB2312" w:cs="Times New Roman"/>
          <w:bCs/>
          <w:color w:val="000000"/>
          <w:kern w:val="0"/>
          <w:sz w:val="32"/>
          <w:szCs w:val="32"/>
        </w:rPr>
      </w:pPr>
      <w:r>
        <w:rPr>
          <w:rFonts w:hint="eastAsia" w:ascii="Times New Roman" w:hAnsi="Times New Roman" w:eastAsia="仿宋_GB2312" w:cs="Times New Roman"/>
          <w:b/>
          <w:bCs/>
          <w:color w:val="000000"/>
          <w:kern w:val="0"/>
          <w:sz w:val="32"/>
          <w:szCs w:val="32"/>
          <w:lang w:val="en-US" w:eastAsia="zh-CN"/>
        </w:rPr>
        <w:t>七、</w:t>
      </w:r>
      <w:r>
        <w:rPr>
          <w:rFonts w:hint="default" w:ascii="Times New Roman" w:hAnsi="Times New Roman" w:eastAsia="仿宋_GB2312" w:cs="Times New Roman"/>
          <w:b/>
          <w:bCs/>
          <w:color w:val="000000"/>
          <w:kern w:val="0"/>
          <w:sz w:val="32"/>
          <w:szCs w:val="32"/>
        </w:rPr>
        <w:t>结余分配：</w:t>
      </w:r>
      <w:r>
        <w:rPr>
          <w:rFonts w:hint="default" w:ascii="Times New Roman" w:hAnsi="Times New Roman" w:eastAsia="仿宋_GB2312" w:cs="Times New Roman"/>
          <w:bCs/>
          <w:color w:val="000000"/>
          <w:kern w:val="0"/>
          <w:sz w:val="32"/>
          <w:szCs w:val="32"/>
        </w:rPr>
        <w:t>指事业单位按照会计制度规定缴纳的所得税、提取的专用结余以及转入非财政拨款结余的金额等。</w:t>
      </w:r>
    </w:p>
    <w:p>
      <w:pPr>
        <w:numPr>
          <w:ilvl w:val="0"/>
          <w:numId w:val="0"/>
        </w:numPr>
        <w:spacing w:line="580" w:lineRule="exact"/>
        <w:ind w:firstLine="643" w:firstLineChars="200"/>
        <w:rPr>
          <w:rFonts w:hint="default" w:ascii="Times New Roman" w:hAnsi="Times New Roman" w:eastAsia="仿宋_GB2312" w:cs="Times New Roman"/>
          <w:bCs/>
          <w:color w:val="000000"/>
          <w:kern w:val="0"/>
          <w:sz w:val="32"/>
          <w:szCs w:val="32"/>
        </w:rPr>
      </w:pPr>
      <w:r>
        <w:rPr>
          <w:rFonts w:hint="eastAsia" w:ascii="Times New Roman" w:hAnsi="Times New Roman" w:eastAsia="仿宋_GB2312" w:cs="Times New Roman"/>
          <w:b/>
          <w:bCs/>
          <w:color w:val="000000"/>
          <w:kern w:val="0"/>
          <w:sz w:val="32"/>
          <w:szCs w:val="32"/>
          <w:lang w:val="en-US" w:eastAsia="zh-CN"/>
        </w:rPr>
        <w:t>八、</w:t>
      </w:r>
      <w:r>
        <w:rPr>
          <w:rFonts w:hint="default" w:ascii="Times New Roman" w:hAnsi="Times New Roman" w:eastAsia="仿宋_GB2312" w:cs="Times New Roman"/>
          <w:b/>
          <w:bCs/>
          <w:color w:val="000000"/>
          <w:kern w:val="0"/>
          <w:sz w:val="32"/>
          <w:szCs w:val="32"/>
        </w:rPr>
        <w:t>年末结转和结余：</w:t>
      </w:r>
      <w:r>
        <w:rPr>
          <w:rFonts w:hint="default" w:ascii="Times New Roman" w:hAnsi="Times New Roman" w:eastAsia="仿宋_GB2312" w:cs="Times New Roman"/>
          <w:bCs/>
          <w:color w:val="000000"/>
          <w:kern w:val="0"/>
          <w:sz w:val="32"/>
          <w:szCs w:val="32"/>
        </w:rPr>
        <w:t>指单位按有关规定结转到下年或以后年度继续使用的资金，或项目已完成等产生的结余资金。</w:t>
      </w:r>
    </w:p>
    <w:p>
      <w:pPr>
        <w:numPr>
          <w:ilvl w:val="0"/>
          <w:numId w:val="0"/>
        </w:numPr>
        <w:spacing w:line="580" w:lineRule="exact"/>
        <w:ind w:firstLine="643" w:firstLineChars="200"/>
        <w:rPr>
          <w:rFonts w:hint="default" w:ascii="Times New Roman" w:hAnsi="Times New Roman" w:eastAsia="仿宋_GB2312" w:cs="Times New Roman"/>
          <w:bCs/>
          <w:color w:val="000000"/>
          <w:kern w:val="0"/>
          <w:sz w:val="32"/>
          <w:szCs w:val="32"/>
        </w:rPr>
      </w:pPr>
      <w:r>
        <w:rPr>
          <w:rFonts w:hint="eastAsia" w:ascii="Times New Roman" w:hAnsi="Times New Roman" w:eastAsia="仿宋_GB2312" w:cs="Times New Roman"/>
          <w:b/>
          <w:bCs/>
          <w:color w:val="000000"/>
          <w:kern w:val="0"/>
          <w:sz w:val="32"/>
          <w:szCs w:val="32"/>
          <w:lang w:val="en-US" w:eastAsia="zh-CN"/>
        </w:rPr>
        <w:t>九、</w:t>
      </w:r>
      <w:r>
        <w:rPr>
          <w:rFonts w:hint="default" w:ascii="Times New Roman" w:hAnsi="Times New Roman" w:eastAsia="仿宋_GB2312" w:cs="Times New Roman"/>
          <w:b/>
          <w:bCs/>
          <w:color w:val="000000"/>
          <w:kern w:val="0"/>
          <w:sz w:val="32"/>
          <w:szCs w:val="32"/>
        </w:rPr>
        <w:t>基本支出：</w:t>
      </w:r>
      <w:r>
        <w:rPr>
          <w:rFonts w:hint="default" w:ascii="Times New Roman" w:hAnsi="Times New Roman" w:eastAsia="仿宋_GB2312" w:cs="Times New Roman"/>
          <w:bCs/>
          <w:color w:val="000000"/>
          <w:kern w:val="0"/>
          <w:sz w:val="32"/>
          <w:szCs w:val="32"/>
        </w:rPr>
        <w:t>指为保障机构正常运转、完成日常工作任务而发生的人员支出和公用支出。</w:t>
      </w:r>
    </w:p>
    <w:p>
      <w:pPr>
        <w:widowControl/>
        <w:spacing w:line="560" w:lineRule="exact"/>
        <w:ind w:firstLine="643" w:firstLineChars="200"/>
        <w:rPr>
          <w:rFonts w:hint="default" w:ascii="Times New Roman" w:hAnsi="Times New Roman" w:eastAsia="仿宋_GB2312" w:cs="Times New Roman"/>
          <w:color w:val="000000"/>
          <w:kern w:val="0"/>
          <w:sz w:val="32"/>
          <w:szCs w:val="32"/>
        </w:rPr>
      </w:pPr>
      <w:r>
        <w:rPr>
          <w:rFonts w:hint="eastAsia" w:ascii="Times New Roman" w:hAnsi="Times New Roman" w:eastAsia="仿宋_GB2312" w:cs="Times New Roman"/>
          <w:b/>
          <w:bCs/>
          <w:color w:val="000000"/>
          <w:kern w:val="0"/>
          <w:sz w:val="32"/>
          <w:szCs w:val="32"/>
          <w:lang w:val="en-US" w:eastAsia="zh-CN"/>
        </w:rPr>
        <w:t>十、</w:t>
      </w:r>
      <w:r>
        <w:rPr>
          <w:rFonts w:hint="default" w:ascii="Times New Roman" w:hAnsi="Times New Roman" w:eastAsia="仿宋_GB2312" w:cs="Times New Roman"/>
          <w:b/>
          <w:bCs/>
          <w:color w:val="000000"/>
          <w:kern w:val="0"/>
          <w:sz w:val="32"/>
          <w:szCs w:val="32"/>
        </w:rPr>
        <w:t>项目支出：</w:t>
      </w:r>
      <w:r>
        <w:rPr>
          <w:rFonts w:hint="default" w:ascii="Times New Roman" w:hAnsi="Times New Roman" w:eastAsia="仿宋_GB2312" w:cs="Times New Roman"/>
          <w:color w:val="000000"/>
          <w:kern w:val="0"/>
          <w:sz w:val="32"/>
          <w:szCs w:val="32"/>
        </w:rPr>
        <w:t>指在基本支出之外为完成特定行政任务和事业发展目标所发生的支出。</w:t>
      </w:r>
    </w:p>
    <w:p>
      <w:pPr>
        <w:widowControl/>
        <w:spacing w:line="560" w:lineRule="exact"/>
        <w:ind w:firstLine="643" w:firstLineChars="200"/>
        <w:rPr>
          <w:rFonts w:hint="default" w:ascii="Times New Roman" w:hAnsi="Times New Roman" w:eastAsia="仿宋_GB2312" w:cs="Times New Roman"/>
          <w:color w:val="000000"/>
          <w:kern w:val="0"/>
          <w:sz w:val="32"/>
          <w:szCs w:val="32"/>
        </w:rPr>
      </w:pPr>
      <w:r>
        <w:rPr>
          <w:rFonts w:hint="eastAsia" w:ascii="Times New Roman" w:hAnsi="Times New Roman" w:eastAsia="仿宋_GB2312" w:cs="Times New Roman"/>
          <w:b/>
          <w:bCs/>
          <w:color w:val="000000"/>
          <w:kern w:val="0"/>
          <w:sz w:val="32"/>
          <w:szCs w:val="32"/>
          <w:lang w:val="en-US" w:eastAsia="zh-CN"/>
        </w:rPr>
        <w:t>十一、</w:t>
      </w:r>
      <w:r>
        <w:rPr>
          <w:rFonts w:hint="default" w:ascii="Times New Roman" w:hAnsi="Times New Roman" w:eastAsia="仿宋_GB2312" w:cs="Times New Roman"/>
          <w:b/>
          <w:bCs/>
          <w:color w:val="000000"/>
          <w:kern w:val="0"/>
          <w:sz w:val="32"/>
          <w:szCs w:val="32"/>
        </w:rPr>
        <w:t>经营支出 ：</w:t>
      </w:r>
      <w:r>
        <w:rPr>
          <w:rFonts w:hint="default" w:ascii="Times New Roman" w:hAnsi="Times New Roman" w:eastAsia="仿宋_GB2312" w:cs="Times New Roman"/>
          <w:color w:val="000000"/>
          <w:kern w:val="0"/>
          <w:sz w:val="32"/>
          <w:szCs w:val="32"/>
        </w:rPr>
        <w:t>指事业单位在专业业务活动及其辅助活动之外开展非独立核算经营活动发生的支出。</w:t>
      </w:r>
    </w:p>
    <w:p>
      <w:pPr>
        <w:widowControl/>
        <w:spacing w:line="560" w:lineRule="exact"/>
        <w:ind w:firstLine="643" w:firstLineChars="200"/>
        <w:rPr>
          <w:rFonts w:hint="default" w:ascii="Times New Roman" w:hAnsi="Times New Roman" w:eastAsia="仿宋_GB2312" w:cs="Times New Roman"/>
          <w:color w:val="000000"/>
          <w:kern w:val="0"/>
          <w:sz w:val="32"/>
          <w:szCs w:val="32"/>
        </w:rPr>
      </w:pPr>
      <w:r>
        <w:rPr>
          <w:rFonts w:hint="eastAsia" w:ascii="Times New Roman" w:hAnsi="Times New Roman" w:eastAsia="仿宋_GB2312" w:cs="Times New Roman"/>
          <w:b/>
          <w:bCs/>
          <w:color w:val="000000"/>
          <w:kern w:val="0"/>
          <w:sz w:val="32"/>
          <w:szCs w:val="32"/>
          <w:lang w:val="en-US" w:eastAsia="zh-CN"/>
        </w:rPr>
        <w:t>十二、</w:t>
      </w:r>
      <w:r>
        <w:rPr>
          <w:rFonts w:hint="default" w:ascii="Times New Roman" w:hAnsi="Times New Roman" w:eastAsia="仿宋_GB2312" w:cs="Times New Roman"/>
          <w:b/>
          <w:bCs/>
          <w:color w:val="000000"/>
          <w:kern w:val="0"/>
          <w:sz w:val="32"/>
          <w:szCs w:val="32"/>
        </w:rPr>
        <w:t>基本建设支出：</w:t>
      </w:r>
      <w:r>
        <w:rPr>
          <w:rFonts w:hint="default" w:ascii="Times New Roman" w:hAnsi="Times New Roman" w:eastAsia="仿宋_GB2312" w:cs="Times New Roman"/>
          <w:color w:val="000000"/>
          <w:kern w:val="0"/>
          <w:sz w:val="32"/>
          <w:szCs w:val="32"/>
        </w:rPr>
        <w:t>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pPr>
        <w:widowControl/>
        <w:spacing w:line="560" w:lineRule="exact"/>
        <w:ind w:firstLine="643" w:firstLineChars="200"/>
        <w:rPr>
          <w:rFonts w:hint="default" w:ascii="Times New Roman" w:hAnsi="Times New Roman" w:eastAsia="仿宋_GB2312" w:cs="Times New Roman"/>
          <w:b/>
          <w:bCs/>
          <w:color w:val="000000"/>
          <w:kern w:val="0"/>
          <w:sz w:val="32"/>
          <w:szCs w:val="32"/>
        </w:rPr>
      </w:pPr>
      <w:r>
        <w:rPr>
          <w:rFonts w:hint="eastAsia" w:ascii="Times New Roman" w:hAnsi="Times New Roman" w:eastAsia="仿宋_GB2312" w:cs="Times New Roman"/>
          <w:b/>
          <w:bCs/>
          <w:color w:val="000000"/>
          <w:kern w:val="0"/>
          <w:sz w:val="32"/>
          <w:szCs w:val="32"/>
          <w:lang w:val="en-US" w:eastAsia="zh-CN"/>
        </w:rPr>
        <w:t>十三、</w:t>
      </w:r>
      <w:r>
        <w:rPr>
          <w:rFonts w:hint="default" w:ascii="Times New Roman" w:hAnsi="Times New Roman" w:eastAsia="仿宋_GB2312" w:cs="Times New Roman"/>
          <w:b/>
          <w:bCs/>
          <w:color w:val="000000"/>
          <w:kern w:val="0"/>
          <w:sz w:val="32"/>
          <w:szCs w:val="32"/>
        </w:rPr>
        <w:t>其他资本性支出：</w:t>
      </w:r>
      <w:r>
        <w:rPr>
          <w:rFonts w:hint="default" w:ascii="Times New Roman" w:hAnsi="Times New Roman" w:eastAsia="仿宋_GB2312" w:cs="Times New Roman"/>
          <w:color w:val="000000"/>
          <w:kern w:val="0"/>
          <w:sz w:val="32"/>
          <w:szCs w:val="32"/>
        </w:rPr>
        <w:t>填列由各级非发展与改革部门集中安排的用于购置固定资产、战备性和应急性储备、土地和无形资产，以及购建基础设施、大型修缮和财政支持企业更新改造所发生的支出。</w:t>
      </w:r>
    </w:p>
    <w:p>
      <w:pPr>
        <w:snapToGrid w:val="0"/>
        <w:spacing w:line="560" w:lineRule="exact"/>
        <w:ind w:firstLine="643" w:firstLineChars="200"/>
        <w:rPr>
          <w:rFonts w:hint="default" w:ascii="Times New Roman" w:hAnsi="Times New Roman" w:eastAsia="仿宋_GB2312" w:cs="Times New Roman"/>
          <w:color w:val="000000"/>
          <w:kern w:val="0"/>
          <w:sz w:val="32"/>
          <w:szCs w:val="32"/>
        </w:rPr>
      </w:pPr>
      <w:r>
        <w:rPr>
          <w:rFonts w:hint="eastAsia" w:ascii="Times New Roman" w:hAnsi="Times New Roman" w:eastAsia="仿宋_GB2312" w:cs="Times New Roman"/>
          <w:b/>
          <w:bCs/>
          <w:color w:val="000000"/>
          <w:kern w:val="0"/>
          <w:sz w:val="32"/>
          <w:szCs w:val="32"/>
          <w:lang w:val="en-US" w:eastAsia="zh-CN"/>
        </w:rPr>
        <w:t>十四、</w:t>
      </w:r>
      <w:r>
        <w:rPr>
          <w:rFonts w:hint="default" w:ascii="Times New Roman" w:hAnsi="Times New Roman" w:eastAsia="仿宋_GB2312" w:cs="Times New Roman"/>
          <w:b/>
          <w:bCs/>
          <w:color w:val="000000"/>
          <w:kern w:val="0"/>
          <w:sz w:val="32"/>
          <w:szCs w:val="32"/>
        </w:rPr>
        <w:t>“三公”经费：</w:t>
      </w:r>
      <w:r>
        <w:rPr>
          <w:rFonts w:hint="default" w:ascii="Times New Roman" w:hAnsi="Times New Roman" w:eastAsia="仿宋_GB2312" w:cs="Times New Roman"/>
          <w:color w:val="000000"/>
          <w:kern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pPr>
        <w:snapToGrid w:val="0"/>
        <w:spacing w:line="560" w:lineRule="exact"/>
        <w:ind w:firstLine="643" w:firstLineChars="200"/>
        <w:rPr>
          <w:rFonts w:hint="default" w:ascii="Times New Roman" w:hAnsi="Times New Roman" w:eastAsia="仿宋_GB2312" w:cs="Times New Roman"/>
          <w:color w:val="000000"/>
          <w:kern w:val="0"/>
          <w:sz w:val="32"/>
          <w:szCs w:val="32"/>
        </w:rPr>
      </w:pPr>
      <w:r>
        <w:rPr>
          <w:rFonts w:hint="eastAsia" w:ascii="Times New Roman" w:hAnsi="Times New Roman" w:eastAsia="仿宋_GB2312" w:cs="Times New Roman"/>
          <w:b/>
          <w:bCs/>
          <w:color w:val="000000"/>
          <w:kern w:val="0"/>
          <w:sz w:val="32"/>
          <w:szCs w:val="32"/>
          <w:lang w:val="en-US" w:eastAsia="zh-CN"/>
        </w:rPr>
        <w:t>十五、</w:t>
      </w:r>
      <w:r>
        <w:rPr>
          <w:rFonts w:hint="default" w:ascii="Times New Roman" w:hAnsi="Times New Roman" w:eastAsia="仿宋_GB2312" w:cs="Times New Roman"/>
          <w:b/>
          <w:bCs/>
          <w:color w:val="000000"/>
          <w:kern w:val="0"/>
          <w:sz w:val="32"/>
          <w:szCs w:val="32"/>
        </w:rPr>
        <w:t>其他交通费用：</w:t>
      </w:r>
      <w:r>
        <w:rPr>
          <w:rFonts w:hint="default" w:ascii="Times New Roman" w:hAnsi="Times New Roman" w:eastAsia="仿宋_GB2312" w:cs="Times New Roman"/>
          <w:color w:val="000000"/>
          <w:kern w:val="0"/>
          <w:sz w:val="32"/>
          <w:szCs w:val="32"/>
        </w:rPr>
        <w:t>填列单位除公务用车运行维护费以外的其他交通费用。如公务交通补贴、租车费用、出租车费用，飞机、船舶等燃料费、维修费、保险费等。</w:t>
      </w:r>
    </w:p>
    <w:p>
      <w:pPr>
        <w:widowControl/>
        <w:spacing w:line="560" w:lineRule="exact"/>
        <w:ind w:firstLine="643" w:firstLineChars="200"/>
        <w:rPr>
          <w:rFonts w:hint="default" w:ascii="Times New Roman" w:hAnsi="Times New Roman" w:eastAsia="仿宋_GB2312" w:cs="Times New Roman"/>
          <w:color w:val="000000"/>
          <w:kern w:val="0"/>
          <w:sz w:val="32"/>
          <w:szCs w:val="32"/>
        </w:rPr>
      </w:pPr>
      <w:r>
        <w:rPr>
          <w:rFonts w:hint="eastAsia" w:ascii="Times New Roman" w:hAnsi="Times New Roman" w:eastAsia="仿宋_GB2312" w:cs="Times New Roman"/>
          <w:b/>
          <w:bCs/>
          <w:color w:val="000000"/>
          <w:kern w:val="0"/>
          <w:sz w:val="32"/>
          <w:szCs w:val="32"/>
          <w:lang w:val="en-US" w:eastAsia="zh-CN"/>
        </w:rPr>
        <w:t>十六、</w:t>
      </w:r>
      <w:r>
        <w:rPr>
          <w:rFonts w:hint="default" w:ascii="Times New Roman" w:hAnsi="Times New Roman" w:eastAsia="仿宋_GB2312" w:cs="Times New Roman"/>
          <w:b/>
          <w:bCs/>
          <w:color w:val="000000"/>
          <w:kern w:val="0"/>
          <w:sz w:val="32"/>
          <w:szCs w:val="32"/>
        </w:rPr>
        <w:t>公务用车购置：</w:t>
      </w:r>
      <w:r>
        <w:rPr>
          <w:rFonts w:hint="default" w:ascii="Times New Roman" w:hAnsi="Times New Roman" w:eastAsia="仿宋_GB2312" w:cs="Times New Roman"/>
          <w:color w:val="000000"/>
          <w:kern w:val="0"/>
          <w:sz w:val="32"/>
          <w:szCs w:val="32"/>
        </w:rPr>
        <w:t>填列单位公务用车车辆购置支出（含车辆购置税、牌照费）。</w:t>
      </w:r>
    </w:p>
    <w:p>
      <w:pPr>
        <w:widowControl/>
        <w:spacing w:line="560" w:lineRule="exact"/>
        <w:ind w:firstLine="643" w:firstLineChars="200"/>
        <w:rPr>
          <w:rFonts w:hint="default" w:ascii="Times New Roman" w:hAnsi="Times New Roman" w:eastAsia="仿宋_GB2312" w:cs="Times New Roman"/>
          <w:color w:val="000000"/>
          <w:kern w:val="0"/>
          <w:sz w:val="32"/>
          <w:szCs w:val="32"/>
        </w:rPr>
      </w:pPr>
      <w:r>
        <w:rPr>
          <w:rFonts w:hint="eastAsia" w:ascii="Times New Roman" w:hAnsi="Times New Roman" w:eastAsia="仿宋_GB2312" w:cs="Times New Roman"/>
          <w:b/>
          <w:bCs/>
          <w:color w:val="000000"/>
          <w:kern w:val="0"/>
          <w:sz w:val="32"/>
          <w:szCs w:val="32"/>
          <w:lang w:val="en-US" w:eastAsia="zh-CN"/>
        </w:rPr>
        <w:t>十七、</w:t>
      </w:r>
      <w:r>
        <w:rPr>
          <w:rFonts w:hint="default" w:ascii="Times New Roman" w:hAnsi="Times New Roman" w:eastAsia="仿宋_GB2312" w:cs="Times New Roman"/>
          <w:b/>
          <w:bCs/>
          <w:color w:val="000000"/>
          <w:kern w:val="0"/>
          <w:sz w:val="32"/>
          <w:szCs w:val="32"/>
        </w:rPr>
        <w:t>其他交通工具购置：</w:t>
      </w:r>
      <w:r>
        <w:rPr>
          <w:rFonts w:hint="default" w:ascii="Times New Roman" w:hAnsi="Times New Roman" w:eastAsia="仿宋_GB2312" w:cs="Times New Roman"/>
          <w:color w:val="000000"/>
          <w:kern w:val="0"/>
          <w:sz w:val="32"/>
          <w:szCs w:val="32"/>
        </w:rPr>
        <w:t>填列单位除公务用车外的其他各类交通工具（如船舶、飞机等）购置支出（含车辆购置税、牌照费）。</w:t>
      </w:r>
    </w:p>
    <w:p>
      <w:pPr>
        <w:widowControl/>
        <w:spacing w:line="560" w:lineRule="exact"/>
        <w:ind w:firstLine="643" w:firstLineChars="200"/>
        <w:rPr>
          <w:rFonts w:hint="default" w:ascii="Times New Roman" w:hAnsi="Times New Roman" w:eastAsia="仿宋_GB2312" w:cs="Times New Roman"/>
          <w:color w:val="000000"/>
          <w:kern w:val="0"/>
          <w:sz w:val="32"/>
          <w:szCs w:val="32"/>
        </w:rPr>
      </w:pPr>
      <w:r>
        <w:rPr>
          <w:rFonts w:hint="default" w:ascii="Times New Roman" w:hAnsi="Times New Roman" w:eastAsia="仿宋_GB2312" w:cs="Times New Roman"/>
          <w:b/>
          <w:bCs/>
          <w:color w:val="000000"/>
          <w:kern w:val="0"/>
          <w:sz w:val="32"/>
          <w:szCs w:val="32"/>
        </w:rPr>
        <w:t>十八、机关运行经费：</w:t>
      </w:r>
      <w:r>
        <w:rPr>
          <w:rFonts w:hint="default" w:ascii="Times New Roman" w:hAnsi="Times New Roman" w:eastAsia="仿宋_GB2312" w:cs="Times New Roman"/>
          <w:color w:val="000000"/>
          <w:kern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pPr>
        <w:tabs>
          <w:tab w:val="left" w:pos="235"/>
        </w:tabs>
        <w:ind w:firstLine="643" w:firstLineChars="200"/>
        <w:jc w:val="left"/>
        <w:rPr>
          <w:rFonts w:hint="eastAsia" w:ascii="Times New Roman" w:hAnsi="Times New Roman" w:eastAsia="仿宋_GB2312" w:cs="Times New Roman"/>
          <w:kern w:val="0"/>
          <w:sz w:val="32"/>
          <w:szCs w:val="32"/>
          <w:lang w:eastAsia="zh-CN"/>
        </w:rPr>
      </w:pPr>
      <w:r>
        <w:rPr>
          <w:rFonts w:hint="default" w:ascii="Times New Roman" w:hAnsi="Times New Roman" w:eastAsia="仿宋_GB2312" w:cs="Times New Roman"/>
          <w:b/>
          <w:bCs/>
          <w:color w:val="000000"/>
          <w:kern w:val="0"/>
          <w:sz w:val="32"/>
          <w:szCs w:val="32"/>
        </w:rPr>
        <w:t>十九、经费形式:</w:t>
      </w:r>
      <w:r>
        <w:rPr>
          <w:rFonts w:hint="default" w:ascii="Times New Roman" w:hAnsi="Times New Roman" w:eastAsia="仿宋_GB2312" w:cs="Times New Roman"/>
          <w:color w:val="000000"/>
          <w:kern w:val="0"/>
          <w:sz w:val="32"/>
          <w:szCs w:val="32"/>
        </w:rPr>
        <w:t>按照经费来源，</w:t>
      </w:r>
      <w:r>
        <w:rPr>
          <w:rFonts w:hint="default" w:ascii="Times New Roman" w:hAnsi="Times New Roman" w:eastAsia="仿宋_GB2312" w:cs="Times New Roman"/>
          <w:kern w:val="0"/>
          <w:sz w:val="32"/>
          <w:szCs w:val="32"/>
        </w:rPr>
        <w:t>可分为财政拨款、财政性资金基本保证、财政性资金定额或定项补助、财政性资金零补助四类</w:t>
      </w:r>
      <w:r>
        <w:rPr>
          <w:rFonts w:hint="eastAsia" w:ascii="Times New Roman" w:hAnsi="Times New Roman" w:eastAsia="仿宋_GB2312" w:cs="Times New Roman"/>
          <w:kern w:val="0"/>
          <w:sz w:val="32"/>
          <w:szCs w:val="32"/>
          <w:lang w:eastAsia="zh-CN"/>
        </w:rPr>
        <w:t>。</w:t>
      </w:r>
    </w:p>
    <w:p>
      <w:pPr>
        <w:rPr>
          <w:rFonts w:hint="default" w:ascii="Times New Roman" w:hAnsi="Times New Roman" w:cs="Times New Roman"/>
        </w:rPr>
      </w:pP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left"/>
        <w:rPr>
          <w:rFonts w:hint="default" w:ascii="Times New Roman" w:hAnsi="Times New Roman" w:eastAsia="仿宋_GB2312" w:cs="Times New Roman"/>
          <w:i w:val="0"/>
          <w:iCs w:val="0"/>
          <w:caps w:val="0"/>
          <w:color w:val="333333"/>
          <w:spacing w:val="0"/>
          <w:sz w:val="33"/>
          <w:szCs w:val="33"/>
          <w:highlight w:val="none"/>
          <w:shd w:val="clear" w:fill="FFFFFF"/>
        </w:rPr>
      </w:pPr>
    </w:p>
    <w:p>
      <w:pPr>
        <w:rPr>
          <w:rFonts w:hint="default" w:ascii="Times New Roman" w:hAnsi="Times New Roman" w:eastAsia="仿宋_GB2312" w:cs="Times New Roman"/>
          <w:i w:val="0"/>
          <w:iCs w:val="0"/>
          <w:caps w:val="0"/>
          <w:color w:val="333333"/>
          <w:spacing w:val="0"/>
          <w:sz w:val="33"/>
          <w:szCs w:val="33"/>
          <w:highlight w:val="none"/>
          <w:shd w:val="clear" w:fill="FFFFFF"/>
          <w:lang w:val="en-US" w:eastAsia="zh-CN"/>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embedRegular r:id="rId1" w:fontKey="{DF3636CD-E198-41A4-BC60-ECE5B9694BD1}"/>
  </w:font>
  <w:font w:name="黑体">
    <w:panose1 w:val="02010609060101010101"/>
    <w:charset w:val="86"/>
    <w:family w:val="auto"/>
    <w:pitch w:val="default"/>
    <w:sig w:usb0="800002BF" w:usb1="38CF7CFA" w:usb2="00000016" w:usb3="00000000" w:csb0="00040001" w:csb1="00000000"/>
    <w:embedRegular r:id="rId2" w:fontKey="{CCB6BB71-B875-4577-8B72-13325AA41573}"/>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embedRegular r:id="rId3" w:fontKey="{53B52BC7-2C62-405C-9F87-AB347A86F6DC}"/>
  </w:font>
  <w:font w:name="仿宋">
    <w:panose1 w:val="02010609060101010101"/>
    <w:charset w:val="86"/>
    <w:family w:val="modern"/>
    <w:pitch w:val="default"/>
    <w:sig w:usb0="800002BF" w:usb1="38CF7CFA" w:usb2="00000016" w:usb3="00000000" w:csb0="00040001" w:csb1="00000000"/>
    <w:embedRegular r:id="rId4" w:fontKey="{AE76D663-BEC7-4D18-8353-12C41174D5EF}"/>
  </w:font>
  <w:font w:name="Calibri Light">
    <w:panose1 w:val="020F0302020204030204"/>
    <w:charset w:val="00"/>
    <w:family w:val="auto"/>
    <w:pitch w:val="default"/>
    <w:sig w:usb0="E4002EFF" w:usb1="C200247B" w:usb2="00000009" w:usb3="00000000" w:csb0="200001FF" w:csb1="00000000"/>
  </w:font>
  <w:font w:name="华文中宋">
    <w:panose1 w:val="02010600040101010101"/>
    <w:charset w:val="86"/>
    <w:family w:val="auto"/>
    <w:pitch w:val="default"/>
    <w:sig w:usb0="00000287" w:usb1="080F0000" w:usb2="00000000" w:usb3="00000000" w:csb0="0004009F" w:csb1="DFD70000"/>
  </w:font>
  <w:font w:name="方正魏碑简体">
    <w:altName w:val="微软雅黑"/>
    <w:panose1 w:val="00000000000000000000"/>
    <w:charset w:val="86"/>
    <w:family w:val="auto"/>
    <w:pitch w:val="default"/>
    <w:sig w:usb0="00000000" w:usb1="00000000" w:usb2="00000010" w:usb3="00000000" w:csb0="00040000" w:csb1="00000000"/>
    <w:embedRegular r:id="rId5" w:fontKey="{8D595206-1CB1-4EFF-89DC-193BAD69AB92}"/>
  </w:font>
  <w:font w:name="思源黑体 CN Heavy">
    <w:altName w:val="黑体"/>
    <w:panose1 w:val="00000000000000000000"/>
    <w:charset w:val="86"/>
    <w:family w:val="swiss"/>
    <w:pitch w:val="default"/>
    <w:sig w:usb0="00000000" w:usb1="00000000" w:usb2="00000016" w:usb3="00000000" w:csb0="00060107" w:csb1="00000000"/>
    <w:embedRegular r:id="rId6" w:fontKey="{BD248ADF-C1FF-461E-B432-DE56F4D49E43}"/>
  </w:font>
  <w:font w:name="楷体_GB2312">
    <w:altName w:val="楷体"/>
    <w:panose1 w:val="02010609030101010101"/>
    <w:charset w:val="86"/>
    <w:family w:val="auto"/>
    <w:pitch w:val="default"/>
    <w:sig w:usb0="00000000" w:usb1="00000000" w:usb2="00000000" w:usb3="00000000" w:csb0="00040000" w:csb1="00000000"/>
    <w:embedRegular r:id="rId7" w:fontKey="{9213F26A-7F95-457C-8E11-9271C10B0C60}"/>
  </w:font>
  <w:font w:name="仿宋_GB2312">
    <w:panose1 w:val="02010609030101010101"/>
    <w:charset w:val="86"/>
    <w:family w:val="auto"/>
    <w:pitch w:val="default"/>
    <w:sig w:usb0="00000001" w:usb1="080E0000" w:usb2="00000000" w:usb3="00000000" w:csb0="00040000" w:csb1="00000000"/>
    <w:embedRegular r:id="rId8" w:fontKey="{DF0B52D1-A443-41C9-82D0-B988CF581C77}"/>
  </w:font>
  <w:font w:name="ArialUnicodeMS">
    <w:altName w:val="Malgun Gothic"/>
    <w:panose1 w:val="00000000000000000000"/>
    <w:charset w:val="81"/>
    <w:family w:val="auto"/>
    <w:pitch w:val="default"/>
    <w:sig w:usb0="00000000" w:usb1="00000000" w:usb2="00000010" w:usb3="00000000" w:csb0="00080001" w:csb1="00000000"/>
    <w:embedRegular r:id="rId9" w:fontKey="{1CBA9302-5A3F-4378-8E25-6C5581958DDF}"/>
  </w:font>
  <w:font w:name="微软雅黑">
    <w:panose1 w:val="020B0503020204020204"/>
    <w:charset w:val="86"/>
    <w:family w:val="auto"/>
    <w:pitch w:val="default"/>
    <w:sig w:usb0="80000287" w:usb1="2ACF3C50" w:usb2="00000016" w:usb3="00000000" w:csb0="0004001F" w:csb1="00000000"/>
    <w:embedRegular r:id="rId10" w:fontKey="{2D3E0647-66CD-408E-B077-72836E8BB593}"/>
  </w:font>
  <w:font w:name="方正仿宋_GB2312">
    <w:panose1 w:val="02000000000000000000"/>
    <w:charset w:val="86"/>
    <w:family w:val="auto"/>
    <w:pitch w:val="default"/>
    <w:sig w:usb0="A00002BF" w:usb1="184F6CFA" w:usb2="00000012" w:usb3="00000000" w:csb0="00040001" w:csb1="00000000"/>
    <w:embedRegular r:id="rId11" w:fontKey="{3B292F7E-4A9C-4A9D-B232-0E9A7B6BD172}"/>
  </w:font>
  <w:font w:name="楷体">
    <w:panose1 w:val="02010609060101010101"/>
    <w:charset w:val="86"/>
    <w:family w:val="auto"/>
    <w:pitch w:val="default"/>
    <w:sig w:usb0="800002BF" w:usb1="38CF7CFA" w:usb2="00000016" w:usb3="00000000" w:csb0="00040001" w:csb1="00000000"/>
  </w:font>
  <w:font w:name="方正小标宋_GBK">
    <w:altName w:val="微软雅黑"/>
    <w:panose1 w:val="00000000000000000000"/>
    <w:charset w:val="00"/>
    <w:family w:val="auto"/>
    <w:pitch w:val="default"/>
    <w:sig w:usb0="00000000" w:usb1="00000000" w:usb2="00000000" w:usb3="00000000" w:csb0="00000000" w:csb1="00000000"/>
    <w:embedRegular r:id="rId12" w:fontKey="{A502B475-0690-4E3A-B3EC-70CEDEB87F2A}"/>
  </w:font>
  <w:font w:name="Malgun Gothic">
    <w:panose1 w:val="020B0503020000020004"/>
    <w:charset w:val="81"/>
    <w:family w:val="auto"/>
    <w:pitch w:val="default"/>
    <w:sig w:usb0="9000002F" w:usb1="29D77CFB" w:usb2="00000012" w:usb3="00000000" w:csb0="0008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F31EB42C"/>
    <w:multiLevelType w:val="singleLevel"/>
    <w:tmpl w:val="F31EB42C"/>
    <w:lvl w:ilvl="0" w:tentative="0">
      <w:start w:val="4"/>
      <w:numFmt w:val="chineseCounting"/>
      <w:suff w:val="nothing"/>
      <w:lvlText w:val="（%1）"/>
      <w:lvlJc w:val="left"/>
      <w:rPr>
        <w:rFonts w:hint="eastAsia"/>
      </w:rPr>
    </w:lvl>
  </w:abstractNum>
  <w:abstractNum w:abstractNumId="1">
    <w:nsid w:val="5F16A424"/>
    <w:multiLevelType w:val="multilevel"/>
    <w:tmpl w:val="5F16A424"/>
    <w:lvl w:ilvl="0" w:tentative="0">
      <w:start w:val="1"/>
      <w:numFmt w:val="decimal"/>
      <w:pStyle w:val="2"/>
      <w:lvlText w:val="%1."/>
      <w:lvlJc w:val="left"/>
      <w:pPr>
        <w:ind w:left="425" w:hanging="425"/>
      </w:pPr>
      <w:rPr>
        <w:rFonts w:hint="default"/>
      </w:rPr>
    </w:lvl>
    <w:lvl w:ilvl="1" w:tentative="0">
      <w:start w:val="1"/>
      <w:numFmt w:val="decimal"/>
      <w:pStyle w:val="3"/>
      <w:lvlText w:val="%1.%2."/>
      <w:lvlJc w:val="left"/>
      <w:pPr>
        <w:ind w:left="567" w:hanging="567"/>
      </w:pPr>
      <w:rPr>
        <w:rFonts w:hint="default"/>
      </w:rPr>
    </w:lvl>
    <w:lvl w:ilvl="2" w:tentative="0">
      <w:start w:val="1"/>
      <w:numFmt w:val="decimal"/>
      <w:pStyle w:val="4"/>
      <w:lvlText w:val="%1.%2.%3."/>
      <w:lvlJc w:val="left"/>
      <w:pPr>
        <w:ind w:left="709" w:hanging="709"/>
      </w:pPr>
      <w:rPr>
        <w:rFonts w:hint="default"/>
      </w:rPr>
    </w:lvl>
    <w:lvl w:ilvl="3" w:tentative="0">
      <w:start w:val="1"/>
      <w:numFmt w:val="decimal"/>
      <w:pStyle w:val="5"/>
      <w:lvlText w:val="%1.%2.%3.%4."/>
      <w:lvlJc w:val="left"/>
      <w:pPr>
        <w:ind w:left="850" w:hanging="850"/>
      </w:pPr>
      <w:rPr>
        <w:rFonts w:hint="default"/>
      </w:rPr>
    </w:lvl>
    <w:lvl w:ilvl="4" w:tentative="0">
      <w:start w:val="1"/>
      <w:numFmt w:val="decimal"/>
      <w:lvlText w:val="%1.%2.%3.%4.%5."/>
      <w:lvlJc w:val="left"/>
      <w:pPr>
        <w:ind w:left="991" w:hanging="991"/>
      </w:pPr>
      <w:rPr>
        <w:rFonts w:hint="default"/>
      </w:rPr>
    </w:lvl>
    <w:lvl w:ilvl="5" w:tentative="0">
      <w:start w:val="1"/>
      <w:numFmt w:val="decimal"/>
      <w:lvlText w:val="%1.%2.%3.%4.%5.%6."/>
      <w:lvlJc w:val="left"/>
      <w:pPr>
        <w:ind w:left="1134" w:hanging="1134"/>
      </w:pPr>
      <w:rPr>
        <w:rFonts w:hint="default"/>
      </w:rPr>
    </w:lvl>
    <w:lvl w:ilvl="6" w:tentative="0">
      <w:start w:val="1"/>
      <w:numFmt w:val="decimal"/>
      <w:lvlText w:val="%1.%2.%3.%4.%5.%6.%7."/>
      <w:lvlJc w:val="left"/>
      <w:pPr>
        <w:ind w:left="1275" w:hanging="1275"/>
      </w:pPr>
      <w:rPr>
        <w:rFonts w:hint="default"/>
      </w:rPr>
    </w:lvl>
    <w:lvl w:ilvl="7" w:tentative="0">
      <w:start w:val="1"/>
      <w:numFmt w:val="decimal"/>
      <w:lvlText w:val="%1.%2.%3.%4.%5.%6.%7.%8."/>
      <w:lvlJc w:val="left"/>
      <w:pPr>
        <w:ind w:left="1418" w:hanging="1418"/>
      </w:pPr>
      <w:rPr>
        <w:rFonts w:hint="default"/>
      </w:rPr>
    </w:lvl>
    <w:lvl w:ilvl="8" w:tentative="0">
      <w:start w:val="1"/>
      <w:numFmt w:val="decimal"/>
      <w:lvlText w:val="%1.%2.%3.%4.%5.%6.%7.%8.%9."/>
      <w:lvlJc w:val="left"/>
      <w:pPr>
        <w:ind w:left="1558" w:hanging="1558"/>
      </w:pPr>
      <w:rPr>
        <w:rFonts w:hint="default"/>
      </w:rPr>
    </w:lvl>
  </w:abstractNum>
  <w:abstractNum w:abstractNumId="2">
    <w:nsid w:val="618A7CF9"/>
    <w:multiLevelType w:val="singleLevel"/>
    <w:tmpl w:val="618A7CF9"/>
    <w:lvl w:ilvl="0" w:tentative="0">
      <w:start w:val="3"/>
      <w:numFmt w:val="chineseCounting"/>
      <w:suff w:val="nothing"/>
      <w:lvlText w:val="（%1）"/>
      <w:lvlJc w:val="left"/>
      <w:rPr>
        <w:rFonts w:hint="eastAsia"/>
      </w:rPr>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embedTrueTypeFonts/>
  <w:saveSubset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jb3VudCI6MTksImhkaWQiOiIzMWE1MzMwMDNjMmJhYTE1ZmE0MmVkZDFmNDA1ZThhMiIsInVzZXJDb3VudCI6MTl9"/>
  </w:docVars>
  <w:rsids>
    <w:rsidRoot w:val="00000000"/>
    <w:rsid w:val="00086151"/>
    <w:rsid w:val="00236F8C"/>
    <w:rsid w:val="008E12CF"/>
    <w:rsid w:val="0096690D"/>
    <w:rsid w:val="00C65689"/>
    <w:rsid w:val="00CC2C8E"/>
    <w:rsid w:val="00F27B04"/>
    <w:rsid w:val="01616D62"/>
    <w:rsid w:val="01900E19"/>
    <w:rsid w:val="01A03C5A"/>
    <w:rsid w:val="01A5267D"/>
    <w:rsid w:val="02363AF1"/>
    <w:rsid w:val="024808A2"/>
    <w:rsid w:val="0253085C"/>
    <w:rsid w:val="025C3821"/>
    <w:rsid w:val="02DA3B1B"/>
    <w:rsid w:val="02E57B4D"/>
    <w:rsid w:val="033D3951"/>
    <w:rsid w:val="037B12D4"/>
    <w:rsid w:val="03804D63"/>
    <w:rsid w:val="03FB73B0"/>
    <w:rsid w:val="04BD008C"/>
    <w:rsid w:val="04C55939"/>
    <w:rsid w:val="04DA28BB"/>
    <w:rsid w:val="04F528BE"/>
    <w:rsid w:val="05927185"/>
    <w:rsid w:val="05991C82"/>
    <w:rsid w:val="061416A9"/>
    <w:rsid w:val="06236884"/>
    <w:rsid w:val="067E788A"/>
    <w:rsid w:val="06FC7C2A"/>
    <w:rsid w:val="071E363B"/>
    <w:rsid w:val="07401D46"/>
    <w:rsid w:val="07533AFE"/>
    <w:rsid w:val="07B3657A"/>
    <w:rsid w:val="07C857D0"/>
    <w:rsid w:val="08AB5AAF"/>
    <w:rsid w:val="08B140CE"/>
    <w:rsid w:val="08CD73D1"/>
    <w:rsid w:val="09012C64"/>
    <w:rsid w:val="093B2E99"/>
    <w:rsid w:val="095D7943"/>
    <w:rsid w:val="09C006C6"/>
    <w:rsid w:val="0A10621F"/>
    <w:rsid w:val="0A464C4F"/>
    <w:rsid w:val="0A6729A3"/>
    <w:rsid w:val="0A694877"/>
    <w:rsid w:val="0AA954BE"/>
    <w:rsid w:val="0AE70639"/>
    <w:rsid w:val="0B4F5E6D"/>
    <w:rsid w:val="0B753AE2"/>
    <w:rsid w:val="0BB67D0A"/>
    <w:rsid w:val="0BC56230"/>
    <w:rsid w:val="0BCF21BD"/>
    <w:rsid w:val="0C0B190A"/>
    <w:rsid w:val="0C4E53E8"/>
    <w:rsid w:val="0C9F7900"/>
    <w:rsid w:val="0CB23317"/>
    <w:rsid w:val="0D101068"/>
    <w:rsid w:val="0D49470D"/>
    <w:rsid w:val="0D7557DF"/>
    <w:rsid w:val="0D853E34"/>
    <w:rsid w:val="0D9C2A57"/>
    <w:rsid w:val="0DFA5D82"/>
    <w:rsid w:val="0E1E52CE"/>
    <w:rsid w:val="0E341BC0"/>
    <w:rsid w:val="0E866524"/>
    <w:rsid w:val="0E9268D3"/>
    <w:rsid w:val="0E957F1F"/>
    <w:rsid w:val="0F0E7284"/>
    <w:rsid w:val="0F28110F"/>
    <w:rsid w:val="0F37083F"/>
    <w:rsid w:val="0F891DB8"/>
    <w:rsid w:val="0FAA3B86"/>
    <w:rsid w:val="10191346"/>
    <w:rsid w:val="10754A6C"/>
    <w:rsid w:val="108B537D"/>
    <w:rsid w:val="10B11DB1"/>
    <w:rsid w:val="10C33CD7"/>
    <w:rsid w:val="10C7485C"/>
    <w:rsid w:val="11177F57"/>
    <w:rsid w:val="11217C97"/>
    <w:rsid w:val="11464C20"/>
    <w:rsid w:val="115E4926"/>
    <w:rsid w:val="118A1FFA"/>
    <w:rsid w:val="11E35B5A"/>
    <w:rsid w:val="11E42DD6"/>
    <w:rsid w:val="125F5A1B"/>
    <w:rsid w:val="126979D6"/>
    <w:rsid w:val="129E45A7"/>
    <w:rsid w:val="13074404"/>
    <w:rsid w:val="136A5C00"/>
    <w:rsid w:val="13C527AC"/>
    <w:rsid w:val="14711797"/>
    <w:rsid w:val="147B6F17"/>
    <w:rsid w:val="14D42061"/>
    <w:rsid w:val="15081C8B"/>
    <w:rsid w:val="15090D5C"/>
    <w:rsid w:val="15CF053D"/>
    <w:rsid w:val="15E0131A"/>
    <w:rsid w:val="16457D9F"/>
    <w:rsid w:val="17223EFF"/>
    <w:rsid w:val="17B713F6"/>
    <w:rsid w:val="184350A0"/>
    <w:rsid w:val="18541CC2"/>
    <w:rsid w:val="187B3DA8"/>
    <w:rsid w:val="18935485"/>
    <w:rsid w:val="18946C52"/>
    <w:rsid w:val="18A0664D"/>
    <w:rsid w:val="18A34206"/>
    <w:rsid w:val="18DE3B2C"/>
    <w:rsid w:val="1906685D"/>
    <w:rsid w:val="19111683"/>
    <w:rsid w:val="19353916"/>
    <w:rsid w:val="19B07C1B"/>
    <w:rsid w:val="19C10AF1"/>
    <w:rsid w:val="1A2672DE"/>
    <w:rsid w:val="1AA81D42"/>
    <w:rsid w:val="1AB433D9"/>
    <w:rsid w:val="1B1B11EE"/>
    <w:rsid w:val="1B3719E0"/>
    <w:rsid w:val="1B6261C3"/>
    <w:rsid w:val="1B731730"/>
    <w:rsid w:val="1B882BB5"/>
    <w:rsid w:val="1B906310"/>
    <w:rsid w:val="1B9B33C7"/>
    <w:rsid w:val="1B9D7FEC"/>
    <w:rsid w:val="1BA21D13"/>
    <w:rsid w:val="1BA55461"/>
    <w:rsid w:val="1BE74496"/>
    <w:rsid w:val="1C3D67D1"/>
    <w:rsid w:val="1C40731A"/>
    <w:rsid w:val="1C560392"/>
    <w:rsid w:val="1C581532"/>
    <w:rsid w:val="1C7D181A"/>
    <w:rsid w:val="1CA15E03"/>
    <w:rsid w:val="1CA24F0C"/>
    <w:rsid w:val="1CF8716C"/>
    <w:rsid w:val="1D230EBD"/>
    <w:rsid w:val="1D4B1F5B"/>
    <w:rsid w:val="1D6C5CA0"/>
    <w:rsid w:val="1D725586"/>
    <w:rsid w:val="1D745B4F"/>
    <w:rsid w:val="1D867987"/>
    <w:rsid w:val="1D944010"/>
    <w:rsid w:val="1DA60472"/>
    <w:rsid w:val="1DD70E85"/>
    <w:rsid w:val="1DE6414E"/>
    <w:rsid w:val="1DE74AD7"/>
    <w:rsid w:val="1DF60A19"/>
    <w:rsid w:val="1DFA6713"/>
    <w:rsid w:val="1E050843"/>
    <w:rsid w:val="1E20024F"/>
    <w:rsid w:val="1E2D3FB0"/>
    <w:rsid w:val="1E2E50F1"/>
    <w:rsid w:val="1E2F73C2"/>
    <w:rsid w:val="1E3B4E26"/>
    <w:rsid w:val="1E97477F"/>
    <w:rsid w:val="1EDF707D"/>
    <w:rsid w:val="1F65664C"/>
    <w:rsid w:val="1F79478A"/>
    <w:rsid w:val="1F7C149A"/>
    <w:rsid w:val="1F84140D"/>
    <w:rsid w:val="1F863C54"/>
    <w:rsid w:val="1F9B7FFD"/>
    <w:rsid w:val="1F9C7614"/>
    <w:rsid w:val="1FB810FB"/>
    <w:rsid w:val="1FBE1971"/>
    <w:rsid w:val="2008768D"/>
    <w:rsid w:val="204C2B10"/>
    <w:rsid w:val="2058313A"/>
    <w:rsid w:val="207D30AD"/>
    <w:rsid w:val="209064B9"/>
    <w:rsid w:val="20970D81"/>
    <w:rsid w:val="20D165D5"/>
    <w:rsid w:val="210878E6"/>
    <w:rsid w:val="210E1408"/>
    <w:rsid w:val="211069AD"/>
    <w:rsid w:val="21573FAB"/>
    <w:rsid w:val="2172069C"/>
    <w:rsid w:val="21987BC4"/>
    <w:rsid w:val="220451AB"/>
    <w:rsid w:val="2237486E"/>
    <w:rsid w:val="223D1378"/>
    <w:rsid w:val="22940650"/>
    <w:rsid w:val="22AD4B1E"/>
    <w:rsid w:val="22D31DF3"/>
    <w:rsid w:val="22FD3CF7"/>
    <w:rsid w:val="2356249E"/>
    <w:rsid w:val="23605570"/>
    <w:rsid w:val="236E713A"/>
    <w:rsid w:val="23700968"/>
    <w:rsid w:val="238761A6"/>
    <w:rsid w:val="23920578"/>
    <w:rsid w:val="23BB6F9A"/>
    <w:rsid w:val="23FC3864"/>
    <w:rsid w:val="247D7230"/>
    <w:rsid w:val="24F25212"/>
    <w:rsid w:val="254B0AC6"/>
    <w:rsid w:val="25571AB6"/>
    <w:rsid w:val="25B40AD6"/>
    <w:rsid w:val="25BE7872"/>
    <w:rsid w:val="25BF702A"/>
    <w:rsid w:val="25C7133B"/>
    <w:rsid w:val="25FA6065"/>
    <w:rsid w:val="2611374E"/>
    <w:rsid w:val="261F111C"/>
    <w:rsid w:val="26477410"/>
    <w:rsid w:val="264D2D17"/>
    <w:rsid w:val="26D50E55"/>
    <w:rsid w:val="270763D6"/>
    <w:rsid w:val="271A539C"/>
    <w:rsid w:val="274972D4"/>
    <w:rsid w:val="275048F0"/>
    <w:rsid w:val="275C72A5"/>
    <w:rsid w:val="27AA3D97"/>
    <w:rsid w:val="28405AA6"/>
    <w:rsid w:val="289057C5"/>
    <w:rsid w:val="28A67C7A"/>
    <w:rsid w:val="28D1057E"/>
    <w:rsid w:val="28EA3248"/>
    <w:rsid w:val="28F879DA"/>
    <w:rsid w:val="294630F8"/>
    <w:rsid w:val="294B7731"/>
    <w:rsid w:val="296A5FF1"/>
    <w:rsid w:val="29D21FF2"/>
    <w:rsid w:val="2A611B0F"/>
    <w:rsid w:val="2AC1762B"/>
    <w:rsid w:val="2AE845D0"/>
    <w:rsid w:val="2B332B67"/>
    <w:rsid w:val="2B4975FB"/>
    <w:rsid w:val="2B695031"/>
    <w:rsid w:val="2B735A8F"/>
    <w:rsid w:val="2BA7478D"/>
    <w:rsid w:val="2BB038DB"/>
    <w:rsid w:val="2BB761E0"/>
    <w:rsid w:val="2BB812F9"/>
    <w:rsid w:val="2BE319AF"/>
    <w:rsid w:val="2BE35C27"/>
    <w:rsid w:val="2BFA504B"/>
    <w:rsid w:val="2C681F1F"/>
    <w:rsid w:val="2C8608DC"/>
    <w:rsid w:val="2CA4764A"/>
    <w:rsid w:val="2CC42ECA"/>
    <w:rsid w:val="2CDA4349"/>
    <w:rsid w:val="2D225539"/>
    <w:rsid w:val="2D4618D2"/>
    <w:rsid w:val="2D5F021B"/>
    <w:rsid w:val="2D6E1286"/>
    <w:rsid w:val="2D70583E"/>
    <w:rsid w:val="2D99655D"/>
    <w:rsid w:val="2E1B4BB8"/>
    <w:rsid w:val="2E256CB6"/>
    <w:rsid w:val="2E3224D3"/>
    <w:rsid w:val="2E5F27E4"/>
    <w:rsid w:val="2E9871B6"/>
    <w:rsid w:val="2EBD223E"/>
    <w:rsid w:val="2EC10AD1"/>
    <w:rsid w:val="2ECB6A5A"/>
    <w:rsid w:val="2EFC0112"/>
    <w:rsid w:val="2F2B730D"/>
    <w:rsid w:val="2F42598B"/>
    <w:rsid w:val="2F8169E4"/>
    <w:rsid w:val="2F9F3DC1"/>
    <w:rsid w:val="2FFC7AC2"/>
    <w:rsid w:val="301430AF"/>
    <w:rsid w:val="30630612"/>
    <w:rsid w:val="308E59B0"/>
    <w:rsid w:val="30B10568"/>
    <w:rsid w:val="30E55DD3"/>
    <w:rsid w:val="30E60399"/>
    <w:rsid w:val="31356AA5"/>
    <w:rsid w:val="313E22F0"/>
    <w:rsid w:val="31B0194C"/>
    <w:rsid w:val="31CE17D1"/>
    <w:rsid w:val="320F6F96"/>
    <w:rsid w:val="323E4515"/>
    <w:rsid w:val="3286389B"/>
    <w:rsid w:val="32CF5C94"/>
    <w:rsid w:val="32D337C7"/>
    <w:rsid w:val="32E200EC"/>
    <w:rsid w:val="32E5408B"/>
    <w:rsid w:val="32E9750B"/>
    <w:rsid w:val="32EB0D70"/>
    <w:rsid w:val="332868BB"/>
    <w:rsid w:val="333211F3"/>
    <w:rsid w:val="333E3678"/>
    <w:rsid w:val="33504B41"/>
    <w:rsid w:val="335174BC"/>
    <w:rsid w:val="338B4A07"/>
    <w:rsid w:val="33944811"/>
    <w:rsid w:val="33CE0488"/>
    <w:rsid w:val="34005866"/>
    <w:rsid w:val="34182C85"/>
    <w:rsid w:val="34262463"/>
    <w:rsid w:val="34296F31"/>
    <w:rsid w:val="34340A27"/>
    <w:rsid w:val="346A2989"/>
    <w:rsid w:val="34714663"/>
    <w:rsid w:val="348865E9"/>
    <w:rsid w:val="348F70D5"/>
    <w:rsid w:val="349D2BAD"/>
    <w:rsid w:val="34B25886"/>
    <w:rsid w:val="34B40430"/>
    <w:rsid w:val="35277FF8"/>
    <w:rsid w:val="35776F72"/>
    <w:rsid w:val="35997371"/>
    <w:rsid w:val="360134DF"/>
    <w:rsid w:val="360B1E2F"/>
    <w:rsid w:val="360D500F"/>
    <w:rsid w:val="36330424"/>
    <w:rsid w:val="36990C8E"/>
    <w:rsid w:val="36FE3ABA"/>
    <w:rsid w:val="37072BDE"/>
    <w:rsid w:val="3716321D"/>
    <w:rsid w:val="37252B82"/>
    <w:rsid w:val="37455334"/>
    <w:rsid w:val="376A14D2"/>
    <w:rsid w:val="37731921"/>
    <w:rsid w:val="37E509C0"/>
    <w:rsid w:val="37E96FB8"/>
    <w:rsid w:val="38222D85"/>
    <w:rsid w:val="384F305E"/>
    <w:rsid w:val="38803721"/>
    <w:rsid w:val="38925A62"/>
    <w:rsid w:val="389F5F4F"/>
    <w:rsid w:val="38C36BA2"/>
    <w:rsid w:val="38F6595C"/>
    <w:rsid w:val="38FE6977"/>
    <w:rsid w:val="391702A7"/>
    <w:rsid w:val="39286EB6"/>
    <w:rsid w:val="39601DF4"/>
    <w:rsid w:val="39840D35"/>
    <w:rsid w:val="39A239AC"/>
    <w:rsid w:val="39A97DAF"/>
    <w:rsid w:val="39CD1330"/>
    <w:rsid w:val="39DD1AFF"/>
    <w:rsid w:val="39F63A08"/>
    <w:rsid w:val="3A2510B9"/>
    <w:rsid w:val="3A2A2EDD"/>
    <w:rsid w:val="3A2B1DFC"/>
    <w:rsid w:val="3AA6422C"/>
    <w:rsid w:val="3AAF46D5"/>
    <w:rsid w:val="3AB900D5"/>
    <w:rsid w:val="3B135A0E"/>
    <w:rsid w:val="3B272BBC"/>
    <w:rsid w:val="3B374FEE"/>
    <w:rsid w:val="3B4410EE"/>
    <w:rsid w:val="3B56159C"/>
    <w:rsid w:val="3B7D732B"/>
    <w:rsid w:val="3BD30423"/>
    <w:rsid w:val="3C3A1750"/>
    <w:rsid w:val="3C6147F2"/>
    <w:rsid w:val="3C6C0B58"/>
    <w:rsid w:val="3CBE41D5"/>
    <w:rsid w:val="3D305D4F"/>
    <w:rsid w:val="3D446B0E"/>
    <w:rsid w:val="3D953A6B"/>
    <w:rsid w:val="3DBB2CD5"/>
    <w:rsid w:val="3DBB5979"/>
    <w:rsid w:val="3E1057AF"/>
    <w:rsid w:val="3E6C0DFA"/>
    <w:rsid w:val="3E740322"/>
    <w:rsid w:val="3E7F4380"/>
    <w:rsid w:val="3E8D171B"/>
    <w:rsid w:val="3E8E5574"/>
    <w:rsid w:val="3EA5630D"/>
    <w:rsid w:val="3EBA731B"/>
    <w:rsid w:val="3EFB5800"/>
    <w:rsid w:val="3F3B4E59"/>
    <w:rsid w:val="3F4D1B74"/>
    <w:rsid w:val="3F6E677C"/>
    <w:rsid w:val="3F712F46"/>
    <w:rsid w:val="3FBC0EF7"/>
    <w:rsid w:val="3FCD2AB9"/>
    <w:rsid w:val="3FD17600"/>
    <w:rsid w:val="4050218A"/>
    <w:rsid w:val="405C7868"/>
    <w:rsid w:val="408B24EB"/>
    <w:rsid w:val="417044B8"/>
    <w:rsid w:val="41A203A0"/>
    <w:rsid w:val="41E83F8C"/>
    <w:rsid w:val="422D1842"/>
    <w:rsid w:val="425B7C31"/>
    <w:rsid w:val="42737A55"/>
    <w:rsid w:val="427D66D0"/>
    <w:rsid w:val="42BC7E02"/>
    <w:rsid w:val="42C82575"/>
    <w:rsid w:val="43022EE1"/>
    <w:rsid w:val="431A5F8F"/>
    <w:rsid w:val="431F247A"/>
    <w:rsid w:val="43335E8F"/>
    <w:rsid w:val="433F2968"/>
    <w:rsid w:val="43676E20"/>
    <w:rsid w:val="43A31040"/>
    <w:rsid w:val="43BF774E"/>
    <w:rsid w:val="43CD062F"/>
    <w:rsid w:val="43E214F9"/>
    <w:rsid w:val="43F06264"/>
    <w:rsid w:val="43FE1568"/>
    <w:rsid w:val="44404C8E"/>
    <w:rsid w:val="447537F1"/>
    <w:rsid w:val="44795B2A"/>
    <w:rsid w:val="44870D07"/>
    <w:rsid w:val="452C3B7D"/>
    <w:rsid w:val="45513D03"/>
    <w:rsid w:val="45541E1C"/>
    <w:rsid w:val="45F657C2"/>
    <w:rsid w:val="460713D2"/>
    <w:rsid w:val="461F0A8B"/>
    <w:rsid w:val="4648721E"/>
    <w:rsid w:val="46663E71"/>
    <w:rsid w:val="466A37AC"/>
    <w:rsid w:val="46CB071B"/>
    <w:rsid w:val="46DE140B"/>
    <w:rsid w:val="46E77334"/>
    <w:rsid w:val="46F22E29"/>
    <w:rsid w:val="46F7142F"/>
    <w:rsid w:val="470A2690"/>
    <w:rsid w:val="47107AE3"/>
    <w:rsid w:val="473C62ED"/>
    <w:rsid w:val="47617242"/>
    <w:rsid w:val="478C16C9"/>
    <w:rsid w:val="47AD79CE"/>
    <w:rsid w:val="47BD246B"/>
    <w:rsid w:val="47CB2B0C"/>
    <w:rsid w:val="47E773CE"/>
    <w:rsid w:val="48015FF5"/>
    <w:rsid w:val="484C45A4"/>
    <w:rsid w:val="48692CD0"/>
    <w:rsid w:val="488F4D3E"/>
    <w:rsid w:val="48AE3D01"/>
    <w:rsid w:val="48D9540B"/>
    <w:rsid w:val="49067B2F"/>
    <w:rsid w:val="496008AE"/>
    <w:rsid w:val="49677E31"/>
    <w:rsid w:val="496C2225"/>
    <w:rsid w:val="49AE2880"/>
    <w:rsid w:val="49F42EAF"/>
    <w:rsid w:val="49F96FB8"/>
    <w:rsid w:val="4A337323"/>
    <w:rsid w:val="4A3679E8"/>
    <w:rsid w:val="4A5B28DC"/>
    <w:rsid w:val="4AA06B93"/>
    <w:rsid w:val="4ADB18EB"/>
    <w:rsid w:val="4AEE5418"/>
    <w:rsid w:val="4B0371D8"/>
    <w:rsid w:val="4B96118E"/>
    <w:rsid w:val="4BAE1B66"/>
    <w:rsid w:val="4BED4708"/>
    <w:rsid w:val="4BF133DC"/>
    <w:rsid w:val="4C507D4A"/>
    <w:rsid w:val="4CDF5563"/>
    <w:rsid w:val="4CFB2214"/>
    <w:rsid w:val="4D1A3672"/>
    <w:rsid w:val="4D2C4D26"/>
    <w:rsid w:val="4D335E0E"/>
    <w:rsid w:val="4D4E4EA3"/>
    <w:rsid w:val="4D876F47"/>
    <w:rsid w:val="4D9A5B1B"/>
    <w:rsid w:val="4DA55D85"/>
    <w:rsid w:val="4DBB20DB"/>
    <w:rsid w:val="4DDC3F22"/>
    <w:rsid w:val="4E1040C7"/>
    <w:rsid w:val="4E1760BF"/>
    <w:rsid w:val="4E646AEA"/>
    <w:rsid w:val="4EBA03C3"/>
    <w:rsid w:val="4EBC5459"/>
    <w:rsid w:val="4ED94CB0"/>
    <w:rsid w:val="4EEC2ED3"/>
    <w:rsid w:val="4F037DB0"/>
    <w:rsid w:val="4F0B74A3"/>
    <w:rsid w:val="4F0E56EA"/>
    <w:rsid w:val="4F2E11BC"/>
    <w:rsid w:val="4F3C4343"/>
    <w:rsid w:val="4F416688"/>
    <w:rsid w:val="4F5620B0"/>
    <w:rsid w:val="4F6654EE"/>
    <w:rsid w:val="4F7379C6"/>
    <w:rsid w:val="4F872183"/>
    <w:rsid w:val="4F872BDB"/>
    <w:rsid w:val="4FA033E9"/>
    <w:rsid w:val="4FA743DA"/>
    <w:rsid w:val="4FB3565A"/>
    <w:rsid w:val="4FED77BF"/>
    <w:rsid w:val="503D1C79"/>
    <w:rsid w:val="507A6406"/>
    <w:rsid w:val="50853863"/>
    <w:rsid w:val="508A4590"/>
    <w:rsid w:val="509352D9"/>
    <w:rsid w:val="50F1461D"/>
    <w:rsid w:val="50FE5411"/>
    <w:rsid w:val="510B072E"/>
    <w:rsid w:val="511B0BF4"/>
    <w:rsid w:val="51264306"/>
    <w:rsid w:val="516123CE"/>
    <w:rsid w:val="51B177A9"/>
    <w:rsid w:val="51CF0D81"/>
    <w:rsid w:val="51E066EB"/>
    <w:rsid w:val="51E84FDE"/>
    <w:rsid w:val="5267570A"/>
    <w:rsid w:val="52707792"/>
    <w:rsid w:val="52A12CDC"/>
    <w:rsid w:val="52DF0C92"/>
    <w:rsid w:val="52E1159C"/>
    <w:rsid w:val="52E34D6A"/>
    <w:rsid w:val="531E524E"/>
    <w:rsid w:val="534072EB"/>
    <w:rsid w:val="538E2D0B"/>
    <w:rsid w:val="53922782"/>
    <w:rsid w:val="539C1424"/>
    <w:rsid w:val="53A639C0"/>
    <w:rsid w:val="53F00A24"/>
    <w:rsid w:val="53F63DBA"/>
    <w:rsid w:val="5448624E"/>
    <w:rsid w:val="546E2B1A"/>
    <w:rsid w:val="5482555F"/>
    <w:rsid w:val="551452C2"/>
    <w:rsid w:val="55363E67"/>
    <w:rsid w:val="556E6DF7"/>
    <w:rsid w:val="559D47CE"/>
    <w:rsid w:val="55BE1959"/>
    <w:rsid w:val="56232437"/>
    <w:rsid w:val="56541A75"/>
    <w:rsid w:val="568832FC"/>
    <w:rsid w:val="568C4181"/>
    <w:rsid w:val="56AC2FF1"/>
    <w:rsid w:val="570725A9"/>
    <w:rsid w:val="5714693E"/>
    <w:rsid w:val="571D0C9C"/>
    <w:rsid w:val="573A16CE"/>
    <w:rsid w:val="577F71A8"/>
    <w:rsid w:val="579C7F80"/>
    <w:rsid w:val="57B30D7C"/>
    <w:rsid w:val="58166B03"/>
    <w:rsid w:val="583E3C94"/>
    <w:rsid w:val="58721734"/>
    <w:rsid w:val="58900246"/>
    <w:rsid w:val="58977358"/>
    <w:rsid w:val="58D53944"/>
    <w:rsid w:val="58D65478"/>
    <w:rsid w:val="58F52487"/>
    <w:rsid w:val="58F778BC"/>
    <w:rsid w:val="590422E6"/>
    <w:rsid w:val="590810E5"/>
    <w:rsid w:val="592257E5"/>
    <w:rsid w:val="59655E33"/>
    <w:rsid w:val="59CF5BD9"/>
    <w:rsid w:val="59E20C3C"/>
    <w:rsid w:val="5A1D5B0A"/>
    <w:rsid w:val="5A3B4B4E"/>
    <w:rsid w:val="5A4804CA"/>
    <w:rsid w:val="5A594C85"/>
    <w:rsid w:val="5A7D649E"/>
    <w:rsid w:val="5ADB57C0"/>
    <w:rsid w:val="5AEB1E3C"/>
    <w:rsid w:val="5B2507CA"/>
    <w:rsid w:val="5B2A474A"/>
    <w:rsid w:val="5B830730"/>
    <w:rsid w:val="5B871C49"/>
    <w:rsid w:val="5BBB2DD6"/>
    <w:rsid w:val="5BE263B6"/>
    <w:rsid w:val="5C8E5C5A"/>
    <w:rsid w:val="5C965E61"/>
    <w:rsid w:val="5CA76AD9"/>
    <w:rsid w:val="5D242A11"/>
    <w:rsid w:val="5D9217C2"/>
    <w:rsid w:val="5DAD06BF"/>
    <w:rsid w:val="5DE23CB3"/>
    <w:rsid w:val="5DE97EEC"/>
    <w:rsid w:val="5DF43138"/>
    <w:rsid w:val="5DFA5EB0"/>
    <w:rsid w:val="5E0B583E"/>
    <w:rsid w:val="5E201A7B"/>
    <w:rsid w:val="5EBD0484"/>
    <w:rsid w:val="5F2C5C7C"/>
    <w:rsid w:val="5FC5273F"/>
    <w:rsid w:val="60806DF2"/>
    <w:rsid w:val="61072DA5"/>
    <w:rsid w:val="611C0817"/>
    <w:rsid w:val="61224A52"/>
    <w:rsid w:val="61520CCB"/>
    <w:rsid w:val="61851A29"/>
    <w:rsid w:val="622D1522"/>
    <w:rsid w:val="622E0574"/>
    <w:rsid w:val="62683B6B"/>
    <w:rsid w:val="62AC5944"/>
    <w:rsid w:val="632731DA"/>
    <w:rsid w:val="637279B4"/>
    <w:rsid w:val="63817D2B"/>
    <w:rsid w:val="63BD1FA9"/>
    <w:rsid w:val="63D27965"/>
    <w:rsid w:val="63FF063D"/>
    <w:rsid w:val="64095516"/>
    <w:rsid w:val="641A2468"/>
    <w:rsid w:val="64372F20"/>
    <w:rsid w:val="64DC72D7"/>
    <w:rsid w:val="653619A6"/>
    <w:rsid w:val="653A5A1F"/>
    <w:rsid w:val="65610A02"/>
    <w:rsid w:val="65A11EA3"/>
    <w:rsid w:val="65AC3D66"/>
    <w:rsid w:val="65BB5334"/>
    <w:rsid w:val="663E1DBA"/>
    <w:rsid w:val="665D0213"/>
    <w:rsid w:val="669E59F1"/>
    <w:rsid w:val="66A2024B"/>
    <w:rsid w:val="66EA4BA0"/>
    <w:rsid w:val="6704732B"/>
    <w:rsid w:val="670F6731"/>
    <w:rsid w:val="67280F62"/>
    <w:rsid w:val="67585CB0"/>
    <w:rsid w:val="67770F0C"/>
    <w:rsid w:val="67B03535"/>
    <w:rsid w:val="6801775B"/>
    <w:rsid w:val="68174F69"/>
    <w:rsid w:val="682C436A"/>
    <w:rsid w:val="68382778"/>
    <w:rsid w:val="68391F41"/>
    <w:rsid w:val="68436B8C"/>
    <w:rsid w:val="68797358"/>
    <w:rsid w:val="6884624F"/>
    <w:rsid w:val="68A519DF"/>
    <w:rsid w:val="68C4160B"/>
    <w:rsid w:val="68C41C30"/>
    <w:rsid w:val="68CF3BA4"/>
    <w:rsid w:val="69257FA7"/>
    <w:rsid w:val="693711B0"/>
    <w:rsid w:val="693F26C7"/>
    <w:rsid w:val="697E12B2"/>
    <w:rsid w:val="69C8706D"/>
    <w:rsid w:val="6A0147CA"/>
    <w:rsid w:val="6A0E3FB4"/>
    <w:rsid w:val="6A292754"/>
    <w:rsid w:val="6A5E3B28"/>
    <w:rsid w:val="6A6B1EBE"/>
    <w:rsid w:val="6A8F43F7"/>
    <w:rsid w:val="6ABF79B7"/>
    <w:rsid w:val="6AD625F3"/>
    <w:rsid w:val="6B5F25EA"/>
    <w:rsid w:val="6B750BA9"/>
    <w:rsid w:val="6BB93285"/>
    <w:rsid w:val="6C0C698C"/>
    <w:rsid w:val="6C222401"/>
    <w:rsid w:val="6C56267F"/>
    <w:rsid w:val="6C826EF9"/>
    <w:rsid w:val="6CAE4C93"/>
    <w:rsid w:val="6D0B1869"/>
    <w:rsid w:val="6D65402D"/>
    <w:rsid w:val="6D683822"/>
    <w:rsid w:val="6D8D136C"/>
    <w:rsid w:val="6DBF2759"/>
    <w:rsid w:val="6DC96F36"/>
    <w:rsid w:val="6DFA3EBF"/>
    <w:rsid w:val="6E1847DC"/>
    <w:rsid w:val="6E3E63D2"/>
    <w:rsid w:val="6E5F7BE6"/>
    <w:rsid w:val="6E6918C6"/>
    <w:rsid w:val="6E8E495B"/>
    <w:rsid w:val="6EEB4AC4"/>
    <w:rsid w:val="6F212DD6"/>
    <w:rsid w:val="6F3B5912"/>
    <w:rsid w:val="6F3D39F1"/>
    <w:rsid w:val="6FA14A81"/>
    <w:rsid w:val="6FA3261F"/>
    <w:rsid w:val="6FBA5815"/>
    <w:rsid w:val="700D6539"/>
    <w:rsid w:val="704203E3"/>
    <w:rsid w:val="7058046B"/>
    <w:rsid w:val="707F2079"/>
    <w:rsid w:val="70922734"/>
    <w:rsid w:val="70CE6DC7"/>
    <w:rsid w:val="710B3646"/>
    <w:rsid w:val="71156C43"/>
    <w:rsid w:val="711759F2"/>
    <w:rsid w:val="713C4ED8"/>
    <w:rsid w:val="71407642"/>
    <w:rsid w:val="71641210"/>
    <w:rsid w:val="71D95B7C"/>
    <w:rsid w:val="71EA6A50"/>
    <w:rsid w:val="71EC42C1"/>
    <w:rsid w:val="71FE31A8"/>
    <w:rsid w:val="721F6113"/>
    <w:rsid w:val="7233782C"/>
    <w:rsid w:val="73177841"/>
    <w:rsid w:val="733774FE"/>
    <w:rsid w:val="73617E1B"/>
    <w:rsid w:val="736D7653"/>
    <w:rsid w:val="738035CB"/>
    <w:rsid w:val="7396335C"/>
    <w:rsid w:val="73F46595"/>
    <w:rsid w:val="74072567"/>
    <w:rsid w:val="74283FA2"/>
    <w:rsid w:val="742C135B"/>
    <w:rsid w:val="74463733"/>
    <w:rsid w:val="748A2F40"/>
    <w:rsid w:val="74F85778"/>
    <w:rsid w:val="75272439"/>
    <w:rsid w:val="758F1E9B"/>
    <w:rsid w:val="75CE266B"/>
    <w:rsid w:val="76120141"/>
    <w:rsid w:val="76C23B43"/>
    <w:rsid w:val="76FD6F97"/>
    <w:rsid w:val="770218E8"/>
    <w:rsid w:val="77C875A5"/>
    <w:rsid w:val="784654D3"/>
    <w:rsid w:val="78A27DF6"/>
    <w:rsid w:val="78D636FC"/>
    <w:rsid w:val="78F461E9"/>
    <w:rsid w:val="79285B3A"/>
    <w:rsid w:val="79625CA9"/>
    <w:rsid w:val="79A91196"/>
    <w:rsid w:val="7A0B32D3"/>
    <w:rsid w:val="7AC13CD3"/>
    <w:rsid w:val="7AE10264"/>
    <w:rsid w:val="7B086EDB"/>
    <w:rsid w:val="7B4A207F"/>
    <w:rsid w:val="7B6334FC"/>
    <w:rsid w:val="7B936F45"/>
    <w:rsid w:val="7BA47419"/>
    <w:rsid w:val="7BB10D45"/>
    <w:rsid w:val="7BB44151"/>
    <w:rsid w:val="7BEC320B"/>
    <w:rsid w:val="7BF82951"/>
    <w:rsid w:val="7C3307AB"/>
    <w:rsid w:val="7C656A39"/>
    <w:rsid w:val="7C6E21F1"/>
    <w:rsid w:val="7CB93996"/>
    <w:rsid w:val="7CBE0F99"/>
    <w:rsid w:val="7D4E45F1"/>
    <w:rsid w:val="7D733448"/>
    <w:rsid w:val="7DFB6D82"/>
    <w:rsid w:val="7E1D71D1"/>
    <w:rsid w:val="7E246254"/>
    <w:rsid w:val="7E6D090F"/>
    <w:rsid w:val="7ECC66B2"/>
    <w:rsid w:val="7EF015E4"/>
    <w:rsid w:val="7F087006"/>
    <w:rsid w:val="7F320D8D"/>
    <w:rsid w:val="7F6C3F27"/>
    <w:rsid w:val="7F833169"/>
    <w:rsid w:val="7F9A7B9F"/>
    <w:rsid w:val="7FA837EF"/>
    <w:rsid w:val="7FC36955"/>
    <w:rsid w:val="7FE903A0"/>
    <w:rsid w:val="7FF97946"/>
    <w:rsid w:val="7FFE788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qFormat="1" w:unhideWhenUsed="0" w:uiPriority="0" w:semiHidden="0" w:name="header"/>
    <w:lsdException w:qFormat="1" w:unhideWhenUsed="0"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semiHidden="0"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cs="宋体" w:asciiTheme="minorHAnsi" w:hAnsiTheme="minorHAnsi" w:eastAsiaTheme="minorEastAsia"/>
      <w:color w:val="auto"/>
      <w:kern w:val="0"/>
      <w:sz w:val="24"/>
      <w:szCs w:val="24"/>
      <w:lang w:val="en-US" w:eastAsia="zh-CN" w:bidi="ar-SA"/>
    </w:rPr>
  </w:style>
  <w:style w:type="paragraph" w:styleId="2">
    <w:name w:val="heading 1"/>
    <w:basedOn w:val="1"/>
    <w:next w:val="1"/>
    <w:qFormat/>
    <w:uiPriority w:val="0"/>
    <w:pPr>
      <w:keepNext/>
      <w:keepLines/>
      <w:numPr>
        <w:ilvl w:val="0"/>
        <w:numId w:val="1"/>
      </w:numPr>
      <w:adjustRightInd w:val="0"/>
      <w:snapToGrid w:val="0"/>
      <w:spacing w:before="340" w:after="50" w:afterLines="50" w:line="578" w:lineRule="auto"/>
      <w:ind w:left="425" w:hanging="425"/>
      <w:jc w:val="left"/>
      <w:outlineLvl w:val="0"/>
    </w:pPr>
    <w:rPr>
      <w:rFonts w:ascii="Times New Roman" w:hAnsi="Times New Roman" w:eastAsia="仿宋" w:cs="Times New Roman"/>
      <w:b/>
      <w:bCs/>
      <w:kern w:val="44"/>
      <w:sz w:val="36"/>
      <w:szCs w:val="44"/>
    </w:rPr>
  </w:style>
  <w:style w:type="paragraph" w:styleId="3">
    <w:name w:val="heading 2"/>
    <w:basedOn w:val="1"/>
    <w:next w:val="1"/>
    <w:link w:val="15"/>
    <w:semiHidden/>
    <w:unhideWhenUsed/>
    <w:qFormat/>
    <w:uiPriority w:val="9"/>
    <w:pPr>
      <w:widowControl w:val="0"/>
      <w:numPr>
        <w:ilvl w:val="1"/>
        <w:numId w:val="1"/>
      </w:numPr>
      <w:spacing w:line="416" w:lineRule="auto"/>
      <w:ind w:left="567" w:hanging="567"/>
      <w:outlineLvl w:val="1"/>
    </w:pPr>
    <w:rPr>
      <w:rFonts w:ascii="Calibri Light" w:hAnsi="Calibri Light" w:eastAsia="宋体" w:cs="Times New Roman"/>
      <w:b/>
      <w:bCs/>
      <w:sz w:val="28"/>
      <w:szCs w:val="32"/>
    </w:rPr>
  </w:style>
  <w:style w:type="paragraph" w:styleId="4">
    <w:name w:val="heading 3"/>
    <w:basedOn w:val="1"/>
    <w:next w:val="1"/>
    <w:semiHidden/>
    <w:unhideWhenUsed/>
    <w:qFormat/>
    <w:uiPriority w:val="9"/>
    <w:pPr>
      <w:keepNext/>
      <w:keepLines/>
      <w:numPr>
        <w:ilvl w:val="2"/>
        <w:numId w:val="1"/>
      </w:numPr>
      <w:spacing w:before="50" w:beforeLines="50" w:after="50" w:afterLines="50" w:line="416" w:lineRule="auto"/>
      <w:outlineLvl w:val="2"/>
    </w:pPr>
    <w:rPr>
      <w:rFonts w:ascii="宋体" w:hAnsi="宋体" w:eastAsia="宋体" w:cs="宋体"/>
      <w:b/>
      <w:bCs/>
      <w:sz w:val="32"/>
    </w:rPr>
  </w:style>
  <w:style w:type="paragraph" w:styleId="5">
    <w:name w:val="heading 4"/>
    <w:basedOn w:val="1"/>
    <w:next w:val="1"/>
    <w:semiHidden/>
    <w:unhideWhenUsed/>
    <w:qFormat/>
    <w:uiPriority w:val="9"/>
    <w:pPr>
      <w:keepNext/>
      <w:keepLines/>
      <w:numPr>
        <w:ilvl w:val="3"/>
        <w:numId w:val="1"/>
      </w:numPr>
      <w:spacing w:before="120" w:after="120"/>
      <w:outlineLvl w:val="3"/>
    </w:pPr>
    <w:rPr>
      <w:rFonts w:ascii="Calibri Light" w:hAnsi="Calibri Light" w:eastAsia="宋体" w:cs="Times New Roman"/>
      <w:b/>
      <w:bCs/>
      <w:sz w:val="28"/>
      <w:szCs w:val="28"/>
    </w:rPr>
  </w:style>
  <w:style w:type="character" w:default="1" w:styleId="13">
    <w:name w:val="Default Paragraph Font"/>
    <w:semiHidden/>
    <w:unhideWhenUsed/>
    <w:qFormat/>
    <w:uiPriority w:val="1"/>
  </w:style>
  <w:style w:type="table" w:default="1" w:styleId="11">
    <w:name w:val="Normal Table"/>
    <w:semiHidden/>
    <w:unhideWhenUsed/>
    <w:qFormat/>
    <w:uiPriority w:val="99"/>
    <w:tblPr>
      <w:tblCellMar>
        <w:top w:w="0" w:type="dxa"/>
        <w:left w:w="108" w:type="dxa"/>
        <w:bottom w:w="0" w:type="dxa"/>
        <w:right w:w="108" w:type="dxa"/>
      </w:tblCellMar>
    </w:tblPr>
  </w:style>
  <w:style w:type="paragraph" w:styleId="6">
    <w:name w:val="annotation text"/>
    <w:basedOn w:val="1"/>
    <w:semiHidden/>
    <w:unhideWhenUsed/>
    <w:qFormat/>
    <w:uiPriority w:val="99"/>
    <w:pPr>
      <w:jc w:val="left"/>
    </w:pPr>
  </w:style>
  <w:style w:type="paragraph" w:styleId="7">
    <w:name w:val="Balloon Text"/>
    <w:basedOn w:val="1"/>
    <w:link w:val="24"/>
    <w:unhideWhenUsed/>
    <w:qFormat/>
    <w:uiPriority w:val="99"/>
    <w:rPr>
      <w:rFonts w:cstheme="minorBidi"/>
      <w:kern w:val="2"/>
      <w:sz w:val="18"/>
      <w:szCs w:val="18"/>
    </w:rPr>
  </w:style>
  <w:style w:type="paragraph" w:styleId="8">
    <w:name w:val="footer"/>
    <w:basedOn w:val="1"/>
    <w:link w:val="16"/>
    <w:qFormat/>
    <w:uiPriority w:val="99"/>
    <w:pPr>
      <w:tabs>
        <w:tab w:val="center" w:pos="4153"/>
        <w:tab w:val="right" w:pos="8306"/>
      </w:tabs>
      <w:snapToGrid w:val="0"/>
      <w:jc w:val="left"/>
    </w:pPr>
    <w:rPr>
      <w:rFonts w:cstheme="minorBidi"/>
      <w:kern w:val="2"/>
      <w:sz w:val="18"/>
      <w:szCs w:val="18"/>
    </w:rPr>
  </w:style>
  <w:style w:type="paragraph" w:styleId="9">
    <w:name w:val="header"/>
    <w:basedOn w:val="1"/>
    <w:link w:val="17"/>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jc w:val="center"/>
    </w:pPr>
    <w:rPr>
      <w:rFonts w:cstheme="minorBidi"/>
      <w:kern w:val="2"/>
      <w:sz w:val="18"/>
      <w:szCs w:val="18"/>
    </w:rPr>
  </w:style>
  <w:style w:type="paragraph" w:styleId="10">
    <w:name w:val="Normal (Web)"/>
    <w:basedOn w:val="1"/>
    <w:semiHidden/>
    <w:unhideWhenUsed/>
    <w:qFormat/>
    <w:uiPriority w:val="99"/>
    <w:pPr>
      <w:spacing w:before="0" w:beforeAutospacing="1" w:after="0" w:afterAutospacing="1"/>
      <w:ind w:left="0" w:right="0"/>
      <w:jc w:val="left"/>
    </w:pPr>
    <w:rPr>
      <w:kern w:val="0"/>
      <w:sz w:val="24"/>
      <w:lang w:val="en-US" w:eastAsia="zh-CN" w:bidi="ar"/>
    </w:rPr>
  </w:style>
  <w:style w:type="table" w:styleId="12">
    <w:name w:val="Table Grid"/>
    <w:qFormat/>
    <w:uiPriority w:val="0"/>
    <w:rPr>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styleId="14">
    <w:name w:val="Strong"/>
    <w:basedOn w:val="13"/>
    <w:qFormat/>
    <w:uiPriority w:val="22"/>
    <w:rPr>
      <w:b/>
    </w:rPr>
  </w:style>
  <w:style w:type="character" w:customStyle="1" w:styleId="15">
    <w:name w:val="标题 2 Char"/>
    <w:link w:val="3"/>
    <w:qFormat/>
    <w:uiPriority w:val="0"/>
    <w:rPr>
      <w:rFonts w:ascii="Calibri Light" w:hAnsi="Calibri Light" w:eastAsia="宋体" w:cs="Times New Roman"/>
      <w:b/>
      <w:bCs/>
      <w:sz w:val="28"/>
      <w:szCs w:val="32"/>
    </w:rPr>
  </w:style>
  <w:style w:type="character" w:customStyle="1" w:styleId="16">
    <w:name w:val="页脚 Char"/>
    <w:basedOn w:val="13"/>
    <w:link w:val="8"/>
    <w:qFormat/>
    <w:uiPriority w:val="99"/>
    <w:rPr>
      <w:rFonts w:asciiTheme="minorHAnsi" w:hAnsiTheme="minorHAnsi" w:eastAsiaTheme="minorEastAsia" w:cstheme="minorBidi"/>
      <w:sz w:val="18"/>
      <w:szCs w:val="18"/>
      <w:lang w:val="en-US" w:eastAsia="zh-CN" w:bidi="ar-SA"/>
    </w:rPr>
  </w:style>
  <w:style w:type="character" w:customStyle="1" w:styleId="17">
    <w:name w:val="页眉 Char"/>
    <w:basedOn w:val="13"/>
    <w:link w:val="9"/>
    <w:qFormat/>
    <w:uiPriority w:val="0"/>
    <w:rPr>
      <w:rFonts w:asciiTheme="minorHAnsi" w:hAnsiTheme="minorHAnsi" w:eastAsiaTheme="minorEastAsia" w:cstheme="minorBidi"/>
      <w:sz w:val="18"/>
      <w:szCs w:val="18"/>
      <w:lang w:val="en-US" w:eastAsia="zh-CN" w:bidi="ar-SA"/>
    </w:rPr>
  </w:style>
  <w:style w:type="character" w:customStyle="1" w:styleId="18">
    <w:name w:val="font11"/>
    <w:basedOn w:val="13"/>
    <w:qFormat/>
    <w:uiPriority w:val="0"/>
    <w:rPr>
      <w:rFonts w:hint="eastAsia" w:ascii="宋体" w:hAnsi="宋体" w:eastAsia="宋体" w:cs="宋体"/>
      <w:color w:val="000000"/>
      <w:sz w:val="20"/>
      <w:szCs w:val="20"/>
      <w:u w:val="none"/>
      <w:lang w:val="en-US" w:eastAsia="zh-CN" w:bidi="ar-SA"/>
    </w:rPr>
  </w:style>
  <w:style w:type="character" w:customStyle="1" w:styleId="19">
    <w:name w:val="font01"/>
    <w:basedOn w:val="13"/>
    <w:qFormat/>
    <w:uiPriority w:val="0"/>
    <w:rPr>
      <w:rFonts w:hint="eastAsia" w:ascii="宋体" w:hAnsi="宋体" w:eastAsia="宋体" w:cs="宋体"/>
      <w:color w:val="000000"/>
      <w:sz w:val="22"/>
      <w:szCs w:val="22"/>
      <w:u w:val="none"/>
      <w:lang w:val="en-US" w:eastAsia="zh-CN" w:bidi="ar-SA"/>
    </w:rPr>
  </w:style>
  <w:style w:type="character" w:customStyle="1" w:styleId="20">
    <w:name w:val="font41"/>
    <w:basedOn w:val="13"/>
    <w:qFormat/>
    <w:uiPriority w:val="0"/>
    <w:rPr>
      <w:rFonts w:hint="eastAsia" w:ascii="宋体" w:hAnsi="宋体" w:eastAsia="宋体" w:cs="宋体"/>
      <w:color w:val="000000"/>
      <w:sz w:val="24"/>
      <w:szCs w:val="24"/>
      <w:u w:val="none"/>
      <w:lang w:val="en-US" w:eastAsia="zh-CN" w:bidi="ar-SA"/>
    </w:rPr>
  </w:style>
  <w:style w:type="character" w:customStyle="1" w:styleId="21">
    <w:name w:val="font31"/>
    <w:basedOn w:val="13"/>
    <w:qFormat/>
    <w:uiPriority w:val="0"/>
    <w:rPr>
      <w:rFonts w:hint="eastAsia" w:ascii="华文中宋" w:hAnsi="华文中宋" w:eastAsia="华文中宋" w:cs="华文中宋"/>
      <w:color w:val="000000"/>
      <w:sz w:val="32"/>
      <w:szCs w:val="32"/>
      <w:u w:val="none"/>
      <w:lang w:val="en-US" w:eastAsia="zh-CN" w:bidi="ar-SA"/>
    </w:rPr>
  </w:style>
  <w:style w:type="character" w:customStyle="1" w:styleId="22">
    <w:name w:val="font91"/>
    <w:basedOn w:val="13"/>
    <w:qFormat/>
    <w:uiPriority w:val="0"/>
    <w:rPr>
      <w:rFonts w:hint="eastAsia" w:ascii="华文中宋" w:hAnsi="华文中宋" w:eastAsia="华文中宋" w:cs="华文中宋"/>
      <w:color w:val="000000"/>
      <w:sz w:val="32"/>
      <w:szCs w:val="32"/>
      <w:u w:val="none"/>
      <w:lang w:val="en-US" w:eastAsia="zh-CN" w:bidi="ar-SA"/>
    </w:rPr>
  </w:style>
  <w:style w:type="character" w:customStyle="1" w:styleId="23">
    <w:name w:val="font51"/>
    <w:basedOn w:val="13"/>
    <w:qFormat/>
    <w:uiPriority w:val="0"/>
    <w:rPr>
      <w:rFonts w:hint="eastAsia" w:ascii="宋体" w:hAnsi="宋体" w:eastAsia="宋体" w:cs="宋体"/>
      <w:color w:val="000000"/>
      <w:sz w:val="24"/>
      <w:szCs w:val="24"/>
      <w:u w:val="none"/>
      <w:lang w:val="en-US" w:eastAsia="zh-CN" w:bidi="ar-SA"/>
    </w:rPr>
  </w:style>
  <w:style w:type="character" w:customStyle="1" w:styleId="24">
    <w:name w:val="批注框文本 Char"/>
    <w:basedOn w:val="13"/>
    <w:link w:val="7"/>
    <w:semiHidden/>
    <w:qFormat/>
    <w:uiPriority w:val="99"/>
    <w:rPr>
      <w:rFonts w:asciiTheme="minorHAnsi" w:hAnsiTheme="minorHAnsi" w:eastAsiaTheme="minorEastAsia" w:cstheme="minorBidi"/>
      <w:sz w:val="18"/>
      <w:szCs w:val="18"/>
      <w:lang w:val="en-US" w:eastAsia="zh-CN" w:bidi="ar-SA"/>
    </w:rPr>
  </w:style>
  <w:style w:type="character" w:customStyle="1" w:styleId="25">
    <w:name w:val="font61"/>
    <w:basedOn w:val="13"/>
    <w:qFormat/>
    <w:uiPriority w:val="0"/>
    <w:rPr>
      <w:rFonts w:hint="default" w:ascii="Calibri" w:hAnsi="Calibri" w:cs="Calibri"/>
      <w:color w:val="000000"/>
      <w:sz w:val="20"/>
      <w:szCs w:val="20"/>
      <w:u w:val="none"/>
    </w:rPr>
  </w:style>
</w:styles>
</file>

<file path=word/_rels/document.xml.rels><?xml version="1.0" encoding="UTF-8" standalone="yes"?>
<Relationships xmlns="http://schemas.openxmlformats.org/package/2006/relationships"><Relationship Id="rId9" Type="http://schemas.openxmlformats.org/officeDocument/2006/relationships/image" Target="media/image1.jpeg"/><Relationship Id="rId8" Type="http://schemas.openxmlformats.org/officeDocument/2006/relationships/theme" Target="theme/theme1.xml"/><Relationship Id="rId7" Type="http://schemas.openxmlformats.org/officeDocument/2006/relationships/header" Target="header3.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header" Target="header2.xml"/><Relationship Id="rId3" Type="http://schemas.openxmlformats.org/officeDocument/2006/relationships/header" Target="header1.xml"/><Relationship Id="rId20" Type="http://schemas.openxmlformats.org/officeDocument/2006/relationships/fontTable" Target="fontTable.xml"/><Relationship Id="rId2" Type="http://schemas.openxmlformats.org/officeDocument/2006/relationships/settings" Target="settings.xml"/><Relationship Id="rId19" Type="http://schemas.openxmlformats.org/officeDocument/2006/relationships/numbering" Target="numbering.xml"/><Relationship Id="rId18" Type="http://schemas.openxmlformats.org/officeDocument/2006/relationships/customXml" Target="../customXml/item1.xml"/><Relationship Id="rId17" Type="http://schemas.openxmlformats.org/officeDocument/2006/relationships/chart" Target="charts/chart4.xml"/><Relationship Id="rId16" Type="http://schemas.openxmlformats.org/officeDocument/2006/relationships/chart" Target="charts/chart3.xml"/><Relationship Id="rId15" Type="http://schemas.openxmlformats.org/officeDocument/2006/relationships/chart" Target="charts/chart2.xml"/><Relationship Id="rId14" Type="http://schemas.openxmlformats.org/officeDocument/2006/relationships/chart" Target="charts/chart1.xml"/><Relationship Id="rId13" Type="http://schemas.openxmlformats.org/officeDocument/2006/relationships/image" Target="media/image5.png"/><Relationship Id="rId12" Type="http://schemas.openxmlformats.org/officeDocument/2006/relationships/image" Target="media/image4.jpeg"/><Relationship Id="rId11" Type="http://schemas.openxmlformats.org/officeDocument/2006/relationships/image" Target="media/image3.jpeg"/><Relationship Id="rId10" Type="http://schemas.openxmlformats.org/officeDocument/2006/relationships/image" Target="media/image2.jpeg"/><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9" Type="http://schemas.openxmlformats.org/officeDocument/2006/relationships/font" Target="fonts/font9.odttf"/><Relationship Id="rId8" Type="http://schemas.openxmlformats.org/officeDocument/2006/relationships/font" Target="fonts/font8.odttf"/><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2" Type="http://schemas.openxmlformats.org/officeDocument/2006/relationships/font" Target="fonts/font12.odttf"/><Relationship Id="rId11" Type="http://schemas.openxmlformats.org/officeDocument/2006/relationships/font" Target="fonts/font11.odttf"/><Relationship Id="rId10" Type="http://schemas.openxmlformats.org/officeDocument/2006/relationships/font" Target="fonts/font10.odttf"/><Relationship Id="rId1" Type="http://schemas.openxmlformats.org/officeDocument/2006/relationships/font" Target="fonts/font1.odttf"/></Relationships>
</file>

<file path=word/charts/_rels/chart1.xml.rels><?xml version="1.0" encoding="UTF-8" standalone="yes"?>
<Relationships xmlns="http://schemas.openxmlformats.org/package/2006/relationships"><Relationship Id="rId3" Type="http://schemas.microsoft.com/office/2011/relationships/chartColorStyle" Target="colors2.xml"/><Relationship Id="rId2" Type="http://schemas.microsoft.com/office/2011/relationships/chartStyle" Target="style2.xml"/><Relationship Id="rId1" Type="http://schemas.openxmlformats.org/officeDocument/2006/relationships/oleObject" Target="file:///E:\&#36130;&#25919;&#23616;\&#22269;&#36164;&#31185;\&#39033;&#30446;&#24211;&#22269;&#26377;&#36164;&#20135;&#36141;&#32622;&#21464;&#26356;&#23457;&#25209;&#34920;(.xlsx" TargetMode="External"/></Relationships>
</file>

<file path=word/charts/_rels/chart2.xml.rels><?xml version="1.0" encoding="UTF-8" standalone="yes"?>
<Relationships xmlns="http://schemas.openxmlformats.org/package/2006/relationships"><Relationship Id="rId3" Type="http://schemas.microsoft.com/office/2011/relationships/chartColorStyle" Target="colors3.xml"/><Relationship Id="rId2" Type="http://schemas.microsoft.com/office/2011/relationships/chartStyle" Target="style3.xml"/><Relationship Id="rId1" Type="http://schemas.openxmlformats.org/officeDocument/2006/relationships/oleObject" Target="file:///E:\&#36130;&#25919;&#23616;\&#22269;&#36164;&#31185;\&#39033;&#30446;&#24211;&#22269;&#26377;&#36164;&#20135;&#36141;&#32622;&#21464;&#26356;&#23457;&#25209;&#34920;(.xlsx" TargetMode="External"/></Relationships>
</file>

<file path=word/charts/_rels/chart3.xml.rels><?xml version="1.0" encoding="UTF-8" standalone="yes"?>
<Relationships xmlns="http://schemas.openxmlformats.org/package/2006/relationships"><Relationship Id="rId3" Type="http://schemas.microsoft.com/office/2011/relationships/chartColorStyle" Target="colors4.xml"/><Relationship Id="rId2" Type="http://schemas.microsoft.com/office/2011/relationships/chartStyle" Target="style4.xml"/><Relationship Id="rId1" Type="http://schemas.openxmlformats.org/officeDocument/2006/relationships/oleObject" Target="file:///E:\&#36130;&#25919;&#23616;\&#22269;&#36164;&#31185;\&#39033;&#30446;&#24211;&#22269;&#26377;&#36164;&#20135;&#36141;&#32622;&#21464;&#26356;&#23457;&#25209;&#34920;(.xlsx" TargetMode="External"/></Relationships>
</file>

<file path=word/charts/_rels/chart4.xml.rels><?xml version="1.0" encoding="UTF-8" standalone="yes"?>
<Relationships xmlns="http://schemas.openxmlformats.org/package/2006/relationships"><Relationship Id="rId3" Type="http://schemas.microsoft.com/office/2011/relationships/chartColorStyle" Target="colors1.xml"/><Relationship Id="rId2" Type="http://schemas.microsoft.com/office/2011/relationships/chartStyle" Target="style1.xml"/><Relationship Id="rId1" Type="http://schemas.openxmlformats.org/officeDocument/2006/relationships/oleObject" Target="file:///E:\&#36130;&#25919;&#23616;\&#22269;&#36164;&#31185;\&#39033;&#30446;&#24211;&#22269;&#26377;&#36164;&#20135;&#36141;&#32622;&#21464;&#26356;&#23457;&#25209;&#34920;(.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spc="0" baseline="0">
                <a:solidFill>
                  <a:schemeClr val="tx1">
                    <a:lumMod val="65000"/>
                    <a:lumOff val="35000"/>
                  </a:schemeClr>
                </a:solidFill>
                <a:latin typeface="+mn-lt"/>
                <a:ea typeface="+mn-ea"/>
                <a:cs typeface="+mn-cs"/>
              </a:defRPr>
            </a:pPr>
            <a:r>
              <a:t>图</a:t>
            </a:r>
            <a:r>
              <a:rPr lang="en-US" altLang="zh-CN"/>
              <a:t>1     2022</a:t>
            </a:r>
            <a:r>
              <a:rPr altLang="en-US"/>
              <a:t>、</a:t>
            </a:r>
            <a:r>
              <a:rPr lang="en-US" altLang="zh-CN"/>
              <a:t>2023</a:t>
            </a:r>
            <a:r>
              <a:rPr altLang="en-US"/>
              <a:t>年度收支总计对比</a:t>
            </a:r>
            <a:endParaRPr lang="en-US" altLang="zh-CN"/>
          </a:p>
        </c:rich>
      </c:tx>
      <c:layout>
        <c:manualLayout>
          <c:xMode val="edge"/>
          <c:yMode val="edge"/>
          <c:x val="0.213055555555556"/>
          <c:y val="0.0416666666666667"/>
        </c:manualLayout>
      </c:layout>
      <c:overlay val="0"/>
      <c:spPr>
        <a:noFill/>
        <a:ln>
          <a:noFill/>
        </a:ln>
        <a:effectLst/>
      </c:spPr>
    </c:title>
    <c:autoTitleDeleted val="0"/>
    <c:plotArea>
      <c:layout/>
      <c:barChart>
        <c:barDir val="col"/>
        <c:grouping val="clustered"/>
        <c:varyColors val="0"/>
        <c:ser>
          <c:idx val="0"/>
          <c:order val="0"/>
          <c:tx>
            <c:strRef>
              <c:f>'[项目库国有资产购置变更审批表(.xlsx]Sheet1'!$C$2</c:f>
              <c:strCache>
                <c:ptCount val="1"/>
                <c:pt idx="0">
                  <c:v>收支</c:v>
                </c:pt>
              </c:strCache>
            </c:strRef>
          </c:tx>
          <c:spPr>
            <a:solidFill>
              <a:schemeClr val="accent1"/>
            </a:solidFill>
            <a:ln>
              <a:noFill/>
            </a:ln>
            <a:effectLst/>
          </c:spPr>
          <c:invertIfNegative val="0"/>
          <c:dLbls>
            <c:delete val="1"/>
          </c:dLbls>
          <c:cat>
            <c:numRef>
              <c:f>'[项目库国有资产购置变更审批表(.xlsx]Sheet1'!$B$3:$B$4</c:f>
              <c:numCache>
                <c:formatCode>General</c:formatCode>
                <c:ptCount val="2"/>
                <c:pt idx="0">
                  <c:v>2022</c:v>
                </c:pt>
                <c:pt idx="1">
                  <c:v>2023</c:v>
                </c:pt>
              </c:numCache>
            </c:numRef>
          </c:cat>
          <c:val>
            <c:numRef>
              <c:f>'[项目库国有资产购置变更审批表(.xlsx]Sheet1'!$C$3:$C$4</c:f>
              <c:numCache>
                <c:formatCode>General</c:formatCode>
                <c:ptCount val="2"/>
                <c:pt idx="0">
                  <c:v>2620.39</c:v>
                </c:pt>
                <c:pt idx="1">
                  <c:v>1670.99</c:v>
                </c:pt>
              </c:numCache>
            </c:numRef>
          </c:val>
        </c:ser>
        <c:dLbls>
          <c:showLegendKey val="0"/>
          <c:showVal val="0"/>
          <c:showCatName val="0"/>
          <c:showSerName val="0"/>
          <c:showPercent val="0"/>
          <c:showBubbleSize val="0"/>
        </c:dLbls>
        <c:gapWidth val="219"/>
        <c:overlap val="-27"/>
        <c:axId val="837967708"/>
        <c:axId val="515408843"/>
      </c:barChart>
      <c:catAx>
        <c:axId val="837967708"/>
        <c:scaling>
          <c:orientation val="minMax"/>
        </c:scaling>
        <c:delete val="0"/>
        <c:axPos val="b"/>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515408843"/>
        <c:crosses val="autoZero"/>
        <c:auto val="1"/>
        <c:lblAlgn val="ctr"/>
        <c:lblOffset val="100"/>
        <c:noMultiLvlLbl val="0"/>
      </c:catAx>
      <c:valAx>
        <c:axId val="515408843"/>
        <c:scaling>
          <c:orientation val="minMax"/>
        </c:scaling>
        <c:delete val="0"/>
        <c:axPos val="l"/>
        <c:majorGridlines>
          <c:spPr>
            <a:ln w="9525" cap="flat" cmpd="sng" algn="ctr">
              <a:no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37967708"/>
        <c:crosses val="autoZero"/>
        <c:crossBetween val="between"/>
      </c:valAx>
      <c:spPr>
        <a:noFill/>
        <a:ln>
          <a:noFill/>
        </a:ln>
        <a:effectLst/>
      </c:spPr>
    </c:plotArea>
    <c:plotVisOnly val="1"/>
    <c:dispBlanksAs val="gap"/>
    <c:showDLblsOverMax val="0"/>
  </c:chart>
  <c:spPr>
    <a:solidFill>
      <a:schemeClr val="bg1"/>
    </a:solidFill>
    <a:ln w="9525" cap="flat" cmpd="sng" algn="ctr">
      <a:noFill/>
      <a:round/>
    </a:ln>
    <a:effectLst/>
  </c:spPr>
  <c:txPr>
    <a:bodyPr/>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800" b="1" i="0" u="none" strike="noStrike" kern="1200" baseline="0">
                <a:solidFill>
                  <a:schemeClr val="dk1">
                    <a:lumMod val="75000"/>
                    <a:lumOff val="25000"/>
                  </a:schemeClr>
                </a:solidFill>
                <a:latin typeface="+mn-lt"/>
                <a:ea typeface="+mn-ea"/>
                <a:cs typeface="+mn-cs"/>
              </a:defRPr>
            </a:pPr>
            <a:r>
              <a:t>图2     支出构成情况图</a:t>
            </a:r>
          </a:p>
        </c:rich>
      </c:tx>
      <c:layout>
        <c:manualLayout>
          <c:xMode val="edge"/>
          <c:yMode val="edge"/>
          <c:x val="0.338055555555556"/>
          <c:y val="0.0347222222222222"/>
        </c:manualLayout>
      </c:layout>
      <c:overlay val="0"/>
      <c:spPr>
        <a:noFill/>
        <a:ln>
          <a:noFill/>
        </a:ln>
        <a:effectLst/>
      </c:spPr>
    </c:title>
    <c:autoTitleDeleted val="0"/>
    <c:plotArea>
      <c:layout/>
      <c:pieChart>
        <c:varyColors val="1"/>
        <c:ser>
          <c:idx val="0"/>
          <c:order val="0"/>
          <c:spPr/>
          <c:explosion val="0"/>
          <c:dPt>
            <c:idx val="0"/>
            <c:bubble3D val="0"/>
            <c:spPr>
              <a:solidFill>
                <a:schemeClr val="accent1"/>
              </a:solidFill>
              <a:ln>
                <a:noFill/>
              </a:ln>
              <a:effectLst>
                <a:outerShdw blurRad="254000" sx="102000" sy="102000" algn="ctr" rotWithShape="0">
                  <a:prstClr val="black">
                    <a:alpha val="20000"/>
                  </a:prstClr>
                </a:outerShdw>
              </a:effectLst>
            </c:spPr>
          </c:dPt>
          <c:dPt>
            <c:idx val="1"/>
            <c:bubble3D val="0"/>
            <c:spPr>
              <a:solidFill>
                <a:schemeClr val="accent2"/>
              </a:solidFill>
              <a:ln>
                <a:noFill/>
              </a:ln>
              <a:effectLst>
                <a:outerShdw blurRad="254000" sx="102000" sy="102000" algn="ctr" rotWithShape="0">
                  <a:prstClr val="black">
                    <a:alpha val="20000"/>
                  </a:prstClr>
                </a:outerShdw>
              </a:effectLst>
            </c:spPr>
          </c:dPt>
          <c:dLbls>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0" vertOverflow="ellipsis" vert="horz" wrap="square" lIns="38100" tIns="19050" rIns="38100" bIns="19050" anchor="ctr" anchorCtr="1"/>
              <a:lstStyle/>
              <a:p>
                <a:pPr>
                  <a:defRPr lang="zh-CN" sz="1000" b="1" i="0" u="none" strike="noStrike" kern="1200" baseline="0">
                    <a:solidFill>
                      <a:schemeClr val="lt1"/>
                    </a:solidFill>
                    <a:latin typeface="+mn-lt"/>
                    <a:ea typeface="+mn-ea"/>
                    <a:cs typeface="+mn-cs"/>
                  </a:defRPr>
                </a:pPr>
              </a:p>
            </c:txPr>
            <c:dLblPos val="ctr"/>
            <c:showLegendKey val="0"/>
            <c:showVal val="0"/>
            <c:showCatName val="0"/>
            <c:showSerName val="0"/>
            <c:showPercent val="1"/>
            <c:showBubbleSize val="0"/>
            <c:showLeaderLines val="1"/>
            <c:extLst>
              <c:ext xmlns:c15="http://schemas.microsoft.com/office/drawing/2012/chart" uri="{CE6537A1-D6FC-4f65-9D91-7224C49458BB}">
                <c15:layout/>
                <c15:showLeaderLines val="1"/>
                <c15:leaderLines>
                  <c:spPr>
                    <a:ln w="9525">
                      <a:solidFill>
                        <a:schemeClr val="dk1">
                          <a:lumMod val="50000"/>
                          <a:lumOff val="50000"/>
                        </a:schemeClr>
                      </a:solidFill>
                    </a:ln>
                    <a:effectLst/>
                  </c:spPr>
                </c15:leaderLines>
              </c:ext>
            </c:extLst>
          </c:dLbls>
          <c:cat>
            <c:strRef>
              <c:f>'[项目库国有资产购置变更审批表(.xlsx]Sheet1'!$C$24:$C$25</c:f>
              <c:strCache>
                <c:ptCount val="2"/>
                <c:pt idx="0">
                  <c:v>基本支出</c:v>
                </c:pt>
                <c:pt idx="1">
                  <c:v>项目支出</c:v>
                </c:pt>
              </c:strCache>
            </c:strRef>
          </c:cat>
          <c:val>
            <c:numRef>
              <c:f>'[项目库国有资产购置变更审批表(.xlsx]Sheet1'!$D$24:$D$25</c:f>
              <c:numCache>
                <c:formatCode>General</c:formatCode>
                <c:ptCount val="2"/>
                <c:pt idx="0">
                  <c:v>933.89</c:v>
                </c:pt>
                <c:pt idx="1">
                  <c:v>737.09</c:v>
                </c:pt>
              </c:numCache>
            </c:numRef>
          </c:val>
        </c:ser>
        <c:dLbls>
          <c:showLegendKey val="0"/>
          <c:showVal val="0"/>
          <c:showCatName val="0"/>
          <c:showSerName val="0"/>
          <c:showPercent val="1"/>
          <c:showBubbleSize val="0"/>
          <c:showLeaderLines val="1"/>
        </c:dLbls>
        <c:firstSliceAng val="0"/>
      </c:pieChart>
      <c:spPr>
        <a:noFill/>
        <a:ln>
          <a:noFill/>
        </a:ln>
        <a:effectLst/>
      </c:spPr>
    </c:plotArea>
    <c:legend>
      <c:legendPos val="r"/>
      <c:layout/>
      <c:overlay val="0"/>
      <c:spPr>
        <a:solidFill>
          <a:schemeClr val="lt1">
            <a:lumMod val="95000"/>
            <a:alpha val="39000"/>
          </a:schemeClr>
        </a:solidFill>
        <a:ln>
          <a:noFill/>
        </a:ln>
        <a:effectLst/>
      </c:spPr>
      <c:txPr>
        <a:bodyPr rot="0" spcFirstLastPara="0" vertOverflow="ellipsis" vert="horz" wrap="square" anchor="ctr" anchorCtr="1"/>
        <a:lstStyle/>
        <a:p>
          <a:pPr>
            <a:defRPr lang="zh-CN" sz="900" b="0" i="0" u="none" strike="noStrike" kern="1200" baseline="0">
              <a:solidFill>
                <a:schemeClr val="dk1">
                  <a:lumMod val="75000"/>
                  <a:lumOff val="25000"/>
                </a:schemeClr>
              </a:solidFill>
              <a:latin typeface="+mn-lt"/>
              <a:ea typeface="+mn-ea"/>
              <a:cs typeface="+mn-cs"/>
            </a:defRPr>
          </a:pPr>
        </a:p>
      </c:txPr>
    </c:legend>
    <c:plotVisOnly val="1"/>
    <c:dispBlanksAs val="gap"/>
    <c:showDLblsOverMax val="0"/>
  </c:chart>
  <c:spPr>
    <a:noFill/>
    <a:ln w="9525" cap="flat" cmpd="sng" algn="ctr">
      <a:noFill/>
      <a:round/>
    </a:ln>
    <a:effectLst/>
  </c:spPr>
  <c:txPr>
    <a:bodyPr/>
    <a:lstStyle/>
    <a:p>
      <a:pPr>
        <a:defRPr lang="zh-CN"/>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spc="0" baseline="0">
                <a:solidFill>
                  <a:schemeClr val="tx1">
                    <a:lumMod val="65000"/>
                    <a:lumOff val="35000"/>
                  </a:schemeClr>
                </a:solidFill>
                <a:latin typeface="+mn-lt"/>
                <a:ea typeface="+mn-ea"/>
                <a:cs typeface="+mn-cs"/>
              </a:defRPr>
            </a:pPr>
            <a:r>
              <a:t>图</a:t>
            </a:r>
            <a:r>
              <a:rPr lang="en-US" altLang="zh-CN"/>
              <a:t>4</a:t>
            </a:r>
            <a:r>
              <a:t>    政府性基金财政拨款收支对比</a:t>
            </a:r>
          </a:p>
        </c:rich>
      </c:tx>
      <c:layout>
        <c:manualLayout>
          <c:xMode val="edge"/>
          <c:yMode val="edge"/>
          <c:x val="0.173194444444444"/>
          <c:y val="0.0671296296296296"/>
        </c:manualLayout>
      </c:layout>
      <c:overlay val="0"/>
      <c:spPr>
        <a:noFill/>
        <a:ln>
          <a:noFill/>
        </a:ln>
        <a:effectLst/>
      </c:spPr>
    </c:title>
    <c:autoTitleDeleted val="0"/>
    <c:plotArea>
      <c:layout>
        <c:manualLayout>
          <c:layoutTarget val="inner"/>
          <c:xMode val="edge"/>
          <c:yMode val="edge"/>
          <c:x val="0.0859166666666667"/>
          <c:y val="0.203240740740741"/>
          <c:w val="0.894638888888889"/>
          <c:h val="0.606111111111111"/>
        </c:manualLayout>
      </c:layout>
      <c:barChart>
        <c:barDir val="col"/>
        <c:grouping val="clustered"/>
        <c:varyColors val="0"/>
        <c:ser>
          <c:idx val="0"/>
          <c:order val="0"/>
          <c:tx>
            <c:strRef>
              <c:f>'[项目库国有资产购置变更审批表(.xlsx]Sheet1'!$B$63</c:f>
              <c:strCache>
                <c:ptCount val="1"/>
                <c:pt idx="0">
                  <c:v>收入</c:v>
                </c:pt>
              </c:strCache>
            </c:strRef>
          </c:tx>
          <c:spPr>
            <a:solidFill>
              <a:schemeClr val="accent1"/>
            </a:solidFill>
            <a:ln>
              <a:noFill/>
            </a:ln>
            <a:effectLst/>
          </c:spPr>
          <c:invertIfNegative val="0"/>
          <c:dLbls>
            <c:delete val="1"/>
          </c:dLbls>
          <c:cat>
            <c:numRef>
              <c:f>'[项目库国有资产购置变更审批表(.xlsx]Sheet1'!$C$62:$D$62</c:f>
              <c:numCache>
                <c:formatCode>General</c:formatCode>
                <c:ptCount val="2"/>
                <c:pt idx="0">
                  <c:v>2022</c:v>
                </c:pt>
                <c:pt idx="1">
                  <c:v>2023</c:v>
                </c:pt>
              </c:numCache>
            </c:numRef>
          </c:cat>
          <c:val>
            <c:numRef>
              <c:f>'[项目库国有资产购置变更审批表(.xlsx]Sheet1'!$C$63:$D$63</c:f>
              <c:numCache>
                <c:formatCode>General</c:formatCode>
                <c:ptCount val="2"/>
                <c:pt idx="0">
                  <c:v>617.21</c:v>
                </c:pt>
                <c:pt idx="1">
                  <c:v>35</c:v>
                </c:pt>
              </c:numCache>
            </c:numRef>
          </c:val>
        </c:ser>
        <c:ser>
          <c:idx val="1"/>
          <c:order val="1"/>
          <c:tx>
            <c:strRef>
              <c:f>'[项目库国有资产购置变更审批表(.xlsx]Sheet1'!$B$64</c:f>
              <c:strCache>
                <c:ptCount val="1"/>
                <c:pt idx="0">
                  <c:v>支出</c:v>
                </c:pt>
              </c:strCache>
            </c:strRef>
          </c:tx>
          <c:spPr>
            <a:solidFill>
              <a:schemeClr val="accent2"/>
            </a:solidFill>
            <a:ln>
              <a:noFill/>
            </a:ln>
            <a:effectLst/>
          </c:spPr>
          <c:invertIfNegative val="0"/>
          <c:dLbls>
            <c:delete val="1"/>
          </c:dLbls>
          <c:cat>
            <c:numRef>
              <c:f>'[项目库国有资产购置变更审批表(.xlsx]Sheet1'!$C$62:$D$62</c:f>
              <c:numCache>
                <c:formatCode>General</c:formatCode>
                <c:ptCount val="2"/>
                <c:pt idx="0">
                  <c:v>2022</c:v>
                </c:pt>
                <c:pt idx="1">
                  <c:v>2023</c:v>
                </c:pt>
              </c:numCache>
            </c:numRef>
          </c:cat>
          <c:val>
            <c:numRef>
              <c:f>'[项目库国有资产购置变更审批表(.xlsx]Sheet1'!$C$64:$D$64</c:f>
              <c:numCache>
                <c:formatCode>General</c:formatCode>
                <c:ptCount val="2"/>
                <c:pt idx="0">
                  <c:v>617.21</c:v>
                </c:pt>
                <c:pt idx="1">
                  <c:v>35</c:v>
                </c:pt>
              </c:numCache>
            </c:numRef>
          </c:val>
        </c:ser>
        <c:dLbls>
          <c:showLegendKey val="0"/>
          <c:showVal val="0"/>
          <c:showCatName val="0"/>
          <c:showSerName val="0"/>
          <c:showPercent val="0"/>
          <c:showBubbleSize val="0"/>
        </c:dLbls>
        <c:gapWidth val="219"/>
        <c:overlap val="-27"/>
        <c:axId val="822104348"/>
        <c:axId val="712585614"/>
      </c:barChart>
      <c:catAx>
        <c:axId val="822104348"/>
        <c:scaling>
          <c:orientation val="minMax"/>
        </c:scaling>
        <c:delete val="0"/>
        <c:axPos val="b"/>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712585614"/>
        <c:crosses val="autoZero"/>
        <c:auto val="1"/>
        <c:lblAlgn val="ctr"/>
        <c:lblOffset val="100"/>
        <c:noMultiLvlLbl val="0"/>
      </c:catAx>
      <c:valAx>
        <c:axId val="712585614"/>
        <c:scaling>
          <c:orientation val="minMax"/>
        </c:scaling>
        <c:delete val="0"/>
        <c:axPos val="l"/>
        <c:majorGridlines>
          <c:spPr>
            <a:ln w="9525" cap="flat" cmpd="sng" algn="ctr">
              <a:no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22104348"/>
        <c:crosses val="autoZero"/>
        <c:crossBetween val="between"/>
      </c:valAx>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no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spc="0" baseline="0">
                <a:solidFill>
                  <a:schemeClr val="tx1">
                    <a:lumMod val="65000"/>
                    <a:lumOff val="35000"/>
                  </a:schemeClr>
                </a:solidFill>
                <a:latin typeface="+mn-lt"/>
                <a:ea typeface="+mn-ea"/>
                <a:cs typeface="+mn-cs"/>
              </a:defRPr>
            </a:pPr>
            <a:r>
              <a:t>图</a:t>
            </a:r>
            <a:r>
              <a:rPr lang="en-US" altLang="zh-CN"/>
              <a:t>3    </a:t>
            </a:r>
            <a:r>
              <a:rPr altLang="en-US"/>
              <a:t>一般公共预算财政拨款收支对比</a:t>
            </a:r>
            <a:endParaRPr lang="en-US" altLang="zh-CN"/>
          </a:p>
        </c:rich>
      </c:tx>
      <c:layout/>
      <c:overlay val="0"/>
      <c:spPr>
        <a:noFill/>
        <a:ln>
          <a:noFill/>
        </a:ln>
        <a:effectLst/>
      </c:spPr>
    </c:title>
    <c:autoTitleDeleted val="0"/>
    <c:plotArea>
      <c:layout/>
      <c:barChart>
        <c:barDir val="col"/>
        <c:grouping val="clustered"/>
        <c:varyColors val="0"/>
        <c:ser>
          <c:idx val="0"/>
          <c:order val="0"/>
          <c:tx>
            <c:strRef>
              <c:f>'[项目库国有资产购置变更审批表(.xlsx]Sheet1'!$B$50</c:f>
              <c:strCache>
                <c:ptCount val="1"/>
                <c:pt idx="0">
                  <c:v>收入</c:v>
                </c:pt>
              </c:strCache>
            </c:strRef>
          </c:tx>
          <c:spPr>
            <a:solidFill>
              <a:schemeClr val="accent1"/>
            </a:solidFill>
            <a:ln>
              <a:noFill/>
            </a:ln>
            <a:effectLst/>
          </c:spPr>
          <c:invertIfNegative val="0"/>
          <c:dLbls>
            <c:delete val="1"/>
          </c:dLbls>
          <c:cat>
            <c:numRef>
              <c:f>'[项目库国有资产购置变更审批表(.xlsx]Sheet1'!$C$49:$D$49</c:f>
              <c:numCache>
                <c:formatCode>General</c:formatCode>
                <c:ptCount val="2"/>
                <c:pt idx="0">
                  <c:v>2022</c:v>
                </c:pt>
                <c:pt idx="1">
                  <c:v>2023</c:v>
                </c:pt>
              </c:numCache>
            </c:numRef>
          </c:cat>
          <c:val>
            <c:numRef>
              <c:f>'[项目库国有资产购置变更审批表(.xlsx]Sheet1'!$C$50:$D$50</c:f>
              <c:numCache>
                <c:formatCode>General</c:formatCode>
                <c:ptCount val="2"/>
                <c:pt idx="0">
                  <c:v>1957.66</c:v>
                </c:pt>
                <c:pt idx="1">
                  <c:v>1635.99</c:v>
                </c:pt>
              </c:numCache>
            </c:numRef>
          </c:val>
        </c:ser>
        <c:ser>
          <c:idx val="1"/>
          <c:order val="1"/>
          <c:tx>
            <c:strRef>
              <c:f>'[项目库国有资产购置变更审批表(.xlsx]Sheet1'!$B$51</c:f>
              <c:strCache>
                <c:ptCount val="1"/>
                <c:pt idx="0">
                  <c:v>支出</c:v>
                </c:pt>
              </c:strCache>
            </c:strRef>
          </c:tx>
          <c:spPr>
            <a:solidFill>
              <a:schemeClr val="accent2"/>
            </a:solidFill>
            <a:ln>
              <a:noFill/>
            </a:ln>
            <a:effectLst/>
          </c:spPr>
          <c:invertIfNegative val="0"/>
          <c:dLbls>
            <c:delete val="1"/>
          </c:dLbls>
          <c:cat>
            <c:numRef>
              <c:f>'[项目库国有资产购置变更审批表(.xlsx]Sheet1'!$C$49:$D$49</c:f>
              <c:numCache>
                <c:formatCode>General</c:formatCode>
                <c:ptCount val="2"/>
                <c:pt idx="0">
                  <c:v>2022</c:v>
                </c:pt>
                <c:pt idx="1">
                  <c:v>2023</c:v>
                </c:pt>
              </c:numCache>
            </c:numRef>
          </c:cat>
          <c:val>
            <c:numRef>
              <c:f>'[项目库国有资产购置变更审批表(.xlsx]Sheet1'!$C$51:$D$51</c:f>
              <c:numCache>
                <c:formatCode>General</c:formatCode>
                <c:ptCount val="2"/>
                <c:pt idx="0">
                  <c:v>1958.18</c:v>
                </c:pt>
                <c:pt idx="1">
                  <c:v>1635.99</c:v>
                </c:pt>
              </c:numCache>
            </c:numRef>
          </c:val>
        </c:ser>
        <c:dLbls>
          <c:showLegendKey val="0"/>
          <c:showVal val="0"/>
          <c:showCatName val="0"/>
          <c:showSerName val="0"/>
          <c:showPercent val="0"/>
          <c:showBubbleSize val="0"/>
        </c:dLbls>
        <c:gapWidth val="219"/>
        <c:overlap val="-27"/>
        <c:axId val="267540074"/>
        <c:axId val="230582313"/>
      </c:barChart>
      <c:catAx>
        <c:axId val="267540074"/>
        <c:scaling>
          <c:orientation val="minMax"/>
        </c:scaling>
        <c:delete val="0"/>
        <c:axPos val="b"/>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230582313"/>
        <c:crosses val="autoZero"/>
        <c:auto val="1"/>
        <c:lblAlgn val="ctr"/>
        <c:lblOffset val="100"/>
        <c:noMultiLvlLbl val="0"/>
      </c:catAx>
      <c:valAx>
        <c:axId val="230582313"/>
        <c:scaling>
          <c:orientation val="minMax"/>
        </c:scaling>
        <c:delete val="0"/>
        <c:axPos val="l"/>
        <c:majorGridlines>
          <c:spPr>
            <a:ln w="9525" cap="flat" cmpd="sng" algn="ctr">
              <a:no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267540074"/>
        <c:crosses val="autoZero"/>
        <c:crossBetween val="between"/>
      </c:valAx>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53">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4.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神州网信技术有限公司</Company>
  <Pages>54</Pages>
  <Words>10283</Words>
  <Characters>34683</Characters>
  <Lines>86</Lines>
  <Paragraphs>24</Paragraphs>
  <TotalTime>0</TotalTime>
  <ScaleCrop>false</ScaleCrop>
  <LinksUpToDate>false</LinksUpToDate>
  <CharactersWithSpaces>35311</CharactersWithSpaces>
  <Application>WPS Office_11.8.2.12014_F1E327BC-269C-435d-A152-05C5408002CA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2023-08-04T07:55:00Z</dcterms:created>
  <dc:creator>王明新TIAD</dc:creator>
  <cp:lastModifiedBy>DELL</cp:lastModifiedBy>
  <cp:lastPrinted>2023-08-04T01:00:00Z</cp:lastPrinted>
  <dcterms:modified xsi:type="dcterms:W3CDTF">2024-11-24T06:15:00Z</dcterms:modified>
  <cp:revision>15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2052-11.8.2.12014</vt:lpwstr>
  </property>
  <property fmtid="{D5CDD505-2E9C-101B-9397-08002B2CF9AE}" pid="3" name="ICV">
    <vt:lpwstr>C606A1F9AFE24290B52D98FABC930B66_12</vt:lpwstr>
  </property>
  <property fmtid="{D5CDD505-2E9C-101B-9397-08002B2CF9AE}" pid="4" name="KSOTemplateUUID">
    <vt:lpwstr>v1.0_mb_S7ajbG3IpAnL1wSthNCxfw==</vt:lpwstr>
  </property>
</Properties>
</file>