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0"/>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1"/>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2"/>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pPr>
                                <w:jc w:val="distribute"/>
                                <w:rPr>
                                  <w:rFonts w:ascii="方正魏碑简体" w:hAnsi="Arial" w:eastAsia="方正魏碑简体" w:cs="Arial"/>
                                  <w:color w:val="000000" w:themeColor="text1"/>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pPr>
                                  <w:jc w:val="left"/>
                                  <w:rPr>
                                    <w:rFonts w:hint="eastAsia" w:ascii="黑体" w:hAnsi="黑体" w:eastAsia="黑体" w:cs="黑体"/>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JUHC8XbAAAACwEAAA8AAAAAAAAAAQAgAAAA&#10;IgAAAGRycy9kb3ducmV2LnhtbFBLAQIUABQAAAAIAIdO4kBqgGFVJQMAAPYIAAAOAAAAAAAAAAEA&#10;IAAAACoBAABkcnMvZTJvRG9jLnhtbFBLBQYAAAAABgAGAFkBAADB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distribute"/>
                          <w:rPr>
                            <w:rFonts w:ascii="方正魏碑简体" w:hAnsi="Arial" w:eastAsia="方正魏碑简体" w:cs="Arial"/>
                            <w:color w:val="000000" w:themeColor="text1"/>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left"/>
                            <w:rPr>
                              <w:rFonts w:hint="eastAsia" w:ascii="黑体" w:hAnsi="黑体" w:eastAsia="黑体" w:cs="黑体"/>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pPr>
                              <w:jc w:val="distribute"/>
                              <w:rPr>
                                <w:rFonts w:hint="eastAsia" w:ascii="思源黑体 CN Heavy" w:hAnsi="思源黑体 CN Heavy" w:eastAsia="思源黑体 CN Heavy"/>
                                <w:color w:val="A6A6A6" w:themeColor="background1" w:themeShade="A6"/>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ZqWWv2AAAAAsBAAAPAAAAAAAA&#10;AAEAIAAAACIAAABkcnMvZG93bnJldi54bWxQSwECFAAUAAAACACHTuJA5W10YaABAAARAwAADgAA&#10;AAAAAAABACAAAAAnAQAAZHJzL2Uyb0RvYy54bWxQSwUGAAAAAAYABgBZAQAAOQUAAAAA&#10;">
                <v:fill on="f" focussize="0,0"/>
                <v:stroke on="f"/>
                <v:imagedata o:title=""/>
                <o:lock v:ext="edit" aspectratio="f"/>
                <v:textbox>
                  <w:txbxContent>
                    <w:p>
                      <w:pPr>
                        <w:jc w:val="distribute"/>
                        <w:rPr>
                          <w:rFonts w:hint="eastAsia" w:ascii="思源黑体 CN Heavy" w:hAnsi="思源黑体 CN Heavy" w:eastAsia="思源黑体 CN Heavy"/>
                          <w:color w:val="A6A6A6" w:themeColor="background1" w:themeShade="A6"/>
                          <w:sz w:val="40"/>
                          <w:szCs w:val="40"/>
                        </w:rPr>
                      </w:pP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：811001</w:t>
      </w:r>
    </w:p>
    <w:p>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：石家庄市鹿泉区获鹿镇人民政府(本级)</w:t>
      </w:r>
    </w:p>
    <w:p>
      <w:pPr>
        <w:spacing w:line="600" w:lineRule="auto"/>
        <w:jc w:val="left"/>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p>
    <w:p>
      <w:pPr>
        <w:spacing w:line="600" w:lineRule="auto"/>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w:t>
      </w:r>
      <w:r>
        <w:rPr>
          <w:rFonts w:hint="eastAsia" w:ascii="楷体_GB2312" w:hAnsi="楷体_GB2312" w:eastAsia="楷体_GB2312" w:cs="楷体_GB2312"/>
          <w:color w:val="000000"/>
          <w:sz w:val="40"/>
          <w:szCs w:val="40"/>
          <w:lang w:eastAsia="zh-CN"/>
        </w:rPr>
        <w:t>九</w:t>
      </w:r>
      <w:r>
        <w:rPr>
          <w:rFonts w:hint="eastAsia" w:ascii="楷体_GB2312" w:hAnsi="楷体_GB2312" w:eastAsia="楷体_GB2312" w:cs="楷体_GB2312"/>
          <w:color w:val="000000"/>
          <w:sz w:val="40"/>
          <w:szCs w:val="40"/>
        </w:rPr>
        <w:t>月</w:t>
      </w:r>
    </w:p>
    <w:p>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pPr>
        <w:spacing w:line="600" w:lineRule="auto"/>
        <w:jc w:val="center"/>
        <w:rPr>
          <w:rFonts w:hint="eastAsia" w:ascii="楷体_GB2312" w:hAnsi="楷体_GB2312" w:eastAsia="楷体_GB2312" w:cs="楷体_GB2312"/>
          <w:color w:val="000000"/>
          <w:sz w:val="40"/>
          <w:szCs w:val="40"/>
        </w:rPr>
      </w:pPr>
    </w:p>
    <w:p>
      <w:pPr>
        <w:rPr>
          <w:rFonts w:hint="eastAsia" w:ascii="黑体" w:hAnsi="黑体" w:eastAsia="黑体" w:cs="黑体"/>
          <w:b/>
          <w:bCs/>
          <w:sz w:val="32"/>
          <w:szCs w:val="36"/>
          <w:highlight w:val="yellow"/>
        </w:rPr>
      </w:pPr>
    </w:p>
    <w:p>
      <w:pPr>
        <w:rPr>
          <w:rFonts w:hint="eastAsia" w:ascii="黑体" w:hAnsi="黑体" w:eastAsia="黑体" w:cs="黑体"/>
          <w:b/>
          <w:bCs/>
          <w:sz w:val="72"/>
          <w:szCs w:val="96"/>
        </w:rPr>
      </w:pPr>
    </w:p>
    <w:p>
      <w:pPr>
        <w:rPr>
          <w:rFonts w:hint="eastAsia" w:ascii="黑体" w:hAnsi="黑体" w:eastAsia="黑体" w:cs="黑体"/>
          <w:b/>
          <w:bCs/>
          <w:sz w:val="72"/>
          <w:szCs w:val="96"/>
        </w:rPr>
      </w:pPr>
    </w:p>
    <w:p>
      <w:pPr>
        <w:rPr>
          <w:rFonts w:hint="eastAsia" w:ascii="黑体" w:hAnsi="黑体" w:eastAsia="黑体" w:cs="黑体"/>
          <w:b/>
          <w:bCs/>
          <w:sz w:val="72"/>
          <w:szCs w:val="96"/>
        </w:rPr>
      </w:pPr>
      <w:r>
        <w:rPr>
          <w:rFonts w:hint="eastAsia" w:ascii="黑体" w:hAnsi="黑体" w:eastAsia="黑体" w:cs="黑体"/>
          <w:b/>
          <w:bCs/>
          <w:sz w:val="72"/>
          <w:szCs w:val="96"/>
        </w:rPr>
        <w:t>2023年度部门决算公开文本</w:t>
      </w:r>
    </w:p>
    <w:p>
      <w:pPr>
        <w:spacing w:line="360" w:lineRule="auto"/>
        <w:jc w:val="center"/>
        <w:rPr>
          <w:rFonts w:hint="eastAsia" w:ascii="黑体" w:hAnsi="黑体" w:eastAsia="黑体" w:cs="黑体"/>
          <w:sz w:val="56"/>
          <w:szCs w:val="72"/>
        </w:rPr>
      </w:pPr>
    </w:p>
    <w:p>
      <w:pPr>
        <w:spacing w:line="600" w:lineRule="auto"/>
        <w:jc w:val="center"/>
        <w:rPr>
          <w:rFonts w:hint="eastAsia" w:ascii="黑体" w:hAnsi="黑体" w:eastAsia="黑体" w:cs="黑体"/>
          <w:sz w:val="56"/>
          <w:szCs w:val="72"/>
        </w:rPr>
      </w:pPr>
    </w:p>
    <w:p>
      <w:pPr>
        <w:spacing w:line="600" w:lineRule="auto"/>
        <w:jc w:val="center"/>
        <w:rPr>
          <w:rFonts w:hint="eastAsia" w:ascii="黑体" w:hAnsi="黑体" w:eastAsia="黑体" w:cs="黑体"/>
          <w:sz w:val="56"/>
          <w:szCs w:val="72"/>
        </w:rPr>
      </w:pPr>
    </w:p>
    <w:p>
      <w:pPr>
        <w:spacing w:line="480" w:lineRule="auto"/>
        <w:rPr>
          <w:rFonts w:hint="eastAsia" w:ascii="黑体" w:hAnsi="黑体" w:eastAsia="黑体" w:cs="黑体"/>
          <w:sz w:val="56"/>
          <w:szCs w:val="72"/>
        </w:rPr>
      </w:pPr>
    </w:p>
    <w:p>
      <w:pPr>
        <w:snapToGrid w:val="0"/>
        <w:jc w:val="cente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石家庄市鹿泉区获鹿镇人民政府</w:t>
      </w:r>
    </w:p>
    <w:p>
      <w:pPr>
        <w:snapToGrid w:val="0"/>
        <w:jc w:val="center"/>
        <w:rPr>
          <w:rFonts w:hint="eastAsia" w:ascii="楷体_GB2312" w:hAnsi="楷体_GB2312" w:eastAsia="楷体_GB2312" w:cs="楷体_GB2312"/>
          <w:color w:val="000000" w:themeColor="text1"/>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3" w:type="default"/>
          <w:pgSz w:w="11906" w:h="16838"/>
          <w:pgMar w:top="1531" w:right="1984" w:bottom="1531" w:left="2098" w:header="851" w:footer="992" w:gutter="0"/>
          <w:cols w:space="720" w:num="1"/>
          <w:docGrid w:type="lines" w:linePitch="312" w:charSpace="0"/>
        </w:sectPr>
      </w:pPr>
      <w:r>
        <w:rPr>
          <w:rFonts w:hint="eastAsia" w:ascii="楷体_GB2312" w:hAnsi="楷体_GB2312" w:eastAsia="楷体_GB2312" w:cs="楷体_GB2312"/>
          <w:color w:val="000000" w:themeColor="text1"/>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二〇二四年</w:t>
      </w:r>
      <w:r>
        <w:rPr>
          <w:rFonts w:hint="eastAsia" w:ascii="楷体_GB2312" w:hAnsi="楷体_GB2312" w:eastAsia="楷体_GB2312" w:cs="楷体_GB2312"/>
          <w:color w:val="000000" w:themeColor="text1"/>
          <w:sz w:val="44"/>
          <w:szCs w:val="44"/>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九</w:t>
      </w:r>
      <w:r>
        <w:rPr>
          <w:rFonts w:hint="eastAsia" w:ascii="楷体_GB2312" w:hAnsi="楷体_GB2312" w:eastAsia="楷体_GB2312" w:cs="楷体_GB2312"/>
          <w:color w:val="000000" w:themeColor="text1"/>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pPr>
        <w:widowControl/>
        <w:spacing w:line="600" w:lineRule="exact"/>
        <w:jc w:val="left"/>
        <w:rPr>
          <w:rFonts w:hint="eastAsia" w:ascii="黑体" w:hAnsi="黑体" w:eastAsia="黑体" w:cs="黑体"/>
          <w:bCs/>
          <w:sz w:val="32"/>
          <w:szCs w:val="32"/>
        </w:rPr>
      </w:pPr>
    </w:p>
    <w:p>
      <w:pPr>
        <w:tabs>
          <w:tab w:val="left" w:pos="2728"/>
        </w:tabs>
        <w:jc w:val="center"/>
        <w:rPr>
          <w:rFonts w:ascii="黑体" w:hAnsi="Times New Roman" w:eastAsia="黑体" w:cs="Times New Roman"/>
          <w:sz w:val="48"/>
          <w:szCs w:val="48"/>
        </w:rPr>
      </w:pPr>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仿宋_GB2312" w:cs="Times New Roman"/>
          <w:szCs w:val="32"/>
        </w:rPr>
      </w:pPr>
      <w:r>
        <w:rPr>
          <w:rFonts w:ascii="Times New Roman" w:hAnsi="Times New Roman" w:eastAsia="黑体" w:cs="Times New Roman"/>
          <w:sz w:val="32"/>
          <w:szCs w:val="32"/>
        </w:rPr>
        <w:t>第一部分   部门概况</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sectPr>
          <w:headerReference r:id="rId5" w:type="first"/>
          <w:footerReference r:id="rId7" w:type="first"/>
          <w:headerReference r:id="rId4" w:type="default"/>
          <w:footerReference r:id="rId6" w:type="default"/>
          <w:pgSz w:w="11906" w:h="16838"/>
          <w:pgMar w:top="1474" w:right="1531" w:bottom="1474" w:left="1531" w:header="851" w:footer="992" w:gutter="0"/>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rPr>
          <w:rFonts w:ascii="Arial" w:hAnsi="Arial" w:eastAsia="Arial" w:cs="Arial"/>
          <w:color w:val="000000"/>
          <w:sz w:val="18"/>
          <w:szCs w:val="18"/>
          <w:shd w:val="clear" w:color="auto" w:fill="FFFFFF"/>
        </w:rPr>
      </w:pP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rPr>
          <w:rFonts w:ascii="Arial" w:hAnsi="Arial" w:eastAsia="Arial" w:cs="Arial"/>
          <w:color w:val="000000"/>
          <w:sz w:val="18"/>
          <w:szCs w:val="18"/>
          <w:shd w:val="clear" w:color="auto" w:fill="FFFFFF"/>
        </w:rPr>
      </w:pPr>
    </w:p>
    <w:p>
      <w:pPr>
        <w:pStyle w:val="10"/>
        <w:widowControl/>
        <w:shd w:val="clear" w:color="auto" w:fill="FFFFFF"/>
        <w:spacing w:beforeAutospacing="0" w:afterAutospacing="0"/>
        <w:jc w:val="center"/>
        <w:rPr>
          <w:rFonts w:hint="eastAsia" w:ascii="黑体" w:hAnsi="宋体" w:eastAsia="黑体" w:cs="黑体"/>
          <w:color w:val="000000"/>
          <w:sz w:val="72"/>
          <w:szCs w:val="72"/>
          <w:shd w:val="clear" w:color="auto" w:fill="FFFFFF"/>
        </w:rPr>
      </w:pPr>
    </w:p>
    <w:p>
      <w:pPr>
        <w:pStyle w:val="10"/>
        <w:widowControl/>
        <w:shd w:val="clear" w:color="auto" w:fill="FFFFFF"/>
        <w:spacing w:beforeAutospacing="0" w:afterAutospacing="0"/>
        <w:jc w:val="center"/>
        <w:rPr>
          <w:rFonts w:hint="eastAsia" w:ascii="黑体" w:hAnsi="宋体" w:eastAsia="黑体" w:cs="黑体"/>
          <w:color w:val="000000"/>
          <w:sz w:val="72"/>
          <w:szCs w:val="72"/>
          <w:shd w:val="clear" w:color="auto" w:fill="FFFFFF"/>
        </w:rPr>
      </w:pPr>
    </w:p>
    <w:p>
      <w:pPr>
        <w:pStyle w:val="10"/>
        <w:widowControl/>
        <w:shd w:val="clear" w:color="auto" w:fill="FFFFFF"/>
        <w:spacing w:beforeAutospacing="0" w:afterAutospacing="0"/>
        <w:jc w:val="center"/>
        <w:rPr>
          <w:rFonts w:hint="eastAsia" w:ascii="黑体" w:hAnsi="宋体" w:eastAsia="黑体" w:cs="黑体"/>
          <w:color w:val="000000"/>
          <w:sz w:val="72"/>
          <w:szCs w:val="72"/>
          <w:shd w:val="clear" w:color="auto" w:fill="FFFFFF"/>
        </w:rPr>
      </w:pPr>
    </w:p>
    <w:p>
      <w:pPr>
        <w:pStyle w:val="10"/>
        <w:widowControl/>
        <w:shd w:val="clear" w:color="auto" w:fill="FFFFFF"/>
        <w:spacing w:beforeAutospacing="0" w:afterAutospacing="0"/>
        <w:jc w:val="center"/>
        <w:rPr>
          <w:rFonts w:ascii="Arial" w:hAnsi="Arial" w:eastAsia="Arial" w:cs="Arial"/>
          <w:color w:val="000000"/>
          <w:sz w:val="18"/>
          <w:szCs w:val="18"/>
        </w:rPr>
      </w:pPr>
      <w:r>
        <w:rPr>
          <w:rFonts w:hint="eastAsia" w:ascii="黑体" w:hAnsi="宋体" w:eastAsia="黑体" w:cs="黑体"/>
          <w:color w:val="000000"/>
          <w:sz w:val="72"/>
          <w:szCs w:val="72"/>
          <w:shd w:val="clear" w:color="auto" w:fill="FFFFFF"/>
        </w:rPr>
        <w:t>第一部分  单位概况</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rPr>
          <w:rFonts w:hint="eastAsia" w:ascii="黑体" w:hAnsi="宋体" w:eastAsia="黑体" w:cs="黑体"/>
          <w:color w:val="000000"/>
          <w:sz w:val="33"/>
          <w:szCs w:val="33"/>
          <w:shd w:val="clear" w:color="auto" w:fill="FFFFFF"/>
        </w:rPr>
      </w:pPr>
      <w:r>
        <w:rPr>
          <w:rFonts w:hint="eastAsia" w:ascii="黑体" w:hAnsi="宋体" w:eastAsia="黑体" w:cs="黑体"/>
          <w:color w:val="000000"/>
          <w:sz w:val="33"/>
          <w:szCs w:val="33"/>
          <w:shd w:val="clear" w:color="auto" w:fill="FFFFFF"/>
        </w:rPr>
        <w:br w:type="page"/>
      </w:r>
    </w:p>
    <w:p>
      <w:pPr>
        <w:pStyle w:val="10"/>
        <w:widowControl/>
        <w:shd w:val="clear" w:color="auto" w:fill="FFFFFF"/>
        <w:spacing w:beforeAutospacing="0" w:afterAutospacing="0"/>
        <w:outlineLvl w:val="1"/>
        <w:rPr>
          <w:rFonts w:ascii="Arial" w:hAnsi="Arial" w:eastAsia="Arial" w:cs="Arial"/>
          <w:color w:val="000000"/>
          <w:sz w:val="32"/>
          <w:szCs w:val="32"/>
        </w:rPr>
      </w:pPr>
      <w:r>
        <w:rPr>
          <w:rFonts w:hint="eastAsia" w:ascii="黑体" w:hAnsi="宋体" w:eastAsia="黑体" w:cs="黑体"/>
          <w:color w:val="000000"/>
          <w:sz w:val="32"/>
          <w:szCs w:val="32"/>
          <w:shd w:val="clear" w:color="auto" w:fill="FFFFFF"/>
        </w:rPr>
        <w:t>一、单位职责</w:t>
      </w:r>
    </w:p>
    <w:p>
      <w:pPr>
        <w:pStyle w:val="10"/>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一）机关事务管理。负责乡镇党委、政府各项工作的督导催办，处理机关日常事务，搞好文秘、档案管理、政务公开和机关后勤保障工作；负责相关党群单位的工作；抓好农村基层组织建设和民主政治建设。负责制定乡镇财政计划和经济发展规划；为招商引资、发展民营企业和第三产业提供服务；做好乡镇统计、审计工作；负责社会治安综合治理和司法工作；做好宗教工作，打击邪教；调处矛盾纠纷；做好群众来信来访、社会稳定等工作。负责精神文明和新农村建设，以及与各部门社会事务工作的指导服务和协调。</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（二）农业综合服务。负责配合农口部门（农、林、牧、水）做好农业技术服务和技术推广工作，动物防疫工作；加强农田水利基本建设，增强农业抗御自然灾害的能力。做好农村一事一议项目管理。</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（三）卫生计生服务。配合食品药品监督管理的协调、督导，做好新型农村合作医疗等卫生方面工作，负责计划生育技术服务及人口生育管理，负责育龄妇女普查、妇女病防治、四术及协会等项工作。</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（四）文化综治服务。负责群众文化娱乐、体育活动、广播电视村村通等工作。</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（五）社会保障服务。配合劳动保障部门做好劳动法的宣传贯彻、劳动就业、社会保障等工作。配合安全生产监督管理部门做好安全生产监督管理等工作。</w:t>
      </w:r>
    </w:p>
    <w:p>
      <w:pPr>
        <w:pStyle w:val="10"/>
        <w:widowControl/>
        <w:shd w:val="clear" w:color="auto" w:fill="FFFFFF"/>
        <w:spacing w:beforeAutospacing="0" w:afterAutospacing="0"/>
        <w:outlineLvl w:val="1"/>
        <w:rPr>
          <w:rFonts w:ascii="Arial" w:hAnsi="Arial" w:eastAsia="Arial" w:cs="Arial"/>
          <w:color w:val="000000"/>
          <w:sz w:val="32"/>
          <w:szCs w:val="32"/>
        </w:rPr>
      </w:pPr>
      <w:r>
        <w:rPr>
          <w:rFonts w:hint="eastAsia" w:ascii="黑体" w:hAnsi="宋体" w:eastAsia="黑体" w:cs="黑体"/>
          <w:color w:val="000000"/>
          <w:sz w:val="32"/>
          <w:szCs w:val="32"/>
          <w:shd w:val="clear" w:color="auto" w:fill="FFFFFF"/>
        </w:rPr>
        <w:t>二、机构设置</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本部门</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”）共</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1</w:t>
      </w:r>
      <w:r>
        <w:rPr>
          <w:rFonts w:hint="default" w:ascii="仿宋_GB2312" w:hAnsi="仿宋_GB2312" w:eastAsia="仿宋_GB2312" w:cs="仿宋_GB2312"/>
          <w:i w:val="0"/>
          <w:iCs w:val="0"/>
          <w:caps w:val="0"/>
          <w:color w:val="auto"/>
          <w:spacing w:val="0"/>
          <w:sz w:val="32"/>
          <w:szCs w:val="32"/>
          <w:highlight w:val="none"/>
          <w:shd w:val="clear" w:fill="FFFFFF"/>
        </w:rPr>
        <w:t>个，具体情况如下：</w:t>
      </w:r>
    </w:p>
    <w:tbl>
      <w:tblPr>
        <w:tblStyle w:val="11"/>
        <w:tblpPr w:leftFromText="180" w:rightFromText="180" w:vertAnchor="text" w:horzAnchor="page" w:tblpXSpec="center" w:tblpY="10"/>
        <w:tblOverlap w:val="never"/>
        <w:tblW w:w="87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
        <w:gridCol w:w="3194"/>
        <w:gridCol w:w="2240"/>
        <w:gridCol w:w="2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902" w:type="dxa"/>
            <w:vAlign w:val="center"/>
          </w:tcPr>
          <w:p>
            <w:pPr>
              <w:spacing w:line="560" w:lineRule="exact"/>
              <w:jc w:val="center"/>
              <w:rPr>
                <w:rFonts w:ascii="仿宋_GB2312" w:eastAsia="仿宋_GB2312" w:cs="Times New Roman"/>
                <w:b/>
                <w:bCs/>
                <w:kern w:val="0"/>
                <w:sz w:val="28"/>
                <w:szCs w:val="28"/>
              </w:rPr>
            </w:pPr>
            <w:r>
              <w:rPr>
                <w:rFonts w:hint="eastAsia" w:ascii="仿宋_GB2312" w:eastAsia="仿宋_GB2312" w:cs="仿宋_GB2312"/>
                <w:b/>
                <w:bCs/>
                <w:kern w:val="0"/>
                <w:sz w:val="28"/>
                <w:szCs w:val="28"/>
              </w:rPr>
              <w:t>序号</w:t>
            </w:r>
          </w:p>
        </w:tc>
        <w:tc>
          <w:tcPr>
            <w:tcW w:w="3194" w:type="dxa"/>
            <w:vAlign w:val="center"/>
          </w:tcPr>
          <w:p>
            <w:pPr>
              <w:spacing w:line="560" w:lineRule="exact"/>
              <w:jc w:val="center"/>
              <w:rPr>
                <w:rFonts w:ascii="仿宋_GB2312" w:eastAsia="仿宋_GB2312" w:cs="Times New Roman"/>
                <w:b/>
                <w:bCs/>
                <w:kern w:val="0"/>
                <w:sz w:val="28"/>
                <w:szCs w:val="28"/>
              </w:rPr>
            </w:pPr>
            <w:r>
              <w:rPr>
                <w:rFonts w:hint="eastAsia" w:ascii="仿宋_GB2312" w:eastAsia="仿宋_GB2312" w:cs="仿宋_GB2312"/>
                <w:b/>
                <w:bCs/>
                <w:kern w:val="0"/>
                <w:sz w:val="28"/>
                <w:szCs w:val="28"/>
              </w:rPr>
              <w:t>单位名称</w:t>
            </w:r>
          </w:p>
        </w:tc>
        <w:tc>
          <w:tcPr>
            <w:tcW w:w="2240" w:type="dxa"/>
            <w:vAlign w:val="center"/>
          </w:tcPr>
          <w:p>
            <w:pPr>
              <w:spacing w:line="560" w:lineRule="exact"/>
              <w:jc w:val="center"/>
              <w:rPr>
                <w:rFonts w:ascii="仿宋_GB2312" w:eastAsia="仿宋_GB2312" w:cs="Times New Roman"/>
                <w:b/>
                <w:bCs/>
                <w:kern w:val="0"/>
                <w:sz w:val="28"/>
                <w:szCs w:val="28"/>
              </w:rPr>
            </w:pPr>
            <w:r>
              <w:rPr>
                <w:rFonts w:hint="eastAsia" w:ascii="仿宋_GB2312" w:eastAsia="仿宋_GB2312" w:cs="仿宋_GB2312"/>
                <w:b/>
                <w:bCs/>
                <w:kern w:val="0"/>
                <w:sz w:val="28"/>
                <w:szCs w:val="28"/>
              </w:rPr>
              <w:t>单位基本性质</w:t>
            </w:r>
          </w:p>
        </w:tc>
        <w:tc>
          <w:tcPr>
            <w:tcW w:w="2442" w:type="dxa"/>
            <w:vAlign w:val="center"/>
          </w:tcPr>
          <w:p>
            <w:pPr>
              <w:spacing w:line="560" w:lineRule="exact"/>
              <w:jc w:val="center"/>
              <w:rPr>
                <w:rFonts w:ascii="仿宋_GB2312" w:eastAsia="仿宋_GB2312" w:cs="Times New Roman"/>
                <w:b/>
                <w:bCs/>
                <w:kern w:val="0"/>
                <w:sz w:val="28"/>
                <w:szCs w:val="28"/>
              </w:rPr>
            </w:pPr>
            <w:r>
              <w:rPr>
                <w:rFonts w:hint="eastAsia" w:ascii="仿宋_GB2312" w:eastAsia="仿宋_GB2312" w:cs="仿宋_GB2312"/>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jc w:val="center"/>
        </w:trPr>
        <w:tc>
          <w:tcPr>
            <w:tcW w:w="902" w:type="dxa"/>
          </w:tcPr>
          <w:p>
            <w:pPr>
              <w:spacing w:line="560" w:lineRule="exact"/>
              <w:jc w:val="center"/>
              <w:rPr>
                <w:rFonts w:ascii="仿宋_GB2312" w:eastAsia="仿宋_GB2312" w:cs="仿宋_GB2312"/>
                <w:kern w:val="0"/>
                <w:sz w:val="28"/>
                <w:szCs w:val="28"/>
              </w:rPr>
            </w:pPr>
            <w:r>
              <w:rPr>
                <w:rFonts w:ascii="仿宋_GB2312" w:eastAsia="仿宋_GB2312" w:cs="仿宋_GB2312"/>
                <w:kern w:val="0"/>
                <w:sz w:val="28"/>
                <w:szCs w:val="28"/>
              </w:rPr>
              <w:t>1</w:t>
            </w:r>
          </w:p>
        </w:tc>
        <w:tc>
          <w:tcPr>
            <w:tcW w:w="3194" w:type="dxa"/>
          </w:tcPr>
          <w:p>
            <w:pPr>
              <w:spacing w:line="560" w:lineRule="exact"/>
              <w:rPr>
                <w:rFonts w:ascii="仿宋_GB2312" w:eastAsia="仿宋_GB2312" w:cs="仿宋_GB2312"/>
                <w:kern w:val="0"/>
                <w:sz w:val="28"/>
                <w:szCs w:val="28"/>
              </w:rPr>
            </w:pPr>
            <w:r>
              <w:rPr>
                <w:rFonts w:hint="eastAsia" w:ascii="仿宋_GB2312" w:hAnsi="仿宋_GB2312" w:eastAsia="仿宋_GB2312" w:cs="仿宋_GB2312"/>
              </w:rPr>
              <w:t>石家庄市鹿泉区获鹿镇人民政府</w:t>
            </w:r>
          </w:p>
        </w:tc>
        <w:tc>
          <w:tcPr>
            <w:tcW w:w="2240" w:type="dxa"/>
          </w:tcPr>
          <w:p>
            <w:pPr>
              <w:spacing w:line="560" w:lineRule="exact"/>
              <w:jc w:val="center"/>
              <w:rPr>
                <w:rFonts w:ascii="仿宋_GB2312" w:eastAsia="仿宋_GB2312" w:cs="Times New Roman"/>
                <w:kern w:val="0"/>
                <w:sz w:val="28"/>
                <w:szCs w:val="28"/>
              </w:rPr>
            </w:pPr>
            <w:r>
              <w:rPr>
                <w:rFonts w:hint="eastAsia" w:ascii="仿宋_GB2312" w:hAnsi="仿宋_GB2312" w:eastAsia="仿宋_GB2312" w:cs="仿宋_GB2312"/>
              </w:rPr>
              <w:t>行政单位</w:t>
            </w:r>
          </w:p>
        </w:tc>
        <w:tc>
          <w:tcPr>
            <w:tcW w:w="2442" w:type="dxa"/>
          </w:tcPr>
          <w:p>
            <w:pPr>
              <w:spacing w:line="560" w:lineRule="exact"/>
              <w:jc w:val="center"/>
              <w:rPr>
                <w:rFonts w:ascii="仿宋_GB2312" w:eastAsia="仿宋_GB2312" w:cs="Times New Roman"/>
                <w:kern w:val="0"/>
                <w:sz w:val="28"/>
                <w:szCs w:val="28"/>
              </w:rPr>
            </w:pPr>
            <w:r>
              <w:rPr>
                <w:rFonts w:hint="eastAsia" w:ascii="仿宋_GB2312" w:hAnsi="仿宋_GB2312" w:eastAsia="仿宋_GB2312" w:cs="仿宋_GB2312"/>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02" w:type="dxa"/>
          </w:tcPr>
          <w:p>
            <w:pPr>
              <w:spacing w:line="560" w:lineRule="exact"/>
              <w:jc w:val="center"/>
              <w:rPr>
                <w:rFonts w:ascii="仿宋_GB2312" w:eastAsia="仿宋_GB2312" w:cs="仿宋_GB2312"/>
                <w:kern w:val="0"/>
                <w:sz w:val="28"/>
                <w:szCs w:val="28"/>
              </w:rPr>
            </w:pPr>
            <w:r>
              <w:rPr>
                <w:rFonts w:ascii="仿宋_GB2312" w:eastAsia="仿宋_GB2312" w:cs="仿宋_GB2312"/>
                <w:kern w:val="0"/>
                <w:sz w:val="28"/>
                <w:szCs w:val="28"/>
              </w:rPr>
              <w:t>2</w:t>
            </w:r>
          </w:p>
        </w:tc>
        <w:tc>
          <w:tcPr>
            <w:tcW w:w="3194" w:type="dxa"/>
          </w:tcPr>
          <w:p>
            <w:pPr>
              <w:spacing w:line="560" w:lineRule="exact"/>
              <w:rPr>
                <w:rFonts w:ascii="仿宋_GB2312" w:eastAsia="仿宋_GB2312" w:cs="Times New Roman"/>
                <w:kern w:val="0"/>
                <w:sz w:val="28"/>
                <w:szCs w:val="28"/>
              </w:rPr>
            </w:pPr>
          </w:p>
        </w:tc>
        <w:tc>
          <w:tcPr>
            <w:tcW w:w="2240" w:type="dxa"/>
          </w:tcPr>
          <w:p>
            <w:pPr>
              <w:spacing w:line="560" w:lineRule="exact"/>
              <w:jc w:val="center"/>
              <w:rPr>
                <w:rFonts w:ascii="仿宋_GB2312" w:eastAsia="仿宋_GB2312" w:cs="Times New Roman"/>
                <w:kern w:val="0"/>
                <w:sz w:val="28"/>
                <w:szCs w:val="28"/>
              </w:rPr>
            </w:pPr>
          </w:p>
        </w:tc>
        <w:tc>
          <w:tcPr>
            <w:tcW w:w="2442" w:type="dxa"/>
          </w:tcPr>
          <w:p>
            <w:pPr>
              <w:spacing w:line="560" w:lineRule="exact"/>
              <w:jc w:val="center"/>
              <w:rPr>
                <w:rFonts w:ascii="仿宋_GB2312" w:eastAsia="仿宋_GB2312" w:cs="Times New Roman"/>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02" w:type="dxa"/>
          </w:tcPr>
          <w:p>
            <w:pPr>
              <w:spacing w:line="560" w:lineRule="exact"/>
              <w:jc w:val="center"/>
              <w:rPr>
                <w:rFonts w:ascii="仿宋_GB2312" w:eastAsia="仿宋_GB2312" w:cs="仿宋_GB2312"/>
                <w:kern w:val="0"/>
                <w:sz w:val="28"/>
                <w:szCs w:val="28"/>
              </w:rPr>
            </w:pPr>
            <w:r>
              <w:rPr>
                <w:rFonts w:ascii="仿宋_GB2312" w:eastAsia="仿宋_GB2312" w:cs="仿宋_GB2312"/>
                <w:kern w:val="0"/>
                <w:sz w:val="28"/>
                <w:szCs w:val="28"/>
              </w:rPr>
              <w:t>3</w:t>
            </w:r>
          </w:p>
        </w:tc>
        <w:tc>
          <w:tcPr>
            <w:tcW w:w="3194" w:type="dxa"/>
          </w:tcPr>
          <w:p>
            <w:pPr>
              <w:spacing w:line="560" w:lineRule="exact"/>
              <w:rPr>
                <w:rFonts w:ascii="仿宋_GB2312" w:eastAsia="仿宋_GB2312" w:cs="Times New Roman"/>
                <w:kern w:val="0"/>
                <w:sz w:val="28"/>
                <w:szCs w:val="28"/>
              </w:rPr>
            </w:pPr>
          </w:p>
        </w:tc>
        <w:tc>
          <w:tcPr>
            <w:tcW w:w="2240" w:type="dxa"/>
          </w:tcPr>
          <w:p>
            <w:pPr>
              <w:spacing w:line="560" w:lineRule="exact"/>
              <w:jc w:val="center"/>
              <w:rPr>
                <w:rFonts w:ascii="仿宋_GB2312" w:eastAsia="仿宋_GB2312" w:cs="Times New Roman"/>
                <w:kern w:val="0"/>
                <w:sz w:val="28"/>
                <w:szCs w:val="28"/>
              </w:rPr>
            </w:pPr>
          </w:p>
        </w:tc>
        <w:tc>
          <w:tcPr>
            <w:tcW w:w="2442" w:type="dxa"/>
          </w:tcPr>
          <w:p>
            <w:pPr>
              <w:spacing w:line="560" w:lineRule="exact"/>
              <w:jc w:val="center"/>
              <w:rPr>
                <w:rFonts w:ascii="仿宋_GB2312" w:eastAsia="仿宋_GB2312" w:cs="Times New Roman"/>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902" w:type="dxa"/>
          </w:tcPr>
          <w:p>
            <w:pPr>
              <w:spacing w:line="560" w:lineRule="exact"/>
              <w:jc w:val="center"/>
              <w:rPr>
                <w:rFonts w:ascii="仿宋_GB2312" w:eastAsia="仿宋_GB2312" w:cs="Times New Roman"/>
                <w:kern w:val="0"/>
                <w:sz w:val="28"/>
                <w:szCs w:val="28"/>
              </w:rPr>
            </w:pPr>
            <w:r>
              <w:rPr>
                <w:rFonts w:hint="eastAsia" w:ascii="仿宋_GB2312" w:eastAsia="仿宋_GB2312" w:cs="仿宋_GB2312"/>
                <w:kern w:val="0"/>
                <w:sz w:val="28"/>
                <w:szCs w:val="28"/>
              </w:rPr>
              <w:t>……</w:t>
            </w:r>
          </w:p>
        </w:tc>
        <w:tc>
          <w:tcPr>
            <w:tcW w:w="3194" w:type="dxa"/>
          </w:tcPr>
          <w:p>
            <w:pPr>
              <w:spacing w:line="560" w:lineRule="exact"/>
              <w:rPr>
                <w:rFonts w:ascii="仿宋_GB2312" w:eastAsia="仿宋_GB2312" w:cs="Times New Roman"/>
                <w:kern w:val="0"/>
                <w:sz w:val="28"/>
                <w:szCs w:val="28"/>
              </w:rPr>
            </w:pPr>
            <w:r>
              <w:rPr>
                <w:rFonts w:hint="eastAsia" w:ascii="仿宋_GB2312" w:eastAsia="仿宋_GB2312" w:cs="仿宋_GB2312"/>
                <w:kern w:val="0"/>
                <w:sz w:val="28"/>
                <w:szCs w:val="28"/>
              </w:rPr>
              <w:t>……………</w:t>
            </w:r>
          </w:p>
        </w:tc>
        <w:tc>
          <w:tcPr>
            <w:tcW w:w="2240" w:type="dxa"/>
          </w:tcPr>
          <w:p>
            <w:pPr>
              <w:spacing w:line="560" w:lineRule="exact"/>
              <w:jc w:val="center"/>
              <w:rPr>
                <w:rFonts w:ascii="仿宋_GB2312" w:eastAsia="仿宋_GB2312" w:cs="Times New Roman"/>
                <w:kern w:val="0"/>
                <w:sz w:val="28"/>
                <w:szCs w:val="28"/>
              </w:rPr>
            </w:pPr>
          </w:p>
        </w:tc>
        <w:tc>
          <w:tcPr>
            <w:tcW w:w="2442" w:type="dxa"/>
          </w:tcPr>
          <w:p>
            <w:pPr>
              <w:spacing w:line="560" w:lineRule="exact"/>
              <w:jc w:val="center"/>
              <w:rPr>
                <w:rFonts w:ascii="仿宋_GB2312" w:eastAsia="仿宋_GB2312" w:cs="Times New Roman"/>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1" w:hRule="atLeast"/>
          <w:jc w:val="center"/>
        </w:trPr>
        <w:tc>
          <w:tcPr>
            <w:tcW w:w="8778" w:type="dxa"/>
            <w:gridSpan w:val="4"/>
            <w:tcBorders>
              <w:left w:val="nil"/>
              <w:bottom w:val="nil"/>
              <w:right w:val="nil"/>
            </w:tcBorders>
          </w:tcPr>
          <w:p>
            <w:pPr>
              <w:spacing w:line="560" w:lineRule="exact"/>
              <w:jc w:val="left"/>
              <w:rPr>
                <w:rFonts w:ascii="仿宋_GB2312" w:eastAsia="仿宋_GB2312" w:cs="Times New Roman"/>
                <w:kern w:val="0"/>
                <w:sz w:val="28"/>
                <w:szCs w:val="28"/>
              </w:rPr>
            </w:pPr>
            <w:r>
              <w:rPr>
                <w:rFonts w:hint="eastAsia" w:ascii="仿宋_GB2312" w:eastAsia="仿宋_GB2312" w:cs="仿宋_GB2312"/>
                <w:kern w:val="0"/>
                <w:sz w:val="28"/>
                <w:szCs w:val="28"/>
              </w:rPr>
              <w:t>注：</w:t>
            </w:r>
            <w:r>
              <w:rPr>
                <w:rFonts w:ascii="仿宋_GB2312" w:eastAsia="仿宋_GB2312" w:cs="仿宋_GB2312"/>
                <w:kern w:val="0"/>
                <w:sz w:val="28"/>
                <w:szCs w:val="28"/>
              </w:rPr>
              <w:t>1</w:t>
            </w:r>
            <w:r>
              <w:rPr>
                <w:rFonts w:hint="eastAsia" w:ascii="仿宋_GB2312" w:eastAsia="仿宋_GB2312" w:cs="仿宋_GB2312"/>
                <w:kern w:val="0"/>
                <w:sz w:val="28"/>
                <w:szCs w:val="28"/>
              </w:rPr>
              <w:t>、单位基本性质分为行政单位、参公事业单位、财政补助事业单位、经费自理事业单位四类。</w:t>
            </w:r>
          </w:p>
          <w:p>
            <w:pPr>
              <w:spacing w:line="560" w:lineRule="exact"/>
              <w:ind w:firstLine="560" w:firstLineChars="200"/>
              <w:jc w:val="left"/>
              <w:rPr>
                <w:rFonts w:ascii="仿宋_GB2312" w:eastAsia="仿宋_GB2312" w:cs="Times New Roman"/>
                <w:kern w:val="0"/>
                <w:sz w:val="28"/>
                <w:szCs w:val="28"/>
              </w:rPr>
            </w:pPr>
            <w:r>
              <w:rPr>
                <w:rFonts w:ascii="仿宋_GB2312" w:eastAsia="仿宋_GB2312" w:cs="仿宋_GB2312"/>
                <w:kern w:val="0"/>
                <w:sz w:val="28"/>
                <w:szCs w:val="28"/>
              </w:rPr>
              <w:t>2</w:t>
            </w:r>
            <w:r>
              <w:rPr>
                <w:rFonts w:hint="eastAsia" w:ascii="仿宋_GB2312" w:eastAsia="仿宋_GB2312" w:cs="仿宋_GB2312"/>
                <w:kern w:val="0"/>
                <w:sz w:val="28"/>
                <w:szCs w:val="28"/>
              </w:rPr>
              <w:t>、经费形式分为财政拨款、财政性资金基本保证、财政性资金定额或定项补助、财政性资金零补助四类。</w:t>
            </w:r>
          </w:p>
        </w:tc>
      </w:tr>
    </w:tbl>
    <w:p>
      <w:pPr>
        <w:pStyle w:val="10"/>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widowControl/>
        <w:spacing w:after="160" w:line="580" w:lineRule="exact"/>
        <w:ind w:firstLine="640" w:firstLineChars="200"/>
        <w:rPr>
          <w:rFonts w:hint="default" w:ascii="仿宋_GB2312" w:hAnsi="仿宋_GB2312" w:eastAsia="仿宋_GB2312" w:cs="仿宋_GB2312"/>
          <w:i w:val="0"/>
          <w:iCs w:val="0"/>
          <w:caps w:val="0"/>
          <w:color w:val="auto"/>
          <w:spacing w:val="0"/>
          <w:sz w:val="32"/>
          <w:szCs w:val="32"/>
          <w:highlight w:val="none"/>
          <w:shd w:val="clear" w:fill="FFFFFF"/>
          <w:lang w:val="en-US" w:eastAsia="zh-CN" w:bidi="ar-SA"/>
        </w:rPr>
      </w:pPr>
      <w:r>
        <w:rPr>
          <w:rFonts w:hint="eastAsia" w:ascii="仿宋_GB2312" w:hAnsi="仿宋_GB2312" w:eastAsia="仿宋_GB2312" w:cs="仿宋_GB2312"/>
          <w:i w:val="0"/>
          <w:iCs w:val="0"/>
          <w:caps w:val="0"/>
          <w:color w:val="auto"/>
          <w:spacing w:val="0"/>
          <w:sz w:val="32"/>
          <w:szCs w:val="32"/>
          <w:highlight w:val="none"/>
          <w:shd w:val="clear" w:fill="FFFFFF"/>
          <w:lang w:val="en-US" w:eastAsia="zh-CN" w:bidi="ar-SA"/>
        </w:rPr>
        <w:t>我部门无二级预算单位，因此，石家庄市鹿泉区获鹿镇人民政府2023年度部门决算即石家庄市鹿泉区获鹿镇人民政府本级2023年度决算。</w:t>
      </w:r>
    </w:p>
    <w:p>
      <w:pPr>
        <w:rPr>
          <w:rFonts w:hint="default" w:ascii="仿宋_GB2312" w:hAnsi="仿宋_GB2312" w:eastAsia="仿宋_GB2312" w:cs="仿宋_GB2312"/>
          <w:i w:val="0"/>
          <w:iCs w:val="0"/>
          <w:caps w:val="0"/>
          <w:color w:val="auto"/>
          <w:spacing w:val="0"/>
          <w:sz w:val="32"/>
          <w:szCs w:val="32"/>
          <w:highlight w:val="none"/>
          <w:shd w:val="clear" w:fill="FFFFFF"/>
          <w:lang w:val="en-US" w:eastAsia="zh-CN" w:bidi="ar-SA"/>
        </w:rPr>
      </w:pPr>
      <w:r>
        <w:rPr>
          <w:rFonts w:hint="eastAsia" w:ascii="仿宋_GB2312" w:hAnsi="仿宋_GB2312" w:eastAsia="仿宋_GB2312" w:cs="仿宋_GB2312"/>
          <w:i w:val="0"/>
          <w:iCs w:val="0"/>
          <w:caps w:val="0"/>
          <w:color w:val="auto"/>
          <w:spacing w:val="0"/>
          <w:sz w:val="32"/>
          <w:szCs w:val="32"/>
          <w:highlight w:val="none"/>
          <w:shd w:val="clear" w:fill="FFFFFF"/>
          <w:lang w:val="en-US" w:eastAsia="zh-CN" w:bidi="ar-SA"/>
        </w:rPr>
        <w:br w:type="page"/>
      </w:r>
    </w:p>
    <w:p>
      <w:pPr>
        <w:widowControl/>
        <w:spacing w:after="160" w:line="580" w:lineRule="exact"/>
        <w:ind w:firstLine="640" w:firstLineChars="200"/>
        <w:rPr>
          <w:rFonts w:ascii="Times New Roman" w:hAnsi="Times New Roman" w:eastAsia="黑体" w:cs="Times New Roman"/>
          <w:sz w:val="32"/>
          <w:szCs w:val="32"/>
          <w:highlight w:val="yellow"/>
        </w:rPr>
      </w:pPr>
    </w:p>
    <w:p>
      <w:pPr>
        <w:pStyle w:val="10"/>
        <w:widowControl/>
        <w:shd w:val="clear" w:color="auto" w:fill="FFFFFF"/>
        <w:spacing w:beforeAutospacing="0" w:afterAutospacing="0"/>
        <w:rPr>
          <w:rFonts w:ascii="Arial" w:hAnsi="Arial" w:eastAsia="Arial" w:cs="Arial"/>
          <w:color w:val="000000"/>
          <w:sz w:val="18"/>
          <w:szCs w:val="18"/>
          <w:shd w:val="clear" w:color="auto" w:fill="FFFFFF"/>
          <w:lang w:bidi="ar"/>
        </w:rPr>
      </w:pPr>
    </w:p>
    <w:p>
      <w:pPr>
        <w:widowControl/>
        <w:shd w:val="clear" w:color="auto" w:fill="FFFFFF"/>
        <w:jc w:val="left"/>
        <w:rPr>
          <w:rFonts w:ascii="Arial" w:hAnsi="Arial" w:eastAsia="Arial" w:cs="Arial"/>
        </w:rPr>
      </w:pPr>
      <w:r>
        <w:rPr>
          <w:rFonts w:ascii="Arial" w:hAnsi="Arial" w:eastAsia="Arial" w:cs="Arial"/>
          <w:color w:val="000000"/>
          <w:sz w:val="18"/>
          <w:szCs w:val="18"/>
          <w:shd w:val="clear" w:color="auto" w:fill="FFFFFF"/>
          <w:lang w:bidi="ar"/>
        </w:rPr>
        <w:t> </w:t>
      </w: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outlineLvl w:val="0"/>
        <w:rPr>
          <w:rFonts w:ascii="Arial" w:hAnsi="Arial" w:eastAsia="Arial" w:cs="Arial"/>
        </w:rPr>
      </w:pPr>
      <w:r>
        <w:rPr>
          <w:rFonts w:hint="eastAsia" w:ascii="黑体" w:hAnsi="宋体" w:eastAsia="黑体" w:cs="黑体"/>
          <w:color w:val="000000"/>
          <w:sz w:val="72"/>
          <w:szCs w:val="72"/>
          <w:shd w:val="clear" w:color="auto" w:fill="FFFFFF"/>
        </w:rPr>
        <w:t>第二部分</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hint="eastAsia" w:ascii="黑体" w:hAnsi="宋体" w:eastAsia="黑体" w:cs="黑体"/>
          <w:color w:val="000000"/>
          <w:sz w:val="72"/>
          <w:szCs w:val="72"/>
          <w:shd w:val="clear" w:color="auto" w:fill="FFFFFF"/>
        </w:rPr>
        <w:t>2023年度部门决算报表</w:t>
      </w:r>
    </w:p>
    <w:p>
      <w:pPr>
        <w:pStyle w:val="10"/>
        <w:widowControl/>
        <w:spacing w:beforeAutospacing="0" w:afterAutospacing="0"/>
        <w:jc w:val="center"/>
        <w:rPr>
          <w:rFonts w:hint="eastAsia" w:ascii="仿宋_GB2312" w:hAnsi="仿宋_GB2312" w:eastAsia="仿宋_GB2312" w:cs="仿宋_GB2312"/>
          <w:color w:val="FF0000"/>
          <w:sz w:val="33"/>
          <w:szCs w:val="33"/>
          <w:shd w:val="clear" w:color="auto" w:fill="FFFFFF"/>
        </w:rPr>
      </w:pPr>
    </w:p>
    <w:p>
      <w:pPr>
        <w:pStyle w:val="10"/>
        <w:widowControl/>
        <w:spacing w:beforeAutospacing="0" w:afterAutospacing="0"/>
        <w:jc w:val="center"/>
        <w:rPr>
          <w:rFonts w:hint="eastAsia" w:ascii="仿宋_GB2312" w:hAnsi="仿宋_GB2312" w:eastAsia="仿宋_GB2312" w:cs="仿宋_GB2312"/>
          <w:color w:val="FF0000"/>
          <w:sz w:val="33"/>
          <w:szCs w:val="33"/>
          <w:shd w:val="clear" w:color="auto" w:fill="FFFFFF"/>
        </w:rPr>
        <w:sectPr>
          <w:headerReference r:id="rId8" w:type="default"/>
          <w:pgSz w:w="11906" w:h="16838"/>
          <w:pgMar w:top="1531" w:right="1984" w:bottom="1531" w:left="2098" w:header="851" w:footer="992" w:gutter="0"/>
          <w:cols w:space="720" w:num="1"/>
          <w:docGrid w:type="lines" w:linePitch="312" w:charSpace="0"/>
        </w:sectPr>
      </w:pPr>
    </w:p>
    <w:tbl>
      <w:tblPr>
        <w:tblStyle w:val="11"/>
        <w:tblW w:w="13992" w:type="dxa"/>
        <w:tblInd w:w="0" w:type="dxa"/>
        <w:tblLayout w:type="fixed"/>
        <w:tblCellMar>
          <w:top w:w="0" w:type="dxa"/>
          <w:left w:w="108" w:type="dxa"/>
          <w:bottom w:w="0" w:type="dxa"/>
          <w:right w:w="108" w:type="dxa"/>
        </w:tblCellMar>
      </w:tblPr>
      <w:tblGrid>
        <w:gridCol w:w="3456"/>
        <w:gridCol w:w="1410"/>
        <w:gridCol w:w="299"/>
        <w:gridCol w:w="2045"/>
        <w:gridCol w:w="2216"/>
        <w:gridCol w:w="751"/>
        <w:gridCol w:w="1742"/>
        <w:gridCol w:w="2073"/>
      </w:tblGrid>
      <w:tr>
        <w:tblPrEx>
          <w:tblCellMar>
            <w:top w:w="0" w:type="dxa"/>
            <w:left w:w="108" w:type="dxa"/>
            <w:bottom w:w="0" w:type="dxa"/>
            <w:right w:w="108" w:type="dxa"/>
          </w:tblCellMar>
        </w:tblPrEx>
        <w:trPr>
          <w:trHeight w:val="361" w:hRule="atLeast"/>
        </w:trPr>
        <w:tc>
          <w:tcPr>
            <w:tcW w:w="13992" w:type="dxa"/>
            <w:gridSpan w:val="8"/>
            <w:tcBorders>
              <w:top w:val="nil"/>
              <w:left w:val="nil"/>
              <w:bottom w:val="nil"/>
              <w:right w:val="nil"/>
            </w:tcBorders>
            <w:noWrap/>
            <w:vAlign w:val="bottom"/>
          </w:tcPr>
          <w:p>
            <w:pPr>
              <w:widowControl/>
              <w:jc w:val="center"/>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t>收入支出决算总表</w:t>
            </w:r>
          </w:p>
        </w:tc>
      </w:tr>
      <w:tr>
        <w:tblPrEx>
          <w:tblCellMar>
            <w:top w:w="0" w:type="dxa"/>
            <w:left w:w="108" w:type="dxa"/>
            <w:bottom w:w="0" w:type="dxa"/>
            <w:right w:w="108" w:type="dxa"/>
          </w:tblCellMar>
        </w:tblPrEx>
        <w:trPr>
          <w:trHeight w:val="90" w:hRule="atLeast"/>
        </w:trPr>
        <w:tc>
          <w:tcPr>
            <w:tcW w:w="13992" w:type="dxa"/>
            <w:gridSpan w:val="8"/>
            <w:tcBorders>
              <w:top w:val="nil"/>
              <w:left w:val="nil"/>
              <w:bottom w:val="nil"/>
              <w:right w:val="nil"/>
            </w:tcBorders>
            <w:noWrap/>
            <w:vAlign w:val="bottom"/>
          </w:tcPr>
          <w:p>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hint="eastAsia" w:ascii="Times New Roman" w:hAnsi="Times New Roman" w:eastAsia="宋体" w:cs="Times New Roman"/>
                <w:color w:val="000000"/>
                <w:sz w:val="18"/>
                <w:szCs w:val="18"/>
              </w:rPr>
              <w:t>01</w:t>
            </w:r>
            <w:r>
              <w:rPr>
                <w:rFonts w:hint="eastAsia" w:ascii="方正仿宋_GB2312" w:hAnsi="方正仿宋_GB2312" w:eastAsia="方正仿宋_GB2312" w:cs="方正仿宋_GB2312"/>
                <w:color w:val="000000"/>
                <w:sz w:val="18"/>
                <w:szCs w:val="18"/>
                <w:lang w:bidi="ar"/>
              </w:rPr>
              <w:t>表</w:t>
            </w:r>
          </w:p>
        </w:tc>
      </w:tr>
      <w:tr>
        <w:tblPrEx>
          <w:tblCellMar>
            <w:top w:w="0" w:type="dxa"/>
            <w:left w:w="108" w:type="dxa"/>
            <w:bottom w:w="0" w:type="dxa"/>
            <w:right w:w="108" w:type="dxa"/>
          </w:tblCellMar>
        </w:tblPrEx>
        <w:trPr>
          <w:trHeight w:val="300" w:hRule="atLeast"/>
        </w:trPr>
        <w:tc>
          <w:tcPr>
            <w:tcW w:w="4866" w:type="dxa"/>
            <w:gridSpan w:val="2"/>
            <w:tcBorders>
              <w:top w:val="nil"/>
              <w:left w:val="nil"/>
              <w:bottom w:val="single" w:color="auto" w:sz="4" w:space="0"/>
              <w:right w:val="nil"/>
            </w:tcBorders>
            <w:noWrap/>
            <w:vAlign w:val="bottom"/>
          </w:tcPr>
          <w:p>
            <w:pP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编制部门（单位）：石家庄市鹿泉区获鹿镇人民政府(本级)</w:t>
            </w:r>
          </w:p>
        </w:tc>
        <w:tc>
          <w:tcPr>
            <w:tcW w:w="4560" w:type="dxa"/>
            <w:gridSpan w:val="3"/>
            <w:tcBorders>
              <w:top w:val="nil"/>
              <w:left w:val="nil"/>
              <w:bottom w:val="single" w:color="auto" w:sz="4" w:space="0"/>
              <w:right w:val="nil"/>
            </w:tcBorders>
            <w:noWrap/>
            <w:vAlign w:val="bottom"/>
          </w:tcPr>
          <w:p>
            <w:pPr>
              <w:jc w:val="center"/>
              <w:rPr>
                <w:rFonts w:hint="eastAsia" w:ascii="宋体" w:hAnsi="宋体" w:eastAsia="宋体"/>
                <w:color w:val="000000"/>
                <w:sz w:val="18"/>
                <w:szCs w:val="18"/>
                <w:lang w:bidi="ar"/>
              </w:rPr>
            </w:pPr>
            <w:r>
              <w:rPr>
                <w:rFonts w:hint="eastAsia" w:ascii="Times New Roman" w:hAnsi="Times New Roman" w:eastAsia="宋体" w:cs="Times New Roman"/>
                <w:color w:val="000000"/>
                <w:sz w:val="18"/>
                <w:szCs w:val="18"/>
              </w:rPr>
              <w:t>2023</w:t>
            </w:r>
            <w:r>
              <w:rPr>
                <w:rFonts w:hint="eastAsia" w:ascii="方正仿宋_GB2312" w:hAnsi="方正仿宋_GB2312" w:eastAsia="方正仿宋_GB2312" w:cs="方正仿宋_GB2312"/>
                <w:color w:val="000000"/>
                <w:sz w:val="18"/>
                <w:szCs w:val="18"/>
                <w:lang w:bidi="ar"/>
              </w:rPr>
              <w:t>年度</w:t>
            </w:r>
          </w:p>
        </w:tc>
        <w:tc>
          <w:tcPr>
            <w:tcW w:w="4566" w:type="dxa"/>
            <w:gridSpan w:val="3"/>
            <w:tcBorders>
              <w:top w:val="nil"/>
              <w:left w:val="nil"/>
              <w:bottom w:val="single" w:color="auto" w:sz="4" w:space="0"/>
              <w:right w:val="nil"/>
            </w:tcBorders>
            <w:noWrap/>
            <w:vAlign w:val="bottom"/>
          </w:tcPr>
          <w:p>
            <w:pPr>
              <w:jc w:val="right"/>
              <w:rPr>
                <w:rFonts w:hint="eastAsia" w:ascii="宋体" w:hAnsi="宋体" w:eastAsia="宋体"/>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tblPrEx>
          <w:tblCellMar>
            <w:top w:w="0" w:type="dxa"/>
            <w:left w:w="108" w:type="dxa"/>
            <w:bottom w:w="0" w:type="dxa"/>
            <w:right w:w="108" w:type="dxa"/>
          </w:tblCellMar>
        </w:tblPrEx>
        <w:trPr>
          <w:trHeight w:val="308" w:hRule="atLeast"/>
        </w:trPr>
        <w:tc>
          <w:tcPr>
            <w:tcW w:w="7210" w:type="dxa"/>
            <w:gridSpan w:val="4"/>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收入</w:t>
            </w:r>
          </w:p>
        </w:tc>
        <w:tc>
          <w:tcPr>
            <w:tcW w:w="6782" w:type="dxa"/>
            <w:gridSpan w:val="4"/>
            <w:tcBorders>
              <w:top w:val="single" w:color="auto" w:sz="4" w:space="0"/>
              <w:left w:val="nil"/>
              <w:bottom w:val="single" w:color="000000" w:sz="4" w:space="0"/>
              <w:right w:val="single" w:color="000000" w:sz="4" w:space="0"/>
            </w:tcBorders>
            <w:noWrap/>
            <w:vAlign w:val="center"/>
          </w:tcPr>
          <w:p>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支出</w:t>
            </w: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1709" w:type="dxa"/>
            <w:gridSpan w:val="2"/>
            <w:tcBorders>
              <w:top w:val="nil"/>
              <w:left w:val="nil"/>
              <w:bottom w:val="single" w:color="000000" w:sz="4" w:space="0"/>
              <w:right w:val="single" w:color="000000" w:sz="4" w:space="0"/>
            </w:tcBorders>
            <w:noWrap/>
            <w:vAlign w:val="center"/>
          </w:tcPr>
          <w:p>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行次</w:t>
            </w:r>
          </w:p>
        </w:tc>
        <w:tc>
          <w:tcPr>
            <w:tcW w:w="2045" w:type="dxa"/>
            <w:tcBorders>
              <w:top w:val="nil"/>
              <w:left w:val="nil"/>
              <w:bottom w:val="single" w:color="000000" w:sz="4" w:space="0"/>
              <w:right w:val="single" w:color="000000" w:sz="4" w:space="0"/>
            </w:tcBorders>
            <w:noWrap/>
            <w:vAlign w:val="center"/>
          </w:tcPr>
          <w:p>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决算数</w:t>
            </w:r>
          </w:p>
        </w:tc>
        <w:tc>
          <w:tcPr>
            <w:tcW w:w="2967" w:type="dxa"/>
            <w:gridSpan w:val="2"/>
            <w:tcBorders>
              <w:top w:val="nil"/>
              <w:left w:val="nil"/>
              <w:bottom w:val="single" w:color="000000" w:sz="4" w:space="0"/>
              <w:right w:val="single" w:color="000000" w:sz="4" w:space="0"/>
            </w:tcBorders>
            <w:noWrap/>
            <w:vAlign w:val="center"/>
          </w:tcPr>
          <w:p>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1742" w:type="dxa"/>
            <w:tcBorders>
              <w:top w:val="nil"/>
              <w:left w:val="nil"/>
              <w:bottom w:val="single" w:color="000000" w:sz="4" w:space="0"/>
              <w:right w:val="single" w:color="000000" w:sz="4" w:space="0"/>
            </w:tcBorders>
            <w:noWrap/>
            <w:vAlign w:val="center"/>
          </w:tcPr>
          <w:p>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行次</w:t>
            </w:r>
          </w:p>
        </w:tc>
        <w:tc>
          <w:tcPr>
            <w:tcW w:w="2073" w:type="dxa"/>
            <w:tcBorders>
              <w:top w:val="nil"/>
              <w:left w:val="nil"/>
              <w:bottom w:val="single" w:color="000000" w:sz="4" w:space="0"/>
              <w:right w:val="single" w:color="000000" w:sz="4" w:space="0"/>
            </w:tcBorders>
            <w:noWrap/>
            <w:vAlign w:val="center"/>
          </w:tcPr>
          <w:p>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决算数</w:t>
            </w: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栏次</w:t>
            </w:r>
          </w:p>
        </w:tc>
        <w:tc>
          <w:tcPr>
            <w:tcW w:w="1709" w:type="dxa"/>
            <w:gridSpan w:val="2"/>
            <w:tcBorders>
              <w:top w:val="nil"/>
              <w:left w:val="nil"/>
              <w:bottom w:val="single" w:color="000000" w:sz="4" w:space="0"/>
              <w:right w:val="single" w:color="000000" w:sz="4" w:space="0"/>
            </w:tcBorders>
            <w:noWrap/>
            <w:vAlign w:val="center"/>
          </w:tcPr>
          <w:p>
            <w:pPr>
              <w:jc w:val="center"/>
              <w:rPr>
                <w:rFonts w:hint="eastAsia" w:ascii="宋体" w:hAnsi="宋体" w:eastAsia="宋体"/>
                <w:color w:val="000000"/>
                <w:sz w:val="18"/>
                <w:szCs w:val="18"/>
              </w:rPr>
            </w:pPr>
          </w:p>
        </w:tc>
        <w:tc>
          <w:tcPr>
            <w:tcW w:w="2045" w:type="dxa"/>
            <w:tcBorders>
              <w:top w:val="nil"/>
              <w:left w:val="nil"/>
              <w:bottom w:val="single" w:color="000000" w:sz="4" w:space="0"/>
              <w:right w:val="single" w:color="000000" w:sz="4" w:space="0"/>
            </w:tcBorders>
            <w:noWrap/>
            <w:vAlign w:val="center"/>
          </w:tcPr>
          <w:p>
            <w:pPr>
              <w:widowControl/>
              <w:jc w:val="center"/>
              <w:textAlignment w:val="center"/>
              <w:rPr>
                <w:rFonts w:hint="eastAsia" w:ascii="宋体" w:hAnsi="宋体" w:eastAsia="宋体"/>
                <w:color w:val="000000"/>
                <w:sz w:val="18"/>
                <w:szCs w:val="18"/>
              </w:rPr>
            </w:pPr>
            <w:r>
              <w:rPr>
                <w:rFonts w:hint="eastAsia" w:ascii="Times New Roman" w:hAnsi="Times New Roman" w:eastAsia="宋体" w:cs="Times New Roman"/>
                <w:color w:val="000000"/>
                <w:sz w:val="18"/>
                <w:szCs w:val="18"/>
              </w:rPr>
              <w:t>1</w:t>
            </w:r>
          </w:p>
        </w:tc>
        <w:tc>
          <w:tcPr>
            <w:tcW w:w="2967" w:type="dxa"/>
            <w:gridSpan w:val="2"/>
            <w:tcBorders>
              <w:top w:val="nil"/>
              <w:left w:val="nil"/>
              <w:bottom w:val="single" w:color="000000" w:sz="4" w:space="0"/>
              <w:right w:val="single" w:color="000000" w:sz="4" w:space="0"/>
            </w:tcBorders>
            <w:noWrap/>
            <w:vAlign w:val="center"/>
          </w:tcPr>
          <w:p>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栏次</w:t>
            </w:r>
          </w:p>
        </w:tc>
        <w:tc>
          <w:tcPr>
            <w:tcW w:w="1742" w:type="dxa"/>
            <w:tcBorders>
              <w:top w:val="nil"/>
              <w:left w:val="nil"/>
              <w:bottom w:val="single" w:color="000000" w:sz="4" w:space="0"/>
              <w:right w:val="single" w:color="000000" w:sz="4" w:space="0"/>
            </w:tcBorders>
            <w:noWrap/>
            <w:vAlign w:val="center"/>
          </w:tcPr>
          <w:p>
            <w:pPr>
              <w:jc w:val="center"/>
              <w:rPr>
                <w:rFonts w:hint="eastAsia" w:ascii="宋体" w:hAnsi="宋体" w:eastAsia="宋体"/>
                <w:color w:val="000000"/>
                <w:sz w:val="18"/>
                <w:szCs w:val="18"/>
              </w:rPr>
            </w:pPr>
          </w:p>
        </w:tc>
        <w:tc>
          <w:tcPr>
            <w:tcW w:w="2073" w:type="dxa"/>
            <w:tcBorders>
              <w:top w:val="nil"/>
              <w:left w:val="nil"/>
              <w:bottom w:val="single" w:color="000000" w:sz="4" w:space="0"/>
              <w:right w:val="single" w:color="000000" w:sz="4" w:space="0"/>
            </w:tcBorders>
            <w:noWrap/>
            <w:vAlign w:val="center"/>
          </w:tcPr>
          <w:p>
            <w:pPr>
              <w:widowControl/>
              <w:jc w:val="center"/>
              <w:textAlignment w:val="center"/>
              <w:rPr>
                <w:rFonts w:hint="eastAsia" w:ascii="宋体" w:hAnsi="宋体" w:eastAsia="宋体"/>
                <w:color w:val="000000"/>
                <w:sz w:val="18"/>
                <w:szCs w:val="18"/>
              </w:rPr>
            </w:pPr>
            <w:r>
              <w:rPr>
                <w:rFonts w:hint="eastAsia" w:ascii="Times New Roman" w:hAnsi="Times New Roman" w:eastAsia="宋体" w:cs="Times New Roman"/>
                <w:color w:val="000000"/>
                <w:sz w:val="18"/>
                <w:szCs w:val="18"/>
              </w:rPr>
              <w:t>2</w:t>
            </w:r>
          </w:p>
        </w:tc>
      </w:tr>
      <w:tr>
        <w:tblPrEx>
          <w:tblCellMar>
            <w:top w:w="0" w:type="dxa"/>
            <w:left w:w="108" w:type="dxa"/>
            <w:bottom w:w="0" w:type="dxa"/>
            <w:right w:w="108" w:type="dxa"/>
          </w:tblCellMar>
        </w:tblPrEx>
        <w:trPr>
          <w:trHeight w:val="90" w:hRule="atLeast"/>
        </w:trPr>
        <w:tc>
          <w:tcPr>
            <w:tcW w:w="3456" w:type="dxa"/>
            <w:tcBorders>
              <w:top w:val="nil"/>
              <w:left w:val="single" w:color="000000" w:sz="4" w:space="0"/>
              <w:bottom w:val="single" w:color="000000"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一、一般公共预算财政拨款收入</w:t>
            </w:r>
          </w:p>
        </w:tc>
        <w:tc>
          <w:tcPr>
            <w:tcW w:w="1709" w:type="dxa"/>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w:t>
            </w:r>
          </w:p>
        </w:tc>
        <w:tc>
          <w:tcPr>
            <w:tcW w:w="2045"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6,411.23</w:t>
            </w:r>
          </w:p>
        </w:tc>
        <w:tc>
          <w:tcPr>
            <w:tcW w:w="2967" w:type="dxa"/>
            <w:gridSpan w:val="2"/>
            <w:tcBorders>
              <w:top w:val="nil"/>
              <w:left w:val="nil"/>
              <w:bottom w:val="single" w:color="000000"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一、一般公共服务支出</w:t>
            </w:r>
          </w:p>
        </w:tc>
        <w:tc>
          <w:tcPr>
            <w:tcW w:w="1742"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32</w:t>
            </w:r>
          </w:p>
        </w:tc>
        <w:tc>
          <w:tcPr>
            <w:tcW w:w="207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3,074.04</w:t>
            </w: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二、政府性基金预算财政拨款收入</w:t>
            </w:r>
          </w:p>
        </w:tc>
        <w:tc>
          <w:tcPr>
            <w:tcW w:w="1709" w:type="dxa"/>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w:t>
            </w:r>
          </w:p>
        </w:tc>
        <w:tc>
          <w:tcPr>
            <w:tcW w:w="2045"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二、外交支出</w:t>
            </w:r>
          </w:p>
        </w:tc>
        <w:tc>
          <w:tcPr>
            <w:tcW w:w="1742"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33</w:t>
            </w:r>
          </w:p>
        </w:tc>
        <w:tc>
          <w:tcPr>
            <w:tcW w:w="207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三、国有资本经营预算财政拨款收入</w:t>
            </w:r>
          </w:p>
        </w:tc>
        <w:tc>
          <w:tcPr>
            <w:tcW w:w="1709" w:type="dxa"/>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w:t>
            </w:r>
          </w:p>
        </w:tc>
        <w:tc>
          <w:tcPr>
            <w:tcW w:w="2045"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三、国防支出</w:t>
            </w:r>
          </w:p>
        </w:tc>
        <w:tc>
          <w:tcPr>
            <w:tcW w:w="1742"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34</w:t>
            </w:r>
          </w:p>
        </w:tc>
        <w:tc>
          <w:tcPr>
            <w:tcW w:w="207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90" w:hRule="atLeast"/>
        </w:trPr>
        <w:tc>
          <w:tcPr>
            <w:tcW w:w="3456" w:type="dxa"/>
            <w:tcBorders>
              <w:top w:val="nil"/>
              <w:left w:val="single" w:color="000000" w:sz="4" w:space="0"/>
              <w:bottom w:val="single" w:color="000000"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四、上级补助收入</w:t>
            </w:r>
          </w:p>
        </w:tc>
        <w:tc>
          <w:tcPr>
            <w:tcW w:w="1709" w:type="dxa"/>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w:t>
            </w:r>
          </w:p>
        </w:tc>
        <w:tc>
          <w:tcPr>
            <w:tcW w:w="2045"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四、公共安全支出</w:t>
            </w:r>
          </w:p>
        </w:tc>
        <w:tc>
          <w:tcPr>
            <w:tcW w:w="1742"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35</w:t>
            </w:r>
          </w:p>
        </w:tc>
        <w:tc>
          <w:tcPr>
            <w:tcW w:w="207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279.58</w:t>
            </w: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五、事业收入</w:t>
            </w:r>
          </w:p>
        </w:tc>
        <w:tc>
          <w:tcPr>
            <w:tcW w:w="1709" w:type="dxa"/>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w:t>
            </w:r>
          </w:p>
        </w:tc>
        <w:tc>
          <w:tcPr>
            <w:tcW w:w="2045"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五、教育支出</w:t>
            </w:r>
          </w:p>
        </w:tc>
        <w:tc>
          <w:tcPr>
            <w:tcW w:w="1742"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36</w:t>
            </w:r>
          </w:p>
        </w:tc>
        <w:tc>
          <w:tcPr>
            <w:tcW w:w="207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345.76</w:t>
            </w: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六、经营收入</w:t>
            </w:r>
          </w:p>
        </w:tc>
        <w:tc>
          <w:tcPr>
            <w:tcW w:w="1709" w:type="dxa"/>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w:t>
            </w:r>
          </w:p>
        </w:tc>
        <w:tc>
          <w:tcPr>
            <w:tcW w:w="2045"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六、科学技术支出</w:t>
            </w:r>
          </w:p>
        </w:tc>
        <w:tc>
          <w:tcPr>
            <w:tcW w:w="1742"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37</w:t>
            </w:r>
          </w:p>
        </w:tc>
        <w:tc>
          <w:tcPr>
            <w:tcW w:w="207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七、附属单位上缴收入</w:t>
            </w:r>
          </w:p>
        </w:tc>
        <w:tc>
          <w:tcPr>
            <w:tcW w:w="1709" w:type="dxa"/>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7</w:t>
            </w:r>
          </w:p>
        </w:tc>
        <w:tc>
          <w:tcPr>
            <w:tcW w:w="2045"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七、文化旅游体育与传媒支出</w:t>
            </w:r>
          </w:p>
        </w:tc>
        <w:tc>
          <w:tcPr>
            <w:tcW w:w="1742"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38</w:t>
            </w:r>
          </w:p>
        </w:tc>
        <w:tc>
          <w:tcPr>
            <w:tcW w:w="207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20.00</w:t>
            </w: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八、其他收入</w:t>
            </w:r>
          </w:p>
        </w:tc>
        <w:tc>
          <w:tcPr>
            <w:tcW w:w="1709" w:type="dxa"/>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8</w:t>
            </w:r>
          </w:p>
        </w:tc>
        <w:tc>
          <w:tcPr>
            <w:tcW w:w="2045"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八、社会保障和就业支出</w:t>
            </w:r>
          </w:p>
        </w:tc>
        <w:tc>
          <w:tcPr>
            <w:tcW w:w="1742"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39</w:t>
            </w:r>
          </w:p>
        </w:tc>
        <w:tc>
          <w:tcPr>
            <w:tcW w:w="207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464.48</w:t>
            </w: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olor w:val="000000"/>
                <w:sz w:val="18"/>
                <w:szCs w:val="18"/>
              </w:rPr>
            </w:pPr>
          </w:p>
        </w:tc>
        <w:tc>
          <w:tcPr>
            <w:tcW w:w="1709" w:type="dxa"/>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9</w:t>
            </w:r>
          </w:p>
        </w:tc>
        <w:tc>
          <w:tcPr>
            <w:tcW w:w="2045"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九、卫生健康支出</w:t>
            </w:r>
          </w:p>
        </w:tc>
        <w:tc>
          <w:tcPr>
            <w:tcW w:w="1742"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40</w:t>
            </w:r>
          </w:p>
        </w:tc>
        <w:tc>
          <w:tcPr>
            <w:tcW w:w="207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206.75</w:t>
            </w: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olor w:val="000000"/>
                <w:sz w:val="18"/>
                <w:szCs w:val="18"/>
              </w:rPr>
            </w:pPr>
          </w:p>
        </w:tc>
        <w:tc>
          <w:tcPr>
            <w:tcW w:w="1709" w:type="dxa"/>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10</w:t>
            </w:r>
          </w:p>
        </w:tc>
        <w:tc>
          <w:tcPr>
            <w:tcW w:w="2045"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十、节能环保支出</w:t>
            </w:r>
          </w:p>
        </w:tc>
        <w:tc>
          <w:tcPr>
            <w:tcW w:w="1742"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41</w:t>
            </w:r>
          </w:p>
        </w:tc>
        <w:tc>
          <w:tcPr>
            <w:tcW w:w="207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80.00</w:t>
            </w: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olor w:val="000000"/>
                <w:sz w:val="18"/>
                <w:szCs w:val="18"/>
              </w:rPr>
            </w:pPr>
          </w:p>
        </w:tc>
        <w:tc>
          <w:tcPr>
            <w:tcW w:w="1709" w:type="dxa"/>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11</w:t>
            </w:r>
          </w:p>
        </w:tc>
        <w:tc>
          <w:tcPr>
            <w:tcW w:w="2045"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十一、城乡社区支出</w:t>
            </w:r>
          </w:p>
        </w:tc>
        <w:tc>
          <w:tcPr>
            <w:tcW w:w="1742"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42</w:t>
            </w:r>
          </w:p>
        </w:tc>
        <w:tc>
          <w:tcPr>
            <w:tcW w:w="207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1,675.46</w:t>
            </w: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olor w:val="000000"/>
                <w:sz w:val="18"/>
                <w:szCs w:val="18"/>
              </w:rPr>
            </w:pPr>
          </w:p>
        </w:tc>
        <w:tc>
          <w:tcPr>
            <w:tcW w:w="1709" w:type="dxa"/>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12</w:t>
            </w:r>
          </w:p>
        </w:tc>
        <w:tc>
          <w:tcPr>
            <w:tcW w:w="2045"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十二、农林水支出</w:t>
            </w:r>
          </w:p>
        </w:tc>
        <w:tc>
          <w:tcPr>
            <w:tcW w:w="1742"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43</w:t>
            </w:r>
          </w:p>
        </w:tc>
        <w:tc>
          <w:tcPr>
            <w:tcW w:w="207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96.77</w:t>
            </w: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olor w:val="000000"/>
                <w:sz w:val="18"/>
                <w:szCs w:val="18"/>
              </w:rPr>
            </w:pPr>
          </w:p>
        </w:tc>
        <w:tc>
          <w:tcPr>
            <w:tcW w:w="1709" w:type="dxa"/>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13</w:t>
            </w:r>
          </w:p>
        </w:tc>
        <w:tc>
          <w:tcPr>
            <w:tcW w:w="2045"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十三、交通运输支出</w:t>
            </w:r>
          </w:p>
        </w:tc>
        <w:tc>
          <w:tcPr>
            <w:tcW w:w="1742"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44</w:t>
            </w:r>
          </w:p>
        </w:tc>
        <w:tc>
          <w:tcPr>
            <w:tcW w:w="207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olor w:val="000000"/>
                <w:sz w:val="18"/>
                <w:szCs w:val="18"/>
              </w:rPr>
            </w:pPr>
          </w:p>
        </w:tc>
        <w:tc>
          <w:tcPr>
            <w:tcW w:w="1709" w:type="dxa"/>
            <w:gridSpan w:val="2"/>
            <w:tcBorders>
              <w:top w:val="nil"/>
              <w:left w:val="nil"/>
              <w:bottom w:val="single" w:color="auto"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14</w:t>
            </w:r>
          </w:p>
        </w:tc>
        <w:tc>
          <w:tcPr>
            <w:tcW w:w="2045" w:type="dxa"/>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auto"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十四、资源勘探工业信息等支出</w:t>
            </w:r>
          </w:p>
        </w:tc>
        <w:tc>
          <w:tcPr>
            <w:tcW w:w="1742" w:type="dxa"/>
            <w:tcBorders>
              <w:top w:val="nil"/>
              <w:left w:val="nil"/>
              <w:bottom w:val="single" w:color="auto"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45</w:t>
            </w:r>
          </w:p>
        </w:tc>
        <w:tc>
          <w:tcPr>
            <w:tcW w:w="2073" w:type="dxa"/>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olor w:val="000000"/>
                <w:sz w:val="18"/>
                <w:szCs w:val="18"/>
              </w:rPr>
            </w:pPr>
          </w:p>
        </w:tc>
        <w:tc>
          <w:tcPr>
            <w:tcW w:w="1709"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15</w:t>
            </w:r>
          </w:p>
        </w:tc>
        <w:tc>
          <w:tcPr>
            <w:tcW w:w="2045"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2967"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十五、商业服务业等支出</w:t>
            </w:r>
          </w:p>
        </w:tc>
        <w:tc>
          <w:tcPr>
            <w:tcW w:w="1742"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46</w:t>
            </w:r>
          </w:p>
        </w:tc>
        <w:tc>
          <w:tcPr>
            <w:tcW w:w="2073"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olor w:val="000000"/>
                <w:sz w:val="18"/>
                <w:szCs w:val="18"/>
              </w:rPr>
            </w:pPr>
          </w:p>
        </w:tc>
        <w:tc>
          <w:tcPr>
            <w:tcW w:w="1709"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16</w:t>
            </w:r>
          </w:p>
        </w:tc>
        <w:tc>
          <w:tcPr>
            <w:tcW w:w="2045"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2967"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十六、金融支出</w:t>
            </w:r>
          </w:p>
        </w:tc>
        <w:tc>
          <w:tcPr>
            <w:tcW w:w="1742"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47</w:t>
            </w:r>
          </w:p>
        </w:tc>
        <w:tc>
          <w:tcPr>
            <w:tcW w:w="2073"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olor w:val="000000"/>
                <w:sz w:val="18"/>
                <w:szCs w:val="18"/>
              </w:rPr>
            </w:pPr>
          </w:p>
        </w:tc>
        <w:tc>
          <w:tcPr>
            <w:tcW w:w="1709"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17</w:t>
            </w:r>
          </w:p>
        </w:tc>
        <w:tc>
          <w:tcPr>
            <w:tcW w:w="2045"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2967"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十七、援助其他地区支出</w:t>
            </w:r>
          </w:p>
        </w:tc>
        <w:tc>
          <w:tcPr>
            <w:tcW w:w="1742"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48</w:t>
            </w:r>
          </w:p>
        </w:tc>
        <w:tc>
          <w:tcPr>
            <w:tcW w:w="2073"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olor w:val="000000"/>
                <w:sz w:val="18"/>
                <w:szCs w:val="18"/>
              </w:rPr>
            </w:pPr>
          </w:p>
        </w:tc>
        <w:tc>
          <w:tcPr>
            <w:tcW w:w="1709"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18</w:t>
            </w:r>
          </w:p>
        </w:tc>
        <w:tc>
          <w:tcPr>
            <w:tcW w:w="2045"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2967"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十八、自然资源海洋气象等支出</w:t>
            </w:r>
          </w:p>
        </w:tc>
        <w:tc>
          <w:tcPr>
            <w:tcW w:w="1742"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49</w:t>
            </w:r>
          </w:p>
        </w:tc>
        <w:tc>
          <w:tcPr>
            <w:tcW w:w="2073"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olor w:val="000000"/>
                <w:sz w:val="18"/>
                <w:szCs w:val="18"/>
              </w:rPr>
            </w:pPr>
          </w:p>
        </w:tc>
        <w:tc>
          <w:tcPr>
            <w:tcW w:w="1709"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19</w:t>
            </w:r>
          </w:p>
        </w:tc>
        <w:tc>
          <w:tcPr>
            <w:tcW w:w="2045"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2967"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十九、住房保障支出</w:t>
            </w:r>
          </w:p>
        </w:tc>
        <w:tc>
          <w:tcPr>
            <w:tcW w:w="1742"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50</w:t>
            </w:r>
          </w:p>
        </w:tc>
        <w:tc>
          <w:tcPr>
            <w:tcW w:w="2073"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168.39</w:t>
            </w:r>
          </w:p>
        </w:tc>
      </w:tr>
      <w:tr>
        <w:tblPrEx>
          <w:tblCellMar>
            <w:top w:w="0" w:type="dxa"/>
            <w:left w:w="108" w:type="dxa"/>
            <w:bottom w:w="0" w:type="dxa"/>
            <w:right w:w="108" w:type="dxa"/>
          </w:tblCellMar>
        </w:tblPrEx>
        <w:trPr>
          <w:trHeight w:val="308" w:hRule="atLeast"/>
        </w:trPr>
        <w:tc>
          <w:tcPr>
            <w:tcW w:w="345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olor w:val="000000"/>
                <w:sz w:val="18"/>
                <w:szCs w:val="18"/>
              </w:rPr>
            </w:pPr>
          </w:p>
        </w:tc>
        <w:tc>
          <w:tcPr>
            <w:tcW w:w="1709"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20</w:t>
            </w:r>
          </w:p>
        </w:tc>
        <w:tc>
          <w:tcPr>
            <w:tcW w:w="2045"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2967"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二十、粮油物资储备支出</w:t>
            </w:r>
          </w:p>
        </w:tc>
        <w:tc>
          <w:tcPr>
            <w:tcW w:w="1742"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51</w:t>
            </w:r>
          </w:p>
        </w:tc>
        <w:tc>
          <w:tcPr>
            <w:tcW w:w="2073"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olor w:val="000000"/>
                <w:sz w:val="18"/>
                <w:szCs w:val="18"/>
              </w:rPr>
            </w:pPr>
          </w:p>
        </w:tc>
        <w:tc>
          <w:tcPr>
            <w:tcW w:w="1709" w:type="dxa"/>
            <w:gridSpan w:val="2"/>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21</w:t>
            </w:r>
          </w:p>
        </w:tc>
        <w:tc>
          <w:tcPr>
            <w:tcW w:w="2045" w:type="dxa"/>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2967" w:type="dxa"/>
            <w:gridSpan w:val="2"/>
            <w:tcBorders>
              <w:top w:val="single" w:color="auto" w:sz="4" w:space="0"/>
              <w:left w:val="nil"/>
              <w:bottom w:val="single" w:color="000000"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二十一、国有资本经营预算支出</w:t>
            </w:r>
          </w:p>
        </w:tc>
        <w:tc>
          <w:tcPr>
            <w:tcW w:w="1742" w:type="dxa"/>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52</w:t>
            </w:r>
          </w:p>
        </w:tc>
        <w:tc>
          <w:tcPr>
            <w:tcW w:w="2073" w:type="dxa"/>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olor w:val="000000"/>
                <w:sz w:val="18"/>
                <w:szCs w:val="18"/>
              </w:rPr>
            </w:pPr>
          </w:p>
        </w:tc>
        <w:tc>
          <w:tcPr>
            <w:tcW w:w="1709" w:type="dxa"/>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22</w:t>
            </w:r>
          </w:p>
        </w:tc>
        <w:tc>
          <w:tcPr>
            <w:tcW w:w="2045"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二十二、灾害防治及应急管理支出</w:t>
            </w:r>
          </w:p>
        </w:tc>
        <w:tc>
          <w:tcPr>
            <w:tcW w:w="1742"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53</w:t>
            </w:r>
          </w:p>
        </w:tc>
        <w:tc>
          <w:tcPr>
            <w:tcW w:w="207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olor w:val="000000"/>
                <w:sz w:val="18"/>
                <w:szCs w:val="18"/>
              </w:rPr>
            </w:pPr>
          </w:p>
        </w:tc>
        <w:tc>
          <w:tcPr>
            <w:tcW w:w="1709" w:type="dxa"/>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23</w:t>
            </w:r>
          </w:p>
        </w:tc>
        <w:tc>
          <w:tcPr>
            <w:tcW w:w="2045"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二十三、其他支出</w:t>
            </w:r>
          </w:p>
        </w:tc>
        <w:tc>
          <w:tcPr>
            <w:tcW w:w="1742"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54</w:t>
            </w:r>
          </w:p>
        </w:tc>
        <w:tc>
          <w:tcPr>
            <w:tcW w:w="207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olor w:val="000000"/>
                <w:sz w:val="18"/>
                <w:szCs w:val="18"/>
              </w:rPr>
            </w:pPr>
          </w:p>
        </w:tc>
        <w:tc>
          <w:tcPr>
            <w:tcW w:w="1709" w:type="dxa"/>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24</w:t>
            </w:r>
          </w:p>
        </w:tc>
        <w:tc>
          <w:tcPr>
            <w:tcW w:w="2045"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二十四、债务还本支出</w:t>
            </w:r>
          </w:p>
        </w:tc>
        <w:tc>
          <w:tcPr>
            <w:tcW w:w="1742"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55</w:t>
            </w:r>
          </w:p>
        </w:tc>
        <w:tc>
          <w:tcPr>
            <w:tcW w:w="207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olor w:val="000000"/>
                <w:sz w:val="18"/>
                <w:szCs w:val="18"/>
              </w:rPr>
            </w:pPr>
          </w:p>
        </w:tc>
        <w:tc>
          <w:tcPr>
            <w:tcW w:w="1709" w:type="dxa"/>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25</w:t>
            </w:r>
          </w:p>
        </w:tc>
        <w:tc>
          <w:tcPr>
            <w:tcW w:w="2045"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二十五、债务付息支出</w:t>
            </w:r>
          </w:p>
        </w:tc>
        <w:tc>
          <w:tcPr>
            <w:tcW w:w="1742"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56</w:t>
            </w:r>
          </w:p>
        </w:tc>
        <w:tc>
          <w:tcPr>
            <w:tcW w:w="207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olor w:val="000000"/>
                <w:sz w:val="18"/>
                <w:szCs w:val="18"/>
              </w:rPr>
            </w:pPr>
          </w:p>
        </w:tc>
        <w:tc>
          <w:tcPr>
            <w:tcW w:w="1709" w:type="dxa"/>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26</w:t>
            </w:r>
          </w:p>
        </w:tc>
        <w:tc>
          <w:tcPr>
            <w:tcW w:w="2045"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二十六、抗疫特别国债安排的支出</w:t>
            </w:r>
          </w:p>
        </w:tc>
        <w:tc>
          <w:tcPr>
            <w:tcW w:w="1742"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57</w:t>
            </w:r>
          </w:p>
        </w:tc>
        <w:tc>
          <w:tcPr>
            <w:tcW w:w="207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本年收入合计</w:t>
            </w:r>
          </w:p>
        </w:tc>
        <w:tc>
          <w:tcPr>
            <w:tcW w:w="1709" w:type="dxa"/>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27</w:t>
            </w:r>
          </w:p>
        </w:tc>
        <w:tc>
          <w:tcPr>
            <w:tcW w:w="2045"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6,411.23</w:t>
            </w:r>
          </w:p>
        </w:tc>
        <w:tc>
          <w:tcPr>
            <w:tcW w:w="2967" w:type="dxa"/>
            <w:gridSpan w:val="2"/>
            <w:tcBorders>
              <w:top w:val="nil"/>
              <w:left w:val="nil"/>
              <w:bottom w:val="single" w:color="000000" w:sz="4" w:space="0"/>
              <w:right w:val="single" w:color="000000" w:sz="4" w:space="0"/>
            </w:tcBorders>
            <w:noWrap/>
            <w:vAlign w:val="center"/>
          </w:tcPr>
          <w:p>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本年支出合计</w:t>
            </w:r>
          </w:p>
        </w:tc>
        <w:tc>
          <w:tcPr>
            <w:tcW w:w="1742"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58</w:t>
            </w:r>
          </w:p>
        </w:tc>
        <w:tc>
          <w:tcPr>
            <w:tcW w:w="207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6,411.23</w:t>
            </w: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使用非财政拨款结余（含专用结余）</w:t>
            </w:r>
          </w:p>
        </w:tc>
        <w:tc>
          <w:tcPr>
            <w:tcW w:w="1709" w:type="dxa"/>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28</w:t>
            </w:r>
          </w:p>
        </w:tc>
        <w:tc>
          <w:tcPr>
            <w:tcW w:w="2045"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结余分配</w:t>
            </w:r>
          </w:p>
        </w:tc>
        <w:tc>
          <w:tcPr>
            <w:tcW w:w="1742"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59</w:t>
            </w:r>
          </w:p>
        </w:tc>
        <w:tc>
          <w:tcPr>
            <w:tcW w:w="207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年初结转和结余</w:t>
            </w:r>
          </w:p>
        </w:tc>
        <w:tc>
          <w:tcPr>
            <w:tcW w:w="1709" w:type="dxa"/>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29</w:t>
            </w:r>
          </w:p>
        </w:tc>
        <w:tc>
          <w:tcPr>
            <w:tcW w:w="2045"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年末结转和结余</w:t>
            </w:r>
          </w:p>
        </w:tc>
        <w:tc>
          <w:tcPr>
            <w:tcW w:w="1742"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60</w:t>
            </w:r>
          </w:p>
        </w:tc>
        <w:tc>
          <w:tcPr>
            <w:tcW w:w="207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2312" w:hAnsi="方正仿宋_GB2312" w:eastAsia="方正仿宋_GB2312" w:cs="方正仿宋_GB2312"/>
                <w:b/>
                <w:bCs/>
                <w:color w:val="000000"/>
                <w:sz w:val="18"/>
                <w:szCs w:val="18"/>
                <w:lang w:bidi="ar"/>
              </w:rPr>
            </w:pPr>
          </w:p>
        </w:tc>
        <w:tc>
          <w:tcPr>
            <w:tcW w:w="1709" w:type="dxa"/>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lang w:bidi="ar"/>
              </w:rPr>
            </w:pPr>
            <w:r>
              <w:rPr>
                <w:rFonts w:ascii="Times New Roman" w:hAnsi="Times New Roman" w:eastAsia="宋体" w:cs="Times New Roman"/>
                <w:color w:val="000000"/>
                <w:sz w:val="18"/>
                <w:szCs w:val="18"/>
                <w:lang w:bidi="ar"/>
              </w:rPr>
              <w:t>30</w:t>
            </w:r>
          </w:p>
        </w:tc>
        <w:tc>
          <w:tcPr>
            <w:tcW w:w="2045"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pPr>
              <w:widowControl/>
              <w:jc w:val="center"/>
              <w:textAlignment w:val="center"/>
              <w:rPr>
                <w:rFonts w:hint="eastAsia" w:ascii="方正仿宋_GB2312" w:hAnsi="方正仿宋_GB2312" w:eastAsia="方正仿宋_GB2312" w:cs="方正仿宋_GB2312"/>
                <w:b/>
                <w:bCs/>
                <w:color w:val="000000"/>
                <w:sz w:val="18"/>
                <w:szCs w:val="18"/>
                <w:lang w:bidi="ar"/>
              </w:rPr>
            </w:pPr>
          </w:p>
        </w:tc>
        <w:tc>
          <w:tcPr>
            <w:tcW w:w="1742"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lang w:bidi="ar"/>
              </w:rPr>
            </w:pPr>
            <w:r>
              <w:rPr>
                <w:rFonts w:ascii="Times New Roman" w:hAnsi="Times New Roman" w:eastAsia="宋体" w:cs="Times New Roman"/>
                <w:color w:val="000000"/>
                <w:sz w:val="18"/>
                <w:szCs w:val="18"/>
                <w:lang w:bidi="ar"/>
              </w:rPr>
              <w:t>61</w:t>
            </w:r>
          </w:p>
        </w:tc>
        <w:tc>
          <w:tcPr>
            <w:tcW w:w="207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总计</w:t>
            </w:r>
          </w:p>
        </w:tc>
        <w:tc>
          <w:tcPr>
            <w:tcW w:w="1709" w:type="dxa"/>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31</w:t>
            </w:r>
          </w:p>
        </w:tc>
        <w:tc>
          <w:tcPr>
            <w:tcW w:w="2045"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6,411.23</w:t>
            </w:r>
          </w:p>
        </w:tc>
        <w:tc>
          <w:tcPr>
            <w:tcW w:w="2967" w:type="dxa"/>
            <w:gridSpan w:val="2"/>
            <w:tcBorders>
              <w:top w:val="nil"/>
              <w:left w:val="nil"/>
              <w:bottom w:val="single" w:color="000000" w:sz="4" w:space="0"/>
              <w:right w:val="single" w:color="000000" w:sz="4" w:space="0"/>
            </w:tcBorders>
            <w:noWrap/>
            <w:vAlign w:val="center"/>
          </w:tcPr>
          <w:p>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总计</w:t>
            </w:r>
          </w:p>
        </w:tc>
        <w:tc>
          <w:tcPr>
            <w:tcW w:w="1742"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62</w:t>
            </w:r>
          </w:p>
        </w:tc>
        <w:tc>
          <w:tcPr>
            <w:tcW w:w="207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6,411.23</w:t>
            </w:r>
          </w:p>
        </w:tc>
      </w:tr>
      <w:tr>
        <w:tblPrEx>
          <w:tblCellMar>
            <w:top w:w="0" w:type="dxa"/>
            <w:left w:w="108" w:type="dxa"/>
            <w:bottom w:w="0" w:type="dxa"/>
            <w:right w:w="108" w:type="dxa"/>
          </w:tblCellMar>
        </w:tblPrEx>
        <w:trPr>
          <w:trHeight w:val="308" w:hRule="atLeast"/>
        </w:trPr>
        <w:tc>
          <w:tcPr>
            <w:tcW w:w="13992" w:type="dxa"/>
            <w:gridSpan w:val="8"/>
            <w:tcBorders>
              <w:top w:val="nil"/>
              <w:left w:val="nil"/>
              <w:bottom w:val="nil"/>
              <w:right w:val="nil"/>
            </w:tcBorders>
            <w:noWrap/>
            <w:vAlign w:val="center"/>
          </w:tcPr>
          <w:p>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注：1.本表反映部门本年度的总收支和年末结转结余情况。2.本套报表金额转换时可能存在尾数误差。</w:t>
            </w:r>
          </w:p>
        </w:tc>
      </w:tr>
    </w:tbl>
    <w:p>
      <w:pPr>
        <w:rPr>
          <w:rFonts w:hint="eastAsia" w:ascii="仿宋_GB2312" w:hAnsi="宋体" w:eastAsia="仿宋_GB2312"/>
          <w:b/>
          <w:sz w:val="32"/>
          <w:szCs w:val="32"/>
        </w:rPr>
      </w:pPr>
      <w:r>
        <w:rPr>
          <w:rFonts w:hint="eastAsia" w:ascii="仿宋_GB2312" w:hAnsi="宋体" w:eastAsia="仿宋_GB2312"/>
          <w:b/>
          <w:sz w:val="32"/>
          <w:szCs w:val="32"/>
        </w:rPr>
        <w:t>备注：无内容应公开空表并说明情况。</w:t>
      </w:r>
    </w:p>
    <w:p>
      <w:pPr>
        <w:rPr>
          <w:rFonts w:hint="eastAsia" w:ascii="仿宋_GB2312" w:hAnsi="宋体" w:eastAsia="仿宋_GB2312"/>
          <w:b/>
          <w:sz w:val="32"/>
          <w:szCs w:val="32"/>
        </w:rPr>
      </w:pPr>
      <w:r>
        <w:rPr>
          <w:rFonts w:hint="eastAsia" w:ascii="仿宋_GB2312" w:hAnsi="宋体" w:eastAsia="仿宋_GB2312"/>
          <w:b/>
          <w:sz w:val="32"/>
          <w:szCs w:val="32"/>
        </w:rPr>
        <w:br w:type="page"/>
      </w:r>
    </w:p>
    <w:p>
      <w:pPr>
        <w:widowControl/>
        <w:jc w:val="center"/>
        <w:textAlignment w:val="bottom"/>
        <w:rPr>
          <w:rFonts w:hint="eastAsia" w:ascii="黑体" w:hAnsi="黑体" w:eastAsia="黑体"/>
          <w:bCs/>
          <w:sz w:val="32"/>
          <w:szCs w:val="32"/>
        </w:rPr>
      </w:pPr>
    </w:p>
    <w:tbl>
      <w:tblPr>
        <w:tblStyle w:val="11"/>
        <w:tblW w:w="13992" w:type="dxa"/>
        <w:tblInd w:w="0" w:type="dxa"/>
        <w:tblLayout w:type="fixed"/>
        <w:tblCellMar>
          <w:top w:w="0" w:type="dxa"/>
          <w:left w:w="108" w:type="dxa"/>
          <w:bottom w:w="0" w:type="dxa"/>
          <w:right w:w="108" w:type="dxa"/>
        </w:tblCellMar>
      </w:tblPr>
      <w:tblGrid>
        <w:gridCol w:w="715"/>
        <w:gridCol w:w="1119"/>
        <w:gridCol w:w="1726"/>
        <w:gridCol w:w="881"/>
        <w:gridCol w:w="881"/>
        <w:gridCol w:w="1727"/>
        <w:gridCol w:w="1727"/>
        <w:gridCol w:w="881"/>
        <w:gridCol w:w="881"/>
        <w:gridCol w:w="1727"/>
        <w:gridCol w:w="1727"/>
      </w:tblGrid>
      <w:tr>
        <w:tblPrEx>
          <w:tblCellMar>
            <w:top w:w="0" w:type="dxa"/>
            <w:left w:w="108" w:type="dxa"/>
            <w:bottom w:w="0" w:type="dxa"/>
            <w:right w:w="108" w:type="dxa"/>
          </w:tblCellMar>
        </w:tblPrEx>
        <w:trPr>
          <w:trHeight w:val="550" w:hRule="atLeast"/>
        </w:trPr>
        <w:tc>
          <w:tcPr>
            <w:tcW w:w="13992" w:type="dxa"/>
            <w:gridSpan w:val="11"/>
            <w:tcBorders>
              <w:top w:val="nil"/>
              <w:left w:val="nil"/>
              <w:bottom w:val="nil"/>
              <w:right w:val="nil"/>
            </w:tcBorders>
            <w:noWrap/>
            <w:vAlign w:val="bottom"/>
          </w:tcPr>
          <w:p>
            <w:pPr>
              <w:widowControl/>
              <w:jc w:val="center"/>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t>收入决算表</w:t>
            </w:r>
          </w:p>
        </w:tc>
      </w:tr>
      <w:tr>
        <w:tblPrEx>
          <w:tblCellMar>
            <w:top w:w="0" w:type="dxa"/>
            <w:left w:w="108" w:type="dxa"/>
            <w:bottom w:w="0" w:type="dxa"/>
            <w:right w:w="108" w:type="dxa"/>
          </w:tblCellMar>
        </w:tblPrEx>
        <w:trPr>
          <w:trHeight w:val="300" w:hRule="atLeast"/>
        </w:trPr>
        <w:tc>
          <w:tcPr>
            <w:tcW w:w="13992" w:type="dxa"/>
            <w:gridSpan w:val="11"/>
            <w:tcBorders>
              <w:top w:val="nil"/>
              <w:left w:val="nil"/>
              <w:bottom w:val="nil"/>
              <w:right w:val="nil"/>
            </w:tcBorders>
            <w:noWrap/>
            <w:vAlign w:val="bottom"/>
          </w:tcPr>
          <w:p>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hint="eastAsia" w:ascii="Times New Roman" w:hAnsi="Times New Roman" w:eastAsia="宋体" w:cs="Times New Roman"/>
                <w:color w:val="000000"/>
                <w:sz w:val="18"/>
                <w:szCs w:val="18"/>
              </w:rPr>
              <w:t>02</w:t>
            </w:r>
            <w:r>
              <w:rPr>
                <w:rFonts w:hint="eastAsia" w:ascii="方正仿宋_GB2312" w:hAnsi="方正仿宋_GB2312" w:eastAsia="方正仿宋_GB2312" w:cs="方正仿宋_GB2312"/>
                <w:color w:val="000000"/>
                <w:sz w:val="18"/>
                <w:szCs w:val="18"/>
                <w:lang w:bidi="ar"/>
              </w:rPr>
              <w:t>表</w:t>
            </w:r>
          </w:p>
        </w:tc>
      </w:tr>
      <w:tr>
        <w:tblPrEx>
          <w:tblCellMar>
            <w:top w:w="0" w:type="dxa"/>
            <w:left w:w="108" w:type="dxa"/>
            <w:bottom w:w="0" w:type="dxa"/>
            <w:right w:w="108" w:type="dxa"/>
          </w:tblCellMar>
        </w:tblPrEx>
        <w:trPr>
          <w:trHeight w:val="300" w:hRule="atLeast"/>
        </w:trPr>
        <w:tc>
          <w:tcPr>
            <w:tcW w:w="4441" w:type="dxa"/>
            <w:gridSpan w:val="4"/>
            <w:tcBorders>
              <w:top w:val="nil"/>
              <w:left w:val="nil"/>
              <w:bottom w:val="single" w:color="auto" w:sz="4" w:space="0"/>
              <w:right w:val="nil"/>
            </w:tcBorders>
            <w:noWrap/>
            <w:vAlign w:val="bottom"/>
          </w:tcPr>
          <w:p>
            <w:pP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编制部门（单位）：石家庄市鹿泉区获鹿镇人民政府(本级)                                                                                                         </w:t>
            </w:r>
          </w:p>
        </w:tc>
        <w:tc>
          <w:tcPr>
            <w:tcW w:w="5216" w:type="dxa"/>
            <w:gridSpan w:val="4"/>
            <w:tcBorders>
              <w:top w:val="nil"/>
              <w:left w:val="nil"/>
              <w:bottom w:val="single" w:color="auto" w:sz="4" w:space="0"/>
              <w:right w:val="nil"/>
            </w:tcBorders>
            <w:noWrap/>
            <w:vAlign w:val="bottom"/>
          </w:tcPr>
          <w:p>
            <w:pPr>
              <w:jc w:val="center"/>
              <w:rPr>
                <w:rFonts w:hint="eastAsia" w:ascii="方正仿宋_GB2312" w:hAnsi="方正仿宋_GB2312" w:eastAsia="方正仿宋_GB2312" w:cs="方正仿宋_GB2312"/>
                <w:color w:val="000000"/>
                <w:sz w:val="18"/>
                <w:szCs w:val="18"/>
                <w:lang w:bidi="ar"/>
              </w:rPr>
            </w:pPr>
            <w:r>
              <w:rPr>
                <w:rFonts w:ascii="Times New Roman" w:hAnsi="Times New Roman" w:eastAsia="方正仿宋_GB2312" w:cs="Times New Roman"/>
                <w:color w:val="000000"/>
                <w:sz w:val="18"/>
                <w:szCs w:val="18"/>
              </w:rPr>
              <w:t>2023</w:t>
            </w:r>
            <w:r>
              <w:rPr>
                <w:rFonts w:hint="eastAsia" w:ascii="方正仿宋_GB2312" w:hAnsi="方正仿宋_GB2312" w:eastAsia="方正仿宋_GB2312" w:cs="方正仿宋_GB2312"/>
                <w:color w:val="000000"/>
                <w:sz w:val="18"/>
                <w:szCs w:val="18"/>
                <w:lang w:bidi="ar"/>
              </w:rPr>
              <w:t>年度</w:t>
            </w:r>
          </w:p>
        </w:tc>
        <w:tc>
          <w:tcPr>
            <w:tcW w:w="4335" w:type="dxa"/>
            <w:gridSpan w:val="3"/>
            <w:tcBorders>
              <w:top w:val="nil"/>
              <w:left w:val="nil"/>
              <w:bottom w:val="single" w:color="auto" w:sz="4" w:space="0"/>
              <w:right w:val="nil"/>
            </w:tcBorders>
            <w:noWrap/>
            <w:vAlign w:val="bottom"/>
          </w:tcPr>
          <w:p>
            <w:pPr>
              <w:jc w:val="right"/>
              <w:rPr>
                <w:rFonts w:hint="eastAsia" w:ascii="方正仿宋_GB2312" w:hAnsi="方正仿宋_GB2312" w:eastAsia="方正仿宋_GB2312" w:cs="方正仿宋_GB2312"/>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tblPrEx>
          <w:tblCellMar>
            <w:top w:w="0" w:type="dxa"/>
            <w:left w:w="108" w:type="dxa"/>
            <w:bottom w:w="0" w:type="dxa"/>
            <w:right w:w="108" w:type="dxa"/>
          </w:tblCellMar>
        </w:tblPrEx>
        <w:trPr>
          <w:trHeight w:val="308" w:hRule="atLeast"/>
        </w:trPr>
        <w:tc>
          <w:tcPr>
            <w:tcW w:w="1834" w:type="dxa"/>
            <w:gridSpan w:val="2"/>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1726"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本年收入合计</w:t>
            </w:r>
          </w:p>
        </w:tc>
        <w:tc>
          <w:tcPr>
            <w:tcW w:w="1762" w:type="dxa"/>
            <w:gridSpan w:val="2"/>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财政拨款收入</w:t>
            </w:r>
          </w:p>
        </w:tc>
        <w:tc>
          <w:tcPr>
            <w:tcW w:w="1727"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上级补助收入</w:t>
            </w:r>
          </w:p>
        </w:tc>
        <w:tc>
          <w:tcPr>
            <w:tcW w:w="1727" w:type="dxa"/>
            <w:vMerge w:val="restart"/>
            <w:tcBorders>
              <w:top w:val="single" w:color="auto" w:sz="4" w:space="0"/>
              <w:left w:val="nil"/>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事业收入</w:t>
            </w:r>
          </w:p>
        </w:tc>
        <w:tc>
          <w:tcPr>
            <w:tcW w:w="1762" w:type="dxa"/>
            <w:gridSpan w:val="2"/>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经营收入</w:t>
            </w:r>
          </w:p>
        </w:tc>
        <w:tc>
          <w:tcPr>
            <w:tcW w:w="1727"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附属单位上缴收入</w:t>
            </w:r>
          </w:p>
        </w:tc>
        <w:tc>
          <w:tcPr>
            <w:tcW w:w="1727"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其他收入</w:t>
            </w:r>
          </w:p>
        </w:tc>
      </w:tr>
      <w:tr>
        <w:tblPrEx>
          <w:tblCellMar>
            <w:top w:w="0" w:type="dxa"/>
            <w:left w:w="108" w:type="dxa"/>
            <w:bottom w:w="0" w:type="dxa"/>
            <w:right w:w="108" w:type="dxa"/>
          </w:tblCellMar>
        </w:tblPrEx>
        <w:trPr>
          <w:trHeight w:val="312" w:hRule="atLeast"/>
        </w:trPr>
        <w:tc>
          <w:tcPr>
            <w:tcW w:w="715" w:type="dxa"/>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1119" w:type="dxa"/>
            <w:vMerge w:val="restart"/>
            <w:tcBorders>
              <w:top w:val="nil"/>
              <w:left w:val="nil"/>
              <w:bottom w:val="single" w:color="000000" w:sz="4" w:space="0"/>
              <w:right w:val="single" w:color="000000" w:sz="4" w:space="0"/>
            </w:tcBorders>
            <w:noWrap/>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172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762"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72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727" w:type="dxa"/>
            <w:vMerge w:val="continue"/>
            <w:tcBorders>
              <w:left w:val="nil"/>
              <w:right w:val="single" w:color="000000" w:sz="4" w:space="0"/>
            </w:tcBorders>
            <w:vAlign w:val="center"/>
          </w:tcPr>
          <w:p>
            <w:pPr>
              <w:widowControl/>
              <w:jc w:val="center"/>
              <w:textAlignment w:val="center"/>
              <w:rPr>
                <w:rFonts w:hint="eastAsia" w:ascii="宋体" w:hAnsi="宋体" w:eastAsia="宋体"/>
                <w:color w:val="000000"/>
                <w:sz w:val="18"/>
                <w:szCs w:val="18"/>
              </w:rPr>
            </w:pPr>
          </w:p>
        </w:tc>
        <w:tc>
          <w:tcPr>
            <w:tcW w:w="1762"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72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72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r>
      <w:tr>
        <w:tblPrEx>
          <w:tblCellMar>
            <w:top w:w="0" w:type="dxa"/>
            <w:left w:w="108" w:type="dxa"/>
            <w:bottom w:w="0" w:type="dxa"/>
            <w:right w:w="108" w:type="dxa"/>
          </w:tblCellMar>
        </w:tblPrEx>
        <w:trPr>
          <w:trHeight w:val="312" w:hRule="atLeast"/>
        </w:trPr>
        <w:tc>
          <w:tcPr>
            <w:tcW w:w="715" w:type="dxa"/>
            <w:vMerge w:val="continue"/>
            <w:tcBorders>
              <w:top w:val="nil"/>
              <w:left w:val="single" w:color="000000" w:sz="4" w:space="0"/>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119"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color w:val="000000"/>
                <w:sz w:val="18"/>
                <w:szCs w:val="18"/>
              </w:rPr>
            </w:pPr>
          </w:p>
        </w:tc>
        <w:tc>
          <w:tcPr>
            <w:tcW w:w="172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762"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72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727" w:type="dxa"/>
            <w:vMerge w:val="continue"/>
            <w:tcBorders>
              <w:left w:val="nil"/>
              <w:right w:val="single" w:color="000000" w:sz="4" w:space="0"/>
            </w:tcBorders>
            <w:vAlign w:val="center"/>
          </w:tcPr>
          <w:p>
            <w:pPr>
              <w:jc w:val="center"/>
              <w:rPr>
                <w:rFonts w:hint="eastAsia" w:ascii="宋体" w:hAnsi="宋体" w:eastAsia="宋体"/>
                <w:color w:val="000000"/>
                <w:sz w:val="18"/>
                <w:szCs w:val="18"/>
              </w:rPr>
            </w:pPr>
          </w:p>
        </w:tc>
        <w:tc>
          <w:tcPr>
            <w:tcW w:w="1762"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72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72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r>
      <w:tr>
        <w:tblPrEx>
          <w:tblCellMar>
            <w:top w:w="0" w:type="dxa"/>
            <w:left w:w="108" w:type="dxa"/>
            <w:bottom w:w="0" w:type="dxa"/>
            <w:right w:w="108" w:type="dxa"/>
          </w:tblCellMar>
        </w:tblPrEx>
        <w:trPr>
          <w:trHeight w:val="312" w:hRule="atLeast"/>
        </w:trPr>
        <w:tc>
          <w:tcPr>
            <w:tcW w:w="715" w:type="dxa"/>
            <w:vMerge w:val="continue"/>
            <w:tcBorders>
              <w:top w:val="nil"/>
              <w:left w:val="single" w:color="000000" w:sz="4" w:space="0"/>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119"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color w:val="000000"/>
                <w:sz w:val="18"/>
                <w:szCs w:val="18"/>
              </w:rPr>
            </w:pPr>
          </w:p>
        </w:tc>
        <w:tc>
          <w:tcPr>
            <w:tcW w:w="172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762"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72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727" w:type="dxa"/>
            <w:vMerge w:val="continue"/>
            <w:tcBorders>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762"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72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72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r>
      <w:tr>
        <w:tblPrEx>
          <w:tblCellMar>
            <w:top w:w="0" w:type="dxa"/>
            <w:left w:w="108" w:type="dxa"/>
            <w:bottom w:w="0" w:type="dxa"/>
            <w:right w:w="108" w:type="dxa"/>
          </w:tblCellMar>
        </w:tblPrEx>
        <w:trPr>
          <w:trHeight w:val="90" w:hRule="atLeast"/>
        </w:trPr>
        <w:tc>
          <w:tcPr>
            <w:tcW w:w="1834"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栏次</w:t>
            </w:r>
          </w:p>
        </w:tc>
        <w:tc>
          <w:tcPr>
            <w:tcW w:w="1726"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1</w:t>
            </w:r>
          </w:p>
        </w:tc>
        <w:tc>
          <w:tcPr>
            <w:tcW w:w="1762"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2</w:t>
            </w:r>
          </w:p>
        </w:tc>
        <w:tc>
          <w:tcPr>
            <w:tcW w:w="1727"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3</w:t>
            </w:r>
          </w:p>
        </w:tc>
        <w:tc>
          <w:tcPr>
            <w:tcW w:w="1727"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rPr>
              <w:t>4</w:t>
            </w:r>
          </w:p>
        </w:tc>
        <w:tc>
          <w:tcPr>
            <w:tcW w:w="1762"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5</w:t>
            </w:r>
          </w:p>
        </w:tc>
        <w:tc>
          <w:tcPr>
            <w:tcW w:w="1727"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6</w:t>
            </w:r>
          </w:p>
        </w:tc>
        <w:tc>
          <w:tcPr>
            <w:tcW w:w="1727"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7</w:t>
            </w:r>
          </w:p>
        </w:tc>
      </w:tr>
      <w:tr>
        <w:tblPrEx>
          <w:tblCellMar>
            <w:top w:w="0" w:type="dxa"/>
            <w:left w:w="108" w:type="dxa"/>
            <w:bottom w:w="0" w:type="dxa"/>
            <w:right w:w="108" w:type="dxa"/>
          </w:tblCellMar>
        </w:tblPrEx>
        <w:trPr>
          <w:trHeight w:val="308" w:hRule="atLeast"/>
        </w:trPr>
        <w:tc>
          <w:tcPr>
            <w:tcW w:w="1834"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1726"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6,411.23</w:t>
            </w: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6,411.23</w:t>
            </w: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201</w:t>
            </w:r>
          </w:p>
        </w:tc>
        <w:tc>
          <w:tcPr>
            <w:tcW w:w="1119"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一般公共服务支出</w:t>
            </w:r>
          </w:p>
        </w:tc>
        <w:tc>
          <w:tcPr>
            <w:tcW w:w="1726"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3,074.04</w:t>
            </w: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3,074.04</w:t>
            </w: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20103</w:t>
            </w:r>
          </w:p>
        </w:tc>
        <w:tc>
          <w:tcPr>
            <w:tcW w:w="1119"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政府办公厅（室）及相关机构事务</w:t>
            </w:r>
          </w:p>
        </w:tc>
        <w:tc>
          <w:tcPr>
            <w:tcW w:w="1726"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3,074.04</w:t>
            </w: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3,074.04</w:t>
            </w: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2010301</w:t>
            </w:r>
          </w:p>
        </w:tc>
        <w:tc>
          <w:tcPr>
            <w:tcW w:w="1119"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行政运行</w:t>
            </w:r>
          </w:p>
        </w:tc>
        <w:tc>
          <w:tcPr>
            <w:tcW w:w="1726"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1,804.04</w:t>
            </w: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1,804.04</w:t>
            </w: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2010302</w:t>
            </w:r>
          </w:p>
        </w:tc>
        <w:tc>
          <w:tcPr>
            <w:tcW w:w="1119"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一般行政管理事务</w:t>
            </w:r>
          </w:p>
        </w:tc>
        <w:tc>
          <w:tcPr>
            <w:tcW w:w="1726"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1,270.00</w:t>
            </w: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1,270.00</w:t>
            </w: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204</w:t>
            </w:r>
          </w:p>
        </w:tc>
        <w:tc>
          <w:tcPr>
            <w:tcW w:w="1119"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公共安全支出</w:t>
            </w:r>
          </w:p>
        </w:tc>
        <w:tc>
          <w:tcPr>
            <w:tcW w:w="1726"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279.58</w:t>
            </w: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279.58</w:t>
            </w: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20402</w:t>
            </w:r>
          </w:p>
        </w:tc>
        <w:tc>
          <w:tcPr>
            <w:tcW w:w="1119"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公安</w:t>
            </w:r>
          </w:p>
        </w:tc>
        <w:tc>
          <w:tcPr>
            <w:tcW w:w="1726"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279.58</w:t>
            </w: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279.58</w:t>
            </w: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2040202</w:t>
            </w:r>
          </w:p>
        </w:tc>
        <w:tc>
          <w:tcPr>
            <w:tcW w:w="1119"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一般行政管理事务</w:t>
            </w:r>
          </w:p>
        </w:tc>
        <w:tc>
          <w:tcPr>
            <w:tcW w:w="1726"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279.58</w:t>
            </w: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279.58</w:t>
            </w: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205</w:t>
            </w:r>
          </w:p>
        </w:tc>
        <w:tc>
          <w:tcPr>
            <w:tcW w:w="1119"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教育支出</w:t>
            </w:r>
          </w:p>
        </w:tc>
        <w:tc>
          <w:tcPr>
            <w:tcW w:w="1726"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345.76</w:t>
            </w: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345.76</w:t>
            </w: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20509</w:t>
            </w:r>
          </w:p>
        </w:tc>
        <w:tc>
          <w:tcPr>
            <w:tcW w:w="1119"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教育费附加安排的支出</w:t>
            </w:r>
          </w:p>
        </w:tc>
        <w:tc>
          <w:tcPr>
            <w:tcW w:w="1726"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15.76</w:t>
            </w: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15.76</w:t>
            </w: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2050999</w:t>
            </w:r>
          </w:p>
        </w:tc>
        <w:tc>
          <w:tcPr>
            <w:tcW w:w="1119"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其他教育费附加安排的支出</w:t>
            </w:r>
          </w:p>
        </w:tc>
        <w:tc>
          <w:tcPr>
            <w:tcW w:w="1726"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15.76</w:t>
            </w: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15.76</w:t>
            </w: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20599</w:t>
            </w:r>
          </w:p>
        </w:tc>
        <w:tc>
          <w:tcPr>
            <w:tcW w:w="1119"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其他教育支出</w:t>
            </w:r>
          </w:p>
        </w:tc>
        <w:tc>
          <w:tcPr>
            <w:tcW w:w="1726"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330.00</w:t>
            </w: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330.00</w:t>
            </w: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2059999</w:t>
            </w:r>
          </w:p>
        </w:tc>
        <w:tc>
          <w:tcPr>
            <w:tcW w:w="1119"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其他教育支出</w:t>
            </w:r>
          </w:p>
        </w:tc>
        <w:tc>
          <w:tcPr>
            <w:tcW w:w="1726"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330.00</w:t>
            </w: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330.00</w:t>
            </w: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207</w:t>
            </w:r>
          </w:p>
        </w:tc>
        <w:tc>
          <w:tcPr>
            <w:tcW w:w="1119"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文化旅游体育与传媒支出</w:t>
            </w:r>
          </w:p>
        </w:tc>
        <w:tc>
          <w:tcPr>
            <w:tcW w:w="1726"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20.00</w:t>
            </w: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20.00</w:t>
            </w: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20799</w:t>
            </w:r>
          </w:p>
        </w:tc>
        <w:tc>
          <w:tcPr>
            <w:tcW w:w="1119"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其他文化旅游体育与传媒支出</w:t>
            </w:r>
          </w:p>
        </w:tc>
        <w:tc>
          <w:tcPr>
            <w:tcW w:w="1726"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20.00</w:t>
            </w: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20.00</w:t>
            </w: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2079999</w:t>
            </w:r>
          </w:p>
        </w:tc>
        <w:tc>
          <w:tcPr>
            <w:tcW w:w="1119"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其他文化旅游体育与传媒支出</w:t>
            </w:r>
          </w:p>
        </w:tc>
        <w:tc>
          <w:tcPr>
            <w:tcW w:w="1726"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20.00</w:t>
            </w: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20.00</w:t>
            </w: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208</w:t>
            </w:r>
          </w:p>
        </w:tc>
        <w:tc>
          <w:tcPr>
            <w:tcW w:w="1119"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社会保障和就业支出</w:t>
            </w:r>
          </w:p>
        </w:tc>
        <w:tc>
          <w:tcPr>
            <w:tcW w:w="1726"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464.48</w:t>
            </w: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464.48</w:t>
            </w: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20805</w:t>
            </w:r>
          </w:p>
        </w:tc>
        <w:tc>
          <w:tcPr>
            <w:tcW w:w="1119"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行政事业单位养老支出</w:t>
            </w:r>
          </w:p>
        </w:tc>
        <w:tc>
          <w:tcPr>
            <w:tcW w:w="1726"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338.22</w:t>
            </w: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338.22</w:t>
            </w: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2080501</w:t>
            </w:r>
          </w:p>
        </w:tc>
        <w:tc>
          <w:tcPr>
            <w:tcW w:w="1119"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行政单位离退休</w:t>
            </w:r>
          </w:p>
        </w:tc>
        <w:tc>
          <w:tcPr>
            <w:tcW w:w="1726"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181.14</w:t>
            </w: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181.14</w:t>
            </w: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2080505</w:t>
            </w:r>
          </w:p>
        </w:tc>
        <w:tc>
          <w:tcPr>
            <w:tcW w:w="1119"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机关事业单位基本养老保险缴费支出</w:t>
            </w:r>
          </w:p>
        </w:tc>
        <w:tc>
          <w:tcPr>
            <w:tcW w:w="1726"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157.08</w:t>
            </w: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157.08</w:t>
            </w: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20809</w:t>
            </w:r>
          </w:p>
        </w:tc>
        <w:tc>
          <w:tcPr>
            <w:tcW w:w="1119"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退役安置</w:t>
            </w:r>
          </w:p>
        </w:tc>
        <w:tc>
          <w:tcPr>
            <w:tcW w:w="1726"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126.26</w:t>
            </w: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126.26</w:t>
            </w: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2080901</w:t>
            </w:r>
          </w:p>
        </w:tc>
        <w:tc>
          <w:tcPr>
            <w:tcW w:w="1119"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退役士兵安置</w:t>
            </w:r>
          </w:p>
        </w:tc>
        <w:tc>
          <w:tcPr>
            <w:tcW w:w="1726"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126.26</w:t>
            </w: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126.26</w:t>
            </w: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210</w:t>
            </w:r>
          </w:p>
        </w:tc>
        <w:tc>
          <w:tcPr>
            <w:tcW w:w="1119"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卫生健康支出</w:t>
            </w:r>
          </w:p>
        </w:tc>
        <w:tc>
          <w:tcPr>
            <w:tcW w:w="1726"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206.75</w:t>
            </w: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206.75</w:t>
            </w: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21004</w:t>
            </w:r>
          </w:p>
        </w:tc>
        <w:tc>
          <w:tcPr>
            <w:tcW w:w="1119"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公共卫生</w:t>
            </w:r>
          </w:p>
        </w:tc>
        <w:tc>
          <w:tcPr>
            <w:tcW w:w="1726"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90.00</w:t>
            </w: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90.00</w:t>
            </w: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2100499</w:t>
            </w:r>
          </w:p>
        </w:tc>
        <w:tc>
          <w:tcPr>
            <w:tcW w:w="1119"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其他公共卫生支出</w:t>
            </w:r>
          </w:p>
        </w:tc>
        <w:tc>
          <w:tcPr>
            <w:tcW w:w="1726"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90.00</w:t>
            </w: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90.00</w:t>
            </w: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21011</w:t>
            </w:r>
          </w:p>
        </w:tc>
        <w:tc>
          <w:tcPr>
            <w:tcW w:w="1119"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行政事业单位医疗</w:t>
            </w:r>
          </w:p>
        </w:tc>
        <w:tc>
          <w:tcPr>
            <w:tcW w:w="1726"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116.75</w:t>
            </w: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116.75</w:t>
            </w: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2101101</w:t>
            </w:r>
          </w:p>
        </w:tc>
        <w:tc>
          <w:tcPr>
            <w:tcW w:w="1119"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行政单位医疗</w:t>
            </w:r>
          </w:p>
        </w:tc>
        <w:tc>
          <w:tcPr>
            <w:tcW w:w="1726"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116.75</w:t>
            </w: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116.75</w:t>
            </w: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211</w:t>
            </w:r>
          </w:p>
        </w:tc>
        <w:tc>
          <w:tcPr>
            <w:tcW w:w="1119"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节能环保支出</w:t>
            </w:r>
          </w:p>
        </w:tc>
        <w:tc>
          <w:tcPr>
            <w:tcW w:w="1726"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80.00</w:t>
            </w: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80.00</w:t>
            </w: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21103</w:t>
            </w:r>
          </w:p>
        </w:tc>
        <w:tc>
          <w:tcPr>
            <w:tcW w:w="1119"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污染防治</w:t>
            </w:r>
          </w:p>
        </w:tc>
        <w:tc>
          <w:tcPr>
            <w:tcW w:w="1726"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80.00</w:t>
            </w: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80.00</w:t>
            </w: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2110301</w:t>
            </w:r>
          </w:p>
        </w:tc>
        <w:tc>
          <w:tcPr>
            <w:tcW w:w="1119"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大气</w:t>
            </w:r>
          </w:p>
        </w:tc>
        <w:tc>
          <w:tcPr>
            <w:tcW w:w="1726"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80.00</w:t>
            </w: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80.00</w:t>
            </w: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212</w:t>
            </w:r>
          </w:p>
        </w:tc>
        <w:tc>
          <w:tcPr>
            <w:tcW w:w="1119"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城乡社区支出</w:t>
            </w:r>
          </w:p>
        </w:tc>
        <w:tc>
          <w:tcPr>
            <w:tcW w:w="1726"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1,675.46</w:t>
            </w: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1,675.46</w:t>
            </w: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21201</w:t>
            </w:r>
          </w:p>
        </w:tc>
        <w:tc>
          <w:tcPr>
            <w:tcW w:w="1119"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城乡社区管理事务</w:t>
            </w:r>
          </w:p>
        </w:tc>
        <w:tc>
          <w:tcPr>
            <w:tcW w:w="1726"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329.00</w:t>
            </w: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329.00</w:t>
            </w: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2120102</w:t>
            </w:r>
          </w:p>
        </w:tc>
        <w:tc>
          <w:tcPr>
            <w:tcW w:w="1119"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一般行政管理事务</w:t>
            </w:r>
          </w:p>
        </w:tc>
        <w:tc>
          <w:tcPr>
            <w:tcW w:w="1726"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29.00</w:t>
            </w: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29.00</w:t>
            </w: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2120199</w:t>
            </w:r>
          </w:p>
        </w:tc>
        <w:tc>
          <w:tcPr>
            <w:tcW w:w="1119"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其他城乡社区管理事务支出</w:t>
            </w:r>
          </w:p>
        </w:tc>
        <w:tc>
          <w:tcPr>
            <w:tcW w:w="1726"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300.00</w:t>
            </w: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300.00</w:t>
            </w: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21203</w:t>
            </w:r>
          </w:p>
        </w:tc>
        <w:tc>
          <w:tcPr>
            <w:tcW w:w="1119"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城乡社区公共设施</w:t>
            </w:r>
          </w:p>
        </w:tc>
        <w:tc>
          <w:tcPr>
            <w:tcW w:w="1726"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205.99</w:t>
            </w: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205.99</w:t>
            </w: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2120399</w:t>
            </w:r>
          </w:p>
        </w:tc>
        <w:tc>
          <w:tcPr>
            <w:tcW w:w="1119"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其他城乡社区公共设施支出</w:t>
            </w:r>
          </w:p>
        </w:tc>
        <w:tc>
          <w:tcPr>
            <w:tcW w:w="1726"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205.99</w:t>
            </w: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205.99</w:t>
            </w: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21205</w:t>
            </w:r>
          </w:p>
        </w:tc>
        <w:tc>
          <w:tcPr>
            <w:tcW w:w="1119"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城乡社区环境卫生</w:t>
            </w:r>
          </w:p>
        </w:tc>
        <w:tc>
          <w:tcPr>
            <w:tcW w:w="1726"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697.69</w:t>
            </w: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697.69</w:t>
            </w: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2120501</w:t>
            </w:r>
          </w:p>
        </w:tc>
        <w:tc>
          <w:tcPr>
            <w:tcW w:w="1119"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城乡社区环境卫生</w:t>
            </w:r>
          </w:p>
        </w:tc>
        <w:tc>
          <w:tcPr>
            <w:tcW w:w="1726"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697.69</w:t>
            </w: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697.69</w:t>
            </w: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21299</w:t>
            </w:r>
          </w:p>
        </w:tc>
        <w:tc>
          <w:tcPr>
            <w:tcW w:w="1119"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其他城乡社区支出</w:t>
            </w:r>
          </w:p>
        </w:tc>
        <w:tc>
          <w:tcPr>
            <w:tcW w:w="1726"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442.79</w:t>
            </w: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442.79</w:t>
            </w: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2129999</w:t>
            </w:r>
          </w:p>
        </w:tc>
        <w:tc>
          <w:tcPr>
            <w:tcW w:w="1119"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其他城乡社区支出</w:t>
            </w:r>
          </w:p>
        </w:tc>
        <w:tc>
          <w:tcPr>
            <w:tcW w:w="1726"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442.79</w:t>
            </w: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442.79</w:t>
            </w: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213</w:t>
            </w:r>
          </w:p>
        </w:tc>
        <w:tc>
          <w:tcPr>
            <w:tcW w:w="1119"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农林水支出</w:t>
            </w:r>
          </w:p>
        </w:tc>
        <w:tc>
          <w:tcPr>
            <w:tcW w:w="1726"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96.77</w:t>
            </w: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96.77</w:t>
            </w: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21307</w:t>
            </w:r>
          </w:p>
        </w:tc>
        <w:tc>
          <w:tcPr>
            <w:tcW w:w="1119"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农村综合改革</w:t>
            </w:r>
          </w:p>
        </w:tc>
        <w:tc>
          <w:tcPr>
            <w:tcW w:w="1726"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14.96</w:t>
            </w: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14.96</w:t>
            </w: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2130701</w:t>
            </w:r>
          </w:p>
        </w:tc>
        <w:tc>
          <w:tcPr>
            <w:tcW w:w="1119"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对村级公益事业建设的补助</w:t>
            </w:r>
          </w:p>
        </w:tc>
        <w:tc>
          <w:tcPr>
            <w:tcW w:w="1726"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14.96</w:t>
            </w: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14.96</w:t>
            </w: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21399</w:t>
            </w:r>
          </w:p>
        </w:tc>
        <w:tc>
          <w:tcPr>
            <w:tcW w:w="1119"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其他农林水支出</w:t>
            </w:r>
          </w:p>
        </w:tc>
        <w:tc>
          <w:tcPr>
            <w:tcW w:w="1726"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81.81</w:t>
            </w: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81.81</w:t>
            </w: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2139999</w:t>
            </w:r>
          </w:p>
        </w:tc>
        <w:tc>
          <w:tcPr>
            <w:tcW w:w="1119"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其他农林水支出</w:t>
            </w:r>
          </w:p>
        </w:tc>
        <w:tc>
          <w:tcPr>
            <w:tcW w:w="1726"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81.81</w:t>
            </w: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81.81</w:t>
            </w: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221</w:t>
            </w:r>
          </w:p>
        </w:tc>
        <w:tc>
          <w:tcPr>
            <w:tcW w:w="1119"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住房保障支出</w:t>
            </w:r>
          </w:p>
        </w:tc>
        <w:tc>
          <w:tcPr>
            <w:tcW w:w="1726"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168.39</w:t>
            </w: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168.39</w:t>
            </w: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22102</w:t>
            </w:r>
          </w:p>
        </w:tc>
        <w:tc>
          <w:tcPr>
            <w:tcW w:w="1119"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住房改革支出</w:t>
            </w:r>
          </w:p>
        </w:tc>
        <w:tc>
          <w:tcPr>
            <w:tcW w:w="1726"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168.39</w:t>
            </w: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168.39</w:t>
            </w: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715"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2210201</w:t>
            </w:r>
          </w:p>
        </w:tc>
        <w:tc>
          <w:tcPr>
            <w:tcW w:w="1119"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住房公积金</w:t>
            </w:r>
          </w:p>
        </w:tc>
        <w:tc>
          <w:tcPr>
            <w:tcW w:w="1726"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168.39</w:t>
            </w: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168.39</w:t>
            </w: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13992" w:type="dxa"/>
            <w:gridSpan w:val="11"/>
            <w:tcBorders>
              <w:top w:val="nil"/>
              <w:left w:val="nil"/>
              <w:bottom w:val="nil"/>
              <w:right w:val="nil"/>
            </w:tcBorders>
            <w:noWrap/>
            <w:vAlign w:val="center"/>
          </w:tcPr>
          <w:p>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注：本表反映部门本年度取得的各项收入情况。</w:t>
            </w:r>
          </w:p>
        </w:tc>
      </w:tr>
    </w:tbl>
    <w:p>
      <w:pPr>
        <w:rPr>
          <w:rFonts w:hint="eastAsia" w:ascii="仿宋_GB2312" w:hAnsi="宋体" w:eastAsia="仿宋_GB2312"/>
          <w:b/>
          <w:sz w:val="32"/>
          <w:szCs w:val="32"/>
        </w:rPr>
      </w:pPr>
      <w:r>
        <w:rPr>
          <w:rFonts w:hint="eastAsia" w:ascii="仿宋_GB2312" w:hAnsi="宋体" w:eastAsia="仿宋_GB2312"/>
          <w:b/>
          <w:sz w:val="32"/>
          <w:szCs w:val="32"/>
        </w:rPr>
        <w:t>备注：无内容应公开空表并说明情况。</w:t>
      </w:r>
    </w:p>
    <w:p>
      <w:pPr>
        <w:rPr>
          <w:rFonts w:hint="eastAsia" w:ascii="黑体" w:hAnsi="黑体" w:eastAsia="黑体"/>
          <w:bCs/>
          <w:sz w:val="32"/>
          <w:szCs w:val="32"/>
        </w:rPr>
      </w:pPr>
      <w:r>
        <w:rPr>
          <w:rFonts w:hint="eastAsia" w:ascii="仿宋_GB2312" w:hAnsi="宋体" w:eastAsia="仿宋_GB2312"/>
          <w:b/>
          <w:sz w:val="32"/>
          <w:szCs w:val="32"/>
        </w:rPr>
        <w:br w:type="page"/>
      </w:r>
    </w:p>
    <w:p>
      <w:pPr>
        <w:widowControl/>
        <w:jc w:val="center"/>
        <w:textAlignment w:val="bottom"/>
        <w:rPr>
          <w:rFonts w:hint="eastAsia" w:ascii="宋体" w:hAnsi="宋体" w:eastAsia="宋体"/>
          <w:spacing w:val="-2"/>
          <w:sz w:val="20"/>
        </w:rPr>
      </w:pPr>
    </w:p>
    <w:tbl>
      <w:tblPr>
        <w:tblStyle w:val="11"/>
        <w:tblW w:w="13992" w:type="dxa"/>
        <w:tblInd w:w="0" w:type="dxa"/>
        <w:tblLayout w:type="fixed"/>
        <w:tblCellMar>
          <w:top w:w="0" w:type="dxa"/>
          <w:left w:w="108" w:type="dxa"/>
          <w:bottom w:w="0" w:type="dxa"/>
          <w:right w:w="108" w:type="dxa"/>
        </w:tblCellMar>
      </w:tblPr>
      <w:tblGrid>
        <w:gridCol w:w="800"/>
        <w:gridCol w:w="1272"/>
        <w:gridCol w:w="1984"/>
        <w:gridCol w:w="700"/>
        <w:gridCol w:w="1292"/>
        <w:gridCol w:w="1984"/>
        <w:gridCol w:w="1349"/>
        <w:gridCol w:w="643"/>
        <w:gridCol w:w="1984"/>
        <w:gridCol w:w="1984"/>
      </w:tblGrid>
      <w:tr>
        <w:tblPrEx>
          <w:tblCellMar>
            <w:top w:w="0" w:type="dxa"/>
            <w:left w:w="108" w:type="dxa"/>
            <w:bottom w:w="0" w:type="dxa"/>
            <w:right w:w="108" w:type="dxa"/>
          </w:tblCellMar>
        </w:tblPrEx>
        <w:trPr>
          <w:trHeight w:val="550" w:hRule="atLeast"/>
        </w:trPr>
        <w:tc>
          <w:tcPr>
            <w:tcW w:w="13992" w:type="dxa"/>
            <w:gridSpan w:val="10"/>
            <w:tcBorders>
              <w:top w:val="nil"/>
              <w:left w:val="nil"/>
              <w:bottom w:val="nil"/>
              <w:right w:val="nil"/>
            </w:tcBorders>
            <w:noWrap/>
            <w:vAlign w:val="bottom"/>
          </w:tcPr>
          <w:p>
            <w:pPr>
              <w:jc w:val="center"/>
              <w:outlineLvl w:val="1"/>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br w:type="page"/>
            </w:r>
            <w:r>
              <w:rPr>
                <w:rFonts w:hint="eastAsia" w:ascii="方正仿宋_GB2312" w:hAnsi="方正仿宋_GB2312" w:eastAsia="方正仿宋_GB2312" w:cs="方正仿宋_GB2312"/>
                <w:bCs/>
                <w:sz w:val="32"/>
                <w:szCs w:val="32"/>
              </w:rPr>
              <w:t>支出决算表</w:t>
            </w:r>
          </w:p>
        </w:tc>
      </w:tr>
      <w:tr>
        <w:tblPrEx>
          <w:tblCellMar>
            <w:top w:w="0" w:type="dxa"/>
            <w:left w:w="108" w:type="dxa"/>
            <w:bottom w:w="0" w:type="dxa"/>
            <w:right w:w="108" w:type="dxa"/>
          </w:tblCellMar>
        </w:tblPrEx>
        <w:trPr>
          <w:trHeight w:val="300" w:hRule="atLeast"/>
        </w:trPr>
        <w:tc>
          <w:tcPr>
            <w:tcW w:w="13992" w:type="dxa"/>
            <w:gridSpan w:val="10"/>
            <w:tcBorders>
              <w:top w:val="nil"/>
              <w:left w:val="nil"/>
              <w:bottom w:val="nil"/>
              <w:right w:val="nil"/>
            </w:tcBorders>
            <w:noWrap/>
            <w:vAlign w:val="bottom"/>
          </w:tcPr>
          <w:p>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宋体" w:cs="Times New Roman"/>
                <w:color w:val="000000"/>
                <w:sz w:val="18"/>
                <w:szCs w:val="18"/>
                <w:lang w:bidi="ar"/>
              </w:rPr>
              <w:t>03</w:t>
            </w:r>
            <w:r>
              <w:rPr>
                <w:rFonts w:hint="eastAsia" w:ascii="方正仿宋_GB2312" w:hAnsi="方正仿宋_GB2312" w:eastAsia="方正仿宋_GB2312" w:cs="方正仿宋_GB2312"/>
                <w:color w:val="000000"/>
                <w:sz w:val="18"/>
                <w:szCs w:val="18"/>
                <w:lang w:bidi="ar"/>
              </w:rPr>
              <w:t>表</w:t>
            </w:r>
          </w:p>
        </w:tc>
      </w:tr>
      <w:tr>
        <w:tblPrEx>
          <w:tblCellMar>
            <w:top w:w="0" w:type="dxa"/>
            <w:left w:w="108" w:type="dxa"/>
            <w:bottom w:w="0" w:type="dxa"/>
            <w:right w:w="108" w:type="dxa"/>
          </w:tblCellMar>
        </w:tblPrEx>
        <w:trPr>
          <w:trHeight w:val="300" w:hRule="atLeast"/>
        </w:trPr>
        <w:tc>
          <w:tcPr>
            <w:tcW w:w="4756" w:type="dxa"/>
            <w:gridSpan w:val="4"/>
            <w:tcBorders>
              <w:top w:val="nil"/>
              <w:left w:val="nil"/>
              <w:bottom w:val="single" w:color="auto" w:sz="4" w:space="0"/>
              <w:right w:val="nil"/>
            </w:tcBorders>
            <w:noWrap/>
            <w:vAlign w:val="bottom"/>
          </w:tcPr>
          <w:p>
            <w:pPr>
              <w:widowControl/>
              <w:jc w:val="lef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 xml:space="preserve">编制部门（单位）：石家庄市鹿泉区获鹿镇人民政府(本级) </w:t>
            </w:r>
            <w:r>
              <w:rPr>
                <w:rFonts w:hint="eastAsia" w:asciiTheme="minorEastAsia" w:hAnsiTheme="minorEastAsia" w:cstheme="minorEastAsia"/>
                <w:color w:val="000000"/>
                <w:sz w:val="18"/>
                <w:szCs w:val="18"/>
                <w:lang w:bidi="ar"/>
              </w:rPr>
              <w:t xml:space="preserve">                                                                                                         </w:t>
            </w:r>
          </w:p>
        </w:tc>
        <w:tc>
          <w:tcPr>
            <w:tcW w:w="4625" w:type="dxa"/>
            <w:gridSpan w:val="3"/>
            <w:tcBorders>
              <w:top w:val="nil"/>
              <w:left w:val="nil"/>
              <w:bottom w:val="single" w:color="auto" w:sz="4" w:space="0"/>
              <w:right w:val="nil"/>
            </w:tcBorders>
            <w:noWrap/>
            <w:vAlign w:val="bottom"/>
          </w:tcPr>
          <w:p>
            <w:pPr>
              <w:widowControl/>
              <w:jc w:val="center"/>
              <w:textAlignment w:val="bottom"/>
              <w:rPr>
                <w:rFonts w:hint="eastAsia" w:asciiTheme="minorEastAsia" w:hAnsiTheme="minorEastAsia" w:cstheme="minorEastAsia"/>
                <w:color w:val="000000"/>
                <w:sz w:val="18"/>
                <w:szCs w:val="18"/>
                <w:lang w:bidi="ar"/>
              </w:rPr>
            </w:pPr>
            <w:r>
              <w:rPr>
                <w:rFonts w:ascii="Times New Roman" w:hAnsi="Times New Roman" w:cs="Times New Roman"/>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4611" w:type="dxa"/>
            <w:gridSpan w:val="3"/>
            <w:tcBorders>
              <w:top w:val="nil"/>
              <w:left w:val="nil"/>
              <w:bottom w:val="single" w:color="auto" w:sz="4" w:space="0"/>
              <w:right w:val="nil"/>
            </w:tcBorders>
            <w:noWrap/>
            <w:vAlign w:val="bottom"/>
          </w:tcPr>
          <w:p>
            <w:pPr>
              <w:widowControl/>
              <w:jc w:val="right"/>
              <w:textAlignment w:val="bottom"/>
              <w:rPr>
                <w:rFonts w:hint="eastAsia" w:asciiTheme="minorEastAsia" w:hAnsiTheme="minorEastAsia" w:cstheme="minorEastAsia"/>
                <w:color w:val="000000"/>
                <w:sz w:val="18"/>
                <w:szCs w:val="18"/>
                <w:lang w:bidi="ar"/>
              </w:rPr>
            </w:pPr>
            <w:r>
              <w:rPr>
                <w:rFonts w:hint="eastAsia" w:ascii="方正仿宋_GB2312" w:hAnsi="方正仿宋_GB2312" w:eastAsia="方正仿宋_GB2312" w:cs="方正仿宋_GB2312"/>
                <w:color w:val="000000"/>
                <w:sz w:val="18"/>
                <w:szCs w:val="18"/>
                <w:lang w:bidi="ar"/>
              </w:rPr>
              <w:t xml:space="preserve"> 金额单位：万元</w:t>
            </w:r>
          </w:p>
        </w:tc>
      </w:tr>
      <w:tr>
        <w:tblPrEx>
          <w:tblCellMar>
            <w:top w:w="0" w:type="dxa"/>
            <w:left w:w="108" w:type="dxa"/>
            <w:bottom w:w="0" w:type="dxa"/>
            <w:right w:w="108" w:type="dxa"/>
          </w:tblCellMar>
        </w:tblPrEx>
        <w:trPr>
          <w:trHeight w:val="308" w:hRule="atLeast"/>
        </w:trPr>
        <w:tc>
          <w:tcPr>
            <w:tcW w:w="2072" w:type="dxa"/>
            <w:gridSpan w:val="2"/>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1984"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本年支出合计</w:t>
            </w:r>
          </w:p>
        </w:tc>
        <w:tc>
          <w:tcPr>
            <w:tcW w:w="1992" w:type="dxa"/>
            <w:gridSpan w:val="2"/>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基本支出</w:t>
            </w:r>
          </w:p>
        </w:tc>
        <w:tc>
          <w:tcPr>
            <w:tcW w:w="1984"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项目支出</w:t>
            </w:r>
          </w:p>
        </w:tc>
        <w:tc>
          <w:tcPr>
            <w:tcW w:w="1992" w:type="dxa"/>
            <w:gridSpan w:val="2"/>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上缴上级支出</w:t>
            </w:r>
          </w:p>
        </w:tc>
        <w:tc>
          <w:tcPr>
            <w:tcW w:w="1984"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经营支出</w:t>
            </w:r>
          </w:p>
        </w:tc>
        <w:tc>
          <w:tcPr>
            <w:tcW w:w="1984"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对附属单位补助支出</w:t>
            </w:r>
          </w:p>
        </w:tc>
      </w:tr>
      <w:tr>
        <w:tblPrEx>
          <w:tblCellMar>
            <w:top w:w="0" w:type="dxa"/>
            <w:left w:w="108" w:type="dxa"/>
            <w:bottom w:w="0" w:type="dxa"/>
            <w:right w:w="108" w:type="dxa"/>
          </w:tblCellMar>
        </w:tblPrEx>
        <w:trPr>
          <w:trHeight w:val="312" w:hRule="atLeast"/>
        </w:trPr>
        <w:tc>
          <w:tcPr>
            <w:tcW w:w="800" w:type="dxa"/>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1272" w:type="dxa"/>
            <w:vMerge w:val="restart"/>
            <w:tcBorders>
              <w:top w:val="nil"/>
              <w:left w:val="nil"/>
              <w:bottom w:val="single" w:color="000000" w:sz="4" w:space="0"/>
              <w:right w:val="single" w:color="000000" w:sz="4" w:space="0"/>
            </w:tcBorders>
            <w:noWrap/>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1984"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992"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984"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992"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984"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984"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r>
      <w:tr>
        <w:tblPrEx>
          <w:tblCellMar>
            <w:top w:w="0" w:type="dxa"/>
            <w:left w:w="108" w:type="dxa"/>
            <w:bottom w:w="0" w:type="dxa"/>
            <w:right w:w="108" w:type="dxa"/>
          </w:tblCellMar>
        </w:tblPrEx>
        <w:trPr>
          <w:trHeight w:val="312" w:hRule="atLeast"/>
        </w:trPr>
        <w:tc>
          <w:tcPr>
            <w:tcW w:w="800" w:type="dxa"/>
            <w:vMerge w:val="continue"/>
            <w:tcBorders>
              <w:top w:val="nil"/>
              <w:left w:val="single" w:color="000000" w:sz="4" w:space="0"/>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272" w:type="dxa"/>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olor w:val="000000"/>
                <w:sz w:val="18"/>
                <w:szCs w:val="18"/>
              </w:rPr>
            </w:pPr>
          </w:p>
        </w:tc>
        <w:tc>
          <w:tcPr>
            <w:tcW w:w="1984"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992"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984"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992"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984"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984"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r>
      <w:tr>
        <w:tblPrEx>
          <w:tblCellMar>
            <w:top w:w="0" w:type="dxa"/>
            <w:left w:w="108" w:type="dxa"/>
            <w:bottom w:w="0" w:type="dxa"/>
            <w:right w:w="108" w:type="dxa"/>
          </w:tblCellMar>
        </w:tblPrEx>
        <w:trPr>
          <w:trHeight w:val="312" w:hRule="atLeast"/>
        </w:trPr>
        <w:tc>
          <w:tcPr>
            <w:tcW w:w="800" w:type="dxa"/>
            <w:vMerge w:val="continue"/>
            <w:tcBorders>
              <w:top w:val="nil"/>
              <w:left w:val="single" w:color="000000" w:sz="4" w:space="0"/>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272" w:type="dxa"/>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olor w:val="000000"/>
                <w:sz w:val="18"/>
                <w:szCs w:val="18"/>
              </w:rPr>
            </w:pPr>
          </w:p>
        </w:tc>
        <w:tc>
          <w:tcPr>
            <w:tcW w:w="1984"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992"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984"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992"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984"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984"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r>
      <w:tr>
        <w:tblPrEx>
          <w:tblCellMar>
            <w:top w:w="0" w:type="dxa"/>
            <w:left w:w="108" w:type="dxa"/>
            <w:bottom w:w="0" w:type="dxa"/>
            <w:right w:w="108" w:type="dxa"/>
          </w:tblCellMar>
        </w:tblPrEx>
        <w:trPr>
          <w:trHeight w:val="308" w:hRule="atLeast"/>
        </w:trPr>
        <w:tc>
          <w:tcPr>
            <w:tcW w:w="2072"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栏次</w:t>
            </w:r>
          </w:p>
        </w:tc>
        <w:tc>
          <w:tcPr>
            <w:tcW w:w="198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w:t>
            </w:r>
          </w:p>
        </w:tc>
        <w:tc>
          <w:tcPr>
            <w:tcW w:w="1992"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w:t>
            </w:r>
          </w:p>
        </w:tc>
        <w:tc>
          <w:tcPr>
            <w:tcW w:w="198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w:t>
            </w:r>
          </w:p>
        </w:tc>
        <w:tc>
          <w:tcPr>
            <w:tcW w:w="1992"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w:t>
            </w:r>
          </w:p>
        </w:tc>
        <w:tc>
          <w:tcPr>
            <w:tcW w:w="198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w:t>
            </w:r>
          </w:p>
        </w:tc>
        <w:tc>
          <w:tcPr>
            <w:tcW w:w="198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w:t>
            </w:r>
          </w:p>
        </w:tc>
      </w:tr>
      <w:tr>
        <w:tblPrEx>
          <w:tblCellMar>
            <w:top w:w="0" w:type="dxa"/>
            <w:left w:w="108" w:type="dxa"/>
            <w:bottom w:w="0" w:type="dxa"/>
            <w:right w:w="108" w:type="dxa"/>
          </w:tblCellMar>
        </w:tblPrEx>
        <w:trPr>
          <w:trHeight w:val="308" w:hRule="atLeast"/>
        </w:trPr>
        <w:tc>
          <w:tcPr>
            <w:tcW w:w="2072"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6,411.23</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2,490.87</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3,920.36</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w:t>
            </w:r>
          </w:p>
        </w:tc>
        <w:tc>
          <w:tcPr>
            <w:tcW w:w="1272"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一般公共服务支出</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3,074.04</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1,830.77</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1,243.27</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20103</w:t>
            </w:r>
          </w:p>
        </w:tc>
        <w:tc>
          <w:tcPr>
            <w:tcW w:w="1272"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政府办公厅（室）及相关机构事务</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3,074.04</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1,830.77</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1,243.27</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2010301</w:t>
            </w:r>
          </w:p>
        </w:tc>
        <w:tc>
          <w:tcPr>
            <w:tcW w:w="1272"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行政运行</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1,804.04</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1,804.04</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2010302</w:t>
            </w:r>
          </w:p>
        </w:tc>
        <w:tc>
          <w:tcPr>
            <w:tcW w:w="1272"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一般行政管理事务</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1,270.00</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26.73</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1,243.27</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204</w:t>
            </w:r>
          </w:p>
        </w:tc>
        <w:tc>
          <w:tcPr>
            <w:tcW w:w="1272"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公共安全支出</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279.58</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1.70</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277.87</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20402</w:t>
            </w:r>
          </w:p>
        </w:tc>
        <w:tc>
          <w:tcPr>
            <w:tcW w:w="1272"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公安</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279.58</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1.70</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277.87</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2040202</w:t>
            </w:r>
          </w:p>
        </w:tc>
        <w:tc>
          <w:tcPr>
            <w:tcW w:w="1272"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一般行政管理事务</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279.58</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1.70</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277.87</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205</w:t>
            </w:r>
          </w:p>
        </w:tc>
        <w:tc>
          <w:tcPr>
            <w:tcW w:w="1272"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教育支出</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345.76</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35.03</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310.73</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20509</w:t>
            </w:r>
          </w:p>
        </w:tc>
        <w:tc>
          <w:tcPr>
            <w:tcW w:w="1272"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教育费附加安排的支出</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15.76</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15.76</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2050999</w:t>
            </w:r>
          </w:p>
        </w:tc>
        <w:tc>
          <w:tcPr>
            <w:tcW w:w="1272"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其他教育费附加安排的支出</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15.76</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15.76</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20599</w:t>
            </w:r>
          </w:p>
        </w:tc>
        <w:tc>
          <w:tcPr>
            <w:tcW w:w="1272"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其他教育支出</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330.00</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35.03</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294.97</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2059999</w:t>
            </w:r>
          </w:p>
        </w:tc>
        <w:tc>
          <w:tcPr>
            <w:tcW w:w="1272"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其他教育支出</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330.00</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35.03</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294.97</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207</w:t>
            </w:r>
          </w:p>
        </w:tc>
        <w:tc>
          <w:tcPr>
            <w:tcW w:w="1272"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文化旅游体育与传媒支出</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20.00</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20.00</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20799</w:t>
            </w:r>
          </w:p>
        </w:tc>
        <w:tc>
          <w:tcPr>
            <w:tcW w:w="1272"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其他文化旅游体育与传媒支出</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20.00</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20.00</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2079999</w:t>
            </w:r>
          </w:p>
        </w:tc>
        <w:tc>
          <w:tcPr>
            <w:tcW w:w="1272"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其他文化旅游体育与传媒支出</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20.00</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20.00</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w:t>
            </w:r>
          </w:p>
        </w:tc>
        <w:tc>
          <w:tcPr>
            <w:tcW w:w="1272"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社会保障和就业支出</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464.48</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338.22</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126.26</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20805</w:t>
            </w:r>
          </w:p>
        </w:tc>
        <w:tc>
          <w:tcPr>
            <w:tcW w:w="1272"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行政事业单位养老支出</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338.22</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338.22</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2080501</w:t>
            </w:r>
          </w:p>
        </w:tc>
        <w:tc>
          <w:tcPr>
            <w:tcW w:w="1272"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行政单位离退休</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181.14</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181.14</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2080505</w:t>
            </w:r>
          </w:p>
        </w:tc>
        <w:tc>
          <w:tcPr>
            <w:tcW w:w="1272"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机关事业单位基本养老保险缴费支出</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157.08</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157.08</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20809</w:t>
            </w:r>
          </w:p>
        </w:tc>
        <w:tc>
          <w:tcPr>
            <w:tcW w:w="1272"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退役安置</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126.26</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126.26</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2080901</w:t>
            </w:r>
          </w:p>
        </w:tc>
        <w:tc>
          <w:tcPr>
            <w:tcW w:w="1272"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退役士兵安置</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126.26</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126.26</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w:t>
            </w:r>
          </w:p>
        </w:tc>
        <w:tc>
          <w:tcPr>
            <w:tcW w:w="1272"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卫生健康支出</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206.75</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116.75</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90.00</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21004</w:t>
            </w:r>
          </w:p>
        </w:tc>
        <w:tc>
          <w:tcPr>
            <w:tcW w:w="1272"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公共卫生</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90.00</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90.00</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2100499</w:t>
            </w:r>
          </w:p>
        </w:tc>
        <w:tc>
          <w:tcPr>
            <w:tcW w:w="1272"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其他公共卫生支出</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90.00</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90.00</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21011</w:t>
            </w:r>
          </w:p>
        </w:tc>
        <w:tc>
          <w:tcPr>
            <w:tcW w:w="1272"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行政事业单位医疗</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116.75</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116.75</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2101101</w:t>
            </w:r>
          </w:p>
        </w:tc>
        <w:tc>
          <w:tcPr>
            <w:tcW w:w="1272"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行政单位医疗</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116.75</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116.75</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211</w:t>
            </w:r>
          </w:p>
        </w:tc>
        <w:tc>
          <w:tcPr>
            <w:tcW w:w="1272"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节能环保支出</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80.00</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80.00</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21103</w:t>
            </w:r>
          </w:p>
        </w:tc>
        <w:tc>
          <w:tcPr>
            <w:tcW w:w="1272"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污染防治</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80.00</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80.00</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2110301</w:t>
            </w:r>
          </w:p>
        </w:tc>
        <w:tc>
          <w:tcPr>
            <w:tcW w:w="1272"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大气</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80.00</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80.00</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w:t>
            </w:r>
          </w:p>
        </w:tc>
        <w:tc>
          <w:tcPr>
            <w:tcW w:w="1272"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城乡社区支出</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1,675.46</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1,675.46</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21201</w:t>
            </w:r>
          </w:p>
        </w:tc>
        <w:tc>
          <w:tcPr>
            <w:tcW w:w="1272"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城乡社区管理事务</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329.00</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329.00</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2120102</w:t>
            </w:r>
          </w:p>
        </w:tc>
        <w:tc>
          <w:tcPr>
            <w:tcW w:w="1272"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一般行政管理事务</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29.00</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29.00</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2120199</w:t>
            </w:r>
          </w:p>
        </w:tc>
        <w:tc>
          <w:tcPr>
            <w:tcW w:w="1272"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其他城乡社区管理事务支出</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300.00</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300.00</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21203</w:t>
            </w:r>
          </w:p>
        </w:tc>
        <w:tc>
          <w:tcPr>
            <w:tcW w:w="1272"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城乡社区公共设施</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205.99</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205.99</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2120399</w:t>
            </w:r>
          </w:p>
        </w:tc>
        <w:tc>
          <w:tcPr>
            <w:tcW w:w="1272"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其他城乡社区公共设施支出</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205.99</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205.99</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21205</w:t>
            </w:r>
          </w:p>
        </w:tc>
        <w:tc>
          <w:tcPr>
            <w:tcW w:w="1272"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城乡社区环境卫生</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697.69</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697.69</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2120501</w:t>
            </w:r>
          </w:p>
        </w:tc>
        <w:tc>
          <w:tcPr>
            <w:tcW w:w="1272"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城乡社区环境卫生</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697.69</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697.69</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21299</w:t>
            </w:r>
          </w:p>
        </w:tc>
        <w:tc>
          <w:tcPr>
            <w:tcW w:w="1272"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其他城乡社区支出</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442.79</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442.79</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2129999</w:t>
            </w:r>
          </w:p>
        </w:tc>
        <w:tc>
          <w:tcPr>
            <w:tcW w:w="1272"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其他城乡社区支出</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442.79</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442.79</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213</w:t>
            </w:r>
          </w:p>
        </w:tc>
        <w:tc>
          <w:tcPr>
            <w:tcW w:w="1272"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农林水支出</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96.77</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96.77</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21307</w:t>
            </w:r>
          </w:p>
        </w:tc>
        <w:tc>
          <w:tcPr>
            <w:tcW w:w="1272"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农村综合改革</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14.96</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14.96</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2130701</w:t>
            </w:r>
          </w:p>
        </w:tc>
        <w:tc>
          <w:tcPr>
            <w:tcW w:w="1272"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对村级公益事业建设的补助</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14.96</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14.96</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21399</w:t>
            </w:r>
          </w:p>
        </w:tc>
        <w:tc>
          <w:tcPr>
            <w:tcW w:w="1272"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其他农林水支出</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81.81</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81.81</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2139999</w:t>
            </w:r>
          </w:p>
        </w:tc>
        <w:tc>
          <w:tcPr>
            <w:tcW w:w="1272"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其他农林水支出</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81.81</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81.81</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221</w:t>
            </w:r>
          </w:p>
        </w:tc>
        <w:tc>
          <w:tcPr>
            <w:tcW w:w="1272"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住房保障支出</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168.39</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168.39</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22102</w:t>
            </w:r>
          </w:p>
        </w:tc>
        <w:tc>
          <w:tcPr>
            <w:tcW w:w="1272"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住房改革支出</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168.39</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168.39</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80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2210201</w:t>
            </w:r>
          </w:p>
        </w:tc>
        <w:tc>
          <w:tcPr>
            <w:tcW w:w="1272"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住房公积金</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168.39</w:t>
            </w: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168.39</w:t>
            </w: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9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13992" w:type="dxa"/>
            <w:gridSpan w:val="10"/>
            <w:tcBorders>
              <w:top w:val="nil"/>
              <w:left w:val="nil"/>
              <w:bottom w:val="nil"/>
              <w:right w:val="nil"/>
            </w:tcBorders>
            <w:noWrap/>
            <w:vAlign w:val="center"/>
          </w:tcPr>
          <w:p>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注：本表反映部门本年度各项支出情况。</w:t>
            </w:r>
          </w:p>
        </w:tc>
      </w:tr>
    </w:tbl>
    <w:p>
      <w:pPr>
        <w:rPr>
          <w:rFonts w:hint="eastAsia" w:ascii="仿宋_GB2312" w:hAnsi="宋体" w:eastAsia="仿宋_GB2312"/>
          <w:b/>
          <w:sz w:val="32"/>
          <w:szCs w:val="32"/>
        </w:rPr>
      </w:pPr>
      <w:r>
        <w:rPr>
          <w:rFonts w:hint="eastAsia" w:ascii="仿宋_GB2312" w:hAnsi="宋体" w:eastAsia="仿宋_GB2312"/>
          <w:b/>
          <w:sz w:val="32"/>
          <w:szCs w:val="32"/>
        </w:rPr>
        <w:t>备注：无内容应公开空表并说明情况。</w:t>
      </w:r>
    </w:p>
    <w:p>
      <w:pPr>
        <w:rPr>
          <w:rFonts w:hint="eastAsia" w:ascii="仿宋_GB2312" w:hAnsi="宋体" w:eastAsia="仿宋_GB2312"/>
          <w:b/>
          <w:sz w:val="32"/>
          <w:szCs w:val="32"/>
        </w:rPr>
      </w:pPr>
      <w:r>
        <w:rPr>
          <w:rFonts w:hint="eastAsia" w:ascii="仿宋_GB2312" w:hAnsi="宋体" w:eastAsia="仿宋_GB2312"/>
          <w:b/>
          <w:sz w:val="32"/>
          <w:szCs w:val="32"/>
        </w:rPr>
        <w:br w:type="page"/>
      </w:r>
    </w:p>
    <w:tbl>
      <w:tblPr>
        <w:tblStyle w:val="11"/>
        <w:tblW w:w="13989" w:type="dxa"/>
        <w:tblInd w:w="0" w:type="dxa"/>
        <w:tblLayout w:type="fixed"/>
        <w:tblCellMar>
          <w:top w:w="0" w:type="dxa"/>
          <w:left w:w="108" w:type="dxa"/>
          <w:bottom w:w="0" w:type="dxa"/>
          <w:right w:w="108" w:type="dxa"/>
        </w:tblCellMar>
      </w:tblPr>
      <w:tblGrid>
        <w:gridCol w:w="2466"/>
        <w:gridCol w:w="464"/>
        <w:gridCol w:w="1544"/>
        <w:gridCol w:w="2202"/>
        <w:gridCol w:w="425"/>
        <w:gridCol w:w="464"/>
        <w:gridCol w:w="1542"/>
        <w:gridCol w:w="215"/>
        <w:gridCol w:w="1407"/>
        <w:gridCol w:w="1623"/>
        <w:gridCol w:w="1637"/>
      </w:tblGrid>
      <w:tr>
        <w:tblPrEx>
          <w:tblCellMar>
            <w:top w:w="0" w:type="dxa"/>
            <w:left w:w="108" w:type="dxa"/>
            <w:bottom w:w="0" w:type="dxa"/>
            <w:right w:w="108" w:type="dxa"/>
          </w:tblCellMar>
        </w:tblPrEx>
        <w:trPr>
          <w:trHeight w:val="550" w:hRule="atLeast"/>
        </w:trPr>
        <w:tc>
          <w:tcPr>
            <w:tcW w:w="13989" w:type="dxa"/>
            <w:gridSpan w:val="11"/>
            <w:tcBorders>
              <w:top w:val="nil"/>
              <w:left w:val="nil"/>
              <w:bottom w:val="nil"/>
              <w:right w:val="nil"/>
            </w:tcBorders>
            <w:noWrap/>
            <w:vAlign w:val="bottom"/>
          </w:tcPr>
          <w:p>
            <w:pPr>
              <w:widowControl/>
              <w:jc w:val="center"/>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t>财政拨款收入支出决算总表</w:t>
            </w:r>
          </w:p>
        </w:tc>
      </w:tr>
      <w:tr>
        <w:tblPrEx>
          <w:tblCellMar>
            <w:top w:w="0" w:type="dxa"/>
            <w:left w:w="108" w:type="dxa"/>
            <w:bottom w:w="0" w:type="dxa"/>
            <w:right w:w="108" w:type="dxa"/>
          </w:tblCellMar>
        </w:tblPrEx>
        <w:trPr>
          <w:trHeight w:val="300" w:hRule="atLeast"/>
        </w:trPr>
        <w:tc>
          <w:tcPr>
            <w:tcW w:w="13989" w:type="dxa"/>
            <w:gridSpan w:val="11"/>
            <w:tcBorders>
              <w:top w:val="nil"/>
              <w:left w:val="nil"/>
              <w:bottom w:val="nil"/>
              <w:right w:val="nil"/>
            </w:tcBorders>
            <w:noWrap/>
            <w:vAlign w:val="bottom"/>
          </w:tcPr>
          <w:p>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公开04表</w:t>
            </w:r>
          </w:p>
        </w:tc>
      </w:tr>
      <w:tr>
        <w:tblPrEx>
          <w:tblCellMar>
            <w:top w:w="0" w:type="dxa"/>
            <w:left w:w="108" w:type="dxa"/>
            <w:bottom w:w="0" w:type="dxa"/>
            <w:right w:w="108" w:type="dxa"/>
          </w:tblCellMar>
        </w:tblPrEx>
        <w:trPr>
          <w:trHeight w:val="300" w:hRule="atLeast"/>
        </w:trPr>
        <w:tc>
          <w:tcPr>
            <w:tcW w:w="6676" w:type="dxa"/>
            <w:gridSpan w:val="4"/>
            <w:tcBorders>
              <w:top w:val="nil"/>
              <w:left w:val="nil"/>
              <w:bottom w:val="single" w:color="auto" w:sz="4" w:space="0"/>
              <w:right w:val="nil"/>
            </w:tcBorders>
            <w:noWrap/>
            <w:vAlign w:val="bottom"/>
          </w:tcPr>
          <w:p>
            <w:pPr>
              <w:rPr>
                <w:rFonts w:hint="eastAsia" w:ascii="仿宋" w:hAnsi="仿宋" w:eastAsia="仿宋" w:cs="仿宋"/>
                <w:color w:val="000000"/>
                <w:sz w:val="18"/>
                <w:szCs w:val="18"/>
              </w:rPr>
            </w:pPr>
            <w:r>
              <w:rPr>
                <w:rFonts w:hint="eastAsia" w:ascii="方正仿宋_GB2312" w:hAnsi="方正仿宋_GB2312" w:eastAsia="方正仿宋_GB2312" w:cs="方正仿宋_GB2312"/>
                <w:color w:val="000000"/>
                <w:sz w:val="18"/>
                <w:szCs w:val="18"/>
                <w:lang w:bidi="ar"/>
              </w:rPr>
              <w:t xml:space="preserve">编制部门（单位）：石家庄市鹿泉区获鹿镇人民政府(本级) </w:t>
            </w:r>
            <w:r>
              <w:rPr>
                <w:rFonts w:hint="eastAsia" w:asciiTheme="minorEastAsia" w:hAnsiTheme="minorEastAsia" w:cstheme="minorEastAsia"/>
                <w:color w:val="000000"/>
                <w:sz w:val="18"/>
                <w:szCs w:val="18"/>
                <w:lang w:bidi="ar"/>
              </w:rPr>
              <w:t xml:space="preserve">                                                                                                   </w:t>
            </w:r>
          </w:p>
        </w:tc>
        <w:tc>
          <w:tcPr>
            <w:tcW w:w="2646" w:type="dxa"/>
            <w:gridSpan w:val="4"/>
            <w:tcBorders>
              <w:top w:val="nil"/>
              <w:left w:val="nil"/>
              <w:bottom w:val="single" w:color="auto" w:sz="4" w:space="0"/>
              <w:right w:val="nil"/>
            </w:tcBorders>
            <w:noWrap/>
            <w:vAlign w:val="bottom"/>
          </w:tcPr>
          <w:p>
            <w:pPr>
              <w:jc w:val="center"/>
              <w:rPr>
                <w:rFonts w:hint="eastAsia" w:asciiTheme="minorEastAsia" w:hAnsiTheme="minorEastAsia" w:cstheme="minorEastAsia"/>
                <w:color w:val="000000"/>
                <w:sz w:val="18"/>
                <w:szCs w:val="18"/>
                <w:lang w:bidi="ar"/>
              </w:rPr>
            </w:pPr>
            <w:r>
              <w:rPr>
                <w:rFonts w:ascii="Times New Roman" w:hAnsi="Times New Roman" w:cs="Times New Roman"/>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4667" w:type="dxa"/>
            <w:gridSpan w:val="3"/>
            <w:tcBorders>
              <w:top w:val="nil"/>
              <w:left w:val="nil"/>
              <w:bottom w:val="single" w:color="auto" w:sz="4" w:space="0"/>
              <w:right w:val="nil"/>
            </w:tcBorders>
            <w:noWrap/>
            <w:vAlign w:val="bottom"/>
          </w:tcPr>
          <w:p>
            <w:pPr>
              <w:jc w:val="right"/>
              <w:rPr>
                <w:rFonts w:hint="eastAsia" w:asciiTheme="minorEastAsia" w:hAnsiTheme="minorEastAsia" w:cstheme="minorEastAsia"/>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tblPrEx>
          <w:tblCellMar>
            <w:top w:w="0" w:type="dxa"/>
            <w:left w:w="108" w:type="dxa"/>
            <w:bottom w:w="0" w:type="dxa"/>
            <w:right w:w="108" w:type="dxa"/>
          </w:tblCellMar>
        </w:tblPrEx>
        <w:trPr>
          <w:trHeight w:val="308" w:hRule="atLeast"/>
        </w:trPr>
        <w:tc>
          <w:tcPr>
            <w:tcW w:w="4474" w:type="dxa"/>
            <w:gridSpan w:val="3"/>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收     入</w:t>
            </w:r>
          </w:p>
        </w:tc>
        <w:tc>
          <w:tcPr>
            <w:tcW w:w="9515" w:type="dxa"/>
            <w:gridSpan w:val="8"/>
            <w:tcBorders>
              <w:top w:val="single" w:color="auto" w:sz="4" w:space="0"/>
              <w:left w:val="nil"/>
              <w:bottom w:val="single" w:color="000000" w:sz="4" w:space="0"/>
              <w:right w:val="single" w:color="000000" w:sz="4" w:space="0"/>
            </w:tcBorders>
            <w:noWrap/>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支     出</w:t>
            </w:r>
          </w:p>
        </w:tc>
      </w:tr>
      <w:tr>
        <w:tblPrEx>
          <w:tblCellMar>
            <w:top w:w="0" w:type="dxa"/>
            <w:left w:w="108" w:type="dxa"/>
            <w:bottom w:w="0" w:type="dxa"/>
            <w:right w:w="108" w:type="dxa"/>
          </w:tblCellMar>
        </w:tblPrEx>
        <w:trPr>
          <w:trHeight w:val="312" w:hRule="atLeast"/>
        </w:trPr>
        <w:tc>
          <w:tcPr>
            <w:tcW w:w="2466" w:type="dxa"/>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    目</w:t>
            </w:r>
          </w:p>
        </w:tc>
        <w:tc>
          <w:tcPr>
            <w:tcW w:w="464"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行次</w:t>
            </w:r>
          </w:p>
        </w:tc>
        <w:tc>
          <w:tcPr>
            <w:tcW w:w="1544"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2627" w:type="dxa"/>
            <w:gridSpan w:val="2"/>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464"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行次</w:t>
            </w:r>
          </w:p>
        </w:tc>
        <w:tc>
          <w:tcPr>
            <w:tcW w:w="1542" w:type="dxa"/>
            <w:vMerge w:val="restart"/>
            <w:tcBorders>
              <w:top w:val="nil"/>
              <w:left w:val="nil"/>
              <w:right w:val="single" w:color="000000" w:sz="4" w:space="0"/>
            </w:tcBorders>
            <w:noWrap/>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1622" w:type="dxa"/>
            <w:gridSpan w:val="2"/>
            <w:vMerge w:val="restart"/>
            <w:tcBorders>
              <w:top w:val="nil"/>
              <w:left w:val="nil"/>
              <w:right w:val="single" w:color="000000" w:sz="4" w:space="0"/>
            </w:tcBorders>
            <w:noWrap/>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一般公共预算财政拨款</w:t>
            </w:r>
          </w:p>
        </w:tc>
        <w:tc>
          <w:tcPr>
            <w:tcW w:w="1623" w:type="dxa"/>
            <w:vMerge w:val="restart"/>
            <w:tcBorders>
              <w:top w:val="nil"/>
              <w:left w:val="nil"/>
              <w:right w:val="single" w:color="000000" w:sz="4" w:space="0"/>
            </w:tcBorders>
            <w:noWrap/>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政府性基金预算财政拨款</w:t>
            </w:r>
          </w:p>
        </w:tc>
        <w:tc>
          <w:tcPr>
            <w:tcW w:w="1637" w:type="dxa"/>
            <w:vMerge w:val="restart"/>
            <w:tcBorders>
              <w:top w:val="nil"/>
              <w:left w:val="nil"/>
              <w:right w:val="single" w:color="000000" w:sz="4" w:space="0"/>
            </w:tcBorders>
            <w:noWrap/>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国有资本经营预算财政拨款</w:t>
            </w:r>
          </w:p>
        </w:tc>
      </w:tr>
      <w:tr>
        <w:tblPrEx>
          <w:tblCellMar>
            <w:top w:w="0" w:type="dxa"/>
            <w:left w:w="108" w:type="dxa"/>
            <w:bottom w:w="0" w:type="dxa"/>
            <w:right w:w="108" w:type="dxa"/>
          </w:tblCellMar>
        </w:tblPrEx>
        <w:trPr>
          <w:trHeight w:val="312" w:hRule="atLeast"/>
        </w:trPr>
        <w:tc>
          <w:tcPr>
            <w:tcW w:w="2466" w:type="dxa"/>
            <w:vMerge w:val="continue"/>
            <w:tcBorders>
              <w:top w:val="nil"/>
              <w:left w:val="single" w:color="000000" w:sz="4" w:space="0"/>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464"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544"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2627" w:type="dxa"/>
            <w:gridSpan w:val="2"/>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464"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542" w:type="dxa"/>
            <w:vMerge w:val="continue"/>
            <w:tcBorders>
              <w:left w:val="nil"/>
              <w:bottom w:val="single" w:color="000000" w:sz="4" w:space="0"/>
              <w:right w:val="single" w:color="000000" w:sz="8"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p>
        </w:tc>
        <w:tc>
          <w:tcPr>
            <w:tcW w:w="1622" w:type="dxa"/>
            <w:gridSpan w:val="2"/>
            <w:vMerge w:val="continue"/>
            <w:tcBorders>
              <w:left w:val="nil"/>
              <w:bottom w:val="single" w:color="000000" w:sz="4" w:space="0"/>
              <w:right w:val="single" w:color="000000" w:sz="8"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p>
        </w:tc>
        <w:tc>
          <w:tcPr>
            <w:tcW w:w="1623" w:type="dxa"/>
            <w:vMerge w:val="continue"/>
            <w:tcBorders>
              <w:left w:val="nil"/>
              <w:bottom w:val="single" w:color="000000" w:sz="4" w:space="0"/>
              <w:right w:val="single" w:color="000000" w:sz="8"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p>
        </w:tc>
        <w:tc>
          <w:tcPr>
            <w:tcW w:w="1637" w:type="dxa"/>
            <w:vMerge w:val="continue"/>
            <w:tcBorders>
              <w:left w:val="nil"/>
              <w:bottom w:val="single" w:color="000000" w:sz="4" w:space="0"/>
              <w:right w:val="single" w:color="000000" w:sz="8"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栏    次</w:t>
            </w:r>
          </w:p>
        </w:tc>
        <w:tc>
          <w:tcPr>
            <w:tcW w:w="464" w:type="dxa"/>
            <w:tcBorders>
              <w:top w:val="nil"/>
              <w:left w:val="nil"/>
              <w:bottom w:val="single" w:color="000000" w:sz="4" w:space="0"/>
              <w:right w:val="single" w:color="000000" w:sz="4" w:space="0"/>
            </w:tcBorders>
            <w:noWrap/>
            <w:vAlign w:val="center"/>
          </w:tcPr>
          <w:p>
            <w:pPr>
              <w:jc w:val="center"/>
              <w:rPr>
                <w:rFonts w:hint="eastAsia" w:ascii="宋体" w:hAnsi="宋体" w:eastAsia="宋体"/>
                <w:color w:val="000000"/>
                <w:sz w:val="18"/>
                <w:szCs w:val="18"/>
              </w:rPr>
            </w:pPr>
          </w:p>
        </w:tc>
        <w:tc>
          <w:tcPr>
            <w:tcW w:w="1544" w:type="dxa"/>
            <w:tcBorders>
              <w:top w:val="nil"/>
              <w:left w:val="nil"/>
              <w:bottom w:val="single" w:color="000000" w:sz="4" w:space="0"/>
              <w:right w:val="single" w:color="000000" w:sz="4" w:space="0"/>
            </w:tcBorders>
            <w:noWrap/>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1</w:t>
            </w:r>
          </w:p>
        </w:tc>
        <w:tc>
          <w:tcPr>
            <w:tcW w:w="2627" w:type="dxa"/>
            <w:gridSpan w:val="2"/>
            <w:tcBorders>
              <w:top w:val="nil"/>
              <w:left w:val="nil"/>
              <w:bottom w:val="single" w:color="000000" w:sz="4" w:space="0"/>
              <w:right w:val="single" w:color="000000" w:sz="4" w:space="0"/>
            </w:tcBorders>
            <w:noWrap/>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栏    次</w:t>
            </w:r>
          </w:p>
        </w:tc>
        <w:tc>
          <w:tcPr>
            <w:tcW w:w="464" w:type="dxa"/>
            <w:tcBorders>
              <w:top w:val="nil"/>
              <w:left w:val="nil"/>
              <w:bottom w:val="single" w:color="000000" w:sz="4" w:space="0"/>
              <w:right w:val="single" w:color="000000" w:sz="4" w:space="0"/>
            </w:tcBorders>
            <w:noWrap/>
            <w:vAlign w:val="center"/>
          </w:tcPr>
          <w:p>
            <w:pPr>
              <w:jc w:val="center"/>
              <w:rPr>
                <w:rFonts w:hint="eastAsia" w:ascii="宋体" w:hAnsi="宋体" w:eastAsia="宋体"/>
                <w:color w:val="000000"/>
                <w:sz w:val="18"/>
                <w:szCs w:val="18"/>
              </w:rPr>
            </w:pPr>
          </w:p>
        </w:tc>
        <w:tc>
          <w:tcPr>
            <w:tcW w:w="1542" w:type="dxa"/>
            <w:tcBorders>
              <w:top w:val="nil"/>
              <w:left w:val="nil"/>
              <w:bottom w:val="single" w:color="000000" w:sz="4" w:space="0"/>
              <w:right w:val="single" w:color="000000" w:sz="4" w:space="0"/>
            </w:tcBorders>
            <w:noWrap/>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2</w:t>
            </w:r>
          </w:p>
        </w:tc>
        <w:tc>
          <w:tcPr>
            <w:tcW w:w="1622" w:type="dxa"/>
            <w:gridSpan w:val="2"/>
            <w:tcBorders>
              <w:top w:val="nil"/>
              <w:left w:val="nil"/>
              <w:bottom w:val="single" w:color="000000" w:sz="4" w:space="0"/>
              <w:right w:val="single" w:color="000000" w:sz="4" w:space="0"/>
            </w:tcBorders>
            <w:noWrap/>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3</w:t>
            </w:r>
          </w:p>
        </w:tc>
        <w:tc>
          <w:tcPr>
            <w:tcW w:w="1623" w:type="dxa"/>
            <w:tcBorders>
              <w:top w:val="nil"/>
              <w:left w:val="nil"/>
              <w:bottom w:val="single" w:color="000000" w:sz="4" w:space="0"/>
              <w:right w:val="single" w:color="000000" w:sz="4" w:space="0"/>
            </w:tcBorders>
            <w:noWrap/>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4</w:t>
            </w:r>
          </w:p>
        </w:tc>
        <w:tc>
          <w:tcPr>
            <w:tcW w:w="1637" w:type="dxa"/>
            <w:tcBorders>
              <w:top w:val="nil"/>
              <w:left w:val="nil"/>
              <w:bottom w:val="single" w:color="000000" w:sz="4" w:space="0"/>
              <w:right w:val="single" w:color="000000" w:sz="8" w:space="0"/>
            </w:tcBorders>
            <w:noWrap/>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5</w:t>
            </w: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一、一般公共预算财政拨款</w:t>
            </w:r>
          </w:p>
        </w:tc>
        <w:tc>
          <w:tcPr>
            <w:tcW w:w="464"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w:t>
            </w:r>
          </w:p>
        </w:tc>
        <w:tc>
          <w:tcPr>
            <w:tcW w:w="154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6,411.23</w:t>
            </w:r>
          </w:p>
        </w:tc>
        <w:tc>
          <w:tcPr>
            <w:tcW w:w="2627" w:type="dxa"/>
            <w:gridSpan w:val="2"/>
            <w:tcBorders>
              <w:top w:val="nil"/>
              <w:left w:val="nil"/>
              <w:bottom w:val="single" w:color="000000"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一、一般公共服务支出</w:t>
            </w:r>
          </w:p>
        </w:tc>
        <w:tc>
          <w:tcPr>
            <w:tcW w:w="464"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33</w:t>
            </w:r>
          </w:p>
        </w:tc>
        <w:tc>
          <w:tcPr>
            <w:tcW w:w="1542"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3,074.04</w:t>
            </w:r>
          </w:p>
        </w:tc>
        <w:tc>
          <w:tcPr>
            <w:tcW w:w="162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3,074.04</w:t>
            </w:r>
          </w:p>
        </w:tc>
        <w:tc>
          <w:tcPr>
            <w:tcW w:w="162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二、政府性基金预算财政拨款</w:t>
            </w:r>
          </w:p>
        </w:tc>
        <w:tc>
          <w:tcPr>
            <w:tcW w:w="464"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w:t>
            </w:r>
          </w:p>
        </w:tc>
        <w:tc>
          <w:tcPr>
            <w:tcW w:w="154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二、外交支出</w:t>
            </w:r>
          </w:p>
        </w:tc>
        <w:tc>
          <w:tcPr>
            <w:tcW w:w="464"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34</w:t>
            </w:r>
          </w:p>
        </w:tc>
        <w:tc>
          <w:tcPr>
            <w:tcW w:w="1542"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三、国有资本经营预算财政拨款</w:t>
            </w:r>
          </w:p>
        </w:tc>
        <w:tc>
          <w:tcPr>
            <w:tcW w:w="464"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w:t>
            </w:r>
          </w:p>
        </w:tc>
        <w:tc>
          <w:tcPr>
            <w:tcW w:w="154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三、国防支出</w:t>
            </w:r>
          </w:p>
        </w:tc>
        <w:tc>
          <w:tcPr>
            <w:tcW w:w="464"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35</w:t>
            </w:r>
          </w:p>
        </w:tc>
        <w:tc>
          <w:tcPr>
            <w:tcW w:w="1542"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w:t>
            </w:r>
          </w:p>
        </w:tc>
        <w:tc>
          <w:tcPr>
            <w:tcW w:w="154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四、公共安全支出</w:t>
            </w:r>
          </w:p>
        </w:tc>
        <w:tc>
          <w:tcPr>
            <w:tcW w:w="464"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36</w:t>
            </w:r>
          </w:p>
        </w:tc>
        <w:tc>
          <w:tcPr>
            <w:tcW w:w="1542"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279.58</w:t>
            </w:r>
          </w:p>
        </w:tc>
        <w:tc>
          <w:tcPr>
            <w:tcW w:w="162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279.58</w:t>
            </w:r>
          </w:p>
        </w:tc>
        <w:tc>
          <w:tcPr>
            <w:tcW w:w="162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w:t>
            </w:r>
          </w:p>
        </w:tc>
        <w:tc>
          <w:tcPr>
            <w:tcW w:w="154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五、教育支出</w:t>
            </w:r>
          </w:p>
        </w:tc>
        <w:tc>
          <w:tcPr>
            <w:tcW w:w="464"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37</w:t>
            </w:r>
          </w:p>
        </w:tc>
        <w:tc>
          <w:tcPr>
            <w:tcW w:w="1542"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345.76</w:t>
            </w:r>
          </w:p>
        </w:tc>
        <w:tc>
          <w:tcPr>
            <w:tcW w:w="162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345.76</w:t>
            </w:r>
          </w:p>
        </w:tc>
        <w:tc>
          <w:tcPr>
            <w:tcW w:w="162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w:t>
            </w:r>
          </w:p>
        </w:tc>
        <w:tc>
          <w:tcPr>
            <w:tcW w:w="154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六、科学技术支出</w:t>
            </w:r>
          </w:p>
        </w:tc>
        <w:tc>
          <w:tcPr>
            <w:tcW w:w="464"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38</w:t>
            </w:r>
          </w:p>
        </w:tc>
        <w:tc>
          <w:tcPr>
            <w:tcW w:w="1542"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7</w:t>
            </w:r>
          </w:p>
        </w:tc>
        <w:tc>
          <w:tcPr>
            <w:tcW w:w="154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七、文化旅游体育与传媒支出</w:t>
            </w:r>
          </w:p>
        </w:tc>
        <w:tc>
          <w:tcPr>
            <w:tcW w:w="464"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39</w:t>
            </w:r>
          </w:p>
        </w:tc>
        <w:tc>
          <w:tcPr>
            <w:tcW w:w="1542"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20.00</w:t>
            </w:r>
          </w:p>
        </w:tc>
        <w:tc>
          <w:tcPr>
            <w:tcW w:w="162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20.00</w:t>
            </w:r>
          </w:p>
        </w:tc>
        <w:tc>
          <w:tcPr>
            <w:tcW w:w="162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8</w:t>
            </w:r>
          </w:p>
        </w:tc>
        <w:tc>
          <w:tcPr>
            <w:tcW w:w="154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八、社会保障和就业支出</w:t>
            </w:r>
          </w:p>
        </w:tc>
        <w:tc>
          <w:tcPr>
            <w:tcW w:w="464"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40</w:t>
            </w:r>
          </w:p>
        </w:tc>
        <w:tc>
          <w:tcPr>
            <w:tcW w:w="1542"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464.48</w:t>
            </w:r>
          </w:p>
        </w:tc>
        <w:tc>
          <w:tcPr>
            <w:tcW w:w="162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464.48</w:t>
            </w:r>
          </w:p>
        </w:tc>
        <w:tc>
          <w:tcPr>
            <w:tcW w:w="162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9</w:t>
            </w:r>
          </w:p>
        </w:tc>
        <w:tc>
          <w:tcPr>
            <w:tcW w:w="154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九、卫生健康支出</w:t>
            </w:r>
          </w:p>
        </w:tc>
        <w:tc>
          <w:tcPr>
            <w:tcW w:w="464"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41</w:t>
            </w:r>
          </w:p>
        </w:tc>
        <w:tc>
          <w:tcPr>
            <w:tcW w:w="1542"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206.75</w:t>
            </w:r>
          </w:p>
        </w:tc>
        <w:tc>
          <w:tcPr>
            <w:tcW w:w="162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206.75</w:t>
            </w:r>
          </w:p>
        </w:tc>
        <w:tc>
          <w:tcPr>
            <w:tcW w:w="162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10</w:t>
            </w:r>
          </w:p>
        </w:tc>
        <w:tc>
          <w:tcPr>
            <w:tcW w:w="154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十、节能环保支出</w:t>
            </w:r>
          </w:p>
        </w:tc>
        <w:tc>
          <w:tcPr>
            <w:tcW w:w="464"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42</w:t>
            </w:r>
          </w:p>
        </w:tc>
        <w:tc>
          <w:tcPr>
            <w:tcW w:w="1542"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80.00</w:t>
            </w:r>
          </w:p>
        </w:tc>
        <w:tc>
          <w:tcPr>
            <w:tcW w:w="162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80.00</w:t>
            </w:r>
          </w:p>
        </w:tc>
        <w:tc>
          <w:tcPr>
            <w:tcW w:w="162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11</w:t>
            </w:r>
          </w:p>
        </w:tc>
        <w:tc>
          <w:tcPr>
            <w:tcW w:w="154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十一、城乡社区支出</w:t>
            </w:r>
          </w:p>
        </w:tc>
        <w:tc>
          <w:tcPr>
            <w:tcW w:w="464"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43</w:t>
            </w:r>
          </w:p>
        </w:tc>
        <w:tc>
          <w:tcPr>
            <w:tcW w:w="1542"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1,675.46</w:t>
            </w:r>
          </w:p>
        </w:tc>
        <w:tc>
          <w:tcPr>
            <w:tcW w:w="162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1,675.46</w:t>
            </w:r>
          </w:p>
        </w:tc>
        <w:tc>
          <w:tcPr>
            <w:tcW w:w="162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olor w:val="000000"/>
                <w:sz w:val="18"/>
                <w:szCs w:val="18"/>
              </w:rPr>
            </w:pPr>
          </w:p>
        </w:tc>
        <w:tc>
          <w:tcPr>
            <w:tcW w:w="464" w:type="dxa"/>
            <w:tcBorders>
              <w:top w:val="nil"/>
              <w:left w:val="nil"/>
              <w:bottom w:val="single" w:color="auto"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12</w:t>
            </w:r>
          </w:p>
        </w:tc>
        <w:tc>
          <w:tcPr>
            <w:tcW w:w="1544" w:type="dxa"/>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auto"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十二、农林水支出</w:t>
            </w:r>
          </w:p>
        </w:tc>
        <w:tc>
          <w:tcPr>
            <w:tcW w:w="464" w:type="dxa"/>
            <w:tcBorders>
              <w:top w:val="nil"/>
              <w:left w:val="nil"/>
              <w:bottom w:val="single" w:color="auto"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44</w:t>
            </w:r>
          </w:p>
        </w:tc>
        <w:tc>
          <w:tcPr>
            <w:tcW w:w="1542" w:type="dxa"/>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96.77</w:t>
            </w:r>
          </w:p>
        </w:tc>
        <w:tc>
          <w:tcPr>
            <w:tcW w:w="1622" w:type="dxa"/>
            <w:gridSpan w:val="2"/>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96.77</w:t>
            </w:r>
          </w:p>
        </w:tc>
        <w:tc>
          <w:tcPr>
            <w:tcW w:w="1623" w:type="dxa"/>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auto" w:sz="4" w:space="0"/>
              <w:right w:val="single" w:color="000000" w:sz="8"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13</w:t>
            </w:r>
          </w:p>
        </w:tc>
        <w:tc>
          <w:tcPr>
            <w:tcW w:w="154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十三、交通运输支出</w:t>
            </w:r>
          </w:p>
        </w:tc>
        <w:tc>
          <w:tcPr>
            <w:tcW w:w="46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45</w:t>
            </w:r>
          </w:p>
        </w:tc>
        <w:tc>
          <w:tcPr>
            <w:tcW w:w="1542"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14</w:t>
            </w:r>
          </w:p>
        </w:tc>
        <w:tc>
          <w:tcPr>
            <w:tcW w:w="154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十四、资源勘探工业信息等支出</w:t>
            </w:r>
          </w:p>
        </w:tc>
        <w:tc>
          <w:tcPr>
            <w:tcW w:w="46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46</w:t>
            </w:r>
          </w:p>
        </w:tc>
        <w:tc>
          <w:tcPr>
            <w:tcW w:w="1542"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15</w:t>
            </w:r>
          </w:p>
        </w:tc>
        <w:tc>
          <w:tcPr>
            <w:tcW w:w="154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十五、商业服务业等支出</w:t>
            </w:r>
          </w:p>
        </w:tc>
        <w:tc>
          <w:tcPr>
            <w:tcW w:w="46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47</w:t>
            </w:r>
          </w:p>
        </w:tc>
        <w:tc>
          <w:tcPr>
            <w:tcW w:w="1542"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16</w:t>
            </w:r>
          </w:p>
        </w:tc>
        <w:tc>
          <w:tcPr>
            <w:tcW w:w="154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十六、金融支出</w:t>
            </w:r>
          </w:p>
        </w:tc>
        <w:tc>
          <w:tcPr>
            <w:tcW w:w="46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48</w:t>
            </w:r>
          </w:p>
        </w:tc>
        <w:tc>
          <w:tcPr>
            <w:tcW w:w="1542"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17</w:t>
            </w:r>
          </w:p>
        </w:tc>
        <w:tc>
          <w:tcPr>
            <w:tcW w:w="154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十七、援助其他地区支出</w:t>
            </w:r>
          </w:p>
        </w:tc>
        <w:tc>
          <w:tcPr>
            <w:tcW w:w="46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49</w:t>
            </w:r>
          </w:p>
        </w:tc>
        <w:tc>
          <w:tcPr>
            <w:tcW w:w="1542"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18</w:t>
            </w:r>
          </w:p>
        </w:tc>
        <w:tc>
          <w:tcPr>
            <w:tcW w:w="154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十八、自然资源海洋气象等支出</w:t>
            </w:r>
          </w:p>
        </w:tc>
        <w:tc>
          <w:tcPr>
            <w:tcW w:w="46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50</w:t>
            </w:r>
          </w:p>
        </w:tc>
        <w:tc>
          <w:tcPr>
            <w:tcW w:w="1542"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19</w:t>
            </w:r>
          </w:p>
        </w:tc>
        <w:tc>
          <w:tcPr>
            <w:tcW w:w="154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十九、住房保障支出</w:t>
            </w:r>
          </w:p>
        </w:tc>
        <w:tc>
          <w:tcPr>
            <w:tcW w:w="46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51</w:t>
            </w:r>
          </w:p>
        </w:tc>
        <w:tc>
          <w:tcPr>
            <w:tcW w:w="1542"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168.39</w:t>
            </w:r>
          </w:p>
        </w:tc>
        <w:tc>
          <w:tcPr>
            <w:tcW w:w="162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168.39</w:t>
            </w:r>
          </w:p>
        </w:tc>
        <w:tc>
          <w:tcPr>
            <w:tcW w:w="1623"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20</w:t>
            </w:r>
          </w:p>
        </w:tc>
        <w:tc>
          <w:tcPr>
            <w:tcW w:w="154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二十、粮油物资储备支出</w:t>
            </w:r>
          </w:p>
        </w:tc>
        <w:tc>
          <w:tcPr>
            <w:tcW w:w="46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52</w:t>
            </w:r>
          </w:p>
        </w:tc>
        <w:tc>
          <w:tcPr>
            <w:tcW w:w="1542"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21</w:t>
            </w:r>
          </w:p>
        </w:tc>
        <w:tc>
          <w:tcPr>
            <w:tcW w:w="154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二十一、国有资本经营预算支出</w:t>
            </w:r>
          </w:p>
        </w:tc>
        <w:tc>
          <w:tcPr>
            <w:tcW w:w="46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53</w:t>
            </w:r>
          </w:p>
        </w:tc>
        <w:tc>
          <w:tcPr>
            <w:tcW w:w="1542"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22</w:t>
            </w:r>
          </w:p>
        </w:tc>
        <w:tc>
          <w:tcPr>
            <w:tcW w:w="154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二十二、灾害防治及应急管理支出</w:t>
            </w:r>
          </w:p>
        </w:tc>
        <w:tc>
          <w:tcPr>
            <w:tcW w:w="46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54</w:t>
            </w:r>
          </w:p>
        </w:tc>
        <w:tc>
          <w:tcPr>
            <w:tcW w:w="1542"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23</w:t>
            </w:r>
          </w:p>
        </w:tc>
        <w:tc>
          <w:tcPr>
            <w:tcW w:w="154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二十三、其他支出</w:t>
            </w:r>
          </w:p>
        </w:tc>
        <w:tc>
          <w:tcPr>
            <w:tcW w:w="46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55</w:t>
            </w:r>
          </w:p>
        </w:tc>
        <w:tc>
          <w:tcPr>
            <w:tcW w:w="1542"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olor w:val="000000"/>
                <w:sz w:val="18"/>
                <w:szCs w:val="18"/>
              </w:rPr>
            </w:pPr>
          </w:p>
        </w:tc>
        <w:tc>
          <w:tcPr>
            <w:tcW w:w="464" w:type="dxa"/>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24</w:t>
            </w:r>
          </w:p>
        </w:tc>
        <w:tc>
          <w:tcPr>
            <w:tcW w:w="1544" w:type="dxa"/>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nil"/>
              <w:bottom w:val="single" w:color="000000"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二十四、债务还本支出</w:t>
            </w:r>
          </w:p>
        </w:tc>
        <w:tc>
          <w:tcPr>
            <w:tcW w:w="464" w:type="dxa"/>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56</w:t>
            </w:r>
          </w:p>
        </w:tc>
        <w:tc>
          <w:tcPr>
            <w:tcW w:w="1542" w:type="dxa"/>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622" w:type="dxa"/>
            <w:gridSpan w:val="2"/>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623" w:type="dxa"/>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b/>
                <w:bCs/>
                <w:color w:val="000000"/>
                <w:sz w:val="18"/>
                <w:szCs w:val="18"/>
              </w:rPr>
            </w:pPr>
          </w:p>
        </w:tc>
        <w:tc>
          <w:tcPr>
            <w:tcW w:w="464"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25</w:t>
            </w:r>
          </w:p>
        </w:tc>
        <w:tc>
          <w:tcPr>
            <w:tcW w:w="154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二十五、债务付息支出</w:t>
            </w:r>
          </w:p>
        </w:tc>
        <w:tc>
          <w:tcPr>
            <w:tcW w:w="464"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57</w:t>
            </w:r>
          </w:p>
        </w:tc>
        <w:tc>
          <w:tcPr>
            <w:tcW w:w="1542"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26</w:t>
            </w:r>
          </w:p>
        </w:tc>
        <w:tc>
          <w:tcPr>
            <w:tcW w:w="154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二十六、抗疫特别国债安排的支出</w:t>
            </w:r>
          </w:p>
        </w:tc>
        <w:tc>
          <w:tcPr>
            <w:tcW w:w="464"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58</w:t>
            </w:r>
          </w:p>
        </w:tc>
        <w:tc>
          <w:tcPr>
            <w:tcW w:w="1542"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本年收入合计</w:t>
            </w:r>
          </w:p>
        </w:tc>
        <w:tc>
          <w:tcPr>
            <w:tcW w:w="464"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27</w:t>
            </w:r>
          </w:p>
        </w:tc>
        <w:tc>
          <w:tcPr>
            <w:tcW w:w="154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6,411.23</w:t>
            </w:r>
          </w:p>
        </w:tc>
        <w:tc>
          <w:tcPr>
            <w:tcW w:w="2627" w:type="dxa"/>
            <w:gridSpan w:val="2"/>
            <w:tcBorders>
              <w:top w:val="nil"/>
              <w:left w:val="nil"/>
              <w:bottom w:val="single" w:color="000000" w:sz="4" w:space="0"/>
              <w:right w:val="single" w:color="000000" w:sz="4" w:space="0"/>
            </w:tcBorders>
            <w:noWrap/>
            <w:vAlign w:val="center"/>
          </w:tcPr>
          <w:p>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本年支出合计</w:t>
            </w:r>
          </w:p>
        </w:tc>
        <w:tc>
          <w:tcPr>
            <w:tcW w:w="464"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59</w:t>
            </w:r>
          </w:p>
        </w:tc>
        <w:tc>
          <w:tcPr>
            <w:tcW w:w="1542"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6,411.23</w:t>
            </w:r>
          </w:p>
        </w:tc>
        <w:tc>
          <w:tcPr>
            <w:tcW w:w="162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6,411.23</w:t>
            </w:r>
          </w:p>
        </w:tc>
        <w:tc>
          <w:tcPr>
            <w:tcW w:w="162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年初财政拨款结转和结余</w:t>
            </w:r>
          </w:p>
        </w:tc>
        <w:tc>
          <w:tcPr>
            <w:tcW w:w="464"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28</w:t>
            </w:r>
          </w:p>
        </w:tc>
        <w:tc>
          <w:tcPr>
            <w:tcW w:w="154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年末财政拨款结转和结余</w:t>
            </w:r>
          </w:p>
        </w:tc>
        <w:tc>
          <w:tcPr>
            <w:tcW w:w="464"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60</w:t>
            </w:r>
          </w:p>
        </w:tc>
        <w:tc>
          <w:tcPr>
            <w:tcW w:w="1542"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一、一般公共预算财政拨款</w:t>
            </w:r>
          </w:p>
        </w:tc>
        <w:tc>
          <w:tcPr>
            <w:tcW w:w="464"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29</w:t>
            </w:r>
          </w:p>
        </w:tc>
        <w:tc>
          <w:tcPr>
            <w:tcW w:w="154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p>
        </w:tc>
        <w:tc>
          <w:tcPr>
            <w:tcW w:w="464"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61</w:t>
            </w:r>
          </w:p>
        </w:tc>
        <w:tc>
          <w:tcPr>
            <w:tcW w:w="1542"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noWrap/>
            <w:vAlign w:val="center"/>
          </w:tcPr>
          <w:p>
            <w:pPr>
              <w:jc w:val="lef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二、政府性基金预算财政拨款</w:t>
            </w:r>
          </w:p>
        </w:tc>
        <w:tc>
          <w:tcPr>
            <w:tcW w:w="464"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30</w:t>
            </w:r>
          </w:p>
        </w:tc>
        <w:tc>
          <w:tcPr>
            <w:tcW w:w="154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p>
        </w:tc>
        <w:tc>
          <w:tcPr>
            <w:tcW w:w="464"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62</w:t>
            </w:r>
          </w:p>
        </w:tc>
        <w:tc>
          <w:tcPr>
            <w:tcW w:w="1542"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noWrap/>
            <w:vAlign w:val="center"/>
          </w:tcPr>
          <w:p>
            <w:pPr>
              <w:jc w:val="lef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三、国有资本经营预算财政拨款</w:t>
            </w:r>
          </w:p>
        </w:tc>
        <w:tc>
          <w:tcPr>
            <w:tcW w:w="464"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31</w:t>
            </w:r>
          </w:p>
        </w:tc>
        <w:tc>
          <w:tcPr>
            <w:tcW w:w="154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color w:val="000000"/>
                <w:sz w:val="18"/>
                <w:szCs w:val="18"/>
              </w:rPr>
            </w:pPr>
          </w:p>
        </w:tc>
        <w:tc>
          <w:tcPr>
            <w:tcW w:w="464"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63</w:t>
            </w:r>
          </w:p>
        </w:tc>
        <w:tc>
          <w:tcPr>
            <w:tcW w:w="1542"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noWrap/>
            <w:vAlign w:val="center"/>
          </w:tcPr>
          <w:p>
            <w:pPr>
              <w:jc w:val="lef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8" w:space="0"/>
              <w:right w:val="single" w:color="000000" w:sz="4" w:space="0"/>
            </w:tcBorders>
            <w:noWrap/>
            <w:vAlign w:val="center"/>
          </w:tcPr>
          <w:p>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总计</w:t>
            </w:r>
          </w:p>
        </w:tc>
        <w:tc>
          <w:tcPr>
            <w:tcW w:w="464" w:type="dxa"/>
            <w:tcBorders>
              <w:top w:val="nil"/>
              <w:left w:val="nil"/>
              <w:bottom w:val="single" w:color="000000" w:sz="8"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32</w:t>
            </w:r>
          </w:p>
        </w:tc>
        <w:tc>
          <w:tcPr>
            <w:tcW w:w="1544" w:type="dxa"/>
            <w:tcBorders>
              <w:top w:val="nil"/>
              <w:left w:val="nil"/>
              <w:bottom w:val="single" w:color="000000" w:sz="8"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6,411.23</w:t>
            </w:r>
          </w:p>
        </w:tc>
        <w:tc>
          <w:tcPr>
            <w:tcW w:w="2627" w:type="dxa"/>
            <w:gridSpan w:val="2"/>
            <w:tcBorders>
              <w:top w:val="nil"/>
              <w:left w:val="nil"/>
              <w:bottom w:val="single" w:color="000000" w:sz="8" w:space="0"/>
              <w:right w:val="single" w:color="000000" w:sz="4" w:space="0"/>
            </w:tcBorders>
            <w:noWrap/>
            <w:vAlign w:val="center"/>
          </w:tcPr>
          <w:p>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总计</w:t>
            </w:r>
          </w:p>
        </w:tc>
        <w:tc>
          <w:tcPr>
            <w:tcW w:w="464" w:type="dxa"/>
            <w:tcBorders>
              <w:top w:val="nil"/>
              <w:left w:val="nil"/>
              <w:bottom w:val="single" w:color="000000" w:sz="8" w:space="0"/>
              <w:right w:val="single" w:color="000000" w:sz="4" w:space="0"/>
            </w:tcBorders>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64</w:t>
            </w:r>
          </w:p>
        </w:tc>
        <w:tc>
          <w:tcPr>
            <w:tcW w:w="1542" w:type="dxa"/>
            <w:tcBorders>
              <w:top w:val="nil"/>
              <w:left w:val="nil"/>
              <w:bottom w:val="single" w:color="000000" w:sz="8" w:space="0"/>
              <w:right w:val="single" w:color="000000"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6,411.23</w:t>
            </w:r>
          </w:p>
        </w:tc>
        <w:tc>
          <w:tcPr>
            <w:tcW w:w="1622" w:type="dxa"/>
            <w:gridSpan w:val="2"/>
            <w:tcBorders>
              <w:top w:val="nil"/>
              <w:left w:val="nil"/>
              <w:bottom w:val="single" w:color="000000" w:sz="8" w:space="0"/>
              <w:right w:val="single" w:color="000000" w:sz="4" w:space="0"/>
            </w:tcBorders>
            <w:noWrap/>
            <w:vAlign w:val="center"/>
          </w:tcPr>
          <w:p>
            <w:pPr>
              <w:jc w:val="right"/>
              <w:rPr>
                <w:rFonts w:ascii="Times New Roman" w:hAnsi="Times New Roman" w:cs="Times New Roman"/>
                <w:sz w:val="18"/>
                <w:szCs w:val="18"/>
              </w:rPr>
            </w:pPr>
            <w:r>
              <w:rPr>
                <w:rFonts w:ascii="Times New Roman" w:hAnsi="Times New Roman" w:cs="Times New Roman"/>
                <w:sz w:val="18"/>
                <w:szCs w:val="18"/>
              </w:rPr>
              <w:t>6,411.23</w:t>
            </w:r>
          </w:p>
          <w:p>
            <w:pPr>
              <w:jc w:val="right"/>
              <w:rPr>
                <w:rFonts w:ascii="Times New Roman" w:hAnsi="Times New Roman" w:eastAsia="宋体" w:cs="Times New Roman"/>
                <w:color w:val="000000"/>
                <w:sz w:val="18"/>
                <w:szCs w:val="18"/>
              </w:rPr>
            </w:pPr>
          </w:p>
        </w:tc>
        <w:tc>
          <w:tcPr>
            <w:tcW w:w="1623" w:type="dxa"/>
            <w:tcBorders>
              <w:top w:val="nil"/>
              <w:left w:val="nil"/>
              <w:bottom w:val="single" w:color="000000" w:sz="8"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8" w:space="0"/>
              <w:right w:val="single" w:color="000000" w:sz="8"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13989" w:type="dxa"/>
            <w:gridSpan w:val="11"/>
            <w:tcBorders>
              <w:top w:val="nil"/>
              <w:left w:val="nil"/>
              <w:bottom w:val="nil"/>
              <w:right w:val="nil"/>
            </w:tcBorders>
            <w:noWrap/>
            <w:vAlign w:val="center"/>
          </w:tcPr>
          <w:p>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注：本表反映部门本年度一般公共预算财政拨款、政府性基金预算财政拨款和国有资本经营预算财政拨款的总收支和年末结转结余情况。</w:t>
            </w:r>
          </w:p>
        </w:tc>
      </w:tr>
    </w:tbl>
    <w:p>
      <w:pPr>
        <w:rPr>
          <w:rFonts w:hint="eastAsia" w:ascii="仿宋_GB2312" w:hAnsi="宋体" w:eastAsia="仿宋_GB2312"/>
          <w:b/>
          <w:sz w:val="32"/>
          <w:szCs w:val="32"/>
        </w:rPr>
      </w:pPr>
      <w:r>
        <w:rPr>
          <w:rFonts w:hint="eastAsia" w:ascii="仿宋_GB2312" w:hAnsi="宋体" w:eastAsia="仿宋_GB2312"/>
          <w:b/>
          <w:sz w:val="32"/>
          <w:szCs w:val="32"/>
        </w:rPr>
        <w:t>备注：无内容应公开空表并说明情况。</w:t>
      </w:r>
    </w:p>
    <w:p>
      <w:pPr>
        <w:rPr>
          <w:rFonts w:hint="eastAsia" w:ascii="仿宋_GB2312" w:hAnsi="宋体" w:eastAsia="仿宋_GB2312"/>
          <w:b/>
          <w:sz w:val="32"/>
          <w:szCs w:val="32"/>
        </w:rPr>
      </w:pPr>
      <w:r>
        <w:rPr>
          <w:rFonts w:hint="eastAsia" w:ascii="仿宋_GB2312" w:hAnsi="宋体" w:eastAsia="仿宋_GB2312"/>
          <w:b/>
          <w:sz w:val="32"/>
          <w:szCs w:val="32"/>
        </w:rPr>
        <w:br w:type="page"/>
      </w:r>
    </w:p>
    <w:p>
      <w:pPr>
        <w:jc w:val="center"/>
        <w:rPr>
          <w:rFonts w:hint="eastAsia" w:ascii="宋体" w:hAnsi="宋体" w:eastAsia="宋体"/>
          <w:spacing w:val="-2"/>
          <w:sz w:val="20"/>
        </w:rPr>
      </w:pPr>
    </w:p>
    <w:tbl>
      <w:tblPr>
        <w:tblStyle w:val="11"/>
        <w:tblW w:w="13992" w:type="dxa"/>
        <w:tblInd w:w="0" w:type="dxa"/>
        <w:tblLayout w:type="fixed"/>
        <w:tblCellMar>
          <w:top w:w="0" w:type="dxa"/>
          <w:left w:w="108" w:type="dxa"/>
          <w:bottom w:w="0" w:type="dxa"/>
          <w:right w:w="108" w:type="dxa"/>
        </w:tblCellMar>
      </w:tblPr>
      <w:tblGrid>
        <w:gridCol w:w="1355"/>
        <w:gridCol w:w="2077"/>
        <w:gridCol w:w="1228"/>
        <w:gridCol w:w="2283"/>
        <w:gridCol w:w="2376"/>
        <w:gridCol w:w="1139"/>
        <w:gridCol w:w="3534"/>
      </w:tblGrid>
      <w:tr>
        <w:tblPrEx>
          <w:tblCellMar>
            <w:top w:w="0" w:type="dxa"/>
            <w:left w:w="108" w:type="dxa"/>
            <w:bottom w:w="0" w:type="dxa"/>
            <w:right w:w="108" w:type="dxa"/>
          </w:tblCellMar>
        </w:tblPrEx>
        <w:trPr>
          <w:trHeight w:val="550" w:hRule="atLeast"/>
        </w:trPr>
        <w:tc>
          <w:tcPr>
            <w:tcW w:w="13992" w:type="dxa"/>
            <w:gridSpan w:val="7"/>
            <w:tcBorders>
              <w:top w:val="nil"/>
              <w:left w:val="nil"/>
              <w:bottom w:val="nil"/>
              <w:right w:val="nil"/>
            </w:tcBorders>
            <w:noWrap/>
            <w:vAlign w:val="bottom"/>
          </w:tcPr>
          <w:p>
            <w:pPr>
              <w:widowControl/>
              <w:jc w:val="center"/>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t>一般公共预算财政拨款支出决算表</w:t>
            </w:r>
          </w:p>
        </w:tc>
      </w:tr>
      <w:tr>
        <w:tblPrEx>
          <w:tblCellMar>
            <w:top w:w="0" w:type="dxa"/>
            <w:left w:w="108" w:type="dxa"/>
            <w:bottom w:w="0" w:type="dxa"/>
            <w:right w:w="108" w:type="dxa"/>
          </w:tblCellMar>
        </w:tblPrEx>
        <w:trPr>
          <w:trHeight w:val="300" w:hRule="atLeast"/>
        </w:trPr>
        <w:tc>
          <w:tcPr>
            <w:tcW w:w="13992" w:type="dxa"/>
            <w:gridSpan w:val="7"/>
            <w:tcBorders>
              <w:top w:val="nil"/>
              <w:left w:val="nil"/>
              <w:bottom w:val="nil"/>
              <w:right w:val="nil"/>
            </w:tcBorders>
            <w:noWrap/>
            <w:vAlign w:val="bottom"/>
          </w:tcPr>
          <w:p>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方正仿宋_GB2312" w:cs="Times New Roman"/>
                <w:color w:val="000000"/>
                <w:sz w:val="18"/>
                <w:szCs w:val="18"/>
                <w:lang w:bidi="ar"/>
              </w:rPr>
              <w:t>05</w:t>
            </w:r>
            <w:r>
              <w:rPr>
                <w:rFonts w:hint="eastAsia" w:ascii="方正仿宋_GB2312" w:hAnsi="方正仿宋_GB2312" w:eastAsia="方正仿宋_GB2312" w:cs="方正仿宋_GB2312"/>
                <w:color w:val="000000"/>
                <w:sz w:val="18"/>
                <w:szCs w:val="18"/>
                <w:lang w:bidi="ar"/>
              </w:rPr>
              <w:t>表</w:t>
            </w:r>
          </w:p>
        </w:tc>
      </w:tr>
      <w:tr>
        <w:tblPrEx>
          <w:tblCellMar>
            <w:top w:w="0" w:type="dxa"/>
            <w:left w:w="108" w:type="dxa"/>
            <w:bottom w:w="0" w:type="dxa"/>
            <w:right w:w="108" w:type="dxa"/>
          </w:tblCellMar>
        </w:tblPrEx>
        <w:trPr>
          <w:trHeight w:val="300" w:hRule="atLeast"/>
        </w:trPr>
        <w:tc>
          <w:tcPr>
            <w:tcW w:w="4660" w:type="dxa"/>
            <w:gridSpan w:val="3"/>
            <w:tcBorders>
              <w:top w:val="nil"/>
              <w:left w:val="nil"/>
              <w:bottom w:val="single" w:color="auto" w:sz="4" w:space="0"/>
              <w:right w:val="nil"/>
            </w:tcBorders>
            <w:noWrap/>
            <w:vAlign w:val="bottom"/>
          </w:tcPr>
          <w:p>
            <w:pPr>
              <w:widowControl/>
              <w:jc w:val="lef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编制部门（单位）：石家庄市鹿泉区获鹿镇人民政府(本级)</w:t>
            </w:r>
          </w:p>
        </w:tc>
        <w:tc>
          <w:tcPr>
            <w:tcW w:w="4659" w:type="dxa"/>
            <w:gridSpan w:val="2"/>
            <w:tcBorders>
              <w:top w:val="nil"/>
              <w:left w:val="nil"/>
              <w:bottom w:val="single" w:color="auto" w:sz="4" w:space="0"/>
              <w:right w:val="nil"/>
            </w:tcBorders>
            <w:noWrap/>
            <w:vAlign w:val="bottom"/>
          </w:tcPr>
          <w:p>
            <w:pPr>
              <w:widowControl/>
              <w:jc w:val="center"/>
              <w:textAlignment w:val="bottom"/>
              <w:rPr>
                <w:rFonts w:hint="eastAsia" w:asciiTheme="minorEastAsia" w:hAnsiTheme="minorEastAsia" w:cstheme="minorEastAsia"/>
                <w:color w:val="000000"/>
                <w:sz w:val="18"/>
                <w:szCs w:val="18"/>
                <w:lang w:bidi="ar"/>
              </w:rPr>
            </w:pPr>
            <w:r>
              <w:rPr>
                <w:rFonts w:ascii="Times New Roman" w:hAnsi="Times New Roman" w:cs="Times New Roman"/>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4673" w:type="dxa"/>
            <w:gridSpan w:val="2"/>
            <w:tcBorders>
              <w:top w:val="nil"/>
              <w:left w:val="nil"/>
              <w:bottom w:val="single" w:color="auto" w:sz="4" w:space="0"/>
              <w:right w:val="nil"/>
            </w:tcBorders>
            <w:noWrap/>
            <w:vAlign w:val="bottom"/>
          </w:tcPr>
          <w:p>
            <w:pPr>
              <w:widowControl/>
              <w:jc w:val="right"/>
              <w:textAlignment w:val="bottom"/>
              <w:rPr>
                <w:rFonts w:hint="eastAsia" w:ascii="方正仿宋_GB2312" w:hAnsi="方正仿宋_GB2312" w:eastAsia="方正仿宋_GB2312" w:cs="方正仿宋_GB2312"/>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tblPrEx>
          <w:tblCellMar>
            <w:top w:w="0" w:type="dxa"/>
            <w:left w:w="108" w:type="dxa"/>
            <w:bottom w:w="0" w:type="dxa"/>
            <w:right w:w="108" w:type="dxa"/>
          </w:tblCellMar>
        </w:tblPrEx>
        <w:trPr>
          <w:trHeight w:val="445" w:hRule="atLeast"/>
        </w:trPr>
        <w:tc>
          <w:tcPr>
            <w:tcW w:w="3432"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10560" w:type="dxa"/>
            <w:gridSpan w:val="5"/>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本年支出</w:t>
            </w:r>
          </w:p>
        </w:tc>
      </w:tr>
      <w:tr>
        <w:tblPrEx>
          <w:tblCellMar>
            <w:top w:w="0" w:type="dxa"/>
            <w:left w:w="108" w:type="dxa"/>
            <w:bottom w:w="0" w:type="dxa"/>
            <w:right w:w="108" w:type="dxa"/>
          </w:tblCellMar>
        </w:tblPrEx>
        <w:trPr>
          <w:trHeight w:val="312" w:hRule="atLeast"/>
        </w:trPr>
        <w:tc>
          <w:tcPr>
            <w:tcW w:w="135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科目代码</w:t>
            </w:r>
          </w:p>
        </w:tc>
        <w:tc>
          <w:tcPr>
            <w:tcW w:w="207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3511"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3515"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基本支出</w:t>
            </w:r>
          </w:p>
        </w:tc>
        <w:tc>
          <w:tcPr>
            <w:tcW w:w="3534"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项目支出</w:t>
            </w:r>
          </w:p>
        </w:tc>
      </w:tr>
      <w:tr>
        <w:tblPrEx>
          <w:tblCellMar>
            <w:top w:w="0" w:type="dxa"/>
            <w:left w:w="108" w:type="dxa"/>
            <w:bottom w:w="0" w:type="dxa"/>
            <w:right w:w="108" w:type="dxa"/>
          </w:tblCellMar>
        </w:tblPrEx>
        <w:trPr>
          <w:trHeight w:val="312" w:hRule="atLeast"/>
        </w:trPr>
        <w:tc>
          <w:tcPr>
            <w:tcW w:w="135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18"/>
                <w:szCs w:val="18"/>
              </w:rPr>
            </w:pPr>
          </w:p>
        </w:tc>
        <w:tc>
          <w:tcPr>
            <w:tcW w:w="207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18"/>
                <w:szCs w:val="18"/>
              </w:rPr>
            </w:pPr>
          </w:p>
        </w:tc>
        <w:tc>
          <w:tcPr>
            <w:tcW w:w="3511"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18"/>
                <w:szCs w:val="18"/>
              </w:rPr>
            </w:pPr>
          </w:p>
        </w:tc>
        <w:tc>
          <w:tcPr>
            <w:tcW w:w="3515"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18"/>
                <w:szCs w:val="18"/>
              </w:rPr>
            </w:pPr>
          </w:p>
        </w:tc>
        <w:tc>
          <w:tcPr>
            <w:tcW w:w="3534"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18"/>
                <w:szCs w:val="18"/>
              </w:rPr>
            </w:pPr>
          </w:p>
        </w:tc>
      </w:tr>
      <w:tr>
        <w:tblPrEx>
          <w:tblCellMar>
            <w:top w:w="0" w:type="dxa"/>
            <w:left w:w="108" w:type="dxa"/>
            <w:bottom w:w="0" w:type="dxa"/>
            <w:right w:w="108" w:type="dxa"/>
          </w:tblCellMar>
        </w:tblPrEx>
        <w:trPr>
          <w:trHeight w:val="312" w:hRule="atLeast"/>
        </w:trPr>
        <w:tc>
          <w:tcPr>
            <w:tcW w:w="135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18"/>
                <w:szCs w:val="18"/>
              </w:rPr>
            </w:pPr>
          </w:p>
        </w:tc>
        <w:tc>
          <w:tcPr>
            <w:tcW w:w="207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18"/>
                <w:szCs w:val="18"/>
              </w:rPr>
            </w:pPr>
          </w:p>
        </w:tc>
        <w:tc>
          <w:tcPr>
            <w:tcW w:w="3511"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18"/>
                <w:szCs w:val="18"/>
              </w:rPr>
            </w:pPr>
          </w:p>
        </w:tc>
        <w:tc>
          <w:tcPr>
            <w:tcW w:w="3515"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18"/>
                <w:szCs w:val="18"/>
              </w:rPr>
            </w:pPr>
          </w:p>
        </w:tc>
        <w:tc>
          <w:tcPr>
            <w:tcW w:w="3534"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18"/>
                <w:szCs w:val="18"/>
              </w:rPr>
            </w:pPr>
          </w:p>
        </w:tc>
      </w:tr>
      <w:tr>
        <w:tblPrEx>
          <w:tblCellMar>
            <w:top w:w="0" w:type="dxa"/>
            <w:left w:w="108" w:type="dxa"/>
            <w:bottom w:w="0" w:type="dxa"/>
            <w:right w:w="108" w:type="dxa"/>
          </w:tblCellMar>
        </w:tblPrEx>
        <w:trPr>
          <w:trHeight w:val="308" w:hRule="atLeast"/>
        </w:trPr>
        <w:tc>
          <w:tcPr>
            <w:tcW w:w="3432"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栏次</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rPr>
              <w:t>1</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rPr>
              <w:t>2</w:t>
            </w:r>
          </w:p>
        </w:tc>
        <w:tc>
          <w:tcPr>
            <w:tcW w:w="353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rPr>
              <w:t>3</w:t>
            </w:r>
          </w:p>
        </w:tc>
      </w:tr>
      <w:tr>
        <w:tblPrEx>
          <w:tblCellMar>
            <w:top w:w="0" w:type="dxa"/>
            <w:left w:w="108" w:type="dxa"/>
            <w:bottom w:w="0" w:type="dxa"/>
            <w:right w:w="108" w:type="dxa"/>
          </w:tblCellMar>
        </w:tblPrEx>
        <w:trPr>
          <w:trHeight w:val="308" w:hRule="atLeast"/>
        </w:trPr>
        <w:tc>
          <w:tcPr>
            <w:tcW w:w="3432"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6,411.23</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2,490.87</w:t>
            </w:r>
          </w:p>
        </w:tc>
        <w:tc>
          <w:tcPr>
            <w:tcW w:w="353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3,920.36</w:t>
            </w: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w:t>
            </w:r>
          </w:p>
        </w:tc>
        <w:tc>
          <w:tcPr>
            <w:tcW w:w="2077"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一般公共服务支出</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3,074.04</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1,830.77</w:t>
            </w:r>
          </w:p>
        </w:tc>
        <w:tc>
          <w:tcPr>
            <w:tcW w:w="353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1,243.27</w:t>
            </w: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20103</w:t>
            </w:r>
          </w:p>
        </w:tc>
        <w:tc>
          <w:tcPr>
            <w:tcW w:w="2077"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政府办公厅（室）及相关机构事务</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3,074.04</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1,830.77</w:t>
            </w:r>
          </w:p>
        </w:tc>
        <w:tc>
          <w:tcPr>
            <w:tcW w:w="353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1,243.27</w:t>
            </w: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2010301</w:t>
            </w:r>
          </w:p>
        </w:tc>
        <w:tc>
          <w:tcPr>
            <w:tcW w:w="2077"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行政运行</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1,804.04</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1,804.04</w:t>
            </w:r>
          </w:p>
        </w:tc>
        <w:tc>
          <w:tcPr>
            <w:tcW w:w="353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2010302</w:t>
            </w:r>
          </w:p>
        </w:tc>
        <w:tc>
          <w:tcPr>
            <w:tcW w:w="2077"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一般行政管理事务</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1,270.00</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26.73</w:t>
            </w:r>
          </w:p>
        </w:tc>
        <w:tc>
          <w:tcPr>
            <w:tcW w:w="353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1,243.27</w:t>
            </w: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204</w:t>
            </w:r>
          </w:p>
        </w:tc>
        <w:tc>
          <w:tcPr>
            <w:tcW w:w="2077"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公共安全支出</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279.58</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1.70</w:t>
            </w:r>
          </w:p>
        </w:tc>
        <w:tc>
          <w:tcPr>
            <w:tcW w:w="353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277.87</w:t>
            </w: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20402</w:t>
            </w:r>
          </w:p>
        </w:tc>
        <w:tc>
          <w:tcPr>
            <w:tcW w:w="2077"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公安</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279.58</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1.70</w:t>
            </w:r>
          </w:p>
        </w:tc>
        <w:tc>
          <w:tcPr>
            <w:tcW w:w="353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277.87</w:t>
            </w: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2040202</w:t>
            </w:r>
          </w:p>
        </w:tc>
        <w:tc>
          <w:tcPr>
            <w:tcW w:w="2077"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一般行政管理事务</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279.58</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1.70</w:t>
            </w:r>
          </w:p>
        </w:tc>
        <w:tc>
          <w:tcPr>
            <w:tcW w:w="353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277.87</w:t>
            </w: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205</w:t>
            </w:r>
          </w:p>
        </w:tc>
        <w:tc>
          <w:tcPr>
            <w:tcW w:w="2077"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教育支出</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345.76</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35.03</w:t>
            </w:r>
          </w:p>
        </w:tc>
        <w:tc>
          <w:tcPr>
            <w:tcW w:w="353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310.73</w:t>
            </w: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20509</w:t>
            </w:r>
          </w:p>
        </w:tc>
        <w:tc>
          <w:tcPr>
            <w:tcW w:w="2077"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教育费附加安排的支出</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15.76</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353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15.76</w:t>
            </w: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2050999</w:t>
            </w:r>
          </w:p>
        </w:tc>
        <w:tc>
          <w:tcPr>
            <w:tcW w:w="2077"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其他教育费附加安排的支出</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15.76</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353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15.76</w:t>
            </w: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20599</w:t>
            </w:r>
          </w:p>
        </w:tc>
        <w:tc>
          <w:tcPr>
            <w:tcW w:w="2077"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其他教育支出</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330.00</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35.03</w:t>
            </w:r>
          </w:p>
        </w:tc>
        <w:tc>
          <w:tcPr>
            <w:tcW w:w="353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294.97</w:t>
            </w: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2059999</w:t>
            </w:r>
          </w:p>
        </w:tc>
        <w:tc>
          <w:tcPr>
            <w:tcW w:w="2077"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其他教育支出</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330.00</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35.03</w:t>
            </w:r>
          </w:p>
        </w:tc>
        <w:tc>
          <w:tcPr>
            <w:tcW w:w="353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294.97</w:t>
            </w: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207</w:t>
            </w:r>
          </w:p>
        </w:tc>
        <w:tc>
          <w:tcPr>
            <w:tcW w:w="2077"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文化旅游体育与传媒支出</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20.00</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353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20.00</w:t>
            </w: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20799</w:t>
            </w:r>
          </w:p>
        </w:tc>
        <w:tc>
          <w:tcPr>
            <w:tcW w:w="2077"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其他文化旅游体育与传媒支出</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20.00</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353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20.00</w:t>
            </w: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2079999</w:t>
            </w:r>
          </w:p>
        </w:tc>
        <w:tc>
          <w:tcPr>
            <w:tcW w:w="2077"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其他文化旅游体育与传媒支出</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20.00</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353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20.00</w:t>
            </w: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w:t>
            </w:r>
          </w:p>
        </w:tc>
        <w:tc>
          <w:tcPr>
            <w:tcW w:w="2077"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社会保障和就业支出</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464.48</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338.22</w:t>
            </w:r>
          </w:p>
        </w:tc>
        <w:tc>
          <w:tcPr>
            <w:tcW w:w="353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126.26</w:t>
            </w: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20805</w:t>
            </w:r>
          </w:p>
        </w:tc>
        <w:tc>
          <w:tcPr>
            <w:tcW w:w="2077"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行政事业单位养老支出</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338.22</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338.22</w:t>
            </w:r>
          </w:p>
        </w:tc>
        <w:tc>
          <w:tcPr>
            <w:tcW w:w="353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2080501</w:t>
            </w:r>
          </w:p>
        </w:tc>
        <w:tc>
          <w:tcPr>
            <w:tcW w:w="2077"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行政单位离退休</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181.14</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181.14</w:t>
            </w:r>
          </w:p>
        </w:tc>
        <w:tc>
          <w:tcPr>
            <w:tcW w:w="353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2080505</w:t>
            </w:r>
          </w:p>
        </w:tc>
        <w:tc>
          <w:tcPr>
            <w:tcW w:w="2077"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机关事业单位基本养老保险缴费支出</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157.08</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157.08</w:t>
            </w:r>
          </w:p>
        </w:tc>
        <w:tc>
          <w:tcPr>
            <w:tcW w:w="353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20809</w:t>
            </w:r>
          </w:p>
        </w:tc>
        <w:tc>
          <w:tcPr>
            <w:tcW w:w="2077"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退役安置</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126.26</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353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126.26</w:t>
            </w: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2080901</w:t>
            </w:r>
          </w:p>
        </w:tc>
        <w:tc>
          <w:tcPr>
            <w:tcW w:w="2077"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退役士兵安置</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126.26</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353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126.26</w:t>
            </w: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w:t>
            </w:r>
          </w:p>
        </w:tc>
        <w:tc>
          <w:tcPr>
            <w:tcW w:w="2077"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卫生健康支出</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206.75</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116.75</w:t>
            </w:r>
          </w:p>
        </w:tc>
        <w:tc>
          <w:tcPr>
            <w:tcW w:w="353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90.00</w:t>
            </w: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21004</w:t>
            </w:r>
          </w:p>
        </w:tc>
        <w:tc>
          <w:tcPr>
            <w:tcW w:w="2077"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公共卫生</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90.00</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353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90.00</w:t>
            </w: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2100499</w:t>
            </w:r>
          </w:p>
        </w:tc>
        <w:tc>
          <w:tcPr>
            <w:tcW w:w="2077"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其他公共卫生支出</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90.00</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353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90.00</w:t>
            </w: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21011</w:t>
            </w:r>
          </w:p>
        </w:tc>
        <w:tc>
          <w:tcPr>
            <w:tcW w:w="2077"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行政事业单位医疗</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116.75</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116.75</w:t>
            </w:r>
          </w:p>
        </w:tc>
        <w:tc>
          <w:tcPr>
            <w:tcW w:w="353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2101101</w:t>
            </w:r>
          </w:p>
        </w:tc>
        <w:tc>
          <w:tcPr>
            <w:tcW w:w="2077"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行政单位医疗</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116.75</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116.75</w:t>
            </w:r>
          </w:p>
        </w:tc>
        <w:tc>
          <w:tcPr>
            <w:tcW w:w="353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211</w:t>
            </w:r>
          </w:p>
        </w:tc>
        <w:tc>
          <w:tcPr>
            <w:tcW w:w="2077"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节能环保支出</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80.00</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353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80.00</w:t>
            </w: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21103</w:t>
            </w:r>
          </w:p>
        </w:tc>
        <w:tc>
          <w:tcPr>
            <w:tcW w:w="2077"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污染防治</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80.00</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353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80.00</w:t>
            </w: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2110301</w:t>
            </w:r>
          </w:p>
        </w:tc>
        <w:tc>
          <w:tcPr>
            <w:tcW w:w="2077"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大气</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80.00</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353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80.00</w:t>
            </w: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w:t>
            </w:r>
          </w:p>
        </w:tc>
        <w:tc>
          <w:tcPr>
            <w:tcW w:w="2077"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城乡社区支出</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1,675.46</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353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1,675.46</w:t>
            </w: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21201</w:t>
            </w:r>
          </w:p>
        </w:tc>
        <w:tc>
          <w:tcPr>
            <w:tcW w:w="2077"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城乡社区管理事务</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329.00</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353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329.00</w:t>
            </w: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2120102</w:t>
            </w:r>
          </w:p>
        </w:tc>
        <w:tc>
          <w:tcPr>
            <w:tcW w:w="2077"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一般行政管理事务</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29.00</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353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29.00</w:t>
            </w: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2120199</w:t>
            </w:r>
          </w:p>
        </w:tc>
        <w:tc>
          <w:tcPr>
            <w:tcW w:w="2077"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其他城乡社区管理事务支出</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300.00</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353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300.00</w:t>
            </w: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21203</w:t>
            </w:r>
          </w:p>
        </w:tc>
        <w:tc>
          <w:tcPr>
            <w:tcW w:w="2077"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城乡社区公共设施</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205.99</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353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205.99</w:t>
            </w: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2120399</w:t>
            </w:r>
          </w:p>
        </w:tc>
        <w:tc>
          <w:tcPr>
            <w:tcW w:w="2077"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其他城乡社区公共设施支出</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205.99</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353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205.99</w:t>
            </w: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21205</w:t>
            </w:r>
          </w:p>
        </w:tc>
        <w:tc>
          <w:tcPr>
            <w:tcW w:w="2077"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城乡社区环境卫生</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697.69</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353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697.69</w:t>
            </w: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2120501</w:t>
            </w:r>
          </w:p>
        </w:tc>
        <w:tc>
          <w:tcPr>
            <w:tcW w:w="2077"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城乡社区环境卫生</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697.69</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353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697.69</w:t>
            </w: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21299</w:t>
            </w:r>
          </w:p>
        </w:tc>
        <w:tc>
          <w:tcPr>
            <w:tcW w:w="2077"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其他城乡社区支出</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442.79</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353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442.79</w:t>
            </w: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2129999</w:t>
            </w:r>
          </w:p>
        </w:tc>
        <w:tc>
          <w:tcPr>
            <w:tcW w:w="2077"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其他城乡社区支出</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442.79</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353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442.79</w:t>
            </w: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213</w:t>
            </w:r>
          </w:p>
        </w:tc>
        <w:tc>
          <w:tcPr>
            <w:tcW w:w="2077"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农林水支出</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96.77</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353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96.77</w:t>
            </w: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21307</w:t>
            </w:r>
          </w:p>
        </w:tc>
        <w:tc>
          <w:tcPr>
            <w:tcW w:w="2077"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农村综合改革</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14.96</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353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14.96</w:t>
            </w: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2130701</w:t>
            </w:r>
          </w:p>
        </w:tc>
        <w:tc>
          <w:tcPr>
            <w:tcW w:w="2077"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对村级公益事业建设的补助</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14.96</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353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14.96</w:t>
            </w: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21399</w:t>
            </w:r>
          </w:p>
        </w:tc>
        <w:tc>
          <w:tcPr>
            <w:tcW w:w="2077"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其他农林水支出</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81.81</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353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81.81</w:t>
            </w: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2139999</w:t>
            </w:r>
          </w:p>
        </w:tc>
        <w:tc>
          <w:tcPr>
            <w:tcW w:w="2077"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其他农林水支出</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81.81</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c>
          <w:tcPr>
            <w:tcW w:w="353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81.81</w:t>
            </w: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221</w:t>
            </w:r>
          </w:p>
        </w:tc>
        <w:tc>
          <w:tcPr>
            <w:tcW w:w="2077"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住房保障支出</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168.39</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168.39</w:t>
            </w:r>
          </w:p>
        </w:tc>
        <w:tc>
          <w:tcPr>
            <w:tcW w:w="353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22102</w:t>
            </w:r>
          </w:p>
        </w:tc>
        <w:tc>
          <w:tcPr>
            <w:tcW w:w="2077"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住房改革支出</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168.39</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168.39</w:t>
            </w:r>
          </w:p>
        </w:tc>
        <w:tc>
          <w:tcPr>
            <w:tcW w:w="353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2210201</w:t>
            </w:r>
          </w:p>
        </w:tc>
        <w:tc>
          <w:tcPr>
            <w:tcW w:w="2077"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住房公积金</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168.39</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168.39</w:t>
            </w:r>
          </w:p>
        </w:tc>
        <w:tc>
          <w:tcPr>
            <w:tcW w:w="3534"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13992" w:type="dxa"/>
            <w:gridSpan w:val="7"/>
            <w:tcBorders>
              <w:top w:val="single" w:color="auto" w:sz="4" w:space="0"/>
              <w:left w:val="nil"/>
              <w:bottom w:val="nil"/>
              <w:right w:val="nil"/>
            </w:tcBorders>
            <w:noWrap/>
            <w:vAlign w:val="center"/>
          </w:tcPr>
          <w:p>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注：本表反映部门本年度一般公共预算财政拨款支出情况。</w:t>
            </w:r>
          </w:p>
        </w:tc>
      </w:tr>
    </w:tbl>
    <w:p>
      <w:pPr>
        <w:rPr>
          <w:rFonts w:hint="eastAsia" w:ascii="仿宋_GB2312" w:hAnsi="宋体" w:eastAsia="仿宋_GB2312"/>
          <w:b/>
          <w:sz w:val="32"/>
          <w:szCs w:val="32"/>
        </w:rPr>
      </w:pPr>
      <w:r>
        <w:rPr>
          <w:rFonts w:hint="eastAsia" w:ascii="仿宋_GB2312" w:hAnsi="宋体" w:eastAsia="仿宋_GB2312"/>
          <w:b/>
          <w:sz w:val="32"/>
          <w:szCs w:val="32"/>
        </w:rPr>
        <w:t>备注：无内容应公开空表并说明情况。</w:t>
      </w:r>
    </w:p>
    <w:p>
      <w:pPr>
        <w:rPr>
          <w:rFonts w:hint="eastAsia" w:ascii="仿宋_GB2312" w:hAnsi="宋体" w:eastAsia="仿宋_GB2312"/>
          <w:b/>
          <w:sz w:val="32"/>
          <w:szCs w:val="32"/>
        </w:rPr>
      </w:pPr>
      <w:r>
        <w:rPr>
          <w:rFonts w:hint="eastAsia" w:ascii="仿宋_GB2312" w:hAnsi="宋体" w:eastAsia="仿宋_GB2312"/>
          <w:b/>
          <w:sz w:val="32"/>
          <w:szCs w:val="32"/>
        </w:rPr>
        <w:br w:type="page"/>
      </w:r>
    </w:p>
    <w:tbl>
      <w:tblPr>
        <w:tblStyle w:val="11"/>
        <w:tblW w:w="14009" w:type="dxa"/>
        <w:tblInd w:w="0" w:type="dxa"/>
        <w:tblLayout w:type="fixed"/>
        <w:tblCellMar>
          <w:top w:w="0" w:type="dxa"/>
          <w:left w:w="108" w:type="dxa"/>
          <w:bottom w:w="0" w:type="dxa"/>
          <w:right w:w="108" w:type="dxa"/>
        </w:tblCellMar>
      </w:tblPr>
      <w:tblGrid>
        <w:gridCol w:w="738"/>
        <w:gridCol w:w="2324"/>
        <w:gridCol w:w="1648"/>
        <w:gridCol w:w="1203"/>
        <w:gridCol w:w="325"/>
        <w:gridCol w:w="1364"/>
        <w:gridCol w:w="1067"/>
        <w:gridCol w:w="981"/>
        <w:gridCol w:w="2401"/>
        <w:gridCol w:w="1936"/>
        <w:gridCol w:w="22"/>
      </w:tblGrid>
      <w:tr>
        <w:tblPrEx>
          <w:tblCellMar>
            <w:top w:w="0" w:type="dxa"/>
            <w:left w:w="108" w:type="dxa"/>
            <w:bottom w:w="0" w:type="dxa"/>
            <w:right w:w="108" w:type="dxa"/>
          </w:tblCellMar>
        </w:tblPrEx>
        <w:trPr>
          <w:gridAfter w:val="1"/>
          <w:wAfter w:w="22" w:type="dxa"/>
          <w:trHeight w:val="624" w:hRule="atLeast"/>
        </w:trPr>
        <w:tc>
          <w:tcPr>
            <w:tcW w:w="13987" w:type="dxa"/>
            <w:gridSpan w:val="10"/>
            <w:tcBorders>
              <w:top w:val="nil"/>
              <w:left w:val="nil"/>
              <w:bottom w:val="nil"/>
              <w:right w:val="nil"/>
            </w:tcBorders>
            <w:noWrap/>
            <w:vAlign w:val="bottom"/>
          </w:tcPr>
          <w:p>
            <w:pPr>
              <w:widowControl/>
              <w:jc w:val="center"/>
              <w:textAlignment w:val="bottom"/>
              <w:rPr>
                <w:rFonts w:hint="eastAsia" w:asciiTheme="minorEastAsia" w:hAnsiTheme="minorEastAsia" w:cstheme="minorEastAsia"/>
                <w:color w:val="000000"/>
                <w:sz w:val="18"/>
                <w:szCs w:val="18"/>
              </w:rPr>
            </w:pPr>
            <w:r>
              <w:rPr>
                <w:rFonts w:hint="eastAsia" w:ascii="方正仿宋_GB2312" w:hAnsi="方正仿宋_GB2312" w:eastAsia="方正仿宋_GB2312" w:cs="方正仿宋_GB2312"/>
                <w:bCs/>
                <w:sz w:val="32"/>
                <w:szCs w:val="32"/>
              </w:rPr>
              <w:t>一般公共预算财政拨款基本支出决算表</w:t>
            </w:r>
          </w:p>
        </w:tc>
      </w:tr>
      <w:tr>
        <w:tblPrEx>
          <w:tblCellMar>
            <w:top w:w="0" w:type="dxa"/>
            <w:left w:w="108" w:type="dxa"/>
            <w:bottom w:w="0" w:type="dxa"/>
            <w:right w:w="108" w:type="dxa"/>
          </w:tblCellMar>
        </w:tblPrEx>
        <w:trPr>
          <w:gridAfter w:val="1"/>
          <w:wAfter w:w="22" w:type="dxa"/>
          <w:trHeight w:val="300" w:hRule="atLeast"/>
        </w:trPr>
        <w:tc>
          <w:tcPr>
            <w:tcW w:w="13987" w:type="dxa"/>
            <w:gridSpan w:val="10"/>
            <w:tcBorders>
              <w:top w:val="nil"/>
              <w:left w:val="nil"/>
              <w:bottom w:val="nil"/>
              <w:right w:val="nil"/>
            </w:tcBorders>
            <w:noWrap/>
            <w:vAlign w:val="bottom"/>
          </w:tcPr>
          <w:p>
            <w:pPr>
              <w:widowControl/>
              <w:jc w:val="right"/>
              <w:textAlignment w:val="bottom"/>
              <w:rPr>
                <w:rFonts w:hint="eastAsia"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方正仿宋_GB2312" w:cs="Times New Roman"/>
                <w:color w:val="000000"/>
                <w:sz w:val="18"/>
                <w:szCs w:val="18"/>
                <w:lang w:bidi="ar"/>
              </w:rPr>
              <w:t>06</w:t>
            </w:r>
            <w:r>
              <w:rPr>
                <w:rFonts w:hint="eastAsia" w:ascii="方正仿宋_GB2312" w:hAnsi="方正仿宋_GB2312" w:eastAsia="方正仿宋_GB2312" w:cs="方正仿宋_GB2312"/>
                <w:color w:val="000000"/>
                <w:sz w:val="18"/>
                <w:szCs w:val="18"/>
                <w:lang w:bidi="ar"/>
              </w:rPr>
              <w:t>表</w:t>
            </w:r>
          </w:p>
        </w:tc>
      </w:tr>
      <w:tr>
        <w:tblPrEx>
          <w:tblCellMar>
            <w:top w:w="0" w:type="dxa"/>
            <w:left w:w="108" w:type="dxa"/>
            <w:bottom w:w="0" w:type="dxa"/>
            <w:right w:w="108" w:type="dxa"/>
          </w:tblCellMar>
        </w:tblPrEx>
        <w:trPr>
          <w:trHeight w:val="90" w:hRule="atLeast"/>
        </w:trPr>
        <w:tc>
          <w:tcPr>
            <w:tcW w:w="6238" w:type="dxa"/>
            <w:gridSpan w:val="5"/>
            <w:tcBorders>
              <w:top w:val="nil"/>
              <w:left w:val="nil"/>
              <w:bottom w:val="single" w:color="auto" w:sz="4" w:space="0"/>
              <w:right w:val="nil"/>
            </w:tcBorders>
            <w:noWrap/>
            <w:vAlign w:val="bottom"/>
          </w:tcPr>
          <w:p>
            <w:pPr>
              <w:rPr>
                <w:rFonts w:hint="eastAsia"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lang w:bidi="ar"/>
              </w:rPr>
              <w:t xml:space="preserve">编制部门（单位）：石家庄市鹿泉区获鹿镇人民政府(本级) </w:t>
            </w:r>
            <w:r>
              <w:rPr>
                <w:rFonts w:hint="eastAsia" w:asciiTheme="minorEastAsia" w:hAnsiTheme="minorEastAsia" w:cstheme="minorEastAsia"/>
                <w:color w:val="000000"/>
                <w:sz w:val="18"/>
                <w:szCs w:val="18"/>
                <w:lang w:bidi="ar"/>
              </w:rPr>
              <w:t xml:space="preserve">                                                                   </w:t>
            </w:r>
          </w:p>
        </w:tc>
        <w:tc>
          <w:tcPr>
            <w:tcW w:w="3412" w:type="dxa"/>
            <w:gridSpan w:val="3"/>
            <w:tcBorders>
              <w:top w:val="nil"/>
              <w:left w:val="nil"/>
              <w:bottom w:val="single" w:color="auto" w:sz="4" w:space="0"/>
              <w:right w:val="nil"/>
            </w:tcBorders>
            <w:noWrap/>
            <w:vAlign w:val="bottom"/>
          </w:tcPr>
          <w:p>
            <w:pPr>
              <w:jc w:val="center"/>
              <w:rPr>
                <w:rFonts w:hint="eastAsia" w:asciiTheme="minorEastAsia" w:hAnsiTheme="minorEastAsia" w:cstheme="minorEastAsia"/>
                <w:color w:val="000000"/>
                <w:sz w:val="18"/>
                <w:szCs w:val="18"/>
                <w:lang w:bidi="ar"/>
              </w:rPr>
            </w:pPr>
            <w:r>
              <w:rPr>
                <w:rFonts w:hint="eastAsia" w:asciiTheme="minorEastAsia" w:hAnsiTheme="minorEastAsia" w:cstheme="minorEastAsia"/>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4359" w:type="dxa"/>
            <w:gridSpan w:val="3"/>
            <w:tcBorders>
              <w:top w:val="nil"/>
              <w:left w:val="nil"/>
              <w:bottom w:val="single" w:color="auto" w:sz="4" w:space="0"/>
              <w:right w:val="nil"/>
            </w:tcBorders>
            <w:noWrap/>
            <w:vAlign w:val="bottom"/>
          </w:tcPr>
          <w:p>
            <w:pPr>
              <w:jc w:val="right"/>
              <w:rPr>
                <w:rFonts w:hint="eastAsia" w:asciiTheme="minorEastAsia" w:hAnsiTheme="minorEastAsia" w:cstheme="minorEastAsia"/>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tblPrEx>
          <w:tblCellMar>
            <w:top w:w="0" w:type="dxa"/>
            <w:left w:w="108" w:type="dxa"/>
            <w:bottom w:w="0" w:type="dxa"/>
            <w:right w:w="108" w:type="dxa"/>
          </w:tblCellMar>
        </w:tblPrEx>
        <w:trPr>
          <w:gridAfter w:val="1"/>
          <w:wAfter w:w="22" w:type="dxa"/>
          <w:trHeight w:val="510" w:hRule="atLeast"/>
        </w:trPr>
        <w:tc>
          <w:tcPr>
            <w:tcW w:w="5913" w:type="dxa"/>
            <w:gridSpan w:val="4"/>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人员经费</w:t>
            </w:r>
          </w:p>
        </w:tc>
        <w:tc>
          <w:tcPr>
            <w:tcW w:w="8074" w:type="dxa"/>
            <w:gridSpan w:val="6"/>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公用经费</w:t>
            </w: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科目代码</w:t>
            </w:r>
          </w:p>
        </w:tc>
        <w:tc>
          <w:tcPr>
            <w:tcW w:w="232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164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金额</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106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金额</w:t>
            </w: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240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193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金额</w:t>
            </w: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w:t>
            </w:r>
          </w:p>
        </w:tc>
        <w:tc>
          <w:tcPr>
            <w:tcW w:w="2324"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工资福利支出</w:t>
            </w:r>
          </w:p>
        </w:tc>
        <w:tc>
          <w:tcPr>
            <w:tcW w:w="1648"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cstheme="minorEastAsia"/>
                <w:color w:val="000000"/>
                <w:sz w:val="18"/>
                <w:szCs w:val="18"/>
              </w:rPr>
            </w:pPr>
            <w:r>
              <w:rPr>
                <w:rFonts w:hint="eastAsia" w:ascii="Times New Roman" w:hAnsi="Times New Roman" w:cs="Times New Roman"/>
                <w:sz w:val="18"/>
                <w:szCs w:val="18"/>
              </w:rPr>
              <w:t>1,701.84</w:t>
            </w:r>
          </w:p>
        </w:tc>
        <w:tc>
          <w:tcPr>
            <w:tcW w:w="12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商品和服务支出</w:t>
            </w:r>
          </w:p>
        </w:tc>
        <w:tc>
          <w:tcPr>
            <w:tcW w:w="1067"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cstheme="minorEastAsia"/>
                <w:color w:val="000000"/>
                <w:sz w:val="18"/>
                <w:szCs w:val="18"/>
              </w:rPr>
            </w:pPr>
            <w:r>
              <w:rPr>
                <w:rFonts w:hint="eastAsia" w:ascii="Times New Roman" w:hAnsi="Times New Roman" w:cs="Times New Roman"/>
                <w:sz w:val="18"/>
                <w:szCs w:val="18"/>
              </w:rPr>
              <w:t>580.84</w:t>
            </w:r>
          </w:p>
        </w:tc>
        <w:tc>
          <w:tcPr>
            <w:tcW w:w="98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307</w:t>
            </w:r>
          </w:p>
        </w:tc>
        <w:tc>
          <w:tcPr>
            <w:tcW w:w="2401"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债务利息及费用支出</w:t>
            </w:r>
          </w:p>
        </w:tc>
        <w:tc>
          <w:tcPr>
            <w:tcW w:w="1936"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30101</w:t>
            </w:r>
          </w:p>
        </w:tc>
        <w:tc>
          <w:tcPr>
            <w:tcW w:w="2324"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基本工资</w:t>
            </w:r>
          </w:p>
        </w:tc>
        <w:tc>
          <w:tcPr>
            <w:tcW w:w="1648"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cstheme="minorEastAsia"/>
                <w:color w:val="000000"/>
                <w:sz w:val="18"/>
                <w:szCs w:val="18"/>
              </w:rPr>
            </w:pPr>
            <w:r>
              <w:rPr>
                <w:rFonts w:hint="eastAsia" w:ascii="Times New Roman" w:hAnsi="Times New Roman" w:cs="Times New Roman"/>
                <w:sz w:val="18"/>
                <w:szCs w:val="18"/>
              </w:rPr>
              <w:t>537.04</w:t>
            </w:r>
          </w:p>
        </w:tc>
        <w:tc>
          <w:tcPr>
            <w:tcW w:w="12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30201</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办公费</w:t>
            </w:r>
          </w:p>
        </w:tc>
        <w:tc>
          <w:tcPr>
            <w:tcW w:w="1067"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24.74</w:t>
            </w:r>
          </w:p>
        </w:tc>
        <w:tc>
          <w:tcPr>
            <w:tcW w:w="98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30701</w:t>
            </w:r>
          </w:p>
        </w:tc>
        <w:tc>
          <w:tcPr>
            <w:tcW w:w="2401"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国内债务付息</w:t>
            </w:r>
          </w:p>
        </w:tc>
        <w:tc>
          <w:tcPr>
            <w:tcW w:w="1936"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30102</w:t>
            </w:r>
          </w:p>
        </w:tc>
        <w:tc>
          <w:tcPr>
            <w:tcW w:w="2324"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津贴补贴</w:t>
            </w:r>
          </w:p>
        </w:tc>
        <w:tc>
          <w:tcPr>
            <w:tcW w:w="1648"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cstheme="minorEastAsia"/>
                <w:color w:val="000000"/>
                <w:sz w:val="18"/>
                <w:szCs w:val="18"/>
              </w:rPr>
            </w:pPr>
            <w:r>
              <w:rPr>
                <w:rFonts w:hint="eastAsia" w:ascii="Times New Roman" w:hAnsi="Times New Roman" w:cs="Times New Roman"/>
                <w:sz w:val="18"/>
                <w:szCs w:val="18"/>
              </w:rPr>
              <w:t>229.30</w:t>
            </w:r>
          </w:p>
        </w:tc>
        <w:tc>
          <w:tcPr>
            <w:tcW w:w="12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30202</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印刷费</w:t>
            </w:r>
          </w:p>
        </w:tc>
        <w:tc>
          <w:tcPr>
            <w:tcW w:w="1067"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98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30702</w:t>
            </w:r>
          </w:p>
        </w:tc>
        <w:tc>
          <w:tcPr>
            <w:tcW w:w="2401"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国外债务付息</w:t>
            </w:r>
          </w:p>
        </w:tc>
        <w:tc>
          <w:tcPr>
            <w:tcW w:w="1936"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30103</w:t>
            </w:r>
          </w:p>
        </w:tc>
        <w:tc>
          <w:tcPr>
            <w:tcW w:w="2324"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奖金</w:t>
            </w:r>
          </w:p>
        </w:tc>
        <w:tc>
          <w:tcPr>
            <w:tcW w:w="1648"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cstheme="minorEastAsia"/>
                <w:color w:val="000000"/>
                <w:sz w:val="18"/>
                <w:szCs w:val="18"/>
              </w:rPr>
            </w:pPr>
            <w:r>
              <w:rPr>
                <w:rFonts w:hint="eastAsia" w:ascii="Times New Roman" w:hAnsi="Times New Roman" w:cs="Times New Roman"/>
                <w:sz w:val="18"/>
                <w:szCs w:val="18"/>
              </w:rPr>
              <w:t>435.64</w:t>
            </w:r>
          </w:p>
        </w:tc>
        <w:tc>
          <w:tcPr>
            <w:tcW w:w="12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30203</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咨询费</w:t>
            </w:r>
          </w:p>
        </w:tc>
        <w:tc>
          <w:tcPr>
            <w:tcW w:w="1067"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98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w:t>
            </w:r>
          </w:p>
        </w:tc>
        <w:tc>
          <w:tcPr>
            <w:tcW w:w="2401"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资本性支出</w:t>
            </w:r>
          </w:p>
        </w:tc>
        <w:tc>
          <w:tcPr>
            <w:tcW w:w="1936"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30106</w:t>
            </w:r>
          </w:p>
        </w:tc>
        <w:tc>
          <w:tcPr>
            <w:tcW w:w="2324"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伙食补助费</w:t>
            </w:r>
          </w:p>
        </w:tc>
        <w:tc>
          <w:tcPr>
            <w:tcW w:w="1648"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cstheme="minorEastAsia"/>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30204</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手续费</w:t>
            </w:r>
          </w:p>
        </w:tc>
        <w:tc>
          <w:tcPr>
            <w:tcW w:w="1067"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98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31001</w:t>
            </w:r>
          </w:p>
        </w:tc>
        <w:tc>
          <w:tcPr>
            <w:tcW w:w="2401"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房屋建筑物购建</w:t>
            </w:r>
          </w:p>
        </w:tc>
        <w:tc>
          <w:tcPr>
            <w:tcW w:w="1936"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30107</w:t>
            </w:r>
          </w:p>
        </w:tc>
        <w:tc>
          <w:tcPr>
            <w:tcW w:w="2324"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绩效工资</w:t>
            </w:r>
          </w:p>
        </w:tc>
        <w:tc>
          <w:tcPr>
            <w:tcW w:w="1648"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cstheme="minorEastAsia"/>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30205</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水费</w:t>
            </w:r>
          </w:p>
        </w:tc>
        <w:tc>
          <w:tcPr>
            <w:tcW w:w="1067"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1.86</w:t>
            </w:r>
          </w:p>
        </w:tc>
        <w:tc>
          <w:tcPr>
            <w:tcW w:w="98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31002</w:t>
            </w:r>
          </w:p>
        </w:tc>
        <w:tc>
          <w:tcPr>
            <w:tcW w:w="2401"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办公设备购置</w:t>
            </w:r>
          </w:p>
        </w:tc>
        <w:tc>
          <w:tcPr>
            <w:tcW w:w="1936"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30108</w:t>
            </w:r>
          </w:p>
        </w:tc>
        <w:tc>
          <w:tcPr>
            <w:tcW w:w="2324"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机关事业单位基本养老保险缴费</w:t>
            </w:r>
          </w:p>
        </w:tc>
        <w:tc>
          <w:tcPr>
            <w:tcW w:w="1648"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90.52</w:t>
            </w:r>
          </w:p>
        </w:tc>
        <w:tc>
          <w:tcPr>
            <w:tcW w:w="12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30206</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电费</w:t>
            </w:r>
          </w:p>
        </w:tc>
        <w:tc>
          <w:tcPr>
            <w:tcW w:w="1067"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20.03</w:t>
            </w:r>
          </w:p>
        </w:tc>
        <w:tc>
          <w:tcPr>
            <w:tcW w:w="98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31003</w:t>
            </w:r>
          </w:p>
        </w:tc>
        <w:tc>
          <w:tcPr>
            <w:tcW w:w="2401"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专用设备购置</w:t>
            </w:r>
          </w:p>
        </w:tc>
        <w:tc>
          <w:tcPr>
            <w:tcW w:w="1936"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cstheme="minorEastAsia"/>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30109</w:t>
            </w:r>
          </w:p>
        </w:tc>
        <w:tc>
          <w:tcPr>
            <w:tcW w:w="2324"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职业年金缴费</w:t>
            </w:r>
          </w:p>
        </w:tc>
        <w:tc>
          <w:tcPr>
            <w:tcW w:w="1648"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12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30207</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邮电费</w:t>
            </w:r>
          </w:p>
        </w:tc>
        <w:tc>
          <w:tcPr>
            <w:tcW w:w="1067"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29.54</w:t>
            </w:r>
          </w:p>
        </w:tc>
        <w:tc>
          <w:tcPr>
            <w:tcW w:w="98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31005</w:t>
            </w:r>
          </w:p>
        </w:tc>
        <w:tc>
          <w:tcPr>
            <w:tcW w:w="2401"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基础设施建设</w:t>
            </w:r>
          </w:p>
        </w:tc>
        <w:tc>
          <w:tcPr>
            <w:tcW w:w="1936"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cstheme="minorEastAsia"/>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30110</w:t>
            </w:r>
          </w:p>
        </w:tc>
        <w:tc>
          <w:tcPr>
            <w:tcW w:w="2324"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职工基本医疗保险缴费</w:t>
            </w:r>
          </w:p>
        </w:tc>
        <w:tc>
          <w:tcPr>
            <w:tcW w:w="1648"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38.39</w:t>
            </w:r>
          </w:p>
        </w:tc>
        <w:tc>
          <w:tcPr>
            <w:tcW w:w="12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30208</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取暖费</w:t>
            </w:r>
          </w:p>
        </w:tc>
        <w:tc>
          <w:tcPr>
            <w:tcW w:w="1067"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14.29</w:t>
            </w:r>
          </w:p>
        </w:tc>
        <w:tc>
          <w:tcPr>
            <w:tcW w:w="98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31006</w:t>
            </w:r>
          </w:p>
        </w:tc>
        <w:tc>
          <w:tcPr>
            <w:tcW w:w="2401"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大型修缮</w:t>
            </w:r>
          </w:p>
        </w:tc>
        <w:tc>
          <w:tcPr>
            <w:tcW w:w="1936"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30111</w:t>
            </w:r>
          </w:p>
        </w:tc>
        <w:tc>
          <w:tcPr>
            <w:tcW w:w="2324"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公务员医疗补助缴费</w:t>
            </w:r>
          </w:p>
        </w:tc>
        <w:tc>
          <w:tcPr>
            <w:tcW w:w="1648"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29.51</w:t>
            </w:r>
          </w:p>
        </w:tc>
        <w:tc>
          <w:tcPr>
            <w:tcW w:w="12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30209</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物业管理费</w:t>
            </w:r>
          </w:p>
        </w:tc>
        <w:tc>
          <w:tcPr>
            <w:tcW w:w="1067"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31007</w:t>
            </w:r>
          </w:p>
        </w:tc>
        <w:tc>
          <w:tcPr>
            <w:tcW w:w="2401"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信息网络及软件购置更新</w:t>
            </w:r>
          </w:p>
        </w:tc>
        <w:tc>
          <w:tcPr>
            <w:tcW w:w="1936"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30112</w:t>
            </w:r>
          </w:p>
        </w:tc>
        <w:tc>
          <w:tcPr>
            <w:tcW w:w="2324"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其他社会保障缴费</w:t>
            </w:r>
          </w:p>
        </w:tc>
        <w:tc>
          <w:tcPr>
            <w:tcW w:w="1648"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121.01</w:t>
            </w:r>
          </w:p>
        </w:tc>
        <w:tc>
          <w:tcPr>
            <w:tcW w:w="12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30211</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差旅费</w:t>
            </w:r>
          </w:p>
        </w:tc>
        <w:tc>
          <w:tcPr>
            <w:tcW w:w="1067"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31008</w:t>
            </w:r>
          </w:p>
        </w:tc>
        <w:tc>
          <w:tcPr>
            <w:tcW w:w="2401"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物资储备</w:t>
            </w:r>
          </w:p>
        </w:tc>
        <w:tc>
          <w:tcPr>
            <w:tcW w:w="1936"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30113</w:t>
            </w:r>
          </w:p>
        </w:tc>
        <w:tc>
          <w:tcPr>
            <w:tcW w:w="2324"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住房公积金</w:t>
            </w:r>
          </w:p>
        </w:tc>
        <w:tc>
          <w:tcPr>
            <w:tcW w:w="1648"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169.54</w:t>
            </w:r>
          </w:p>
        </w:tc>
        <w:tc>
          <w:tcPr>
            <w:tcW w:w="12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30212</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因公出国（境）费用</w:t>
            </w:r>
          </w:p>
        </w:tc>
        <w:tc>
          <w:tcPr>
            <w:tcW w:w="1067"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31009</w:t>
            </w:r>
          </w:p>
        </w:tc>
        <w:tc>
          <w:tcPr>
            <w:tcW w:w="2401"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土地补偿</w:t>
            </w:r>
          </w:p>
        </w:tc>
        <w:tc>
          <w:tcPr>
            <w:tcW w:w="1936"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30114</w:t>
            </w:r>
          </w:p>
        </w:tc>
        <w:tc>
          <w:tcPr>
            <w:tcW w:w="2324"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医疗费</w:t>
            </w:r>
          </w:p>
        </w:tc>
        <w:tc>
          <w:tcPr>
            <w:tcW w:w="1648"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30213</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维修（护）费</w:t>
            </w:r>
          </w:p>
        </w:tc>
        <w:tc>
          <w:tcPr>
            <w:tcW w:w="1067"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31010</w:t>
            </w:r>
          </w:p>
        </w:tc>
        <w:tc>
          <w:tcPr>
            <w:tcW w:w="2401"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安置补助</w:t>
            </w:r>
          </w:p>
        </w:tc>
        <w:tc>
          <w:tcPr>
            <w:tcW w:w="1936"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30199</w:t>
            </w:r>
          </w:p>
        </w:tc>
        <w:tc>
          <w:tcPr>
            <w:tcW w:w="2324"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其他工资福利支出</w:t>
            </w:r>
          </w:p>
        </w:tc>
        <w:tc>
          <w:tcPr>
            <w:tcW w:w="1648"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50.87</w:t>
            </w:r>
          </w:p>
        </w:tc>
        <w:tc>
          <w:tcPr>
            <w:tcW w:w="12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30214</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租赁费</w:t>
            </w:r>
          </w:p>
        </w:tc>
        <w:tc>
          <w:tcPr>
            <w:tcW w:w="1067"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31011</w:t>
            </w:r>
          </w:p>
        </w:tc>
        <w:tc>
          <w:tcPr>
            <w:tcW w:w="2401"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地上附着物和青苗补偿</w:t>
            </w:r>
          </w:p>
        </w:tc>
        <w:tc>
          <w:tcPr>
            <w:tcW w:w="1936"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w:t>
            </w:r>
          </w:p>
        </w:tc>
        <w:tc>
          <w:tcPr>
            <w:tcW w:w="2324"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对个人和家庭的补助</w:t>
            </w:r>
          </w:p>
        </w:tc>
        <w:tc>
          <w:tcPr>
            <w:tcW w:w="1648"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208.18</w:t>
            </w:r>
          </w:p>
        </w:tc>
        <w:tc>
          <w:tcPr>
            <w:tcW w:w="12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30215</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会议费</w:t>
            </w:r>
          </w:p>
        </w:tc>
        <w:tc>
          <w:tcPr>
            <w:tcW w:w="1067"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31012</w:t>
            </w:r>
          </w:p>
        </w:tc>
        <w:tc>
          <w:tcPr>
            <w:tcW w:w="2401"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拆迁补偿</w:t>
            </w:r>
          </w:p>
        </w:tc>
        <w:tc>
          <w:tcPr>
            <w:tcW w:w="1936"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30301</w:t>
            </w:r>
          </w:p>
        </w:tc>
        <w:tc>
          <w:tcPr>
            <w:tcW w:w="2324"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离休费</w:t>
            </w:r>
          </w:p>
        </w:tc>
        <w:tc>
          <w:tcPr>
            <w:tcW w:w="1648"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30216</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培训费</w:t>
            </w:r>
          </w:p>
        </w:tc>
        <w:tc>
          <w:tcPr>
            <w:tcW w:w="1067"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0.18</w:t>
            </w:r>
          </w:p>
        </w:tc>
        <w:tc>
          <w:tcPr>
            <w:tcW w:w="98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31013</w:t>
            </w:r>
          </w:p>
        </w:tc>
        <w:tc>
          <w:tcPr>
            <w:tcW w:w="2401"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w:t>
            </w:r>
          </w:p>
        </w:tc>
        <w:tc>
          <w:tcPr>
            <w:tcW w:w="1936"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30302</w:t>
            </w:r>
          </w:p>
        </w:tc>
        <w:tc>
          <w:tcPr>
            <w:tcW w:w="2324"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退休费</w:t>
            </w:r>
          </w:p>
        </w:tc>
        <w:tc>
          <w:tcPr>
            <w:tcW w:w="1648"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182.52</w:t>
            </w:r>
          </w:p>
        </w:tc>
        <w:tc>
          <w:tcPr>
            <w:tcW w:w="12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30217</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公务接待费</w:t>
            </w:r>
          </w:p>
        </w:tc>
        <w:tc>
          <w:tcPr>
            <w:tcW w:w="1067"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31019</w:t>
            </w:r>
          </w:p>
        </w:tc>
        <w:tc>
          <w:tcPr>
            <w:tcW w:w="2401"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其他交通工具购置</w:t>
            </w:r>
          </w:p>
        </w:tc>
        <w:tc>
          <w:tcPr>
            <w:tcW w:w="1936"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30303</w:t>
            </w:r>
          </w:p>
        </w:tc>
        <w:tc>
          <w:tcPr>
            <w:tcW w:w="2324"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退职（役）费</w:t>
            </w:r>
          </w:p>
        </w:tc>
        <w:tc>
          <w:tcPr>
            <w:tcW w:w="1648"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30218</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专用材料费</w:t>
            </w:r>
          </w:p>
        </w:tc>
        <w:tc>
          <w:tcPr>
            <w:tcW w:w="1067"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31021</w:t>
            </w:r>
          </w:p>
        </w:tc>
        <w:tc>
          <w:tcPr>
            <w:tcW w:w="2401"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文物和陈列品购置</w:t>
            </w:r>
          </w:p>
        </w:tc>
        <w:tc>
          <w:tcPr>
            <w:tcW w:w="1936"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30304</w:t>
            </w:r>
          </w:p>
        </w:tc>
        <w:tc>
          <w:tcPr>
            <w:tcW w:w="2324"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抚恤金</w:t>
            </w:r>
          </w:p>
        </w:tc>
        <w:tc>
          <w:tcPr>
            <w:tcW w:w="1648"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30224</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被装购置费</w:t>
            </w:r>
          </w:p>
        </w:tc>
        <w:tc>
          <w:tcPr>
            <w:tcW w:w="1067"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31022</w:t>
            </w:r>
          </w:p>
        </w:tc>
        <w:tc>
          <w:tcPr>
            <w:tcW w:w="2401"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无形资产购置</w:t>
            </w:r>
          </w:p>
        </w:tc>
        <w:tc>
          <w:tcPr>
            <w:tcW w:w="1936"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30305</w:t>
            </w:r>
          </w:p>
        </w:tc>
        <w:tc>
          <w:tcPr>
            <w:tcW w:w="2324"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生活补助</w:t>
            </w:r>
          </w:p>
        </w:tc>
        <w:tc>
          <w:tcPr>
            <w:tcW w:w="1648"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0.92</w:t>
            </w:r>
          </w:p>
        </w:tc>
        <w:tc>
          <w:tcPr>
            <w:tcW w:w="12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30225</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专用燃料费</w:t>
            </w:r>
          </w:p>
        </w:tc>
        <w:tc>
          <w:tcPr>
            <w:tcW w:w="1067"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31099</w:t>
            </w:r>
          </w:p>
        </w:tc>
        <w:tc>
          <w:tcPr>
            <w:tcW w:w="2401"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其他资本性支出</w:t>
            </w:r>
          </w:p>
        </w:tc>
        <w:tc>
          <w:tcPr>
            <w:tcW w:w="1936"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30306</w:t>
            </w:r>
          </w:p>
        </w:tc>
        <w:tc>
          <w:tcPr>
            <w:tcW w:w="2324"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救济费</w:t>
            </w:r>
          </w:p>
        </w:tc>
        <w:tc>
          <w:tcPr>
            <w:tcW w:w="1648"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30226</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劳务费</w:t>
            </w:r>
          </w:p>
        </w:tc>
        <w:tc>
          <w:tcPr>
            <w:tcW w:w="1067"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395.78</w:t>
            </w:r>
          </w:p>
        </w:tc>
        <w:tc>
          <w:tcPr>
            <w:tcW w:w="98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w:t>
            </w:r>
          </w:p>
        </w:tc>
        <w:tc>
          <w:tcPr>
            <w:tcW w:w="2401"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对企业补助</w:t>
            </w:r>
          </w:p>
        </w:tc>
        <w:tc>
          <w:tcPr>
            <w:tcW w:w="1936"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30307</w:t>
            </w:r>
          </w:p>
        </w:tc>
        <w:tc>
          <w:tcPr>
            <w:tcW w:w="2324"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医疗费补助</w:t>
            </w:r>
          </w:p>
        </w:tc>
        <w:tc>
          <w:tcPr>
            <w:tcW w:w="1648"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30227</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委托业务费</w:t>
            </w:r>
          </w:p>
        </w:tc>
        <w:tc>
          <w:tcPr>
            <w:tcW w:w="1067"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31201</w:t>
            </w:r>
          </w:p>
        </w:tc>
        <w:tc>
          <w:tcPr>
            <w:tcW w:w="2401"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资本金注入</w:t>
            </w:r>
          </w:p>
        </w:tc>
        <w:tc>
          <w:tcPr>
            <w:tcW w:w="1936"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30308</w:t>
            </w:r>
          </w:p>
        </w:tc>
        <w:tc>
          <w:tcPr>
            <w:tcW w:w="2324"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助学金</w:t>
            </w:r>
          </w:p>
        </w:tc>
        <w:tc>
          <w:tcPr>
            <w:tcW w:w="1648"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30228</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工会经费</w:t>
            </w:r>
          </w:p>
        </w:tc>
        <w:tc>
          <w:tcPr>
            <w:tcW w:w="1067"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7.62</w:t>
            </w:r>
          </w:p>
        </w:tc>
        <w:tc>
          <w:tcPr>
            <w:tcW w:w="98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31203</w:t>
            </w:r>
          </w:p>
        </w:tc>
        <w:tc>
          <w:tcPr>
            <w:tcW w:w="2401"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政府投资基金股权投资</w:t>
            </w:r>
          </w:p>
        </w:tc>
        <w:tc>
          <w:tcPr>
            <w:tcW w:w="1936"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30309</w:t>
            </w:r>
          </w:p>
        </w:tc>
        <w:tc>
          <w:tcPr>
            <w:tcW w:w="2324"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奖励金</w:t>
            </w:r>
          </w:p>
        </w:tc>
        <w:tc>
          <w:tcPr>
            <w:tcW w:w="1648"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30229</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福利费</w:t>
            </w:r>
          </w:p>
        </w:tc>
        <w:tc>
          <w:tcPr>
            <w:tcW w:w="1067"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8.86</w:t>
            </w:r>
          </w:p>
        </w:tc>
        <w:tc>
          <w:tcPr>
            <w:tcW w:w="98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31204</w:t>
            </w:r>
          </w:p>
        </w:tc>
        <w:tc>
          <w:tcPr>
            <w:tcW w:w="2401"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费用补贴</w:t>
            </w:r>
          </w:p>
        </w:tc>
        <w:tc>
          <w:tcPr>
            <w:tcW w:w="1936"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30310</w:t>
            </w:r>
          </w:p>
        </w:tc>
        <w:tc>
          <w:tcPr>
            <w:tcW w:w="2324"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个人农业生产补贴</w:t>
            </w:r>
          </w:p>
        </w:tc>
        <w:tc>
          <w:tcPr>
            <w:tcW w:w="1648"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30231</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公务用车运行维护费</w:t>
            </w:r>
          </w:p>
        </w:tc>
        <w:tc>
          <w:tcPr>
            <w:tcW w:w="1067"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8.07</w:t>
            </w:r>
          </w:p>
        </w:tc>
        <w:tc>
          <w:tcPr>
            <w:tcW w:w="98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31205</w:t>
            </w:r>
          </w:p>
        </w:tc>
        <w:tc>
          <w:tcPr>
            <w:tcW w:w="2401"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利息补贴</w:t>
            </w:r>
          </w:p>
        </w:tc>
        <w:tc>
          <w:tcPr>
            <w:tcW w:w="1936"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30311</w:t>
            </w:r>
          </w:p>
        </w:tc>
        <w:tc>
          <w:tcPr>
            <w:tcW w:w="2324"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代缴社会保险费</w:t>
            </w:r>
          </w:p>
        </w:tc>
        <w:tc>
          <w:tcPr>
            <w:tcW w:w="1648"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30239</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其他交通费用</w:t>
            </w:r>
          </w:p>
        </w:tc>
        <w:tc>
          <w:tcPr>
            <w:tcW w:w="1067"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58.08</w:t>
            </w:r>
          </w:p>
        </w:tc>
        <w:tc>
          <w:tcPr>
            <w:tcW w:w="98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31299</w:t>
            </w:r>
          </w:p>
        </w:tc>
        <w:tc>
          <w:tcPr>
            <w:tcW w:w="2401"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其他对企业补助</w:t>
            </w:r>
          </w:p>
        </w:tc>
        <w:tc>
          <w:tcPr>
            <w:tcW w:w="1936"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30399</w:t>
            </w:r>
          </w:p>
        </w:tc>
        <w:tc>
          <w:tcPr>
            <w:tcW w:w="2324"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其他对个人和家庭的补助</w:t>
            </w:r>
          </w:p>
        </w:tc>
        <w:tc>
          <w:tcPr>
            <w:tcW w:w="1648"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24.75</w:t>
            </w:r>
          </w:p>
        </w:tc>
        <w:tc>
          <w:tcPr>
            <w:tcW w:w="12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30240</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税金及附加费用</w:t>
            </w:r>
          </w:p>
        </w:tc>
        <w:tc>
          <w:tcPr>
            <w:tcW w:w="1067"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w:t>
            </w:r>
          </w:p>
        </w:tc>
        <w:tc>
          <w:tcPr>
            <w:tcW w:w="2401"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其他支出</w:t>
            </w:r>
          </w:p>
        </w:tc>
        <w:tc>
          <w:tcPr>
            <w:tcW w:w="1936"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cstheme="minorEastAsia"/>
                <w:color w:val="000000"/>
                <w:sz w:val="18"/>
                <w:szCs w:val="18"/>
              </w:rPr>
            </w:pPr>
          </w:p>
        </w:tc>
        <w:tc>
          <w:tcPr>
            <w:tcW w:w="232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cstheme="minorEastAsia"/>
                <w:color w:val="000000"/>
                <w:sz w:val="18"/>
                <w:szCs w:val="18"/>
              </w:rPr>
            </w:pPr>
          </w:p>
        </w:tc>
        <w:tc>
          <w:tcPr>
            <w:tcW w:w="1648" w:type="dxa"/>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30299</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其他商品和服务支出</w:t>
            </w:r>
          </w:p>
        </w:tc>
        <w:tc>
          <w:tcPr>
            <w:tcW w:w="1067"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11.80</w:t>
            </w:r>
          </w:p>
        </w:tc>
        <w:tc>
          <w:tcPr>
            <w:tcW w:w="98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39907</w:t>
            </w:r>
          </w:p>
        </w:tc>
        <w:tc>
          <w:tcPr>
            <w:tcW w:w="2401"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国家赔偿费用支出</w:t>
            </w:r>
          </w:p>
        </w:tc>
        <w:tc>
          <w:tcPr>
            <w:tcW w:w="1936"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cstheme="minorEastAsia"/>
                <w:color w:val="000000"/>
                <w:sz w:val="18"/>
                <w:szCs w:val="18"/>
              </w:rPr>
            </w:pPr>
          </w:p>
        </w:tc>
        <w:tc>
          <w:tcPr>
            <w:tcW w:w="232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cstheme="minorEastAsia"/>
                <w:color w:val="000000"/>
                <w:sz w:val="18"/>
                <w:szCs w:val="18"/>
              </w:rPr>
            </w:pPr>
          </w:p>
        </w:tc>
        <w:tc>
          <w:tcPr>
            <w:tcW w:w="1648"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cstheme="minorEastAsia"/>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cstheme="minorEastAsia"/>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cstheme="minorEastAsia"/>
                <w:color w:val="000000"/>
                <w:sz w:val="18"/>
                <w:szCs w:val="18"/>
              </w:rPr>
            </w:pPr>
          </w:p>
        </w:tc>
        <w:tc>
          <w:tcPr>
            <w:tcW w:w="1067" w:type="dxa"/>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39908</w:t>
            </w:r>
          </w:p>
        </w:tc>
        <w:tc>
          <w:tcPr>
            <w:tcW w:w="2401"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对民间非营利组织和群众性自治组织补贴</w:t>
            </w:r>
          </w:p>
        </w:tc>
        <w:tc>
          <w:tcPr>
            <w:tcW w:w="1936"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cstheme="minorEastAsia"/>
                <w:color w:val="000000"/>
                <w:sz w:val="18"/>
                <w:szCs w:val="18"/>
              </w:rPr>
            </w:pPr>
          </w:p>
        </w:tc>
        <w:tc>
          <w:tcPr>
            <w:tcW w:w="232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cstheme="minorEastAsia"/>
                <w:color w:val="000000"/>
                <w:sz w:val="18"/>
                <w:szCs w:val="18"/>
              </w:rPr>
            </w:pPr>
          </w:p>
        </w:tc>
        <w:tc>
          <w:tcPr>
            <w:tcW w:w="1648"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cstheme="minorEastAsia"/>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cstheme="minorEastAsia"/>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cstheme="minorEastAsia"/>
                <w:color w:val="000000"/>
                <w:sz w:val="18"/>
                <w:szCs w:val="18"/>
              </w:rPr>
            </w:pPr>
          </w:p>
        </w:tc>
        <w:tc>
          <w:tcPr>
            <w:tcW w:w="1067" w:type="dxa"/>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39909</w:t>
            </w:r>
          </w:p>
        </w:tc>
        <w:tc>
          <w:tcPr>
            <w:tcW w:w="2401"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经常性赠与</w:t>
            </w:r>
          </w:p>
        </w:tc>
        <w:tc>
          <w:tcPr>
            <w:tcW w:w="1936"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cstheme="minorEastAsia"/>
                <w:color w:val="000000"/>
                <w:sz w:val="18"/>
                <w:szCs w:val="18"/>
              </w:rPr>
            </w:pPr>
          </w:p>
        </w:tc>
        <w:tc>
          <w:tcPr>
            <w:tcW w:w="232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cstheme="minorEastAsia"/>
                <w:color w:val="000000"/>
                <w:sz w:val="18"/>
                <w:szCs w:val="18"/>
              </w:rPr>
            </w:pPr>
          </w:p>
        </w:tc>
        <w:tc>
          <w:tcPr>
            <w:tcW w:w="1648"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cstheme="minorEastAsia"/>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cstheme="minorEastAsia"/>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cstheme="minorEastAsia"/>
                <w:color w:val="000000"/>
                <w:sz w:val="18"/>
                <w:szCs w:val="18"/>
              </w:rPr>
            </w:pPr>
          </w:p>
        </w:tc>
        <w:tc>
          <w:tcPr>
            <w:tcW w:w="1067" w:type="dxa"/>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39910</w:t>
            </w:r>
          </w:p>
        </w:tc>
        <w:tc>
          <w:tcPr>
            <w:tcW w:w="2401"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资本性赠与</w:t>
            </w:r>
          </w:p>
        </w:tc>
        <w:tc>
          <w:tcPr>
            <w:tcW w:w="1936"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cstheme="minorEastAsia"/>
                <w:color w:val="000000"/>
                <w:sz w:val="18"/>
                <w:szCs w:val="18"/>
              </w:rPr>
            </w:pPr>
          </w:p>
        </w:tc>
        <w:tc>
          <w:tcPr>
            <w:tcW w:w="232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cstheme="minorEastAsia"/>
                <w:color w:val="000000"/>
                <w:sz w:val="18"/>
                <w:szCs w:val="18"/>
              </w:rPr>
            </w:pPr>
          </w:p>
        </w:tc>
        <w:tc>
          <w:tcPr>
            <w:tcW w:w="1648"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cstheme="minorEastAsia"/>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cstheme="minorEastAsia"/>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cstheme="minorEastAsia"/>
                <w:color w:val="000000"/>
                <w:sz w:val="18"/>
                <w:szCs w:val="18"/>
              </w:rPr>
            </w:pPr>
          </w:p>
        </w:tc>
        <w:tc>
          <w:tcPr>
            <w:tcW w:w="1067" w:type="dxa"/>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39999</w:t>
            </w:r>
          </w:p>
        </w:tc>
        <w:tc>
          <w:tcPr>
            <w:tcW w:w="2401"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其他支出</w:t>
            </w:r>
          </w:p>
        </w:tc>
        <w:tc>
          <w:tcPr>
            <w:tcW w:w="1936"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gridAfter w:val="1"/>
          <w:wAfter w:w="22" w:type="dxa"/>
          <w:trHeight w:val="510" w:hRule="atLeast"/>
        </w:trPr>
        <w:tc>
          <w:tcPr>
            <w:tcW w:w="3062"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cs="Times New Roman"/>
                <w:sz w:val="18"/>
                <w:szCs w:val="18"/>
              </w:rPr>
            </w:pPr>
            <w:r>
              <w:rPr>
                <w:rFonts w:hint="eastAsia" w:ascii="方正仿宋_GB2312" w:hAnsi="方正仿宋_GB2312" w:eastAsia="方正仿宋_GB2312" w:cs="方正仿宋_GB2312"/>
                <w:color w:val="000000"/>
                <w:sz w:val="18"/>
                <w:szCs w:val="18"/>
                <w:lang w:bidi="ar"/>
              </w:rPr>
              <w:t>人员经费合计</w:t>
            </w:r>
          </w:p>
        </w:tc>
        <w:tc>
          <w:tcPr>
            <w:tcW w:w="1648" w:type="dxa"/>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ascii="Times New Roman" w:hAnsi="Times New Roman" w:cs="Times New Roman"/>
                <w:sz w:val="18"/>
                <w:szCs w:val="18"/>
              </w:rPr>
              <w:t>1,910.02</w:t>
            </w:r>
          </w:p>
        </w:tc>
        <w:tc>
          <w:tcPr>
            <w:tcW w:w="7341" w:type="dxa"/>
            <w:gridSpan w:val="6"/>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lang w:bidi="ar"/>
              </w:rPr>
              <w:t>公用经费合计</w:t>
            </w:r>
          </w:p>
        </w:tc>
        <w:tc>
          <w:tcPr>
            <w:tcW w:w="1936"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cstheme="minorEastAsia"/>
                <w:color w:val="000000"/>
                <w:sz w:val="18"/>
                <w:szCs w:val="18"/>
              </w:rPr>
            </w:pPr>
            <w:r>
              <w:rPr>
                <w:rFonts w:ascii="Times New Roman" w:hAnsi="Times New Roman" w:cs="Times New Roman"/>
                <w:sz w:val="18"/>
                <w:szCs w:val="18"/>
              </w:rPr>
              <w:t>580.84</w:t>
            </w:r>
          </w:p>
        </w:tc>
      </w:tr>
      <w:tr>
        <w:tblPrEx>
          <w:tblCellMar>
            <w:top w:w="0" w:type="dxa"/>
            <w:left w:w="108" w:type="dxa"/>
            <w:bottom w:w="0" w:type="dxa"/>
            <w:right w:w="108" w:type="dxa"/>
          </w:tblCellMar>
        </w:tblPrEx>
        <w:trPr>
          <w:gridAfter w:val="1"/>
          <w:wAfter w:w="22" w:type="dxa"/>
          <w:trHeight w:val="510" w:hRule="atLeast"/>
        </w:trPr>
        <w:tc>
          <w:tcPr>
            <w:tcW w:w="13987" w:type="dxa"/>
            <w:gridSpan w:val="10"/>
            <w:tcBorders>
              <w:top w:val="single" w:color="auto" w:sz="4" w:space="0"/>
              <w:left w:val="nil"/>
              <w:bottom w:val="nil"/>
              <w:right w:val="nil"/>
            </w:tcBorders>
            <w:noWrap/>
            <w:vAlign w:val="center"/>
          </w:tcPr>
          <w:p>
            <w:pPr>
              <w:widowControl/>
              <w:jc w:val="left"/>
              <w:textAlignment w:val="center"/>
              <w:rPr>
                <w:rFonts w:hint="eastAsia"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lang w:bidi="ar"/>
              </w:rPr>
              <w:t>注：本表反映部门本年度一般公共预算财政拨款基本支出明细情况。</w:t>
            </w:r>
          </w:p>
        </w:tc>
      </w:tr>
    </w:tbl>
    <w:p>
      <w:pPr>
        <w:rPr>
          <w:rFonts w:hint="eastAsia" w:ascii="仿宋_GB2312" w:hAnsi="宋体" w:eastAsia="仿宋_GB2312"/>
          <w:b/>
          <w:sz w:val="32"/>
          <w:szCs w:val="32"/>
        </w:rPr>
      </w:pPr>
      <w:r>
        <w:rPr>
          <w:rFonts w:hint="eastAsia" w:ascii="仿宋_GB2312" w:hAnsi="宋体" w:eastAsia="仿宋_GB2312"/>
          <w:b/>
          <w:sz w:val="32"/>
          <w:szCs w:val="32"/>
        </w:rPr>
        <w:t>备注：无内容应公开空表并说明情况。</w:t>
      </w:r>
    </w:p>
    <w:p>
      <w:pPr>
        <w:rPr>
          <w:rFonts w:hint="eastAsia" w:ascii="仿宋_GB2312" w:hAnsi="宋体" w:eastAsia="仿宋_GB2312"/>
          <w:b/>
          <w:sz w:val="32"/>
          <w:szCs w:val="32"/>
        </w:rPr>
      </w:pPr>
      <w:r>
        <w:rPr>
          <w:rFonts w:hint="eastAsia" w:ascii="仿宋_GB2312" w:hAnsi="宋体" w:eastAsia="仿宋_GB2312"/>
          <w:b/>
          <w:sz w:val="32"/>
          <w:szCs w:val="32"/>
        </w:rPr>
        <w:br w:type="page"/>
      </w:r>
    </w:p>
    <w:p>
      <w:pPr>
        <w:jc w:val="center"/>
        <w:rPr>
          <w:rFonts w:hint="eastAsia" w:ascii="仿宋_GB2312" w:hAnsi="宋体" w:eastAsia="仿宋_GB2312"/>
          <w:b/>
          <w:sz w:val="32"/>
          <w:szCs w:val="32"/>
        </w:rPr>
      </w:pPr>
    </w:p>
    <w:tbl>
      <w:tblPr>
        <w:tblStyle w:val="11"/>
        <w:tblW w:w="13992" w:type="dxa"/>
        <w:tblInd w:w="0" w:type="dxa"/>
        <w:tblLayout w:type="fixed"/>
        <w:tblCellMar>
          <w:top w:w="0" w:type="dxa"/>
          <w:left w:w="108" w:type="dxa"/>
          <w:bottom w:w="0" w:type="dxa"/>
          <w:right w:w="108" w:type="dxa"/>
        </w:tblCellMar>
      </w:tblPr>
      <w:tblGrid>
        <w:gridCol w:w="811"/>
        <w:gridCol w:w="1293"/>
        <w:gridCol w:w="1980"/>
        <w:gridCol w:w="673"/>
        <w:gridCol w:w="1311"/>
        <w:gridCol w:w="1980"/>
        <w:gridCol w:w="1335"/>
        <w:gridCol w:w="649"/>
        <w:gridCol w:w="1980"/>
        <w:gridCol w:w="1980"/>
      </w:tblGrid>
      <w:tr>
        <w:tblPrEx>
          <w:tblCellMar>
            <w:top w:w="0" w:type="dxa"/>
            <w:left w:w="108" w:type="dxa"/>
            <w:bottom w:w="0" w:type="dxa"/>
            <w:right w:w="108" w:type="dxa"/>
          </w:tblCellMar>
        </w:tblPrEx>
        <w:trPr>
          <w:trHeight w:val="550" w:hRule="atLeast"/>
        </w:trPr>
        <w:tc>
          <w:tcPr>
            <w:tcW w:w="13992" w:type="dxa"/>
            <w:gridSpan w:val="10"/>
            <w:tcBorders>
              <w:top w:val="nil"/>
              <w:left w:val="nil"/>
              <w:bottom w:val="nil"/>
              <w:right w:val="nil"/>
            </w:tcBorders>
            <w:noWrap/>
            <w:vAlign w:val="bottom"/>
          </w:tcPr>
          <w:p>
            <w:pPr>
              <w:widowControl/>
              <w:jc w:val="center"/>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t>政府性基金预算财政拨款收入支出决算表</w:t>
            </w:r>
          </w:p>
        </w:tc>
      </w:tr>
      <w:tr>
        <w:tblPrEx>
          <w:tblCellMar>
            <w:top w:w="0" w:type="dxa"/>
            <w:left w:w="108" w:type="dxa"/>
            <w:bottom w:w="0" w:type="dxa"/>
            <w:right w:w="108" w:type="dxa"/>
          </w:tblCellMar>
        </w:tblPrEx>
        <w:trPr>
          <w:trHeight w:val="90" w:hRule="atLeast"/>
        </w:trPr>
        <w:tc>
          <w:tcPr>
            <w:tcW w:w="13992" w:type="dxa"/>
            <w:gridSpan w:val="10"/>
            <w:tcBorders>
              <w:top w:val="nil"/>
              <w:left w:val="nil"/>
              <w:bottom w:val="nil"/>
              <w:right w:val="nil"/>
            </w:tcBorders>
            <w:noWrap/>
            <w:vAlign w:val="bottom"/>
          </w:tcPr>
          <w:p>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宋体" w:cs="Times New Roman"/>
                <w:color w:val="000000"/>
                <w:sz w:val="18"/>
                <w:szCs w:val="18"/>
                <w:lang w:bidi="ar"/>
              </w:rPr>
              <w:t>07</w:t>
            </w:r>
            <w:r>
              <w:rPr>
                <w:rFonts w:hint="eastAsia" w:ascii="方正仿宋_GB2312" w:hAnsi="方正仿宋_GB2312" w:eastAsia="方正仿宋_GB2312" w:cs="方正仿宋_GB2312"/>
                <w:color w:val="000000"/>
                <w:sz w:val="18"/>
                <w:szCs w:val="18"/>
                <w:lang w:bidi="ar"/>
              </w:rPr>
              <w:t>表</w:t>
            </w:r>
          </w:p>
        </w:tc>
      </w:tr>
      <w:tr>
        <w:tblPrEx>
          <w:tblCellMar>
            <w:top w:w="0" w:type="dxa"/>
            <w:left w:w="108" w:type="dxa"/>
            <w:bottom w:w="0" w:type="dxa"/>
            <w:right w:w="108" w:type="dxa"/>
          </w:tblCellMar>
        </w:tblPrEx>
        <w:trPr>
          <w:trHeight w:val="300" w:hRule="atLeast"/>
        </w:trPr>
        <w:tc>
          <w:tcPr>
            <w:tcW w:w="4757" w:type="dxa"/>
            <w:gridSpan w:val="4"/>
            <w:tcBorders>
              <w:top w:val="nil"/>
              <w:left w:val="nil"/>
              <w:bottom w:val="single" w:color="auto" w:sz="4" w:space="0"/>
              <w:right w:val="nil"/>
            </w:tcBorders>
            <w:noWrap/>
            <w:vAlign w:val="bottom"/>
          </w:tcPr>
          <w:p>
            <w:pPr>
              <w:widowControl/>
              <w:jc w:val="lef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 xml:space="preserve">编制部门（单位）：石家庄市鹿泉区获鹿镇人民政府(本级) </w:t>
            </w:r>
            <w:r>
              <w:rPr>
                <w:rFonts w:hint="eastAsia" w:ascii="宋体" w:hAnsi="宋体" w:eastAsia="宋体"/>
                <w:color w:val="000000"/>
                <w:sz w:val="18"/>
                <w:szCs w:val="18"/>
                <w:lang w:bidi="ar"/>
              </w:rPr>
              <w:t xml:space="preserve">                                                                                     </w:t>
            </w:r>
          </w:p>
        </w:tc>
        <w:tc>
          <w:tcPr>
            <w:tcW w:w="4626" w:type="dxa"/>
            <w:gridSpan w:val="3"/>
            <w:tcBorders>
              <w:top w:val="nil"/>
              <w:left w:val="nil"/>
              <w:bottom w:val="single" w:color="auto" w:sz="4" w:space="0"/>
              <w:right w:val="nil"/>
            </w:tcBorders>
            <w:noWrap/>
            <w:vAlign w:val="bottom"/>
          </w:tcPr>
          <w:p>
            <w:pPr>
              <w:widowControl/>
              <w:jc w:val="center"/>
              <w:textAlignment w:val="bottom"/>
              <w:rPr>
                <w:rFonts w:hint="eastAsia" w:ascii="宋体" w:hAnsi="宋体" w:eastAsia="宋体"/>
                <w:color w:val="000000"/>
                <w:sz w:val="18"/>
                <w:szCs w:val="18"/>
                <w:lang w:bidi="ar"/>
              </w:rPr>
            </w:pPr>
            <w:r>
              <w:rPr>
                <w:rFonts w:ascii="Times New Roman" w:hAnsi="Times New Roman" w:eastAsia="宋体" w:cs="Times New Roman"/>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4609" w:type="dxa"/>
            <w:gridSpan w:val="3"/>
            <w:tcBorders>
              <w:top w:val="nil"/>
              <w:left w:val="nil"/>
              <w:bottom w:val="single" w:color="auto" w:sz="4" w:space="0"/>
              <w:right w:val="nil"/>
            </w:tcBorders>
            <w:noWrap/>
            <w:vAlign w:val="bottom"/>
          </w:tcPr>
          <w:p>
            <w:pPr>
              <w:widowControl/>
              <w:jc w:val="right"/>
              <w:textAlignment w:val="bottom"/>
              <w:rPr>
                <w:rFonts w:hint="eastAsia" w:ascii="宋体" w:hAnsi="宋体" w:eastAsia="宋体"/>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tblPrEx>
          <w:tblCellMar>
            <w:top w:w="0" w:type="dxa"/>
            <w:left w:w="108" w:type="dxa"/>
            <w:bottom w:w="0" w:type="dxa"/>
            <w:right w:w="108" w:type="dxa"/>
          </w:tblCellMar>
        </w:tblPrEx>
        <w:trPr>
          <w:trHeight w:val="308" w:hRule="atLeast"/>
        </w:trPr>
        <w:tc>
          <w:tcPr>
            <w:tcW w:w="2104" w:type="dxa"/>
            <w:gridSpan w:val="2"/>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1980"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年初结转和结余</w:t>
            </w:r>
          </w:p>
        </w:tc>
        <w:tc>
          <w:tcPr>
            <w:tcW w:w="1984" w:type="dxa"/>
            <w:gridSpan w:val="2"/>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本年收入</w:t>
            </w:r>
          </w:p>
        </w:tc>
        <w:tc>
          <w:tcPr>
            <w:tcW w:w="5944" w:type="dxa"/>
            <w:gridSpan w:val="4"/>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本年支出</w:t>
            </w:r>
          </w:p>
        </w:tc>
        <w:tc>
          <w:tcPr>
            <w:tcW w:w="1980" w:type="dxa"/>
            <w:vMerge w:val="restart"/>
            <w:tcBorders>
              <w:top w:val="single" w:color="auto" w:sz="4" w:space="0"/>
              <w:left w:val="nil"/>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年末结转和结余</w:t>
            </w:r>
          </w:p>
        </w:tc>
      </w:tr>
      <w:tr>
        <w:tblPrEx>
          <w:tblCellMar>
            <w:top w:w="0" w:type="dxa"/>
            <w:left w:w="108" w:type="dxa"/>
            <w:bottom w:w="0" w:type="dxa"/>
            <w:right w:w="108" w:type="dxa"/>
          </w:tblCellMar>
        </w:tblPrEx>
        <w:trPr>
          <w:trHeight w:val="312" w:hRule="atLeast"/>
        </w:trPr>
        <w:tc>
          <w:tcPr>
            <w:tcW w:w="811" w:type="dxa"/>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1293"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1980" w:type="dxa"/>
            <w:vMerge w:val="continue"/>
            <w:tcBorders>
              <w:top w:val="single" w:color="000000" w:sz="4" w:space="0"/>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984"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980"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1984" w:type="dxa"/>
            <w:gridSpan w:val="2"/>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基本支出</w:t>
            </w:r>
          </w:p>
        </w:tc>
        <w:tc>
          <w:tcPr>
            <w:tcW w:w="1980"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项目支出</w:t>
            </w:r>
          </w:p>
        </w:tc>
        <w:tc>
          <w:tcPr>
            <w:tcW w:w="1980" w:type="dxa"/>
            <w:vMerge w:val="continue"/>
            <w:tcBorders>
              <w:left w:val="nil"/>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结转</w:t>
            </w:r>
          </w:p>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结余</w:t>
            </w:r>
          </w:p>
        </w:tc>
      </w:tr>
      <w:tr>
        <w:tblPrEx>
          <w:tblCellMar>
            <w:top w:w="0" w:type="dxa"/>
            <w:left w:w="108" w:type="dxa"/>
            <w:bottom w:w="0" w:type="dxa"/>
            <w:right w:w="108" w:type="dxa"/>
          </w:tblCellMar>
        </w:tblPrEx>
        <w:trPr>
          <w:trHeight w:val="312" w:hRule="atLeast"/>
        </w:trPr>
        <w:tc>
          <w:tcPr>
            <w:tcW w:w="811" w:type="dxa"/>
            <w:vMerge w:val="continue"/>
            <w:tcBorders>
              <w:top w:val="nil"/>
              <w:left w:val="single" w:color="000000" w:sz="4" w:space="0"/>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293"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980" w:type="dxa"/>
            <w:vMerge w:val="continue"/>
            <w:tcBorders>
              <w:top w:val="single" w:color="000000" w:sz="4" w:space="0"/>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984"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980"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984" w:type="dxa"/>
            <w:gridSpan w:val="2"/>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980"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980" w:type="dxa"/>
            <w:vMerge w:val="continue"/>
            <w:tcBorders>
              <w:left w:val="nil"/>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r>
      <w:tr>
        <w:tblPrEx>
          <w:tblCellMar>
            <w:top w:w="0" w:type="dxa"/>
            <w:left w:w="108" w:type="dxa"/>
            <w:bottom w:w="0" w:type="dxa"/>
            <w:right w:w="108" w:type="dxa"/>
          </w:tblCellMar>
        </w:tblPrEx>
        <w:trPr>
          <w:trHeight w:val="312" w:hRule="atLeast"/>
        </w:trPr>
        <w:tc>
          <w:tcPr>
            <w:tcW w:w="811" w:type="dxa"/>
            <w:vMerge w:val="continue"/>
            <w:tcBorders>
              <w:top w:val="nil"/>
              <w:left w:val="single" w:color="000000" w:sz="4" w:space="0"/>
              <w:bottom w:val="single" w:color="auto"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293" w:type="dxa"/>
            <w:vMerge w:val="continue"/>
            <w:tcBorders>
              <w:top w:val="nil"/>
              <w:left w:val="nil"/>
              <w:bottom w:val="single" w:color="auto"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980" w:type="dxa"/>
            <w:vMerge w:val="continue"/>
            <w:tcBorders>
              <w:top w:val="single" w:color="000000" w:sz="4" w:space="0"/>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984"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980"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984" w:type="dxa"/>
            <w:gridSpan w:val="2"/>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980"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980" w:type="dxa"/>
            <w:vMerge w:val="continue"/>
            <w:tcBorders>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r>
      <w:tr>
        <w:tblPrEx>
          <w:tblCellMar>
            <w:top w:w="0" w:type="dxa"/>
            <w:left w:w="108" w:type="dxa"/>
            <w:bottom w:w="0" w:type="dxa"/>
            <w:right w:w="108" w:type="dxa"/>
          </w:tblCellMar>
        </w:tblPrEx>
        <w:trPr>
          <w:trHeight w:val="308" w:hRule="atLeast"/>
        </w:trPr>
        <w:tc>
          <w:tcPr>
            <w:tcW w:w="2104"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栏次</w:t>
            </w:r>
          </w:p>
        </w:tc>
        <w:tc>
          <w:tcPr>
            <w:tcW w:w="1980" w:type="dxa"/>
            <w:tcBorders>
              <w:top w:val="nil"/>
              <w:left w:val="single" w:color="auto" w:sz="4" w:space="0"/>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w:t>
            </w:r>
          </w:p>
        </w:tc>
        <w:tc>
          <w:tcPr>
            <w:tcW w:w="1984" w:type="dxa"/>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2</w:t>
            </w:r>
          </w:p>
        </w:tc>
        <w:tc>
          <w:tcPr>
            <w:tcW w:w="1980"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3</w:t>
            </w:r>
          </w:p>
        </w:tc>
        <w:tc>
          <w:tcPr>
            <w:tcW w:w="1984" w:type="dxa"/>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4</w:t>
            </w:r>
          </w:p>
        </w:tc>
        <w:tc>
          <w:tcPr>
            <w:tcW w:w="1980"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5</w:t>
            </w:r>
          </w:p>
        </w:tc>
        <w:tc>
          <w:tcPr>
            <w:tcW w:w="1980"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6</w:t>
            </w:r>
          </w:p>
        </w:tc>
      </w:tr>
      <w:tr>
        <w:tblPrEx>
          <w:tblCellMar>
            <w:top w:w="0" w:type="dxa"/>
            <w:left w:w="108" w:type="dxa"/>
            <w:bottom w:w="0" w:type="dxa"/>
            <w:right w:w="108" w:type="dxa"/>
          </w:tblCellMar>
        </w:tblPrEx>
        <w:trPr>
          <w:trHeight w:val="869" w:hRule="atLeast"/>
        </w:trPr>
        <w:tc>
          <w:tcPr>
            <w:tcW w:w="2104"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1980" w:type="dxa"/>
            <w:tcBorders>
              <w:top w:val="nil"/>
              <w:left w:val="single" w:color="auto" w:sz="4" w:space="0"/>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0"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0"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1980"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13992" w:type="dxa"/>
            <w:gridSpan w:val="10"/>
            <w:tcBorders>
              <w:top w:val="nil"/>
              <w:left w:val="nil"/>
              <w:bottom w:val="nil"/>
              <w:right w:val="nil"/>
            </w:tcBorders>
            <w:noWrap/>
            <w:vAlign w:val="center"/>
          </w:tcPr>
          <w:p>
            <w:pP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color w:val="000000"/>
                <w:sz w:val="18"/>
                <w:szCs w:val="18"/>
                <w:lang w:bidi="ar"/>
              </w:rPr>
              <w:br w:type="page"/>
            </w:r>
          </w:p>
        </w:tc>
      </w:tr>
    </w:tbl>
    <w:p>
      <w:pPr>
        <w:rPr>
          <w:rFonts w:hint="eastAsia" w:ascii="仿宋_GB2312" w:hAnsi="宋体" w:eastAsia="仿宋_GB2312"/>
          <w:b/>
          <w:sz w:val="32"/>
          <w:szCs w:val="32"/>
        </w:rPr>
      </w:pPr>
      <w:r>
        <w:rPr>
          <w:rFonts w:hint="eastAsia" w:ascii="仿宋_GB2312" w:hAnsi="宋体" w:eastAsia="仿宋_GB2312"/>
          <w:b/>
          <w:sz w:val="32"/>
          <w:szCs w:val="32"/>
        </w:rPr>
        <w:t>备注：无</w:t>
      </w:r>
      <w:r>
        <w:rPr>
          <w:rFonts w:hint="eastAsia" w:ascii="仿宋_GB2312" w:hAnsi="宋体" w:eastAsia="仿宋_GB2312"/>
          <w:b/>
          <w:sz w:val="32"/>
          <w:szCs w:val="32"/>
          <w:lang w:eastAsia="zh-CN"/>
        </w:rPr>
        <w:t>先关数据，</w:t>
      </w:r>
      <w:r>
        <w:rPr>
          <w:rFonts w:hint="eastAsia" w:ascii="仿宋_GB2312" w:hAnsi="宋体" w:eastAsia="仿宋_GB2312"/>
          <w:b/>
          <w:sz w:val="32"/>
          <w:szCs w:val="32"/>
        </w:rPr>
        <w:t>空表</w:t>
      </w:r>
      <w:r>
        <w:rPr>
          <w:rFonts w:hint="eastAsia" w:ascii="仿宋_GB2312" w:hAnsi="宋体" w:eastAsia="仿宋_GB2312"/>
          <w:b/>
          <w:sz w:val="32"/>
          <w:szCs w:val="32"/>
          <w:lang w:eastAsia="zh-CN"/>
        </w:rPr>
        <w:t>列示</w:t>
      </w:r>
      <w:r>
        <w:rPr>
          <w:rFonts w:hint="eastAsia" w:ascii="仿宋_GB2312" w:hAnsi="宋体" w:eastAsia="仿宋_GB2312"/>
          <w:b/>
          <w:sz w:val="32"/>
          <w:szCs w:val="32"/>
        </w:rPr>
        <w:t>。</w:t>
      </w:r>
    </w:p>
    <w:p>
      <w:pPr>
        <w:rPr>
          <w:rFonts w:hint="eastAsia" w:ascii="仿宋_GB2312" w:hAnsi="宋体" w:eastAsia="仿宋_GB2312"/>
          <w:b/>
          <w:sz w:val="32"/>
          <w:szCs w:val="32"/>
        </w:rPr>
      </w:pPr>
      <w:r>
        <w:rPr>
          <w:rFonts w:hint="eastAsia" w:ascii="仿宋_GB2312" w:hAnsi="宋体" w:eastAsia="仿宋_GB2312"/>
          <w:b/>
          <w:sz w:val="32"/>
          <w:szCs w:val="32"/>
        </w:rPr>
        <w:br w:type="page"/>
      </w:r>
    </w:p>
    <w:p>
      <w:pPr>
        <w:widowControl/>
        <w:jc w:val="center"/>
        <w:textAlignment w:val="bottom"/>
        <w:rPr>
          <w:rFonts w:hint="eastAsia" w:ascii="宋体" w:hAnsi="宋体" w:eastAsia="宋体"/>
          <w:spacing w:val="-2"/>
          <w:sz w:val="20"/>
        </w:rPr>
      </w:pPr>
    </w:p>
    <w:tbl>
      <w:tblPr>
        <w:tblStyle w:val="11"/>
        <w:tblW w:w="13992" w:type="dxa"/>
        <w:tblInd w:w="0" w:type="dxa"/>
        <w:tblLayout w:type="fixed"/>
        <w:tblCellMar>
          <w:top w:w="0" w:type="dxa"/>
          <w:left w:w="108" w:type="dxa"/>
          <w:bottom w:w="0" w:type="dxa"/>
          <w:right w:w="108" w:type="dxa"/>
        </w:tblCellMar>
      </w:tblPr>
      <w:tblGrid>
        <w:gridCol w:w="3510"/>
        <w:gridCol w:w="1271"/>
        <w:gridCol w:w="2258"/>
        <w:gridCol w:w="2317"/>
        <w:gridCol w:w="8"/>
        <w:gridCol w:w="78"/>
        <w:gridCol w:w="2230"/>
        <w:gridCol w:w="17"/>
        <w:gridCol w:w="2303"/>
      </w:tblGrid>
      <w:tr>
        <w:tblPrEx>
          <w:tblCellMar>
            <w:top w:w="0" w:type="dxa"/>
            <w:left w:w="108" w:type="dxa"/>
            <w:bottom w:w="0" w:type="dxa"/>
            <w:right w:w="108" w:type="dxa"/>
          </w:tblCellMar>
        </w:tblPrEx>
        <w:trPr>
          <w:trHeight w:val="550" w:hRule="atLeast"/>
        </w:trPr>
        <w:tc>
          <w:tcPr>
            <w:tcW w:w="13992" w:type="dxa"/>
            <w:gridSpan w:val="9"/>
            <w:tcBorders>
              <w:top w:val="nil"/>
              <w:left w:val="nil"/>
              <w:bottom w:val="nil"/>
              <w:right w:val="nil"/>
            </w:tcBorders>
            <w:noWrap/>
            <w:vAlign w:val="bottom"/>
          </w:tcPr>
          <w:p>
            <w:pPr>
              <w:widowControl/>
              <w:jc w:val="center"/>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t>国有资本经营预算财政拨款支出决算表</w:t>
            </w:r>
          </w:p>
        </w:tc>
      </w:tr>
      <w:tr>
        <w:tblPrEx>
          <w:tblCellMar>
            <w:top w:w="0" w:type="dxa"/>
            <w:left w:w="108" w:type="dxa"/>
            <w:bottom w:w="0" w:type="dxa"/>
            <w:right w:w="108" w:type="dxa"/>
          </w:tblCellMar>
        </w:tblPrEx>
        <w:trPr>
          <w:trHeight w:val="300" w:hRule="atLeast"/>
        </w:trPr>
        <w:tc>
          <w:tcPr>
            <w:tcW w:w="13992" w:type="dxa"/>
            <w:gridSpan w:val="9"/>
            <w:tcBorders>
              <w:top w:val="nil"/>
              <w:left w:val="nil"/>
              <w:bottom w:val="nil"/>
              <w:right w:val="nil"/>
            </w:tcBorders>
            <w:noWrap/>
            <w:vAlign w:val="bottom"/>
          </w:tcPr>
          <w:p>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方正仿宋_GB2312" w:cs="Times New Roman"/>
                <w:color w:val="000000"/>
                <w:sz w:val="18"/>
                <w:szCs w:val="18"/>
                <w:lang w:bidi="ar"/>
              </w:rPr>
              <w:t>08</w:t>
            </w:r>
            <w:r>
              <w:rPr>
                <w:rFonts w:hint="eastAsia" w:ascii="方正仿宋_GB2312" w:hAnsi="方正仿宋_GB2312" w:eastAsia="方正仿宋_GB2312" w:cs="方正仿宋_GB2312"/>
                <w:color w:val="000000"/>
                <w:sz w:val="18"/>
                <w:szCs w:val="18"/>
                <w:lang w:bidi="ar"/>
              </w:rPr>
              <w:t>表</w:t>
            </w:r>
          </w:p>
        </w:tc>
      </w:tr>
      <w:tr>
        <w:tblPrEx>
          <w:tblCellMar>
            <w:top w:w="0" w:type="dxa"/>
            <w:left w:w="108" w:type="dxa"/>
            <w:bottom w:w="0" w:type="dxa"/>
            <w:right w:w="108" w:type="dxa"/>
          </w:tblCellMar>
        </w:tblPrEx>
        <w:trPr>
          <w:trHeight w:val="300" w:hRule="atLeast"/>
        </w:trPr>
        <w:tc>
          <w:tcPr>
            <w:tcW w:w="4781" w:type="dxa"/>
            <w:gridSpan w:val="2"/>
            <w:tcBorders>
              <w:top w:val="nil"/>
              <w:left w:val="nil"/>
              <w:bottom w:val="single" w:color="auto" w:sz="4" w:space="0"/>
              <w:right w:val="nil"/>
            </w:tcBorders>
            <w:noWrap/>
            <w:vAlign w:val="bottom"/>
          </w:tcPr>
          <w:p>
            <w:pPr>
              <w:widowControl/>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编制部门（单位）：石家庄市鹿泉区获鹿镇人民政府(本级)</w:t>
            </w:r>
          </w:p>
        </w:tc>
        <w:tc>
          <w:tcPr>
            <w:tcW w:w="4661" w:type="dxa"/>
            <w:gridSpan w:val="4"/>
            <w:tcBorders>
              <w:top w:val="nil"/>
              <w:left w:val="nil"/>
              <w:bottom w:val="single" w:color="auto" w:sz="4" w:space="0"/>
              <w:right w:val="nil"/>
            </w:tcBorders>
            <w:noWrap/>
            <w:vAlign w:val="bottom"/>
          </w:tcPr>
          <w:p>
            <w:pPr>
              <w:widowControl/>
              <w:jc w:val="center"/>
              <w:textAlignment w:val="bottom"/>
              <w:rPr>
                <w:rFonts w:hint="eastAsia" w:ascii="宋体" w:hAnsi="宋体" w:eastAsia="宋体"/>
                <w:color w:val="000000"/>
                <w:sz w:val="18"/>
                <w:szCs w:val="18"/>
                <w:lang w:bidi="ar"/>
              </w:rPr>
            </w:pPr>
            <w:r>
              <w:rPr>
                <w:rFonts w:ascii="Times New Roman" w:hAnsi="Times New Roman" w:eastAsia="宋体" w:cs="Times New Roman"/>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4550" w:type="dxa"/>
            <w:gridSpan w:val="3"/>
            <w:tcBorders>
              <w:top w:val="nil"/>
              <w:left w:val="nil"/>
              <w:bottom w:val="single" w:color="auto" w:sz="4" w:space="0"/>
              <w:right w:val="nil"/>
            </w:tcBorders>
            <w:noWrap/>
            <w:vAlign w:val="bottom"/>
          </w:tcPr>
          <w:p>
            <w:pPr>
              <w:widowControl/>
              <w:jc w:val="right"/>
              <w:textAlignment w:val="bottom"/>
              <w:rPr>
                <w:rFonts w:hint="eastAsia" w:ascii="宋体" w:hAnsi="宋体" w:eastAsia="宋体"/>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tblPrEx>
          <w:tblCellMar>
            <w:top w:w="0" w:type="dxa"/>
            <w:left w:w="108" w:type="dxa"/>
            <w:bottom w:w="0" w:type="dxa"/>
            <w:right w:w="108" w:type="dxa"/>
          </w:tblCellMar>
        </w:tblPrEx>
        <w:trPr>
          <w:trHeight w:val="312" w:hRule="atLeast"/>
        </w:trPr>
        <w:tc>
          <w:tcPr>
            <w:tcW w:w="7039" w:type="dxa"/>
            <w:gridSpan w:val="3"/>
            <w:vMerge w:val="restart"/>
            <w:tcBorders>
              <w:top w:val="single" w:color="auto" w:sz="4" w:space="0"/>
              <w:left w:val="nil"/>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项目</w:t>
            </w:r>
          </w:p>
        </w:tc>
        <w:tc>
          <w:tcPr>
            <w:tcW w:w="6953" w:type="dxa"/>
            <w:gridSpan w:val="6"/>
            <w:vMerge w:val="restart"/>
            <w:tcBorders>
              <w:top w:val="single" w:color="auto" w:sz="4" w:space="0"/>
              <w:left w:val="nil"/>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本年支出</w:t>
            </w:r>
          </w:p>
        </w:tc>
      </w:tr>
      <w:tr>
        <w:tblPrEx>
          <w:tblCellMar>
            <w:top w:w="0" w:type="dxa"/>
            <w:left w:w="108" w:type="dxa"/>
            <w:bottom w:w="0" w:type="dxa"/>
            <w:right w:w="108" w:type="dxa"/>
          </w:tblCellMar>
        </w:tblPrEx>
        <w:trPr>
          <w:trHeight w:val="312" w:hRule="atLeast"/>
        </w:trPr>
        <w:tc>
          <w:tcPr>
            <w:tcW w:w="7039" w:type="dxa"/>
            <w:gridSpan w:val="3"/>
            <w:vMerge w:val="continue"/>
            <w:tcBorders>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p>
        </w:tc>
        <w:tc>
          <w:tcPr>
            <w:tcW w:w="6953" w:type="dxa"/>
            <w:gridSpan w:val="6"/>
            <w:vMerge w:val="continue"/>
            <w:tcBorders>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p>
        </w:tc>
      </w:tr>
      <w:tr>
        <w:tblPrEx>
          <w:tblCellMar>
            <w:top w:w="0" w:type="dxa"/>
            <w:left w:w="108" w:type="dxa"/>
            <w:bottom w:w="0" w:type="dxa"/>
            <w:right w:w="108" w:type="dxa"/>
          </w:tblCellMar>
        </w:tblPrEx>
        <w:trPr>
          <w:trHeight w:val="312" w:hRule="atLeast"/>
        </w:trPr>
        <w:tc>
          <w:tcPr>
            <w:tcW w:w="3510" w:type="dxa"/>
            <w:vMerge w:val="restart"/>
            <w:tcBorders>
              <w:top w:val="nil"/>
              <w:left w:val="nil"/>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3529" w:type="dxa"/>
            <w:gridSpan w:val="2"/>
            <w:vMerge w:val="restart"/>
            <w:tcBorders>
              <w:top w:val="nil"/>
              <w:left w:val="nil"/>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2325" w:type="dxa"/>
            <w:gridSpan w:val="2"/>
            <w:vMerge w:val="restart"/>
            <w:tcBorders>
              <w:top w:val="nil"/>
              <w:left w:val="nil"/>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2325" w:type="dxa"/>
            <w:gridSpan w:val="3"/>
            <w:vMerge w:val="restart"/>
            <w:tcBorders>
              <w:top w:val="nil"/>
              <w:left w:val="nil"/>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基本支出</w:t>
            </w:r>
          </w:p>
        </w:tc>
        <w:tc>
          <w:tcPr>
            <w:tcW w:w="2303" w:type="dxa"/>
            <w:vMerge w:val="restart"/>
            <w:tcBorders>
              <w:top w:val="nil"/>
              <w:left w:val="nil"/>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项目支出</w:t>
            </w:r>
          </w:p>
        </w:tc>
      </w:tr>
      <w:tr>
        <w:tblPrEx>
          <w:tblCellMar>
            <w:top w:w="0" w:type="dxa"/>
            <w:left w:w="108" w:type="dxa"/>
            <w:bottom w:w="0" w:type="dxa"/>
            <w:right w:w="108" w:type="dxa"/>
          </w:tblCellMar>
        </w:tblPrEx>
        <w:trPr>
          <w:trHeight w:val="312" w:hRule="atLeast"/>
        </w:trPr>
        <w:tc>
          <w:tcPr>
            <w:tcW w:w="3510" w:type="dxa"/>
            <w:vMerge w:val="continue"/>
            <w:tcBorders>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3529" w:type="dxa"/>
            <w:gridSpan w:val="2"/>
            <w:vMerge w:val="continue"/>
            <w:tcBorders>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2325" w:type="dxa"/>
            <w:gridSpan w:val="2"/>
            <w:vMerge w:val="continue"/>
            <w:tcBorders>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2325" w:type="dxa"/>
            <w:gridSpan w:val="3"/>
            <w:vMerge w:val="continue"/>
            <w:tcBorders>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2303" w:type="dxa"/>
            <w:vMerge w:val="continue"/>
            <w:tcBorders>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r>
      <w:tr>
        <w:tblPrEx>
          <w:tblCellMar>
            <w:top w:w="0" w:type="dxa"/>
            <w:left w:w="108" w:type="dxa"/>
            <w:bottom w:w="0" w:type="dxa"/>
            <w:right w:w="108" w:type="dxa"/>
          </w:tblCellMar>
        </w:tblPrEx>
        <w:trPr>
          <w:trHeight w:val="308" w:hRule="atLeast"/>
        </w:trPr>
        <w:tc>
          <w:tcPr>
            <w:tcW w:w="7039" w:type="dxa"/>
            <w:gridSpan w:val="3"/>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hint="eastAsia" w:ascii="Times New Roman" w:hAnsi="Times New Roman" w:eastAsia="方正仿宋_GB2312" w:cs="Times New Roman"/>
                <w:color w:val="000000"/>
                <w:sz w:val="18"/>
                <w:szCs w:val="18"/>
              </w:rPr>
              <w:t>栏次</w:t>
            </w:r>
          </w:p>
        </w:tc>
        <w:tc>
          <w:tcPr>
            <w:tcW w:w="2317"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hint="eastAsia" w:ascii="Times New Roman" w:hAnsi="Times New Roman" w:eastAsia="方正仿宋_GB2312" w:cs="Times New Roman"/>
                <w:color w:val="000000"/>
                <w:sz w:val="18"/>
                <w:szCs w:val="18"/>
              </w:rPr>
              <w:t>1</w:t>
            </w:r>
          </w:p>
        </w:tc>
        <w:tc>
          <w:tcPr>
            <w:tcW w:w="2316" w:type="dxa"/>
            <w:gridSpan w:val="3"/>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hint="eastAsia" w:ascii="Times New Roman" w:hAnsi="Times New Roman" w:eastAsia="方正仿宋_GB2312" w:cs="Times New Roman"/>
                <w:color w:val="000000"/>
                <w:sz w:val="18"/>
                <w:szCs w:val="18"/>
              </w:rPr>
              <w:t>2</w:t>
            </w:r>
          </w:p>
        </w:tc>
        <w:tc>
          <w:tcPr>
            <w:tcW w:w="2320" w:type="dxa"/>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hint="eastAsia" w:ascii="Times New Roman" w:hAnsi="Times New Roman" w:eastAsia="方正仿宋_GB2312" w:cs="Times New Roman"/>
                <w:color w:val="000000"/>
                <w:sz w:val="18"/>
                <w:szCs w:val="18"/>
              </w:rPr>
              <w:t>3</w:t>
            </w:r>
          </w:p>
        </w:tc>
      </w:tr>
      <w:tr>
        <w:tblPrEx>
          <w:tblCellMar>
            <w:top w:w="0" w:type="dxa"/>
            <w:left w:w="108" w:type="dxa"/>
            <w:bottom w:w="0" w:type="dxa"/>
            <w:right w:w="108" w:type="dxa"/>
          </w:tblCellMar>
        </w:tblPrEx>
        <w:trPr>
          <w:trHeight w:val="308" w:hRule="atLeast"/>
        </w:trPr>
        <w:tc>
          <w:tcPr>
            <w:tcW w:w="7039" w:type="dxa"/>
            <w:gridSpan w:val="3"/>
            <w:tcBorders>
              <w:top w:val="nil"/>
              <w:left w:val="nil"/>
              <w:bottom w:val="single" w:color="000000" w:sz="4" w:space="0"/>
              <w:right w:val="single" w:color="000000" w:sz="4" w:space="0"/>
            </w:tcBorders>
            <w:noWrap/>
            <w:vAlign w:val="center"/>
          </w:tcPr>
          <w:p>
            <w:pPr>
              <w:jc w:val="center"/>
              <w:rPr>
                <w:rFonts w:ascii="Times New Roman" w:hAnsi="Times New Roman" w:eastAsia="宋体" w:cs="Times New Roman"/>
                <w:color w:val="000000"/>
                <w:sz w:val="18"/>
                <w:szCs w:val="18"/>
              </w:rPr>
            </w:pPr>
            <w:r>
              <w:rPr>
                <w:rFonts w:hint="eastAsia" w:ascii="Times New Roman" w:hAnsi="Times New Roman" w:eastAsia="方正仿宋_GB2312" w:cs="Times New Roman"/>
                <w:color w:val="000000"/>
                <w:sz w:val="18"/>
                <w:szCs w:val="18"/>
              </w:rPr>
              <w:t>合计</w:t>
            </w:r>
          </w:p>
        </w:tc>
        <w:tc>
          <w:tcPr>
            <w:tcW w:w="231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2316" w:type="dxa"/>
            <w:gridSpan w:val="3"/>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c>
          <w:tcPr>
            <w:tcW w:w="2320"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18"/>
                <w:szCs w:val="18"/>
              </w:rPr>
            </w:pPr>
          </w:p>
        </w:tc>
      </w:tr>
      <w:tr>
        <w:tblPrEx>
          <w:tblCellMar>
            <w:top w:w="0" w:type="dxa"/>
            <w:left w:w="108" w:type="dxa"/>
            <w:bottom w:w="0" w:type="dxa"/>
            <w:right w:w="108" w:type="dxa"/>
          </w:tblCellMar>
        </w:tblPrEx>
        <w:trPr>
          <w:trHeight w:val="308" w:hRule="atLeast"/>
        </w:trPr>
        <w:tc>
          <w:tcPr>
            <w:tcW w:w="13992" w:type="dxa"/>
            <w:gridSpan w:val="9"/>
            <w:tcBorders>
              <w:top w:val="nil"/>
              <w:left w:val="nil"/>
              <w:bottom w:val="nil"/>
              <w:right w:val="nil"/>
            </w:tcBorders>
            <w:noWrap/>
            <w:vAlign w:val="center"/>
          </w:tcPr>
          <w:p>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注：本表反映部门本年度国有资本经营预算财政拨款收入、支出及结转和结余情况。（如无相关数据，则需注明空表列示）</w:t>
            </w:r>
          </w:p>
        </w:tc>
      </w:tr>
    </w:tbl>
    <w:p>
      <w:pPr>
        <w:rPr>
          <w:rFonts w:hint="eastAsia" w:ascii="仿宋_GB2312" w:hAnsi="宋体" w:eastAsia="仿宋_GB2312"/>
          <w:b/>
          <w:sz w:val="32"/>
          <w:szCs w:val="32"/>
        </w:rPr>
      </w:pPr>
      <w:r>
        <w:rPr>
          <w:rFonts w:hint="eastAsia" w:ascii="仿宋_GB2312" w:hAnsi="宋体" w:eastAsia="仿宋_GB2312"/>
          <w:b/>
          <w:sz w:val="32"/>
          <w:szCs w:val="32"/>
        </w:rPr>
        <w:t>备注：无</w:t>
      </w:r>
      <w:r>
        <w:rPr>
          <w:rFonts w:hint="eastAsia" w:ascii="仿宋_GB2312" w:hAnsi="宋体" w:eastAsia="仿宋_GB2312"/>
          <w:b/>
          <w:sz w:val="32"/>
          <w:szCs w:val="32"/>
          <w:lang w:eastAsia="zh-CN"/>
        </w:rPr>
        <w:t>先关数据，</w:t>
      </w:r>
      <w:r>
        <w:rPr>
          <w:rFonts w:hint="eastAsia" w:ascii="仿宋_GB2312" w:hAnsi="宋体" w:eastAsia="仿宋_GB2312"/>
          <w:b/>
          <w:sz w:val="32"/>
          <w:szCs w:val="32"/>
        </w:rPr>
        <w:t>空表</w:t>
      </w:r>
      <w:r>
        <w:rPr>
          <w:rFonts w:hint="eastAsia" w:ascii="仿宋_GB2312" w:hAnsi="宋体" w:eastAsia="仿宋_GB2312"/>
          <w:b/>
          <w:sz w:val="32"/>
          <w:szCs w:val="32"/>
          <w:lang w:eastAsia="zh-CN"/>
        </w:rPr>
        <w:t>列示</w:t>
      </w:r>
      <w:r>
        <w:rPr>
          <w:rFonts w:hint="eastAsia" w:ascii="仿宋_GB2312" w:hAnsi="宋体" w:eastAsia="仿宋_GB2312"/>
          <w:b/>
          <w:sz w:val="32"/>
          <w:szCs w:val="32"/>
        </w:rPr>
        <w:t>。</w:t>
      </w:r>
    </w:p>
    <w:p>
      <w:pPr>
        <w:rPr>
          <w:rFonts w:hint="eastAsia" w:ascii="仿宋_GB2312" w:hAnsi="宋体" w:eastAsia="仿宋_GB2312"/>
          <w:b/>
          <w:sz w:val="32"/>
          <w:szCs w:val="32"/>
        </w:rPr>
      </w:pPr>
    </w:p>
    <w:p>
      <w:pPr>
        <w:rPr>
          <w:rFonts w:hint="eastAsia" w:ascii="仿宋_GB2312" w:hAnsi="宋体" w:eastAsia="仿宋_GB2312"/>
          <w:b/>
          <w:sz w:val="32"/>
          <w:szCs w:val="32"/>
        </w:rPr>
      </w:pPr>
      <w:r>
        <w:rPr>
          <w:rFonts w:hint="eastAsia" w:ascii="仿宋_GB2312" w:hAnsi="宋体" w:eastAsia="仿宋_GB2312"/>
          <w:b/>
          <w:sz w:val="32"/>
          <w:szCs w:val="32"/>
        </w:rPr>
        <w:br w:type="page"/>
      </w:r>
    </w:p>
    <w:tbl>
      <w:tblPr>
        <w:tblStyle w:val="11"/>
        <w:tblpPr w:leftFromText="180" w:rightFromText="180" w:vertAnchor="text" w:horzAnchor="page" w:tblpX="1586" w:tblpY="39"/>
        <w:tblOverlap w:val="never"/>
        <w:tblW w:w="13986" w:type="dxa"/>
        <w:tblInd w:w="0" w:type="dxa"/>
        <w:tblLayout w:type="fixed"/>
        <w:tblCellMar>
          <w:top w:w="0" w:type="dxa"/>
          <w:left w:w="108" w:type="dxa"/>
          <w:bottom w:w="0" w:type="dxa"/>
          <w:right w:w="108" w:type="dxa"/>
        </w:tblCellMar>
      </w:tblPr>
      <w:tblGrid>
        <w:gridCol w:w="1150"/>
        <w:gridCol w:w="1150"/>
        <w:gridCol w:w="1150"/>
        <w:gridCol w:w="1152"/>
        <w:gridCol w:w="945"/>
        <w:gridCol w:w="210"/>
        <w:gridCol w:w="1155"/>
        <w:gridCol w:w="1152"/>
        <w:gridCol w:w="1152"/>
        <w:gridCol w:w="101"/>
        <w:gridCol w:w="1049"/>
        <w:gridCol w:w="1203"/>
        <w:gridCol w:w="1206"/>
        <w:gridCol w:w="1211"/>
      </w:tblGrid>
      <w:tr>
        <w:tblPrEx>
          <w:tblCellMar>
            <w:top w:w="0" w:type="dxa"/>
            <w:left w:w="108" w:type="dxa"/>
            <w:bottom w:w="0" w:type="dxa"/>
            <w:right w:w="108" w:type="dxa"/>
          </w:tblCellMar>
        </w:tblPrEx>
        <w:trPr>
          <w:trHeight w:val="550" w:hRule="atLeast"/>
        </w:trPr>
        <w:tc>
          <w:tcPr>
            <w:tcW w:w="13986" w:type="dxa"/>
            <w:gridSpan w:val="14"/>
            <w:tcBorders>
              <w:top w:val="nil"/>
              <w:left w:val="nil"/>
              <w:bottom w:val="nil"/>
              <w:right w:val="nil"/>
            </w:tcBorders>
            <w:noWrap/>
            <w:vAlign w:val="bottom"/>
          </w:tcPr>
          <w:p>
            <w:pPr>
              <w:widowControl/>
              <w:jc w:val="center"/>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t>财政拨款“三公”经费支出决算表</w:t>
            </w:r>
          </w:p>
        </w:tc>
      </w:tr>
      <w:tr>
        <w:tblPrEx>
          <w:tblCellMar>
            <w:top w:w="0" w:type="dxa"/>
            <w:left w:w="108" w:type="dxa"/>
            <w:bottom w:w="0" w:type="dxa"/>
            <w:right w:w="108" w:type="dxa"/>
          </w:tblCellMar>
        </w:tblPrEx>
        <w:trPr>
          <w:trHeight w:val="260" w:hRule="atLeast"/>
        </w:trPr>
        <w:tc>
          <w:tcPr>
            <w:tcW w:w="13986" w:type="dxa"/>
            <w:gridSpan w:val="14"/>
            <w:tcBorders>
              <w:top w:val="nil"/>
              <w:left w:val="nil"/>
              <w:bottom w:val="nil"/>
              <w:right w:val="nil"/>
            </w:tcBorders>
            <w:noWrap/>
            <w:vAlign w:val="bottom"/>
          </w:tcPr>
          <w:p>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方正仿宋_GB2312" w:cs="Times New Roman"/>
                <w:color w:val="000000"/>
                <w:sz w:val="18"/>
                <w:szCs w:val="18"/>
                <w:lang w:bidi="ar"/>
              </w:rPr>
              <w:t>09</w:t>
            </w:r>
            <w:r>
              <w:rPr>
                <w:rFonts w:hint="eastAsia" w:ascii="方正仿宋_GB2312" w:hAnsi="方正仿宋_GB2312" w:eastAsia="方正仿宋_GB2312" w:cs="方正仿宋_GB2312"/>
                <w:color w:val="000000"/>
                <w:sz w:val="18"/>
                <w:szCs w:val="18"/>
                <w:lang w:bidi="ar"/>
              </w:rPr>
              <w:t>表</w:t>
            </w:r>
          </w:p>
        </w:tc>
      </w:tr>
      <w:tr>
        <w:tblPrEx>
          <w:tblCellMar>
            <w:top w:w="0" w:type="dxa"/>
            <w:left w:w="108" w:type="dxa"/>
            <w:bottom w:w="0" w:type="dxa"/>
            <w:right w:w="108" w:type="dxa"/>
          </w:tblCellMar>
        </w:tblPrEx>
        <w:trPr>
          <w:trHeight w:val="260" w:hRule="atLeast"/>
        </w:trPr>
        <w:tc>
          <w:tcPr>
            <w:tcW w:w="5547" w:type="dxa"/>
            <w:gridSpan w:val="5"/>
            <w:tcBorders>
              <w:top w:val="nil"/>
              <w:left w:val="nil"/>
              <w:bottom w:val="single" w:color="auto" w:sz="4" w:space="0"/>
              <w:right w:val="nil"/>
            </w:tcBorders>
            <w:noWrap/>
            <w:vAlign w:val="bottom"/>
          </w:tcPr>
          <w:p>
            <w:pPr>
              <w:widowControl/>
              <w:jc w:val="lef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编制部门（单位）：石家庄市鹿泉区获鹿镇人民政府(本级)</w:t>
            </w:r>
          </w:p>
        </w:tc>
        <w:tc>
          <w:tcPr>
            <w:tcW w:w="3770" w:type="dxa"/>
            <w:gridSpan w:val="5"/>
            <w:tcBorders>
              <w:top w:val="nil"/>
              <w:left w:val="nil"/>
              <w:bottom w:val="single" w:color="auto" w:sz="4" w:space="0"/>
              <w:right w:val="nil"/>
            </w:tcBorders>
            <w:noWrap/>
            <w:vAlign w:val="bottom"/>
          </w:tcPr>
          <w:p>
            <w:pPr>
              <w:widowControl/>
              <w:jc w:val="center"/>
              <w:textAlignment w:val="bottom"/>
              <w:rPr>
                <w:rFonts w:hint="eastAsia" w:ascii="宋体" w:hAnsi="宋体" w:eastAsia="宋体"/>
                <w:color w:val="000000"/>
                <w:sz w:val="18"/>
                <w:szCs w:val="18"/>
                <w:lang w:bidi="ar"/>
              </w:rPr>
            </w:pPr>
            <w:r>
              <w:rPr>
                <w:rFonts w:ascii="Times New Roman" w:hAnsi="Times New Roman" w:eastAsia="宋体" w:cs="Times New Roman"/>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4669" w:type="dxa"/>
            <w:gridSpan w:val="4"/>
            <w:tcBorders>
              <w:top w:val="nil"/>
              <w:left w:val="nil"/>
              <w:bottom w:val="single" w:color="auto" w:sz="4" w:space="0"/>
              <w:right w:val="nil"/>
            </w:tcBorders>
            <w:noWrap/>
            <w:vAlign w:val="bottom"/>
          </w:tcPr>
          <w:p>
            <w:pPr>
              <w:widowControl/>
              <w:jc w:val="right"/>
              <w:textAlignment w:val="bottom"/>
              <w:rPr>
                <w:rFonts w:hint="eastAsia" w:ascii="宋体" w:hAnsi="宋体" w:eastAsia="宋体"/>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tblPrEx>
          <w:tblCellMar>
            <w:top w:w="0" w:type="dxa"/>
            <w:left w:w="108" w:type="dxa"/>
            <w:bottom w:w="0" w:type="dxa"/>
            <w:right w:w="108" w:type="dxa"/>
          </w:tblCellMar>
        </w:tblPrEx>
        <w:trPr>
          <w:trHeight w:val="431" w:hRule="atLeast"/>
        </w:trPr>
        <w:tc>
          <w:tcPr>
            <w:tcW w:w="6912" w:type="dxa"/>
            <w:gridSpan w:val="7"/>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预算数</w:t>
            </w:r>
          </w:p>
        </w:tc>
        <w:tc>
          <w:tcPr>
            <w:tcW w:w="7074" w:type="dxa"/>
            <w:gridSpan w:val="7"/>
            <w:tcBorders>
              <w:top w:val="single" w:color="auto" w:sz="4" w:space="0"/>
              <w:left w:val="nil"/>
              <w:bottom w:val="single" w:color="000000" w:sz="4" w:space="0"/>
              <w:right w:val="single" w:color="000000" w:sz="4" w:space="0"/>
            </w:tcBorders>
            <w:noWrap/>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决算数</w:t>
            </w:r>
          </w:p>
        </w:tc>
      </w:tr>
      <w:tr>
        <w:tblPrEx>
          <w:tblCellMar>
            <w:top w:w="0" w:type="dxa"/>
            <w:left w:w="108" w:type="dxa"/>
            <w:bottom w:w="0" w:type="dxa"/>
            <w:right w:w="108" w:type="dxa"/>
          </w:tblCellMar>
        </w:tblPrEx>
        <w:trPr>
          <w:trHeight w:val="431" w:hRule="atLeast"/>
        </w:trPr>
        <w:tc>
          <w:tcPr>
            <w:tcW w:w="1150" w:type="dxa"/>
            <w:vMerge w:val="restart"/>
            <w:tcBorders>
              <w:top w:val="nil"/>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1150" w:type="dxa"/>
            <w:vMerge w:val="restart"/>
            <w:tcBorders>
              <w:top w:val="nil"/>
              <w:left w:val="nil"/>
              <w:bottom w:val="single" w:color="000000" w:sz="4" w:space="0"/>
              <w:right w:val="single" w:color="000000" w:sz="4" w:space="0"/>
            </w:tcBorders>
            <w:noWrap/>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因公出国（境）费</w:t>
            </w:r>
          </w:p>
        </w:tc>
        <w:tc>
          <w:tcPr>
            <w:tcW w:w="3457" w:type="dxa"/>
            <w:gridSpan w:val="4"/>
            <w:tcBorders>
              <w:top w:val="nil"/>
              <w:left w:val="nil"/>
              <w:bottom w:val="single" w:color="000000" w:sz="4" w:space="0"/>
              <w:right w:val="single" w:color="000000" w:sz="4" w:space="0"/>
            </w:tcBorders>
            <w:noWrap/>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公务用车购置及运行维护费</w:t>
            </w:r>
          </w:p>
        </w:tc>
        <w:tc>
          <w:tcPr>
            <w:tcW w:w="1155" w:type="dxa"/>
            <w:vMerge w:val="restart"/>
            <w:tcBorders>
              <w:top w:val="nil"/>
              <w:left w:val="nil"/>
              <w:bottom w:val="single" w:color="000000" w:sz="4" w:space="0"/>
              <w:right w:val="single" w:color="000000" w:sz="4" w:space="0"/>
            </w:tcBorders>
            <w:noWrap/>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公务接待费</w:t>
            </w:r>
          </w:p>
        </w:tc>
        <w:tc>
          <w:tcPr>
            <w:tcW w:w="1152" w:type="dxa"/>
            <w:vMerge w:val="restart"/>
            <w:tcBorders>
              <w:top w:val="nil"/>
              <w:left w:val="nil"/>
              <w:bottom w:val="single" w:color="000000" w:sz="4" w:space="0"/>
              <w:right w:val="single" w:color="000000" w:sz="4" w:space="0"/>
            </w:tcBorders>
            <w:noWrap/>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1152" w:type="dxa"/>
            <w:vMerge w:val="restart"/>
            <w:tcBorders>
              <w:top w:val="nil"/>
              <w:left w:val="nil"/>
              <w:bottom w:val="single" w:color="000000" w:sz="4" w:space="0"/>
              <w:right w:val="single" w:color="000000" w:sz="4" w:space="0"/>
            </w:tcBorders>
            <w:noWrap/>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因公出国（境）费</w:t>
            </w:r>
          </w:p>
        </w:tc>
        <w:tc>
          <w:tcPr>
            <w:tcW w:w="3559" w:type="dxa"/>
            <w:gridSpan w:val="4"/>
            <w:tcBorders>
              <w:top w:val="nil"/>
              <w:left w:val="nil"/>
              <w:bottom w:val="single" w:color="000000" w:sz="4" w:space="0"/>
              <w:right w:val="single" w:color="000000" w:sz="4" w:space="0"/>
            </w:tcBorders>
            <w:noWrap/>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公务用车购置及运行维护费</w:t>
            </w:r>
          </w:p>
        </w:tc>
        <w:tc>
          <w:tcPr>
            <w:tcW w:w="1211" w:type="dxa"/>
            <w:vMerge w:val="restart"/>
            <w:tcBorders>
              <w:top w:val="nil"/>
              <w:left w:val="nil"/>
              <w:bottom w:val="single" w:color="000000" w:sz="4" w:space="0"/>
              <w:right w:val="single" w:color="000000" w:sz="4" w:space="0"/>
            </w:tcBorders>
            <w:noWrap/>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公务接待费</w:t>
            </w:r>
          </w:p>
        </w:tc>
      </w:tr>
      <w:tr>
        <w:tblPrEx>
          <w:tblCellMar>
            <w:top w:w="0" w:type="dxa"/>
            <w:left w:w="108" w:type="dxa"/>
            <w:bottom w:w="0" w:type="dxa"/>
            <w:right w:w="108" w:type="dxa"/>
          </w:tblCellMar>
        </w:tblPrEx>
        <w:trPr>
          <w:trHeight w:val="431" w:hRule="atLeast"/>
        </w:trPr>
        <w:tc>
          <w:tcPr>
            <w:tcW w:w="1150" w:type="dxa"/>
            <w:vMerge w:val="continue"/>
            <w:tcBorders>
              <w:top w:val="nil"/>
              <w:left w:val="single" w:color="000000" w:sz="4" w:space="0"/>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color w:val="000000"/>
                <w:sz w:val="18"/>
                <w:szCs w:val="18"/>
              </w:rPr>
            </w:pPr>
          </w:p>
        </w:tc>
        <w:tc>
          <w:tcPr>
            <w:tcW w:w="115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color w:val="000000"/>
                <w:sz w:val="18"/>
                <w:szCs w:val="18"/>
              </w:rPr>
            </w:pPr>
          </w:p>
        </w:tc>
        <w:tc>
          <w:tcPr>
            <w:tcW w:w="1150" w:type="dxa"/>
            <w:tcBorders>
              <w:top w:val="nil"/>
              <w:left w:val="nil"/>
              <w:bottom w:val="single" w:color="000000" w:sz="4" w:space="0"/>
              <w:right w:val="single" w:color="000000" w:sz="4" w:space="0"/>
            </w:tcBorders>
            <w:noWrap/>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小计</w:t>
            </w:r>
          </w:p>
        </w:tc>
        <w:tc>
          <w:tcPr>
            <w:tcW w:w="1152" w:type="dxa"/>
            <w:tcBorders>
              <w:top w:val="nil"/>
              <w:left w:val="nil"/>
              <w:bottom w:val="single" w:color="000000" w:sz="4" w:space="0"/>
              <w:right w:val="single" w:color="000000" w:sz="4" w:space="0"/>
            </w:tcBorders>
            <w:noWrap/>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公务用车购置费</w:t>
            </w:r>
          </w:p>
        </w:tc>
        <w:tc>
          <w:tcPr>
            <w:tcW w:w="1155" w:type="dxa"/>
            <w:gridSpan w:val="2"/>
            <w:tcBorders>
              <w:top w:val="nil"/>
              <w:left w:val="nil"/>
              <w:bottom w:val="single" w:color="000000" w:sz="4" w:space="0"/>
              <w:right w:val="single" w:color="000000" w:sz="4" w:space="0"/>
            </w:tcBorders>
            <w:noWrap/>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公务用车运行维护费</w:t>
            </w:r>
          </w:p>
        </w:tc>
        <w:tc>
          <w:tcPr>
            <w:tcW w:w="1155"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color w:val="000000"/>
                <w:sz w:val="18"/>
                <w:szCs w:val="18"/>
              </w:rPr>
            </w:pPr>
          </w:p>
        </w:tc>
        <w:tc>
          <w:tcPr>
            <w:tcW w:w="1152"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color w:val="000000"/>
                <w:sz w:val="18"/>
                <w:szCs w:val="18"/>
              </w:rPr>
            </w:pPr>
          </w:p>
        </w:tc>
        <w:tc>
          <w:tcPr>
            <w:tcW w:w="1152"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color w:val="000000"/>
                <w:sz w:val="18"/>
                <w:szCs w:val="18"/>
              </w:rPr>
            </w:pPr>
          </w:p>
        </w:tc>
        <w:tc>
          <w:tcPr>
            <w:tcW w:w="1150" w:type="dxa"/>
            <w:gridSpan w:val="2"/>
            <w:tcBorders>
              <w:top w:val="nil"/>
              <w:left w:val="nil"/>
              <w:bottom w:val="single" w:color="000000" w:sz="4" w:space="0"/>
              <w:right w:val="single" w:color="000000" w:sz="4" w:space="0"/>
            </w:tcBorders>
            <w:noWrap/>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小计</w:t>
            </w:r>
          </w:p>
        </w:tc>
        <w:tc>
          <w:tcPr>
            <w:tcW w:w="1203" w:type="dxa"/>
            <w:tcBorders>
              <w:top w:val="nil"/>
              <w:left w:val="nil"/>
              <w:bottom w:val="single" w:color="000000" w:sz="4" w:space="0"/>
              <w:right w:val="single" w:color="000000" w:sz="4" w:space="0"/>
            </w:tcBorders>
            <w:noWrap/>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公务用车购置费</w:t>
            </w:r>
          </w:p>
        </w:tc>
        <w:tc>
          <w:tcPr>
            <w:tcW w:w="1206" w:type="dxa"/>
            <w:tcBorders>
              <w:top w:val="nil"/>
              <w:left w:val="nil"/>
              <w:bottom w:val="single" w:color="000000" w:sz="4" w:space="0"/>
              <w:right w:val="single" w:color="000000" w:sz="4" w:space="0"/>
            </w:tcBorders>
            <w:noWrap/>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公务用车运行维护费</w:t>
            </w:r>
          </w:p>
        </w:tc>
        <w:tc>
          <w:tcPr>
            <w:tcW w:w="1211"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color w:val="000000"/>
                <w:sz w:val="18"/>
                <w:szCs w:val="18"/>
              </w:rPr>
            </w:pPr>
          </w:p>
        </w:tc>
      </w:tr>
      <w:tr>
        <w:tblPrEx>
          <w:tblCellMar>
            <w:top w:w="0" w:type="dxa"/>
            <w:left w:w="108" w:type="dxa"/>
            <w:bottom w:w="0" w:type="dxa"/>
            <w:right w:w="108" w:type="dxa"/>
          </w:tblCellMar>
        </w:tblPrEx>
        <w:trPr>
          <w:trHeight w:val="431" w:hRule="atLeast"/>
        </w:trPr>
        <w:tc>
          <w:tcPr>
            <w:tcW w:w="1150" w:type="dxa"/>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w:t>
            </w:r>
          </w:p>
        </w:tc>
        <w:tc>
          <w:tcPr>
            <w:tcW w:w="1150"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2</w:t>
            </w:r>
          </w:p>
        </w:tc>
        <w:tc>
          <w:tcPr>
            <w:tcW w:w="1150"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3</w:t>
            </w:r>
          </w:p>
        </w:tc>
        <w:tc>
          <w:tcPr>
            <w:tcW w:w="1152"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4</w:t>
            </w:r>
          </w:p>
        </w:tc>
        <w:tc>
          <w:tcPr>
            <w:tcW w:w="1155" w:type="dxa"/>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5</w:t>
            </w:r>
          </w:p>
        </w:tc>
        <w:tc>
          <w:tcPr>
            <w:tcW w:w="1155"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6</w:t>
            </w:r>
          </w:p>
        </w:tc>
        <w:tc>
          <w:tcPr>
            <w:tcW w:w="1152"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7</w:t>
            </w:r>
          </w:p>
        </w:tc>
        <w:tc>
          <w:tcPr>
            <w:tcW w:w="1152"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8</w:t>
            </w:r>
          </w:p>
        </w:tc>
        <w:tc>
          <w:tcPr>
            <w:tcW w:w="1150" w:type="dxa"/>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9</w:t>
            </w:r>
          </w:p>
        </w:tc>
        <w:tc>
          <w:tcPr>
            <w:tcW w:w="1203"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10</w:t>
            </w:r>
          </w:p>
        </w:tc>
        <w:tc>
          <w:tcPr>
            <w:tcW w:w="1206"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11</w:t>
            </w:r>
          </w:p>
        </w:tc>
        <w:tc>
          <w:tcPr>
            <w:tcW w:w="1211" w:type="dxa"/>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12</w:t>
            </w:r>
          </w:p>
        </w:tc>
      </w:tr>
      <w:tr>
        <w:tblPrEx>
          <w:tblCellMar>
            <w:top w:w="0" w:type="dxa"/>
            <w:left w:w="108" w:type="dxa"/>
            <w:bottom w:w="0" w:type="dxa"/>
            <w:right w:w="108" w:type="dxa"/>
          </w:tblCellMar>
        </w:tblPrEx>
        <w:trPr>
          <w:trHeight w:val="431" w:hRule="atLeast"/>
        </w:trPr>
        <w:tc>
          <w:tcPr>
            <w:tcW w:w="1150" w:type="dxa"/>
            <w:tcBorders>
              <w:top w:val="nil"/>
              <w:left w:val="single" w:color="000000" w:sz="4" w:space="0"/>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9.10</w:t>
            </w:r>
          </w:p>
        </w:tc>
        <w:tc>
          <w:tcPr>
            <w:tcW w:w="1150" w:type="dxa"/>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1150" w:type="dxa"/>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8.10</w:t>
            </w:r>
          </w:p>
        </w:tc>
        <w:tc>
          <w:tcPr>
            <w:tcW w:w="1152" w:type="dxa"/>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1155"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8.10</w:t>
            </w:r>
          </w:p>
        </w:tc>
        <w:tc>
          <w:tcPr>
            <w:tcW w:w="1155" w:type="dxa"/>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1.00</w:t>
            </w:r>
          </w:p>
        </w:tc>
        <w:tc>
          <w:tcPr>
            <w:tcW w:w="1152" w:type="dxa"/>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8.07</w:t>
            </w:r>
          </w:p>
        </w:tc>
        <w:tc>
          <w:tcPr>
            <w:tcW w:w="1152" w:type="dxa"/>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1150"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8.07</w:t>
            </w:r>
          </w:p>
        </w:tc>
        <w:tc>
          <w:tcPr>
            <w:tcW w:w="1203" w:type="dxa"/>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1206" w:type="dxa"/>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8.07</w:t>
            </w:r>
          </w:p>
        </w:tc>
        <w:tc>
          <w:tcPr>
            <w:tcW w:w="1211" w:type="dxa"/>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r>
      <w:tr>
        <w:tblPrEx>
          <w:tblCellMar>
            <w:top w:w="0" w:type="dxa"/>
            <w:left w:w="108" w:type="dxa"/>
            <w:bottom w:w="0" w:type="dxa"/>
            <w:right w:w="108" w:type="dxa"/>
          </w:tblCellMar>
        </w:tblPrEx>
        <w:trPr>
          <w:trHeight w:val="431" w:hRule="atLeast"/>
        </w:trPr>
        <w:tc>
          <w:tcPr>
            <w:tcW w:w="13986" w:type="dxa"/>
            <w:gridSpan w:val="14"/>
            <w:tcBorders>
              <w:top w:val="nil"/>
              <w:left w:val="nil"/>
              <w:bottom w:val="nil"/>
              <w:right w:val="nil"/>
            </w:tcBorders>
            <w:noWrap/>
            <w:vAlign w:val="center"/>
          </w:tcPr>
          <w:p>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rPr>
          <w:rFonts w:hint="eastAsia" w:ascii="仿宋_GB2312" w:hAnsi="宋体" w:eastAsia="仿宋_GB2312"/>
          <w:b/>
          <w:sz w:val="32"/>
          <w:szCs w:val="32"/>
        </w:rPr>
      </w:pPr>
      <w:r>
        <w:rPr>
          <w:rFonts w:hint="eastAsia" w:ascii="仿宋_GB2312" w:hAnsi="宋体" w:eastAsia="仿宋_GB2312"/>
          <w:b/>
          <w:sz w:val="32"/>
          <w:szCs w:val="32"/>
        </w:rPr>
        <w:t>备注：无内容应公开空表并说明情况。</w:t>
      </w:r>
    </w:p>
    <w:p>
      <w:pPr>
        <w:rPr>
          <w:rFonts w:hint="eastAsia" w:ascii="仿宋_GB2312" w:hAnsi="宋体" w:eastAsia="仿宋_GB2312"/>
          <w:b/>
          <w:sz w:val="32"/>
          <w:szCs w:val="32"/>
        </w:rPr>
      </w:pPr>
      <w:r>
        <w:rPr>
          <w:rFonts w:hint="eastAsia" w:ascii="仿宋_GB2312" w:hAnsi="宋体" w:eastAsia="仿宋_GB2312"/>
          <w:b/>
          <w:sz w:val="32"/>
          <w:szCs w:val="32"/>
        </w:rPr>
        <w:br w:type="page"/>
      </w:r>
    </w:p>
    <w:p>
      <w:pPr>
        <w:rPr>
          <w:rFonts w:hint="eastAsia" w:ascii="仿宋_GB2312" w:hAnsi="宋体" w:eastAsia="仿宋_GB2312"/>
          <w:b/>
          <w:sz w:val="32"/>
          <w:szCs w:val="32"/>
        </w:rPr>
        <w:sectPr>
          <w:pgSz w:w="16838" w:h="11906" w:orient="landscape"/>
          <w:pgMar w:top="2098" w:right="1531" w:bottom="1984" w:left="1531" w:header="851" w:footer="992" w:gutter="0"/>
          <w:cols w:space="720" w:num="1"/>
          <w:docGrid w:type="lines" w:linePitch="312" w:charSpace="0"/>
        </w:sectPr>
      </w:pPr>
    </w:p>
    <w:p>
      <w:pPr>
        <w:pStyle w:val="10"/>
        <w:widowControl/>
        <w:spacing w:beforeAutospacing="0" w:afterAutospacing="0"/>
        <w:jc w:val="both"/>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outlineLvl w:val="0"/>
        <w:rPr>
          <w:rFonts w:ascii="Arial" w:hAnsi="Arial" w:eastAsia="Arial" w:cs="Arial"/>
        </w:rPr>
      </w:pPr>
      <w:r>
        <w:rPr>
          <w:rFonts w:hint="eastAsia" w:ascii="黑体" w:hAnsi="宋体" w:eastAsia="黑体" w:cs="黑体"/>
          <w:color w:val="000000"/>
          <w:sz w:val="72"/>
          <w:szCs w:val="72"/>
          <w:shd w:val="clear" w:color="auto" w:fill="FFFFFF"/>
        </w:rPr>
        <w:t>第三部分</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hint="eastAsia" w:ascii="黑体" w:hAnsi="宋体" w:eastAsia="黑体" w:cs="黑体"/>
          <w:color w:val="000000"/>
          <w:sz w:val="72"/>
          <w:szCs w:val="72"/>
          <w:shd w:val="clear" w:color="auto" w:fill="FFFFFF"/>
        </w:rPr>
        <w:t>2023年度部门决算情况说明</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t> </w:t>
      </w:r>
    </w:p>
    <w:p>
      <w:pP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br w:type="page"/>
      </w:r>
    </w:p>
    <w:p>
      <w:pPr>
        <w:pStyle w:val="10"/>
        <w:widowControl/>
        <w:spacing w:beforeAutospacing="0" w:afterAutospacing="0"/>
        <w:jc w:val="center"/>
        <w:rPr>
          <w:rFonts w:ascii="Arial" w:hAnsi="Arial" w:eastAsia="Arial" w:cs="Arial"/>
          <w:color w:val="000000"/>
          <w:sz w:val="18"/>
          <w:szCs w:val="18"/>
          <w:shd w:val="clear" w:color="auto" w:fill="FFFFFF"/>
        </w:rPr>
      </w:pP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both"/>
        <w:outlineLvl w:val="1"/>
        <w:rPr>
          <w:rFonts w:ascii="黑体" w:hAnsi="Calibri" w:eastAsia="黑体"/>
          <w:kern w:val="2"/>
          <w:sz w:val="32"/>
          <w:szCs w:val="32"/>
        </w:rPr>
      </w:pPr>
      <w:r>
        <w:rPr>
          <w:rFonts w:hint="eastAsia" w:ascii="黑体" w:hAnsi="Calibri" w:eastAsia="黑体"/>
          <w:kern w:val="2"/>
          <w:sz w:val="32"/>
          <w:szCs w:val="32"/>
        </w:rPr>
        <w:t>一、收入支出决算总体情况说明</w:t>
      </w:r>
    </w:p>
    <w:p>
      <w:p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highlight w:val="none"/>
          <w:lang w:eastAsia="zh-CN"/>
        </w:rPr>
      </w:pPr>
      <w:r>
        <w:rPr>
          <w:rFonts w:hint="default" w:ascii="Times New Roman" w:hAnsi="Times New Roman" w:eastAsia="仿宋_GB2312" w:cs="Times New Roman"/>
          <w:kern w:val="2"/>
          <w:sz w:val="32"/>
          <w:szCs w:val="32"/>
          <w:lang w:eastAsia="zh-CN"/>
        </w:rPr>
        <w:t>本单位</w:t>
      </w:r>
      <w:r>
        <w:rPr>
          <w:rFonts w:hint="default" w:ascii="Times New Roman" w:hAnsi="Times New Roman" w:eastAsia="仿宋_GB2312" w:cs="Times New Roman"/>
          <w:kern w:val="2"/>
          <w:sz w:val="32"/>
          <w:szCs w:val="32"/>
          <w:lang w:val="zh-CN"/>
        </w:rPr>
        <w:t>2023年度收</w:t>
      </w:r>
      <w:r>
        <w:rPr>
          <w:rFonts w:hint="eastAsia"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en-US" w:eastAsia="zh-CN"/>
        </w:rPr>
        <w:t>支</w:t>
      </w:r>
      <w:r>
        <w:rPr>
          <w:rFonts w:hint="default" w:ascii="Times New Roman" w:hAnsi="Times New Roman" w:eastAsia="仿宋_GB2312" w:cs="Times New Roman"/>
          <w:kern w:val="2"/>
          <w:sz w:val="32"/>
          <w:szCs w:val="32"/>
          <w:lang w:val="zh-CN"/>
        </w:rPr>
        <w:t>总计</w:t>
      </w:r>
      <w:r>
        <w:rPr>
          <w:rFonts w:hint="eastAsia" w:ascii="Times New Roman" w:hAnsi="Times New Roman" w:eastAsia="仿宋_GB2312" w:cs="Times New Roman"/>
          <w:kern w:val="2"/>
          <w:sz w:val="32"/>
          <w:szCs w:val="32"/>
          <w:lang w:val="zh-CN"/>
        </w:rPr>
        <w:t>(含结转和结余)</w:t>
      </w:r>
      <w:r>
        <w:rPr>
          <w:rFonts w:hint="default" w:ascii="Times New Roman" w:hAnsi="Times New Roman" w:eastAsia="仿宋_GB2312" w:cs="Times New Roman"/>
          <w:kern w:val="2"/>
          <w:sz w:val="32"/>
          <w:szCs w:val="32"/>
          <w:lang w:val="zh-CN" w:eastAsia="zh-CN"/>
        </w:rPr>
        <w:t>6,411.23</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rPr>
        <w:t>元，与2022年度决算相比</w:t>
      </w:r>
      <w:r>
        <w:rPr>
          <w:rFonts w:hint="eastAsia" w:ascii="Times New Roman" w:hAnsi="Times New Roman" w:eastAsia="仿宋_GB2312" w:cs="Times New Roman"/>
          <w:kern w:val="2"/>
          <w:sz w:val="32"/>
          <w:szCs w:val="32"/>
          <w:lang w:eastAsia="zh-CN"/>
        </w:rPr>
        <w:t>，</w:t>
      </w:r>
      <w:r>
        <w:rPr>
          <w:rFonts w:hint="default" w:ascii="Times New Roman" w:hAnsi="Times New Roman" w:eastAsia="仿宋_GB2312" w:cs="Times New Roman"/>
          <w:kern w:val="2"/>
          <w:sz w:val="32"/>
          <w:szCs w:val="32"/>
        </w:rPr>
        <w:t>收支各</w:t>
      </w:r>
      <w:r>
        <w:rPr>
          <w:rFonts w:hint="eastAsia" w:ascii="Times New Roman" w:hAnsi="Times New Roman" w:eastAsia="仿宋_GB2312" w:cs="Times New Roman"/>
          <w:sz w:val="30"/>
          <w:szCs w:val="30"/>
          <w:highlight w:val="none"/>
          <w:lang w:val="zh-CN"/>
        </w:rPr>
        <w:t>增加326.36万元</w:t>
      </w:r>
      <w:r>
        <w:rPr>
          <w:rFonts w:hint="default" w:ascii="Times New Roman" w:hAnsi="Times New Roman" w:eastAsia="仿宋_GB2312" w:cs="Times New Roman"/>
          <w:kern w:val="2"/>
          <w:sz w:val="32"/>
          <w:szCs w:val="32"/>
        </w:rPr>
        <w:t>；</w:t>
      </w:r>
      <w:r>
        <w:rPr>
          <w:rFonts w:hint="default" w:ascii="Times New Roman" w:hAnsi="Times New Roman" w:eastAsia="仿宋_GB2312" w:cs="Times New Roman"/>
          <w:kern w:val="2"/>
          <w:sz w:val="32"/>
          <w:szCs w:val="32"/>
          <w:highlight w:val="none"/>
        </w:rPr>
        <w:t>主要原因是202</w:t>
      </w:r>
      <w:r>
        <w:rPr>
          <w:rFonts w:hint="eastAsia" w:ascii="Times New Roman" w:hAnsi="Times New Roman" w:eastAsia="仿宋_GB2312" w:cs="Times New Roman"/>
          <w:kern w:val="2"/>
          <w:sz w:val="32"/>
          <w:szCs w:val="32"/>
          <w:highlight w:val="none"/>
          <w:lang w:val="en-US" w:eastAsia="zh-CN"/>
        </w:rPr>
        <w:t>3</w:t>
      </w:r>
      <w:r>
        <w:rPr>
          <w:rFonts w:hint="default" w:ascii="Times New Roman" w:hAnsi="Times New Roman" w:eastAsia="仿宋_GB2312" w:cs="Times New Roman"/>
          <w:kern w:val="2"/>
          <w:sz w:val="32"/>
          <w:szCs w:val="32"/>
          <w:highlight w:val="none"/>
        </w:rPr>
        <w:t>年</w:t>
      </w:r>
      <w:r>
        <w:rPr>
          <w:rFonts w:hint="eastAsia" w:ascii="Times New Roman" w:hAnsi="Times New Roman" w:eastAsia="仿宋_GB2312" w:cs="Times New Roman"/>
          <w:kern w:val="2"/>
          <w:sz w:val="32"/>
          <w:szCs w:val="32"/>
          <w:highlight w:val="none"/>
          <w:lang w:eastAsia="zh-CN"/>
        </w:rPr>
        <w:t>城区建设鹿城一号</w:t>
      </w:r>
      <w:r>
        <w:rPr>
          <w:rFonts w:hint="default" w:ascii="Times New Roman" w:hAnsi="Times New Roman" w:eastAsia="仿宋_GB2312" w:cs="Times New Roman"/>
          <w:kern w:val="2"/>
          <w:sz w:val="32"/>
          <w:szCs w:val="32"/>
          <w:highlight w:val="none"/>
        </w:rPr>
        <w:t>项目</w:t>
      </w:r>
      <w:r>
        <w:rPr>
          <w:rFonts w:hint="eastAsia" w:ascii="Times New Roman" w:hAnsi="Times New Roman" w:eastAsia="仿宋_GB2312" w:cs="Times New Roman"/>
          <w:kern w:val="2"/>
          <w:sz w:val="32"/>
          <w:szCs w:val="32"/>
          <w:highlight w:val="none"/>
          <w:lang w:eastAsia="zh-CN"/>
        </w:rPr>
        <w:t>补助</w:t>
      </w:r>
      <w:r>
        <w:rPr>
          <w:rFonts w:hint="default" w:ascii="Times New Roman" w:hAnsi="Times New Roman" w:eastAsia="仿宋_GB2312" w:cs="Times New Roman"/>
          <w:kern w:val="2"/>
          <w:sz w:val="32"/>
          <w:szCs w:val="32"/>
          <w:highlight w:val="none"/>
        </w:rPr>
        <w:t>增加</w:t>
      </w:r>
      <w:r>
        <w:rPr>
          <w:rFonts w:hint="eastAsia" w:ascii="Times New Roman" w:hAnsi="Times New Roman" w:eastAsia="仿宋_GB2312" w:cs="Times New Roman"/>
          <w:kern w:val="2"/>
          <w:sz w:val="32"/>
          <w:szCs w:val="32"/>
          <w:highlight w:val="none"/>
          <w:lang w:eastAsia="zh-CN"/>
        </w:rPr>
        <w:t>了</w:t>
      </w:r>
      <w:r>
        <w:rPr>
          <w:rFonts w:hint="eastAsia" w:ascii="Times New Roman" w:hAnsi="Times New Roman" w:eastAsia="仿宋_GB2312" w:cs="Times New Roman"/>
          <w:kern w:val="2"/>
          <w:sz w:val="32"/>
          <w:szCs w:val="32"/>
          <w:highlight w:val="none"/>
          <w:lang w:val="en-US" w:eastAsia="zh-CN"/>
        </w:rPr>
        <w:t>442</w:t>
      </w:r>
      <w:r>
        <w:rPr>
          <w:rFonts w:hint="default" w:ascii="Times New Roman" w:hAnsi="Times New Roman" w:eastAsia="仿宋_GB2312" w:cs="Times New Roman"/>
          <w:kern w:val="2"/>
          <w:sz w:val="32"/>
          <w:szCs w:val="32"/>
          <w:highlight w:val="none"/>
        </w:rPr>
        <w:t>万元、</w:t>
      </w:r>
      <w:r>
        <w:rPr>
          <w:rFonts w:hint="eastAsia" w:ascii="Times New Roman" w:hAnsi="Times New Roman" w:eastAsia="仿宋_GB2312" w:cs="Times New Roman"/>
          <w:kern w:val="2"/>
          <w:sz w:val="32"/>
          <w:szCs w:val="32"/>
          <w:highlight w:val="none"/>
          <w:lang w:eastAsia="zh-CN"/>
        </w:rPr>
        <w:t>人道主要救助金减少了</w:t>
      </w:r>
      <w:r>
        <w:rPr>
          <w:rFonts w:hint="eastAsia" w:ascii="Times New Roman" w:hAnsi="Times New Roman" w:eastAsia="仿宋_GB2312" w:cs="Times New Roman"/>
          <w:kern w:val="2"/>
          <w:sz w:val="32"/>
          <w:szCs w:val="32"/>
          <w:highlight w:val="none"/>
          <w:lang w:val="en-US" w:eastAsia="zh-CN"/>
        </w:rPr>
        <w:t>100万元</w:t>
      </w:r>
      <w:r>
        <w:rPr>
          <w:rFonts w:hint="eastAsia" w:ascii="Times New Roman" w:hAnsi="Times New Roman" w:eastAsia="仿宋_GB2312" w:cs="Times New Roman"/>
          <w:kern w:val="2"/>
          <w:sz w:val="32"/>
          <w:szCs w:val="32"/>
          <w:highlight w:val="none"/>
          <w:lang w:eastAsia="zh-CN"/>
        </w:rPr>
        <w:t>。</w:t>
      </w:r>
    </w:p>
    <w:p>
      <w:p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highlight w:val="none"/>
          <w:lang w:eastAsia="zh-CN"/>
        </w:rPr>
      </w:pPr>
    </w:p>
    <w:p>
      <w:pPr>
        <w:pStyle w:val="10"/>
        <w:widowControl/>
        <w:spacing w:beforeAutospacing="0" w:afterAutospacing="0"/>
        <w:jc w:val="both"/>
        <w:rPr>
          <w:rFonts w:ascii="Times New Roman" w:hAnsi="Times New Roman" w:eastAsia="宋体"/>
        </w:rPr>
      </w:pPr>
      <w:r>
        <w:rPr>
          <w:rFonts w:hint="eastAsia" w:ascii="Times New Roman" w:hAnsi="Times New Roman" w:eastAsia="宋体"/>
        </w:rPr>
        <w:drawing>
          <wp:inline distT="0" distB="0" distL="114300" distR="114300">
            <wp:extent cx="5256530" cy="2988310"/>
            <wp:effectExtent l="5080" t="4445" r="11430" b="952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pStyle w:val="10"/>
        <w:widowControl/>
        <w:spacing w:beforeAutospacing="0" w:afterAutospacing="0"/>
        <w:jc w:val="both"/>
        <w:outlineLvl w:val="1"/>
        <w:rPr>
          <w:rFonts w:ascii="Times New Roman" w:hAnsi="Times New Roman" w:eastAsia="黑体"/>
          <w:kern w:val="2"/>
          <w:sz w:val="32"/>
          <w:szCs w:val="32"/>
        </w:rPr>
      </w:pPr>
      <w:r>
        <w:rPr>
          <w:rFonts w:ascii="Times New Roman" w:hAnsi="Times New Roman" w:eastAsia="黑体"/>
          <w:kern w:val="2"/>
          <w:sz w:val="32"/>
          <w:szCs w:val="32"/>
        </w:rPr>
        <w:t>二、收入决算情况说明</w:t>
      </w:r>
    </w:p>
    <w:p>
      <w:p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6,411.23</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w:t>
      </w:r>
      <w:r>
        <w:rPr>
          <w:rFonts w:hint="eastAsia" w:ascii="Times New Roman" w:hAnsi="Times New Roman" w:eastAsia="仿宋_GB2312" w:cs="Times New Roman"/>
          <w:kern w:val="2"/>
          <w:sz w:val="32"/>
          <w:szCs w:val="32"/>
          <w:lang w:val="zh-CN" w:eastAsia="zh-CN"/>
        </w:rPr>
        <w:t>一般公共预算</w:t>
      </w:r>
      <w:r>
        <w:rPr>
          <w:rFonts w:hint="default" w:ascii="Times New Roman" w:hAnsi="Times New Roman" w:eastAsia="仿宋_GB2312" w:cs="Times New Roman"/>
          <w:kern w:val="2"/>
          <w:sz w:val="32"/>
          <w:szCs w:val="32"/>
          <w:lang w:val="zh-CN"/>
        </w:rPr>
        <w:t>财政拨款收入</w:t>
      </w:r>
      <w:r>
        <w:rPr>
          <w:rFonts w:hint="default" w:ascii="Times New Roman" w:hAnsi="Times New Roman" w:eastAsia="仿宋_GB2312" w:cs="Times New Roman"/>
          <w:kern w:val="2"/>
          <w:sz w:val="32"/>
          <w:szCs w:val="32"/>
          <w:lang w:val="zh-CN" w:eastAsia="zh-CN"/>
        </w:rPr>
        <w:t>6,411.23</w:t>
      </w:r>
      <w:r>
        <w:rPr>
          <w:rFonts w:hint="default" w:ascii="Times New Roman" w:hAnsi="Times New Roman" w:eastAsia="仿宋_GB2312" w:cs="Times New Roman"/>
          <w:kern w:val="2"/>
          <w:sz w:val="32"/>
          <w:szCs w:val="32"/>
          <w:lang w:val="zh-CN"/>
        </w:rPr>
        <w:t>万元，占</w:t>
      </w:r>
      <w:r>
        <w:rPr>
          <w:rFonts w:hint="default" w:ascii="Times New Roman" w:hAnsi="Times New Roman" w:eastAsia="仿宋_GB2312" w:cs="Times New Roman"/>
          <w:kern w:val="2"/>
          <w:sz w:val="32"/>
          <w:szCs w:val="32"/>
          <w:lang w:val="zh-CN" w:eastAsia="zh-CN"/>
        </w:rPr>
        <w:t>100%；</w:t>
      </w:r>
      <w:r>
        <w:rPr>
          <w:rFonts w:hint="default" w:ascii="Times New Roman" w:hAnsi="Times New Roman" w:eastAsia="仿宋_GB2312" w:cs="Times New Roman"/>
          <w:kern w:val="2"/>
          <w:sz w:val="32"/>
          <w:szCs w:val="32"/>
          <w:lang w:val="zh-CN"/>
        </w:rPr>
        <w:t>上级补助收入0万元，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0%；事业收入0万元，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0%；经营收入0万元，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0%；附属单位上缴收入0万元，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0%；其他收入0万元，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w:t>
      </w:r>
      <w:r>
        <w:rPr>
          <w:rFonts w:hint="eastAsia" w:ascii="Times New Roman" w:hAnsi="Times New Roman" w:eastAsia="仿宋_GB2312" w:cs="Times New Roman"/>
          <w:kern w:val="2"/>
          <w:sz w:val="32"/>
          <w:szCs w:val="32"/>
          <w:lang w:val="zh-CN"/>
        </w:rPr>
        <w:t>。</w:t>
      </w:r>
    </w:p>
    <w:p>
      <w:pPr>
        <w:adjustRightInd w:val="0"/>
        <w:snapToGrid w:val="0"/>
        <w:spacing w:line="580" w:lineRule="exact"/>
        <w:rPr>
          <w:rFonts w:hint="eastAsia" w:ascii="仿宋_GB2312" w:hAnsi="Times New Roman" w:eastAsia="仿宋_GB2312" w:cs="Wingdings"/>
          <w:sz w:val="32"/>
          <w:szCs w:val="32"/>
        </w:rPr>
      </w:pPr>
      <w:r>
        <w:rPr>
          <w:rFonts w:ascii="Times New Roman" w:hAnsi="Times New Roman" w:eastAsia="仿宋_GB2312"/>
          <w:kern w:val="2"/>
          <w:sz w:val="32"/>
          <w:szCs w:val="32"/>
          <w:highlight w:val="yellow"/>
          <w:lang w:val="zh-CN"/>
        </w:rPr>
        <w:drawing>
          <wp:anchor distT="0" distB="0" distL="114300" distR="114300" simplePos="0" relativeHeight="251667456" behindDoc="0" locked="0" layoutInCell="1" allowOverlap="1">
            <wp:simplePos x="0" y="0"/>
            <wp:positionH relativeFrom="column">
              <wp:posOffset>4445</wp:posOffset>
            </wp:positionH>
            <wp:positionV relativeFrom="paragraph">
              <wp:posOffset>2998470</wp:posOffset>
            </wp:positionV>
            <wp:extent cx="5256530" cy="2988310"/>
            <wp:effectExtent l="5080" t="4445" r="11430" b="952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Pr>
          <w:rFonts w:hint="eastAsia" w:ascii="仿宋_GB2312" w:hAnsi="Times New Roman" w:eastAsia="仿宋_GB2312" w:cs="Wingdings"/>
          <w:sz w:val="32"/>
          <w:szCs w:val="32"/>
        </w:rPr>
        <w:t>按功能分类看：一般公共服务支出</w:t>
      </w:r>
      <w:r>
        <w:rPr>
          <w:rFonts w:hint="eastAsia" w:ascii="仿宋_GB2312" w:hAnsi="Times New Roman" w:eastAsia="仿宋_GB2312" w:cs="Wingdings"/>
          <w:sz w:val="32"/>
          <w:szCs w:val="32"/>
          <w:lang w:val="en-US" w:eastAsia="zh-CN"/>
        </w:rPr>
        <w:t>3074.04</w:t>
      </w:r>
      <w:r>
        <w:rPr>
          <w:rFonts w:hint="eastAsia" w:ascii="仿宋_GB2312" w:hAnsi="Times New Roman" w:eastAsia="仿宋_GB2312" w:cs="Wingdings"/>
          <w:sz w:val="32"/>
          <w:szCs w:val="32"/>
        </w:rPr>
        <w:t>万元，占总支出的</w:t>
      </w:r>
      <w:r>
        <w:rPr>
          <w:rFonts w:hint="eastAsia" w:ascii="仿宋_GB2312" w:hAnsi="Times New Roman" w:eastAsia="仿宋_GB2312" w:cs="Wingdings"/>
          <w:sz w:val="32"/>
          <w:szCs w:val="32"/>
          <w:lang w:val="en-US" w:eastAsia="zh-CN"/>
        </w:rPr>
        <w:t>47.95</w:t>
      </w:r>
      <w:r>
        <w:rPr>
          <w:rFonts w:hint="eastAsia" w:ascii="仿宋_GB2312" w:hAnsi="Times New Roman" w:eastAsia="仿宋_GB2312" w:cs="Wingdings"/>
          <w:sz w:val="32"/>
          <w:szCs w:val="32"/>
        </w:rPr>
        <w:t>%；公共安全支出</w:t>
      </w:r>
      <w:r>
        <w:rPr>
          <w:rFonts w:hint="eastAsia" w:ascii="仿宋_GB2312" w:hAnsi="Times New Roman" w:eastAsia="仿宋_GB2312" w:cs="Wingdings"/>
          <w:sz w:val="32"/>
          <w:szCs w:val="32"/>
          <w:lang w:val="en-US" w:eastAsia="zh-CN"/>
        </w:rPr>
        <w:t>279.58</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4.36</w:t>
      </w:r>
      <w:r>
        <w:rPr>
          <w:rFonts w:hint="eastAsia" w:ascii="仿宋_GB2312" w:hAnsi="Times New Roman" w:eastAsia="仿宋_GB2312" w:cs="Wingdings"/>
          <w:sz w:val="32"/>
          <w:szCs w:val="32"/>
        </w:rPr>
        <w:t>%；教育支出</w:t>
      </w:r>
      <w:r>
        <w:rPr>
          <w:rFonts w:hint="eastAsia" w:ascii="仿宋_GB2312" w:hAnsi="Times New Roman" w:eastAsia="仿宋_GB2312" w:cs="Wingdings"/>
          <w:sz w:val="32"/>
          <w:szCs w:val="32"/>
          <w:lang w:val="en-US" w:eastAsia="zh-CN"/>
        </w:rPr>
        <w:t>345.76</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5.39</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eastAsia="zh-CN"/>
        </w:rPr>
        <w:t>文化旅游体育与传媒</w:t>
      </w:r>
      <w:r>
        <w:rPr>
          <w:rFonts w:hint="eastAsia" w:ascii="仿宋_GB2312" w:hAnsi="Times New Roman" w:eastAsia="仿宋_GB2312" w:cs="Wingdings"/>
          <w:sz w:val="32"/>
          <w:szCs w:val="32"/>
        </w:rPr>
        <w:t>支出</w:t>
      </w:r>
      <w:r>
        <w:rPr>
          <w:rFonts w:hint="eastAsia" w:ascii="仿宋_GB2312" w:hAnsi="Times New Roman" w:eastAsia="仿宋_GB2312" w:cs="Wingdings"/>
          <w:sz w:val="32"/>
          <w:szCs w:val="32"/>
          <w:lang w:val="en-US" w:eastAsia="zh-CN"/>
        </w:rPr>
        <w:t>20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0.31</w:t>
      </w:r>
      <w:r>
        <w:rPr>
          <w:rFonts w:hint="eastAsia" w:ascii="仿宋_GB2312" w:hAnsi="Times New Roman" w:eastAsia="仿宋_GB2312" w:cs="Wingdings"/>
          <w:sz w:val="32"/>
          <w:szCs w:val="32"/>
        </w:rPr>
        <w:t>%；社会保障和就业支出</w:t>
      </w:r>
      <w:r>
        <w:rPr>
          <w:rFonts w:hint="eastAsia" w:ascii="仿宋_GB2312" w:hAnsi="Times New Roman" w:eastAsia="仿宋_GB2312" w:cs="Wingdings"/>
          <w:sz w:val="32"/>
          <w:szCs w:val="32"/>
          <w:lang w:val="en-US" w:eastAsia="zh-CN"/>
        </w:rPr>
        <w:t>464.48</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7.24</w:t>
      </w:r>
      <w:r>
        <w:rPr>
          <w:rFonts w:hint="eastAsia" w:ascii="仿宋_GB2312" w:hAnsi="Times New Roman" w:eastAsia="仿宋_GB2312" w:cs="Wingdings"/>
          <w:sz w:val="32"/>
          <w:szCs w:val="32"/>
        </w:rPr>
        <w:t>%；卫生健康支出</w:t>
      </w:r>
      <w:r>
        <w:rPr>
          <w:rFonts w:hint="eastAsia" w:ascii="仿宋_GB2312" w:hAnsi="Times New Roman" w:eastAsia="仿宋_GB2312" w:cs="Wingdings"/>
          <w:sz w:val="32"/>
          <w:szCs w:val="32"/>
          <w:lang w:val="en-US" w:eastAsia="zh-CN"/>
        </w:rPr>
        <w:t>206.75</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 xml:space="preserve"> 3.22</w:t>
      </w:r>
      <w:r>
        <w:rPr>
          <w:rFonts w:hint="eastAsia" w:ascii="仿宋_GB2312" w:hAnsi="Times New Roman" w:eastAsia="仿宋_GB2312" w:cs="Wingdings"/>
          <w:sz w:val="32"/>
          <w:szCs w:val="32"/>
        </w:rPr>
        <w:t>%；节能环保支出</w:t>
      </w:r>
      <w:r>
        <w:rPr>
          <w:rFonts w:hint="eastAsia" w:ascii="仿宋_GB2312" w:hAnsi="Times New Roman" w:eastAsia="仿宋_GB2312" w:cs="Wingdings"/>
          <w:sz w:val="32"/>
          <w:szCs w:val="32"/>
          <w:lang w:val="en-US" w:eastAsia="zh-CN"/>
        </w:rPr>
        <w:t>80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1.25</w:t>
      </w:r>
      <w:r>
        <w:rPr>
          <w:rFonts w:hint="eastAsia" w:ascii="仿宋_GB2312" w:hAnsi="Times New Roman" w:eastAsia="仿宋_GB2312" w:cs="Wingdings"/>
          <w:sz w:val="32"/>
          <w:szCs w:val="32"/>
        </w:rPr>
        <w:t>%；城乡社区支出</w:t>
      </w:r>
      <w:r>
        <w:rPr>
          <w:rFonts w:hint="eastAsia" w:ascii="仿宋_GB2312" w:hAnsi="Times New Roman" w:eastAsia="仿宋_GB2312" w:cs="Wingdings"/>
          <w:sz w:val="32"/>
          <w:szCs w:val="32"/>
          <w:lang w:val="en-US" w:eastAsia="zh-CN"/>
        </w:rPr>
        <w:t>1675.46</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26.13</w:t>
      </w:r>
      <w:r>
        <w:rPr>
          <w:rFonts w:hint="eastAsia" w:ascii="仿宋_GB2312" w:hAnsi="Times New Roman" w:eastAsia="仿宋_GB2312" w:cs="Wingdings"/>
          <w:sz w:val="32"/>
          <w:szCs w:val="32"/>
        </w:rPr>
        <w:t>%；农林水支出</w:t>
      </w:r>
      <w:r>
        <w:rPr>
          <w:rFonts w:hint="eastAsia" w:ascii="仿宋_GB2312" w:hAnsi="Times New Roman" w:eastAsia="仿宋_GB2312" w:cs="Wingdings"/>
          <w:sz w:val="32"/>
          <w:szCs w:val="32"/>
          <w:lang w:val="en-US" w:eastAsia="zh-CN"/>
        </w:rPr>
        <w:t>96.77</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1.51</w:t>
      </w:r>
      <w:r>
        <w:rPr>
          <w:rFonts w:hint="eastAsia" w:ascii="仿宋_GB2312" w:hAnsi="Times New Roman" w:eastAsia="仿宋_GB2312" w:cs="Wingdings"/>
          <w:sz w:val="32"/>
          <w:szCs w:val="32"/>
        </w:rPr>
        <w:t>%；住房保障支出</w:t>
      </w:r>
      <w:r>
        <w:rPr>
          <w:rFonts w:hint="eastAsia" w:ascii="仿宋_GB2312" w:hAnsi="Times New Roman" w:eastAsia="仿宋_GB2312" w:cs="Wingdings"/>
          <w:sz w:val="32"/>
          <w:szCs w:val="32"/>
          <w:lang w:val="en-US" w:eastAsia="zh-CN"/>
        </w:rPr>
        <w:t>168.39</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2.63</w:t>
      </w:r>
      <w:r>
        <w:rPr>
          <w:rFonts w:hint="eastAsia" w:ascii="仿宋_GB2312" w:hAnsi="Times New Roman" w:eastAsia="仿宋_GB2312" w:cs="Wingdings"/>
          <w:sz w:val="32"/>
          <w:szCs w:val="32"/>
        </w:rPr>
        <w:t>%。</w:t>
      </w:r>
    </w:p>
    <w:p>
      <w:pPr>
        <w:pStyle w:val="10"/>
        <w:widowControl/>
        <w:spacing w:beforeAutospacing="0" w:afterAutospacing="0"/>
        <w:jc w:val="both"/>
        <w:outlineLvl w:val="1"/>
        <w:rPr>
          <w:rFonts w:ascii="Times New Roman" w:hAnsi="Times New Roman" w:eastAsia="黑体"/>
          <w:kern w:val="2"/>
          <w:sz w:val="32"/>
          <w:szCs w:val="32"/>
        </w:rPr>
      </w:pPr>
      <w:r>
        <w:rPr>
          <w:rFonts w:ascii="Times New Roman" w:hAnsi="Times New Roman" w:eastAsia="黑体"/>
          <w:kern w:val="2"/>
          <w:sz w:val="32"/>
          <w:szCs w:val="32"/>
        </w:rPr>
        <w:t>三、支出决算情况说明</w:t>
      </w:r>
    </w:p>
    <w:p>
      <w:pPr>
        <w:autoSpaceDE w:val="0"/>
        <w:autoSpaceDN w:val="0"/>
        <w:adjustRightInd w:val="0"/>
        <w:spacing w:line="580" w:lineRule="exact"/>
        <w:ind w:firstLine="600"/>
        <w:jc w:val="left"/>
        <w:rPr>
          <w:rFonts w:hint="eastAsia" w:ascii="Times New Roman" w:hAnsi="Times New Roman" w:eastAsia="仿宋_GB2312" w:cs="Times New Roman"/>
          <w:kern w:val="2"/>
          <w:sz w:val="32"/>
          <w:szCs w:val="32"/>
          <w:lang w:val="zh-CN" w:eastAsia="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6,411.23万元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2,490.87万元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占38.85%</w:t>
      </w:r>
      <w:r>
        <w:rPr>
          <w:rFonts w:hint="eastAsia" w:ascii="Times New Roman" w:hAnsi="Times New Roman" w:eastAsia="仿宋_GB2312" w:cs="Times New Roman"/>
          <w:kern w:val="2"/>
          <w:sz w:val="32"/>
          <w:szCs w:val="32"/>
          <w:lang w:val="zh-CN" w:eastAsia="zh-CN"/>
        </w:rPr>
        <w:t>，其中人员经费支出</w:t>
      </w:r>
      <w:r>
        <w:rPr>
          <w:rFonts w:hint="eastAsia" w:ascii="Times New Roman" w:hAnsi="Times New Roman" w:eastAsia="仿宋_GB2312" w:cs="Times New Roman"/>
          <w:kern w:val="2"/>
          <w:sz w:val="32"/>
          <w:szCs w:val="32"/>
          <w:lang w:val="en-US" w:eastAsia="zh-CN"/>
        </w:rPr>
        <w:t>1910.02万元，</w:t>
      </w:r>
      <w:r>
        <w:rPr>
          <w:rFonts w:hint="eastAsia" w:ascii="Times New Roman" w:hAnsi="Times New Roman" w:eastAsia="仿宋_GB2312" w:cs="Times New Roman"/>
          <w:color w:val="auto"/>
          <w:kern w:val="2"/>
          <w:sz w:val="32"/>
          <w:szCs w:val="32"/>
          <w:highlight w:val="none"/>
          <w:lang w:val="en-US" w:eastAsia="zh-CN"/>
        </w:rPr>
        <w:t>占76.68%</w:t>
      </w:r>
      <w:r>
        <w:rPr>
          <w:rFonts w:hint="eastAsia" w:ascii="Times New Roman" w:hAnsi="Times New Roman" w:eastAsia="仿宋_GB2312" w:cs="Times New Roman"/>
          <w:kern w:val="2"/>
          <w:sz w:val="32"/>
          <w:szCs w:val="32"/>
          <w:lang w:val="en-US" w:eastAsia="zh-CN"/>
        </w:rPr>
        <w:t>，公用经费支出580.84万元，占23.32%</w:t>
      </w:r>
      <w:r>
        <w:rPr>
          <w:rFonts w:hint="default" w:ascii="Times New Roman" w:hAnsi="Times New Roman" w:eastAsia="仿宋_GB2312" w:cs="Times New Roman"/>
          <w:kern w:val="2"/>
          <w:sz w:val="32"/>
          <w:szCs w:val="32"/>
          <w:lang w:val="zh-CN" w:eastAsia="zh-CN"/>
        </w:rPr>
        <w:t>；</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3,920.36万元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占61.15%</w:t>
      </w:r>
      <w:r>
        <w:rPr>
          <w:rFonts w:hint="eastAsia" w:ascii="Times New Roman" w:hAnsi="Times New Roman" w:eastAsia="仿宋_GB2312" w:cs="Times New Roman"/>
          <w:kern w:val="2"/>
          <w:sz w:val="32"/>
          <w:szCs w:val="32"/>
          <w:lang w:val="zh-CN" w:eastAsia="zh-CN"/>
        </w:rPr>
        <w:t>，</w:t>
      </w:r>
      <w:r>
        <w:rPr>
          <w:rFonts w:hint="default" w:ascii="Times New Roman" w:hAnsi="Times New Roman" w:eastAsia="仿宋_GB2312" w:cs="Times New Roman"/>
          <w:kern w:val="2"/>
          <w:sz w:val="32"/>
          <w:szCs w:val="32"/>
          <w:lang w:val="zh-CN" w:eastAsia="zh-CN"/>
        </w:rPr>
        <w:t>其中行政事业类项目</w:t>
      </w:r>
      <w:r>
        <w:rPr>
          <w:rFonts w:hint="eastAsia" w:ascii="Times New Roman" w:hAnsi="Times New Roman" w:eastAsia="仿宋_GB2312" w:cs="Times New Roman"/>
          <w:kern w:val="2"/>
          <w:sz w:val="32"/>
          <w:szCs w:val="32"/>
          <w:highlight w:val="none"/>
          <w:lang w:val="en-US" w:eastAsia="zh-CN"/>
        </w:rPr>
        <w:t>2148.13</w:t>
      </w:r>
      <w:r>
        <w:rPr>
          <w:rFonts w:hint="default" w:ascii="Times New Roman" w:hAnsi="Times New Roman" w:eastAsia="仿宋_GB2312" w:cs="Times New Roman"/>
          <w:kern w:val="2"/>
          <w:sz w:val="32"/>
          <w:szCs w:val="32"/>
          <w:lang w:val="zh-CN" w:eastAsia="zh-CN"/>
        </w:rPr>
        <w:t>万元，占</w:t>
      </w:r>
      <w:r>
        <w:rPr>
          <w:rFonts w:hint="eastAsia" w:ascii="Times New Roman" w:hAnsi="Times New Roman" w:eastAsia="仿宋_GB2312" w:cs="Times New Roman"/>
          <w:kern w:val="2"/>
          <w:sz w:val="32"/>
          <w:szCs w:val="32"/>
          <w:lang w:val="en-US" w:eastAsia="zh-CN"/>
        </w:rPr>
        <w:t>54.79%</w:t>
      </w:r>
      <w:r>
        <w:rPr>
          <w:rFonts w:hint="default" w:ascii="Times New Roman" w:hAnsi="Times New Roman" w:eastAsia="仿宋_GB2312" w:cs="Times New Roman"/>
          <w:kern w:val="2"/>
          <w:sz w:val="32"/>
          <w:szCs w:val="32"/>
          <w:lang w:val="zh-CN" w:eastAsia="zh-CN"/>
        </w:rPr>
        <w:t>，基本建设类项目</w:t>
      </w:r>
      <w:r>
        <w:rPr>
          <w:rFonts w:hint="eastAsia" w:ascii="Times New Roman" w:hAnsi="Times New Roman" w:eastAsia="仿宋_GB2312" w:cs="Times New Roman"/>
          <w:kern w:val="2"/>
          <w:sz w:val="32"/>
          <w:szCs w:val="32"/>
          <w:lang w:val="en-US" w:eastAsia="zh-CN"/>
        </w:rPr>
        <w:t>1772.23</w:t>
      </w:r>
      <w:r>
        <w:rPr>
          <w:rFonts w:hint="default" w:ascii="Times New Roman" w:hAnsi="Times New Roman" w:eastAsia="仿宋_GB2312" w:cs="Times New Roman"/>
          <w:kern w:val="2"/>
          <w:sz w:val="32"/>
          <w:szCs w:val="32"/>
          <w:lang w:val="zh-CN" w:eastAsia="zh-CN"/>
        </w:rPr>
        <w:t>万元，占</w:t>
      </w:r>
      <w:r>
        <w:rPr>
          <w:rFonts w:hint="eastAsia" w:ascii="Times New Roman" w:hAnsi="Times New Roman" w:eastAsia="仿宋_GB2312" w:cs="Times New Roman"/>
          <w:kern w:val="2"/>
          <w:sz w:val="32"/>
          <w:szCs w:val="32"/>
          <w:lang w:val="en-US" w:eastAsia="zh-CN"/>
        </w:rPr>
        <w:t>45.21%</w:t>
      </w:r>
      <w:r>
        <w:rPr>
          <w:rFonts w:hint="default" w:ascii="Times New Roman" w:hAnsi="Times New Roman" w:eastAsia="仿宋_GB2312" w:cs="Times New Roman"/>
          <w:kern w:val="2"/>
          <w:sz w:val="32"/>
          <w:szCs w:val="32"/>
          <w:lang w:val="zh-CN" w:eastAsia="zh-CN"/>
        </w:rPr>
        <w:t>。；</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pPr>
        <w:autoSpaceDE w:val="0"/>
        <w:autoSpaceDN w:val="0"/>
        <w:adjustRightInd w:val="0"/>
        <w:jc w:val="left"/>
        <w:rPr>
          <w:rFonts w:ascii="Times New Roman" w:hAnsi="Times New Roman" w:eastAsia="仿宋_GB2312" w:cs="Times New Roman"/>
          <w:sz w:val="32"/>
          <w:szCs w:val="32"/>
          <w:highlight w:val="none"/>
        </w:rPr>
      </w:pPr>
    </w:p>
    <w:p>
      <w:pPr>
        <w:autoSpaceDE w:val="0"/>
        <w:autoSpaceDN w:val="0"/>
        <w:adjustRightInd w:val="0"/>
        <w:jc w:val="left"/>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pStyle w:val="10"/>
        <w:widowControl/>
        <w:spacing w:beforeAutospacing="0" w:afterAutospacing="0"/>
        <w:jc w:val="both"/>
        <w:outlineLvl w:val="1"/>
        <w:rPr>
          <w:rFonts w:ascii="Times New Roman" w:hAnsi="Times New Roman" w:eastAsia="Arial"/>
        </w:rPr>
      </w:pPr>
      <w:r>
        <w:rPr>
          <w:rFonts w:ascii="Times New Roman" w:hAnsi="Times New Roman" w:eastAsia="黑体"/>
          <w:kern w:val="2"/>
          <w:sz w:val="32"/>
          <w:szCs w:val="32"/>
        </w:rPr>
        <w:t>四、财政拨款收入支出决算总体情况说明</w:t>
      </w:r>
    </w:p>
    <w:p>
      <w:pPr>
        <w:pStyle w:val="10"/>
        <w:widowControl/>
        <w:spacing w:beforeAutospacing="0" w:afterAutospacing="0"/>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（一）财政拨款收支与2022年度决算对比情况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年度财政拨款本年收入6,411.23</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sz w:val="30"/>
          <w:szCs w:val="30"/>
          <w:highlight w:val="none"/>
          <w:lang w:val="zh-CN"/>
        </w:rPr>
        <w:t>增加444.89万元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sz w:val="30"/>
          <w:szCs w:val="30"/>
          <w:highlight w:val="none"/>
          <w:lang w:val="zh-CN"/>
        </w:rPr>
        <w:t>增长7.46%，</w:t>
      </w:r>
      <w:r>
        <w:rPr>
          <w:rFonts w:hint="default" w:ascii="Times New Roman" w:hAnsi="Times New Roman" w:eastAsia="仿宋_GB2312" w:cs="Times New Roman"/>
          <w:color w:val="auto"/>
          <w:kern w:val="2"/>
          <w:sz w:val="32"/>
          <w:szCs w:val="32"/>
          <w:lang w:val="zh-CN" w:eastAsia="zh-CN" w:bidi="ar-SA"/>
        </w:rPr>
        <w:t>主要</w:t>
      </w:r>
      <w:r>
        <w:rPr>
          <w:rFonts w:hint="default" w:ascii="Times New Roman" w:hAnsi="Times New Roman" w:eastAsia="仿宋_GB2312" w:cs="Times New Roman"/>
          <w:kern w:val="2"/>
          <w:sz w:val="32"/>
          <w:szCs w:val="32"/>
          <w:highlight w:val="none"/>
        </w:rPr>
        <w:t>是202</w:t>
      </w:r>
      <w:r>
        <w:rPr>
          <w:rFonts w:hint="eastAsia" w:ascii="Times New Roman" w:hAnsi="Times New Roman" w:eastAsia="仿宋_GB2312" w:cs="Times New Roman"/>
          <w:kern w:val="2"/>
          <w:sz w:val="32"/>
          <w:szCs w:val="32"/>
          <w:highlight w:val="none"/>
          <w:lang w:val="en-US" w:eastAsia="zh-CN"/>
        </w:rPr>
        <w:t>3</w:t>
      </w:r>
      <w:r>
        <w:rPr>
          <w:rFonts w:hint="default" w:ascii="Times New Roman" w:hAnsi="Times New Roman" w:eastAsia="仿宋_GB2312" w:cs="Times New Roman"/>
          <w:kern w:val="2"/>
          <w:sz w:val="32"/>
          <w:szCs w:val="32"/>
          <w:highlight w:val="none"/>
        </w:rPr>
        <w:t>年</w:t>
      </w:r>
      <w:r>
        <w:rPr>
          <w:rFonts w:hint="eastAsia" w:ascii="Times New Roman" w:hAnsi="Times New Roman" w:eastAsia="仿宋_GB2312" w:cs="Times New Roman"/>
          <w:kern w:val="2"/>
          <w:sz w:val="32"/>
          <w:szCs w:val="32"/>
          <w:highlight w:val="none"/>
          <w:lang w:eastAsia="zh-CN"/>
        </w:rPr>
        <w:t>城区建设鹿城一号</w:t>
      </w:r>
      <w:r>
        <w:rPr>
          <w:rFonts w:hint="default" w:ascii="Times New Roman" w:hAnsi="Times New Roman" w:eastAsia="仿宋_GB2312" w:cs="Times New Roman"/>
          <w:kern w:val="2"/>
          <w:sz w:val="32"/>
          <w:szCs w:val="32"/>
          <w:highlight w:val="none"/>
        </w:rPr>
        <w:t>项目</w:t>
      </w:r>
      <w:r>
        <w:rPr>
          <w:rFonts w:hint="eastAsia" w:ascii="Times New Roman" w:hAnsi="Times New Roman" w:eastAsia="仿宋_GB2312" w:cs="Times New Roman"/>
          <w:kern w:val="2"/>
          <w:sz w:val="32"/>
          <w:szCs w:val="32"/>
          <w:highlight w:val="none"/>
          <w:lang w:eastAsia="zh-CN"/>
        </w:rPr>
        <w:t>补助</w:t>
      </w:r>
      <w:r>
        <w:rPr>
          <w:rFonts w:hint="default" w:ascii="Times New Roman" w:hAnsi="Times New Roman" w:eastAsia="仿宋_GB2312" w:cs="Times New Roman"/>
          <w:kern w:val="2"/>
          <w:sz w:val="32"/>
          <w:szCs w:val="32"/>
          <w:highlight w:val="none"/>
        </w:rPr>
        <w:t>增加</w:t>
      </w:r>
      <w:r>
        <w:rPr>
          <w:rFonts w:hint="eastAsia" w:ascii="Times New Roman" w:hAnsi="Times New Roman" w:eastAsia="仿宋_GB2312" w:cs="Times New Roman"/>
          <w:kern w:val="2"/>
          <w:sz w:val="32"/>
          <w:szCs w:val="32"/>
          <w:highlight w:val="none"/>
          <w:lang w:eastAsia="zh-CN"/>
        </w:rPr>
        <w:t>了</w:t>
      </w:r>
      <w:r>
        <w:rPr>
          <w:rFonts w:hint="eastAsia" w:ascii="Times New Roman" w:hAnsi="Times New Roman" w:eastAsia="仿宋_GB2312" w:cs="Times New Roman"/>
          <w:kern w:val="2"/>
          <w:sz w:val="32"/>
          <w:szCs w:val="32"/>
          <w:highlight w:val="none"/>
          <w:lang w:val="en-US" w:eastAsia="zh-CN"/>
        </w:rPr>
        <w:t>442</w:t>
      </w:r>
      <w:r>
        <w:rPr>
          <w:rFonts w:hint="default" w:ascii="Times New Roman" w:hAnsi="Times New Roman" w:eastAsia="仿宋_GB2312" w:cs="Times New Roman"/>
          <w:kern w:val="2"/>
          <w:sz w:val="32"/>
          <w:szCs w:val="32"/>
          <w:highlight w:val="none"/>
        </w:rPr>
        <w:t>万元</w:t>
      </w:r>
      <w:r>
        <w:rPr>
          <w:rFonts w:hint="default" w:ascii="Times New Roman" w:hAnsi="Times New Roman" w:eastAsia="仿宋_GB2312" w:cs="Times New Roman"/>
          <w:color w:val="auto"/>
          <w:kern w:val="2"/>
          <w:sz w:val="32"/>
          <w:szCs w:val="32"/>
          <w:lang w:val="zh-CN" w:eastAsia="zh-CN" w:bidi="ar-SA"/>
        </w:rPr>
        <w:t>；本年支出 6,411.23元，比上年</w:t>
      </w:r>
      <w:r>
        <w:rPr>
          <w:rFonts w:hint="eastAsia" w:ascii="Times New Roman" w:hAnsi="Times New Roman" w:eastAsia="仿宋_GB2312" w:cs="Times New Roman"/>
          <w:sz w:val="30"/>
          <w:szCs w:val="30"/>
          <w:highlight w:val="none"/>
          <w:lang w:val="zh-CN"/>
        </w:rPr>
        <w:t>增加444.89万元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sz w:val="30"/>
          <w:szCs w:val="30"/>
          <w:highlight w:val="none"/>
          <w:lang w:val="zh-CN"/>
        </w:rPr>
        <w:t>增长7.46%，</w:t>
      </w:r>
      <w:r>
        <w:rPr>
          <w:rFonts w:hint="default" w:ascii="Times New Roman" w:hAnsi="Times New Roman" w:eastAsia="仿宋_GB2312" w:cs="Times New Roman"/>
          <w:color w:val="auto"/>
          <w:kern w:val="2"/>
          <w:sz w:val="32"/>
          <w:szCs w:val="32"/>
          <w:lang w:val="zh-CN" w:eastAsia="zh-CN" w:bidi="ar-SA"/>
        </w:rPr>
        <w:t>主要</w:t>
      </w:r>
      <w:r>
        <w:rPr>
          <w:rFonts w:hint="default" w:ascii="Times New Roman" w:hAnsi="Times New Roman" w:eastAsia="仿宋_GB2312" w:cs="Times New Roman"/>
          <w:kern w:val="2"/>
          <w:sz w:val="32"/>
          <w:szCs w:val="32"/>
          <w:highlight w:val="none"/>
        </w:rPr>
        <w:t>是202</w:t>
      </w:r>
      <w:r>
        <w:rPr>
          <w:rFonts w:hint="eastAsia" w:ascii="Times New Roman" w:hAnsi="Times New Roman" w:eastAsia="仿宋_GB2312" w:cs="Times New Roman"/>
          <w:kern w:val="2"/>
          <w:sz w:val="32"/>
          <w:szCs w:val="32"/>
          <w:highlight w:val="none"/>
          <w:lang w:val="en-US" w:eastAsia="zh-CN"/>
        </w:rPr>
        <w:t>3</w:t>
      </w:r>
      <w:r>
        <w:rPr>
          <w:rFonts w:hint="default" w:ascii="Times New Roman" w:hAnsi="Times New Roman" w:eastAsia="仿宋_GB2312" w:cs="Times New Roman"/>
          <w:kern w:val="2"/>
          <w:sz w:val="32"/>
          <w:szCs w:val="32"/>
          <w:highlight w:val="none"/>
        </w:rPr>
        <w:t>年</w:t>
      </w:r>
      <w:r>
        <w:rPr>
          <w:rFonts w:hint="eastAsia" w:ascii="Times New Roman" w:hAnsi="Times New Roman" w:eastAsia="仿宋_GB2312" w:cs="Times New Roman"/>
          <w:kern w:val="2"/>
          <w:sz w:val="32"/>
          <w:szCs w:val="32"/>
          <w:highlight w:val="none"/>
          <w:lang w:eastAsia="zh-CN"/>
        </w:rPr>
        <w:t>城区建设鹿城一号</w:t>
      </w:r>
      <w:r>
        <w:rPr>
          <w:rFonts w:hint="default" w:ascii="Times New Roman" w:hAnsi="Times New Roman" w:eastAsia="仿宋_GB2312" w:cs="Times New Roman"/>
          <w:kern w:val="2"/>
          <w:sz w:val="32"/>
          <w:szCs w:val="32"/>
          <w:highlight w:val="none"/>
        </w:rPr>
        <w:t>项目</w:t>
      </w:r>
      <w:r>
        <w:rPr>
          <w:rFonts w:hint="eastAsia" w:ascii="Times New Roman" w:hAnsi="Times New Roman" w:eastAsia="仿宋_GB2312" w:cs="Times New Roman"/>
          <w:kern w:val="2"/>
          <w:sz w:val="32"/>
          <w:szCs w:val="32"/>
          <w:highlight w:val="none"/>
          <w:lang w:eastAsia="zh-CN"/>
        </w:rPr>
        <w:t>补助</w:t>
      </w:r>
      <w:r>
        <w:rPr>
          <w:rFonts w:hint="default" w:ascii="Times New Roman" w:hAnsi="Times New Roman" w:eastAsia="仿宋_GB2312" w:cs="Times New Roman"/>
          <w:kern w:val="2"/>
          <w:sz w:val="32"/>
          <w:szCs w:val="32"/>
          <w:highlight w:val="none"/>
        </w:rPr>
        <w:t>增加</w:t>
      </w:r>
      <w:r>
        <w:rPr>
          <w:rFonts w:hint="eastAsia" w:ascii="Times New Roman" w:hAnsi="Times New Roman" w:eastAsia="仿宋_GB2312" w:cs="Times New Roman"/>
          <w:kern w:val="2"/>
          <w:sz w:val="32"/>
          <w:szCs w:val="32"/>
          <w:highlight w:val="none"/>
          <w:lang w:eastAsia="zh-CN"/>
        </w:rPr>
        <w:t>了</w:t>
      </w:r>
      <w:r>
        <w:rPr>
          <w:rFonts w:hint="eastAsia" w:ascii="Times New Roman" w:hAnsi="Times New Roman" w:eastAsia="仿宋_GB2312" w:cs="Times New Roman"/>
          <w:kern w:val="2"/>
          <w:sz w:val="32"/>
          <w:szCs w:val="32"/>
          <w:highlight w:val="none"/>
          <w:lang w:val="en-US" w:eastAsia="zh-CN"/>
        </w:rPr>
        <w:t>442</w:t>
      </w:r>
      <w:r>
        <w:rPr>
          <w:rFonts w:hint="default" w:ascii="Times New Roman" w:hAnsi="Times New Roman" w:eastAsia="仿宋_GB2312" w:cs="Times New Roman"/>
          <w:kern w:val="2"/>
          <w:sz w:val="32"/>
          <w:szCs w:val="32"/>
          <w:highlight w:val="none"/>
        </w:rPr>
        <w:t>万元</w:t>
      </w:r>
      <w:r>
        <w:rPr>
          <w:rFonts w:hint="default" w:ascii="Times New Roman" w:hAnsi="Times New Roman" w:eastAsia="仿宋_GB2312" w:cs="Times New Roman"/>
          <w:color w:val="auto"/>
          <w:kern w:val="2"/>
          <w:sz w:val="32"/>
          <w:szCs w:val="32"/>
          <w:lang w:val="zh-CN" w:eastAsia="zh-CN" w:bidi="ar-SA"/>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1. 一般公共预算财政拨款本年收入6,411.23</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w:t>
      </w:r>
      <w:r>
        <w:rPr>
          <w:rFonts w:hint="eastAsia" w:ascii="Times New Roman" w:hAnsi="Times New Roman" w:eastAsia="仿宋_GB2312" w:cs="Times New Roman"/>
          <w:sz w:val="30"/>
          <w:szCs w:val="30"/>
          <w:highlight w:val="none"/>
          <w:lang w:val="zh-CN"/>
        </w:rPr>
        <w:t>增加623.69万元，增长10.78%，</w:t>
      </w:r>
      <w:r>
        <w:rPr>
          <w:rFonts w:hint="default" w:ascii="Times New Roman" w:hAnsi="Times New Roman" w:eastAsia="仿宋_GB2312" w:cs="Times New Roman"/>
          <w:kern w:val="2"/>
          <w:sz w:val="32"/>
          <w:szCs w:val="32"/>
          <w:lang w:val="zh-CN"/>
        </w:rPr>
        <w:t>主要是</w:t>
      </w:r>
      <w:r>
        <w:rPr>
          <w:rFonts w:hint="default" w:ascii="Times New Roman" w:hAnsi="Times New Roman" w:eastAsia="仿宋_GB2312" w:cs="Times New Roman"/>
          <w:color w:val="auto"/>
          <w:kern w:val="2"/>
          <w:sz w:val="32"/>
          <w:szCs w:val="32"/>
          <w:lang w:val="zh-CN" w:eastAsia="zh-CN" w:bidi="ar-SA"/>
        </w:rPr>
        <w:t>主要</w:t>
      </w:r>
      <w:r>
        <w:rPr>
          <w:rFonts w:hint="default" w:ascii="Times New Roman" w:hAnsi="Times New Roman" w:eastAsia="仿宋_GB2312" w:cs="Times New Roman"/>
          <w:kern w:val="2"/>
          <w:sz w:val="32"/>
          <w:szCs w:val="32"/>
          <w:highlight w:val="none"/>
        </w:rPr>
        <w:t>是202</w:t>
      </w:r>
      <w:r>
        <w:rPr>
          <w:rFonts w:hint="eastAsia" w:ascii="Times New Roman" w:hAnsi="Times New Roman" w:eastAsia="仿宋_GB2312" w:cs="Times New Roman"/>
          <w:kern w:val="2"/>
          <w:sz w:val="32"/>
          <w:szCs w:val="32"/>
          <w:highlight w:val="none"/>
          <w:lang w:val="en-US" w:eastAsia="zh-CN"/>
        </w:rPr>
        <w:t>3</w:t>
      </w:r>
      <w:r>
        <w:rPr>
          <w:rFonts w:hint="default" w:ascii="Times New Roman" w:hAnsi="Times New Roman" w:eastAsia="仿宋_GB2312" w:cs="Times New Roman"/>
          <w:kern w:val="2"/>
          <w:sz w:val="32"/>
          <w:szCs w:val="32"/>
          <w:highlight w:val="none"/>
        </w:rPr>
        <w:t>年</w:t>
      </w:r>
      <w:r>
        <w:rPr>
          <w:rFonts w:hint="eastAsia" w:ascii="Times New Roman" w:hAnsi="Times New Roman" w:eastAsia="仿宋_GB2312" w:cs="Times New Roman"/>
          <w:kern w:val="2"/>
          <w:sz w:val="32"/>
          <w:szCs w:val="32"/>
          <w:highlight w:val="none"/>
          <w:lang w:eastAsia="zh-CN"/>
        </w:rPr>
        <w:t>城区建设鹿城一号</w:t>
      </w:r>
      <w:r>
        <w:rPr>
          <w:rFonts w:hint="default" w:ascii="Times New Roman" w:hAnsi="Times New Roman" w:eastAsia="仿宋_GB2312" w:cs="Times New Roman"/>
          <w:kern w:val="2"/>
          <w:sz w:val="32"/>
          <w:szCs w:val="32"/>
          <w:highlight w:val="none"/>
        </w:rPr>
        <w:t>项目</w:t>
      </w:r>
      <w:r>
        <w:rPr>
          <w:rFonts w:hint="eastAsia" w:ascii="Times New Roman" w:hAnsi="Times New Roman" w:eastAsia="仿宋_GB2312" w:cs="Times New Roman"/>
          <w:kern w:val="2"/>
          <w:sz w:val="32"/>
          <w:szCs w:val="32"/>
          <w:highlight w:val="none"/>
          <w:lang w:eastAsia="zh-CN"/>
        </w:rPr>
        <w:t>补助</w:t>
      </w:r>
      <w:r>
        <w:rPr>
          <w:rFonts w:hint="default" w:ascii="Times New Roman" w:hAnsi="Times New Roman" w:eastAsia="仿宋_GB2312" w:cs="Times New Roman"/>
          <w:kern w:val="2"/>
          <w:sz w:val="32"/>
          <w:szCs w:val="32"/>
          <w:highlight w:val="none"/>
        </w:rPr>
        <w:t>增加</w:t>
      </w:r>
      <w:r>
        <w:rPr>
          <w:rFonts w:hint="eastAsia" w:ascii="Times New Roman" w:hAnsi="Times New Roman" w:eastAsia="仿宋_GB2312" w:cs="Times New Roman"/>
          <w:kern w:val="2"/>
          <w:sz w:val="32"/>
          <w:szCs w:val="32"/>
          <w:highlight w:val="none"/>
          <w:lang w:eastAsia="zh-CN"/>
        </w:rPr>
        <w:t>了</w:t>
      </w:r>
      <w:r>
        <w:rPr>
          <w:rFonts w:hint="eastAsia" w:ascii="Times New Roman" w:hAnsi="Times New Roman" w:eastAsia="仿宋_GB2312" w:cs="Times New Roman"/>
          <w:kern w:val="2"/>
          <w:sz w:val="32"/>
          <w:szCs w:val="32"/>
          <w:highlight w:val="none"/>
          <w:lang w:val="en-US" w:eastAsia="zh-CN"/>
        </w:rPr>
        <w:t>442</w:t>
      </w:r>
      <w:r>
        <w:rPr>
          <w:rFonts w:hint="default" w:ascii="Times New Roman" w:hAnsi="Times New Roman" w:eastAsia="仿宋_GB2312" w:cs="Times New Roman"/>
          <w:kern w:val="2"/>
          <w:sz w:val="32"/>
          <w:szCs w:val="32"/>
          <w:highlight w:val="none"/>
        </w:rPr>
        <w:t>万元</w:t>
      </w:r>
      <w:r>
        <w:rPr>
          <w:rFonts w:hint="eastAsia" w:ascii="Times New Roman" w:hAnsi="Times New Roman" w:eastAsia="仿宋_GB2312" w:cs="Times New Roman"/>
          <w:kern w:val="2"/>
          <w:sz w:val="32"/>
          <w:szCs w:val="32"/>
          <w:highlight w:val="none"/>
          <w:lang w:eastAsia="zh-CN"/>
        </w:rPr>
        <w:t>，环境整治项目增加了</w:t>
      </w:r>
      <w:r>
        <w:rPr>
          <w:rFonts w:hint="eastAsia" w:ascii="Times New Roman" w:hAnsi="Times New Roman" w:eastAsia="仿宋_GB2312" w:cs="Times New Roman"/>
          <w:kern w:val="2"/>
          <w:sz w:val="32"/>
          <w:szCs w:val="32"/>
          <w:highlight w:val="none"/>
          <w:lang w:val="en-US" w:eastAsia="zh-CN"/>
        </w:rPr>
        <w:t>166万元，一事一议补偿项目15万元</w:t>
      </w:r>
      <w:r>
        <w:rPr>
          <w:rFonts w:hint="default" w:ascii="Times New Roman" w:hAnsi="Times New Roman" w:eastAsia="仿宋_GB2312" w:cs="Times New Roman"/>
          <w:kern w:val="2"/>
          <w:sz w:val="32"/>
          <w:szCs w:val="32"/>
          <w:lang w:val="zh-CN"/>
        </w:rPr>
        <w:t>；本年支出 6,411.23</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增加623.69万元</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sz w:val="30"/>
          <w:szCs w:val="30"/>
          <w:highlight w:val="none"/>
          <w:lang w:val="zh-CN"/>
        </w:rPr>
        <w:t>增长10.78%，</w:t>
      </w:r>
      <w:r>
        <w:rPr>
          <w:rFonts w:hint="default" w:ascii="Times New Roman" w:hAnsi="Times New Roman" w:eastAsia="仿宋_GB2312" w:cs="Times New Roman"/>
          <w:kern w:val="2"/>
          <w:sz w:val="32"/>
          <w:szCs w:val="32"/>
          <w:lang w:val="zh-CN"/>
        </w:rPr>
        <w:t>主要是主要是</w:t>
      </w:r>
      <w:r>
        <w:rPr>
          <w:rFonts w:hint="default" w:ascii="Times New Roman" w:hAnsi="Times New Roman" w:eastAsia="仿宋_GB2312" w:cs="Times New Roman"/>
          <w:color w:val="auto"/>
          <w:kern w:val="2"/>
          <w:sz w:val="32"/>
          <w:szCs w:val="32"/>
          <w:lang w:val="zh-CN" w:eastAsia="zh-CN" w:bidi="ar-SA"/>
        </w:rPr>
        <w:t>主要</w:t>
      </w:r>
      <w:r>
        <w:rPr>
          <w:rFonts w:hint="default" w:ascii="Times New Roman" w:hAnsi="Times New Roman" w:eastAsia="仿宋_GB2312" w:cs="Times New Roman"/>
          <w:kern w:val="2"/>
          <w:sz w:val="32"/>
          <w:szCs w:val="32"/>
          <w:highlight w:val="none"/>
        </w:rPr>
        <w:t>是202</w:t>
      </w:r>
      <w:r>
        <w:rPr>
          <w:rFonts w:hint="eastAsia" w:ascii="Times New Roman" w:hAnsi="Times New Roman" w:eastAsia="仿宋_GB2312" w:cs="Times New Roman"/>
          <w:kern w:val="2"/>
          <w:sz w:val="32"/>
          <w:szCs w:val="32"/>
          <w:highlight w:val="none"/>
          <w:lang w:val="en-US" w:eastAsia="zh-CN"/>
        </w:rPr>
        <w:t>3</w:t>
      </w:r>
      <w:r>
        <w:rPr>
          <w:rFonts w:hint="default" w:ascii="Times New Roman" w:hAnsi="Times New Roman" w:eastAsia="仿宋_GB2312" w:cs="Times New Roman"/>
          <w:kern w:val="2"/>
          <w:sz w:val="32"/>
          <w:szCs w:val="32"/>
          <w:highlight w:val="none"/>
        </w:rPr>
        <w:t>年</w:t>
      </w:r>
      <w:r>
        <w:rPr>
          <w:rFonts w:hint="eastAsia" w:ascii="Times New Roman" w:hAnsi="Times New Roman" w:eastAsia="仿宋_GB2312" w:cs="Times New Roman"/>
          <w:kern w:val="2"/>
          <w:sz w:val="32"/>
          <w:szCs w:val="32"/>
          <w:highlight w:val="none"/>
          <w:lang w:eastAsia="zh-CN"/>
        </w:rPr>
        <w:t>城区建设鹿城一号</w:t>
      </w:r>
      <w:r>
        <w:rPr>
          <w:rFonts w:hint="default" w:ascii="Times New Roman" w:hAnsi="Times New Roman" w:eastAsia="仿宋_GB2312" w:cs="Times New Roman"/>
          <w:kern w:val="2"/>
          <w:sz w:val="32"/>
          <w:szCs w:val="32"/>
          <w:highlight w:val="none"/>
        </w:rPr>
        <w:t>项目</w:t>
      </w:r>
      <w:r>
        <w:rPr>
          <w:rFonts w:hint="eastAsia" w:ascii="Times New Roman" w:hAnsi="Times New Roman" w:eastAsia="仿宋_GB2312" w:cs="Times New Roman"/>
          <w:kern w:val="2"/>
          <w:sz w:val="32"/>
          <w:szCs w:val="32"/>
          <w:highlight w:val="none"/>
          <w:lang w:eastAsia="zh-CN"/>
        </w:rPr>
        <w:t>补助</w:t>
      </w:r>
      <w:r>
        <w:rPr>
          <w:rFonts w:hint="default" w:ascii="Times New Roman" w:hAnsi="Times New Roman" w:eastAsia="仿宋_GB2312" w:cs="Times New Roman"/>
          <w:kern w:val="2"/>
          <w:sz w:val="32"/>
          <w:szCs w:val="32"/>
          <w:highlight w:val="none"/>
        </w:rPr>
        <w:t>增加</w:t>
      </w:r>
      <w:r>
        <w:rPr>
          <w:rFonts w:hint="eastAsia" w:ascii="Times New Roman" w:hAnsi="Times New Roman" w:eastAsia="仿宋_GB2312" w:cs="Times New Roman"/>
          <w:kern w:val="2"/>
          <w:sz w:val="32"/>
          <w:szCs w:val="32"/>
          <w:highlight w:val="none"/>
          <w:lang w:eastAsia="zh-CN"/>
        </w:rPr>
        <w:t>了</w:t>
      </w:r>
      <w:r>
        <w:rPr>
          <w:rFonts w:hint="eastAsia" w:ascii="Times New Roman" w:hAnsi="Times New Roman" w:eastAsia="仿宋_GB2312" w:cs="Times New Roman"/>
          <w:kern w:val="2"/>
          <w:sz w:val="32"/>
          <w:szCs w:val="32"/>
          <w:highlight w:val="none"/>
          <w:lang w:val="en-US" w:eastAsia="zh-CN"/>
        </w:rPr>
        <w:t>442</w:t>
      </w:r>
      <w:r>
        <w:rPr>
          <w:rFonts w:hint="default" w:ascii="Times New Roman" w:hAnsi="Times New Roman" w:eastAsia="仿宋_GB2312" w:cs="Times New Roman"/>
          <w:kern w:val="2"/>
          <w:sz w:val="32"/>
          <w:szCs w:val="32"/>
          <w:highlight w:val="none"/>
        </w:rPr>
        <w:t>万元</w:t>
      </w:r>
      <w:r>
        <w:rPr>
          <w:rFonts w:hint="eastAsia" w:ascii="Times New Roman" w:hAnsi="Times New Roman" w:eastAsia="仿宋_GB2312" w:cs="Times New Roman"/>
          <w:kern w:val="2"/>
          <w:sz w:val="32"/>
          <w:szCs w:val="32"/>
          <w:highlight w:val="none"/>
          <w:lang w:eastAsia="zh-CN"/>
        </w:rPr>
        <w:t>，环境整治项目增加了</w:t>
      </w:r>
      <w:r>
        <w:rPr>
          <w:rFonts w:hint="eastAsia" w:ascii="Times New Roman" w:hAnsi="Times New Roman" w:eastAsia="仿宋_GB2312" w:cs="Times New Roman"/>
          <w:kern w:val="2"/>
          <w:sz w:val="32"/>
          <w:szCs w:val="32"/>
          <w:highlight w:val="none"/>
          <w:lang w:val="en-US" w:eastAsia="zh-CN"/>
        </w:rPr>
        <w:t>166万元，一事一议补偿项目15万元</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kern w:val="2"/>
          <w:sz w:val="32"/>
          <w:szCs w:val="32"/>
          <w:lang w:val="zh-CN"/>
        </w:rPr>
        <w:t>2. 政府性基金预算财政拨款本年收入0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减少178.8万元</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sz w:val="30"/>
          <w:szCs w:val="30"/>
          <w:highlight w:val="none"/>
          <w:lang w:val="zh-CN"/>
        </w:rPr>
        <w:t>降低100%，</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highlight w:val="none"/>
          <w:lang w:val="en-US" w:eastAsia="zh-CN"/>
        </w:rPr>
        <w:t>2023年度</w:t>
      </w:r>
      <w:r>
        <w:rPr>
          <w:rFonts w:hint="eastAsia" w:ascii="Times New Roman" w:hAnsi="Times New Roman" w:eastAsia="仿宋_GB2312" w:cs="Times New Roman"/>
          <w:kern w:val="2"/>
          <w:sz w:val="32"/>
          <w:szCs w:val="32"/>
          <w:highlight w:val="none"/>
          <w:lang w:val="zh-CN"/>
        </w:rPr>
        <w:t>财政</w:t>
      </w:r>
      <w:r>
        <w:rPr>
          <w:rFonts w:hint="eastAsia" w:ascii="Times New Roman" w:hAnsi="Times New Roman" w:eastAsia="仿宋_GB2312" w:cs="Times New Roman"/>
          <w:kern w:val="2"/>
          <w:sz w:val="32"/>
          <w:szCs w:val="32"/>
          <w:highlight w:val="none"/>
          <w:lang w:val="en-US" w:eastAsia="zh-CN"/>
        </w:rPr>
        <w:t>预算</w:t>
      </w:r>
      <w:r>
        <w:rPr>
          <w:rFonts w:hint="eastAsia" w:ascii="Times New Roman" w:hAnsi="Times New Roman" w:eastAsia="仿宋_GB2312" w:cs="Times New Roman"/>
          <w:kern w:val="2"/>
          <w:sz w:val="32"/>
          <w:szCs w:val="32"/>
          <w:highlight w:val="none"/>
          <w:lang w:val="zh-CN"/>
        </w:rPr>
        <w:t>没有安排基金预算补助资金</w:t>
      </w:r>
      <w:r>
        <w:rPr>
          <w:rFonts w:hint="default" w:ascii="Times New Roman" w:hAnsi="Times New Roman" w:eastAsia="仿宋_GB2312" w:cs="Times New Roman"/>
          <w:kern w:val="2"/>
          <w:sz w:val="32"/>
          <w:szCs w:val="32"/>
          <w:lang w:val="zh-CN"/>
        </w:rPr>
        <w:t>；本年支出 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减少178.8万元</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sz w:val="30"/>
          <w:szCs w:val="30"/>
          <w:highlight w:val="none"/>
          <w:lang w:val="zh-CN"/>
        </w:rPr>
        <w:t>降低100%，</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highlight w:val="none"/>
          <w:lang w:val="en-US" w:eastAsia="zh-CN"/>
        </w:rPr>
        <w:t>2023年度财政预算没有安排基金预算补助资金</w:t>
      </w:r>
      <w:r>
        <w:rPr>
          <w:rFonts w:hint="default" w:ascii="Times New Roman" w:hAnsi="Times New Roman" w:eastAsia="仿宋_GB2312" w:cs="Times New Roman"/>
          <w:kern w:val="2"/>
          <w:sz w:val="32"/>
          <w:szCs w:val="32"/>
          <w:highlight w:val="none"/>
          <w:lang w:val="zh-CN"/>
        </w:rPr>
        <w:t>。</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zh-CN"/>
        </w:rPr>
        <w:t>3. 国有资本经营预算财政拨款本年收入0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highlight w:val="none"/>
          <w:lang w:val="en-US" w:eastAsia="zh-CN"/>
        </w:rPr>
        <w:t>2023年度财政预算没有安排预算补助资金</w:t>
      </w:r>
      <w:r>
        <w:rPr>
          <w:rFonts w:hint="default" w:ascii="Times New Roman" w:hAnsi="Times New Roman" w:eastAsia="仿宋_GB2312" w:cs="Times New Roman"/>
          <w:kern w:val="2"/>
          <w:sz w:val="32"/>
          <w:szCs w:val="32"/>
          <w:lang w:val="zh-CN"/>
        </w:rPr>
        <w:t>；本年支出0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highlight w:val="none"/>
          <w:lang w:val="en-US" w:eastAsia="zh-CN"/>
        </w:rPr>
        <w:t>2023年度财政预算没有安排预算补助资金</w:t>
      </w:r>
      <w:r>
        <w:rPr>
          <w:rFonts w:hint="default" w:ascii="Times New Roman" w:hAnsi="Times New Roman" w:eastAsia="仿宋_GB2312" w:cs="Times New Roman"/>
          <w:kern w:val="2"/>
          <w:sz w:val="32"/>
          <w:szCs w:val="32"/>
          <w:lang w:val="zh-CN"/>
        </w:rPr>
        <w:t>。</w:t>
      </w:r>
    </w:p>
    <w:p>
      <w:pPr>
        <w:pStyle w:val="10"/>
        <w:widowControl/>
        <w:spacing w:beforeAutospacing="0" w:afterAutospacing="0"/>
        <w:rPr>
          <w:rFonts w:ascii="Times New Roman" w:hAnsi="Times New Roman" w:eastAsia="仿宋_GB2312"/>
          <w:sz w:val="32"/>
          <w:szCs w:val="32"/>
        </w:rPr>
      </w:pPr>
    </w:p>
    <w:p>
      <w:pPr>
        <w:pStyle w:val="10"/>
        <w:widowControl/>
        <w:spacing w:beforeAutospacing="0" w:afterAutospacing="0"/>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256530" cy="2988310"/>
            <wp:effectExtent l="5080" t="4445" r="11430" b="952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snapToGrid w:val="0"/>
        <w:spacing w:line="580" w:lineRule="exact"/>
        <w:rPr>
          <w:rFonts w:ascii="Times New Roman" w:hAnsi="Times New Roman" w:eastAsia="楷体_GB2312" w:cs="Times New Roman"/>
          <w:b/>
          <w:bCs/>
          <w:kern w:val="2"/>
          <w:sz w:val="32"/>
          <w:szCs w:val="32"/>
        </w:rPr>
      </w:pPr>
      <w:r>
        <w:rPr>
          <w:rFonts w:ascii="Times New Roman" w:hAnsi="Times New Roman" w:eastAsia="楷体_GB2312" w:cs="Times New Roman"/>
          <w:b/>
          <w:bCs/>
          <w:kern w:val="2"/>
          <w:sz w:val="32"/>
          <w:szCs w:val="32"/>
        </w:rPr>
        <w:t>（二）财政拨款收支与年初预算数对比情况</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年度财政拨款本年收入6,411.23万元，完成年初预算的100%，比年初预算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color w:val="auto"/>
          <w:kern w:val="2"/>
          <w:sz w:val="32"/>
          <w:szCs w:val="32"/>
          <w:lang w:val="zh-CN" w:eastAsia="zh-CN" w:bidi="ar-SA"/>
        </w:rPr>
        <w:t>；本年支出6,411.23万元，完成年初预算的100%，比年初预算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收入6,411.23万元，完成年初预算的 100%，比年初预算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；本年支出6,411.23万元，完成年初预算的100%，比年初预算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2. 政府性基金预算财政拨款本年收入0万元，完成年初预算的0%，比年初预算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；本年支出0万元，完成年初预算的0%，比年初预算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w:t>
      </w:r>
    </w:p>
    <w:p>
      <w:pPr>
        <w:pStyle w:val="10"/>
        <w:widowControl/>
        <w:spacing w:beforeAutospacing="0" w:afterAutospacing="0"/>
        <w:ind w:firstLine="640" w:firstLineChars="200"/>
        <w:rPr>
          <w:rFonts w:ascii="Times New Roman" w:hAnsi="Times New Roman" w:eastAsia="Arial"/>
        </w:rPr>
      </w:pPr>
      <w:r>
        <w:rPr>
          <w:rFonts w:hint="default" w:ascii="Times New Roman" w:hAnsi="Times New Roman" w:eastAsia="仿宋_GB2312" w:cs="Times New Roman"/>
          <w:kern w:val="2"/>
          <w:sz w:val="32"/>
          <w:szCs w:val="32"/>
          <w:lang w:val="zh-CN"/>
        </w:rPr>
        <w:t>3. 国有资本经营预算财政拨款本年收入0万元，完成年初预算的0%，</w:t>
      </w:r>
      <w:r>
        <w:rPr>
          <w:rFonts w:hint="default" w:ascii="Times New Roman" w:hAnsi="Times New Roman" w:eastAsia="仿宋_GB2312" w:cs="Times New Roman"/>
          <w:sz w:val="30"/>
          <w:szCs w:val="30"/>
          <w:highlight w:val="none"/>
          <w:lang w:val="zh-CN"/>
        </w:rPr>
        <w:t>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；本年支出0万元，完成年初预算的0%，比年初预算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w:t>
      </w:r>
    </w:p>
    <w:p>
      <w:pPr>
        <w:pStyle w:val="10"/>
        <w:widowControl/>
        <w:spacing w:beforeAutospacing="0" w:afterAutospacing="0"/>
        <w:rPr>
          <w:rFonts w:ascii="Times New Roman" w:hAnsi="Times New Roman" w:eastAsia="仿宋_GB2312"/>
          <w:sz w:val="32"/>
          <w:szCs w:val="32"/>
          <w:highlight w:val="none"/>
        </w:rPr>
      </w:pPr>
      <w:r>
        <w:rPr>
          <w:rFonts w:ascii="Times New Roman" w:hAnsi="Times New Roman" w:eastAsia="仿宋_GB2312"/>
          <w:sz w:val="32"/>
          <w:szCs w:val="32"/>
          <w:highlight w:val="none"/>
        </w:rPr>
        <w:drawing>
          <wp:inline distT="0" distB="0" distL="114300" distR="114300">
            <wp:extent cx="5256530" cy="2988310"/>
            <wp:effectExtent l="5080" t="4445" r="1524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pStyle w:val="10"/>
        <w:widowControl/>
        <w:spacing w:beforeAutospacing="0" w:afterAutospacing="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（三）财政拨款支出决算结构情况</w:t>
      </w:r>
    </w:p>
    <w:p>
      <w:pPr>
        <w:keepNext w:val="0"/>
        <w:keepLines w:val="0"/>
        <w:pageBreakBefore w:val="0"/>
        <w:kinsoku/>
        <w:wordWrap/>
        <w:overflowPunct/>
        <w:topLinePunct w:val="0"/>
        <w:autoSpaceDE/>
        <w:autoSpaceDN/>
        <w:bidi w:val="0"/>
        <w:adjustRightInd w:val="0"/>
        <w:snapToGrid w:val="0"/>
        <w:spacing w:line="580" w:lineRule="exact"/>
        <w:ind w:firstLine="64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年度财政拨款支出6,411.23万元，主要用于以下方面：</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一般公共服务（类）支出3,074.04万元，占47.95%</w:t>
      </w:r>
      <w:r>
        <w:rPr>
          <w:rFonts w:hint="eastAsia" w:ascii="Times New Roman" w:hAnsi="Times New Roman" w:eastAsia="仿宋_GB2312" w:cs="Times New Roman"/>
          <w:color w:val="auto"/>
          <w:kern w:val="2"/>
          <w:sz w:val="32"/>
          <w:szCs w:val="32"/>
          <w:lang w:val="en-US" w:eastAsia="zh-CN" w:bidi="ar-SA"/>
        </w:rPr>
        <w:t>,主要用于机关人员管理事务支出</w:t>
      </w:r>
      <w:r>
        <w:rPr>
          <w:rFonts w:hint="default"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en-US" w:eastAsia="zh-CN" w:bidi="ar-SA"/>
        </w:rPr>
        <w:t>外交</w:t>
      </w:r>
      <w:r>
        <w:rPr>
          <w:rFonts w:hint="default" w:ascii="Times New Roman" w:hAnsi="Times New Roman" w:eastAsia="仿宋_GB2312" w:cs="Times New Roman"/>
          <w:color w:val="auto"/>
          <w:kern w:val="2"/>
          <w:sz w:val="32"/>
          <w:szCs w:val="32"/>
          <w:lang w:val="zh-CN" w:eastAsia="zh-CN" w:bidi="ar-SA"/>
        </w:rPr>
        <w:t>（类）支出0万元，占0%；国防（类）支出0万元，占0%；公共安全类（类）支出279.58万元，占4.36%</w:t>
      </w:r>
      <w:r>
        <w:rPr>
          <w:rFonts w:hint="eastAsia" w:ascii="Times New Roman" w:hAnsi="Times New Roman" w:eastAsia="仿宋_GB2312" w:cs="Times New Roman"/>
          <w:color w:val="auto"/>
          <w:kern w:val="2"/>
          <w:sz w:val="32"/>
          <w:szCs w:val="32"/>
          <w:lang w:val="en-US" w:eastAsia="zh-CN" w:bidi="ar-SA"/>
        </w:rPr>
        <w:t>，主要用于公共安全维稳，信访、消防等安全保卫支出</w:t>
      </w:r>
      <w:r>
        <w:rPr>
          <w:rFonts w:hint="default" w:ascii="Times New Roman" w:hAnsi="Times New Roman" w:eastAsia="仿宋_GB2312" w:cs="Times New Roman"/>
          <w:color w:val="auto"/>
          <w:kern w:val="2"/>
          <w:sz w:val="32"/>
          <w:szCs w:val="32"/>
          <w:lang w:val="zh-CN" w:eastAsia="zh-CN" w:bidi="ar-SA"/>
        </w:rPr>
        <w:t>；教育（类）支出345.76万元，占5.39%</w:t>
      </w:r>
      <w:r>
        <w:rPr>
          <w:rFonts w:hint="eastAsia" w:ascii="仿宋_GB2312" w:hAnsi="仿宋_GB2312" w:eastAsia="仿宋_GB2312" w:cs="仿宋_GB2312"/>
          <w:color w:val="auto"/>
          <w:kern w:val="2"/>
          <w:sz w:val="32"/>
          <w:szCs w:val="32"/>
          <w:lang w:val="en-US" w:eastAsia="zh-CN" w:bidi="ar-SA"/>
        </w:rPr>
        <w:t>,</w:t>
      </w:r>
      <w:r>
        <w:rPr>
          <w:rFonts w:hint="eastAsia" w:ascii="Times New Roman" w:hAnsi="Times New Roman" w:eastAsia="仿宋_GB2312" w:cs="Times New Roman"/>
          <w:color w:val="auto"/>
          <w:kern w:val="2"/>
          <w:sz w:val="32"/>
          <w:szCs w:val="32"/>
          <w:lang w:val="en-US" w:eastAsia="zh-CN" w:bidi="ar-SA"/>
        </w:rPr>
        <w:t>主要用于教师工资和教育投入支出</w:t>
      </w:r>
      <w:r>
        <w:rPr>
          <w:rFonts w:hint="default" w:ascii="Times New Roman" w:hAnsi="Times New Roman" w:eastAsia="仿宋_GB2312" w:cs="Times New Roman"/>
          <w:color w:val="auto"/>
          <w:kern w:val="2"/>
          <w:sz w:val="32"/>
          <w:szCs w:val="32"/>
          <w:lang w:val="zh-CN" w:eastAsia="zh-CN" w:bidi="ar-SA"/>
        </w:rPr>
        <w:t>；科学技术（类）支出0万元，占0%；文化旅游体育与传媒（类）支出20万元，占0.31%</w:t>
      </w:r>
      <w:r>
        <w:rPr>
          <w:rFonts w:hint="eastAsia" w:ascii="仿宋_GB2312" w:hAnsi="仿宋_GB2312" w:eastAsia="仿宋_GB2312" w:cs="仿宋_GB2312"/>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zh-CN" w:eastAsia="zh-CN" w:bidi="ar-SA"/>
        </w:rPr>
        <w:t>主要用于镇级文化</w:t>
      </w:r>
      <w:r>
        <w:rPr>
          <w:rFonts w:hint="eastAsia" w:ascii="Times New Roman" w:hAnsi="Times New Roman" w:eastAsia="仿宋_GB2312" w:cs="Times New Roman"/>
          <w:color w:val="auto"/>
          <w:kern w:val="2"/>
          <w:sz w:val="32"/>
          <w:szCs w:val="32"/>
          <w:lang w:val="zh-CN" w:eastAsia="zh-CN" w:bidi="ar-SA"/>
        </w:rPr>
        <w:t>旅游</w:t>
      </w:r>
      <w:r>
        <w:rPr>
          <w:rFonts w:hint="default" w:ascii="Times New Roman" w:hAnsi="Times New Roman" w:eastAsia="仿宋_GB2312" w:cs="Times New Roman"/>
          <w:color w:val="auto"/>
          <w:kern w:val="2"/>
          <w:sz w:val="32"/>
          <w:szCs w:val="32"/>
          <w:lang w:val="zh-CN" w:eastAsia="zh-CN" w:bidi="ar-SA"/>
        </w:rPr>
        <w:t>宣传等支出；社会保障和就业 （类）支出464.48万元，占7.24%</w:t>
      </w:r>
      <w:r>
        <w:rPr>
          <w:rFonts w:hint="eastAsia" w:ascii="仿宋_GB2312" w:hAnsi="仿宋_GB2312" w:eastAsia="仿宋_GB2312" w:cs="仿宋_GB2312"/>
          <w:color w:val="auto"/>
          <w:kern w:val="2"/>
          <w:sz w:val="32"/>
          <w:szCs w:val="32"/>
          <w:lang w:val="en-US" w:eastAsia="zh-CN" w:bidi="ar-SA"/>
        </w:rPr>
        <w:t>,主要用于促进就业和社会基本保障支出</w:t>
      </w:r>
      <w:r>
        <w:rPr>
          <w:rFonts w:hint="default" w:ascii="Times New Roman" w:hAnsi="Times New Roman" w:eastAsia="仿宋_GB2312" w:cs="Times New Roman"/>
          <w:color w:val="auto"/>
          <w:kern w:val="2"/>
          <w:sz w:val="32"/>
          <w:szCs w:val="32"/>
          <w:lang w:val="zh-CN" w:eastAsia="zh-CN" w:bidi="ar-SA"/>
        </w:rPr>
        <w:t>；卫生健康（类）支出206.75万元，占3.22%</w:t>
      </w:r>
      <w:r>
        <w:rPr>
          <w:rFonts w:hint="eastAsia" w:ascii="仿宋_GB2312" w:hAnsi="仿宋_GB2312" w:eastAsia="仿宋_GB2312" w:cs="仿宋_GB2312"/>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zh-CN" w:eastAsia="zh-CN" w:bidi="ar-SA"/>
        </w:rPr>
        <w:t>主要用于医疗卫生和计划生育独生子女父母补贴支出；节能环保（类）支出80万元，占1.25%</w:t>
      </w:r>
      <w:r>
        <w:rPr>
          <w:rFonts w:hint="eastAsia" w:ascii="仿宋_GB2312" w:hAnsi="仿宋_GB2312" w:eastAsia="仿宋_GB2312" w:cs="仿宋_GB2312"/>
          <w:color w:val="auto"/>
          <w:kern w:val="2"/>
          <w:sz w:val="32"/>
          <w:szCs w:val="32"/>
          <w:lang w:val="en-US" w:eastAsia="zh-CN" w:bidi="ar-SA"/>
        </w:rPr>
        <w:t>,主要用于大气污染防治洒水覆盖支出</w:t>
      </w:r>
      <w:r>
        <w:rPr>
          <w:rFonts w:hint="default" w:ascii="Times New Roman" w:hAnsi="Times New Roman" w:eastAsia="仿宋_GB2312" w:cs="Times New Roman"/>
          <w:color w:val="auto"/>
          <w:kern w:val="2"/>
          <w:sz w:val="32"/>
          <w:szCs w:val="32"/>
          <w:lang w:val="zh-CN" w:eastAsia="zh-CN" w:bidi="ar-SA"/>
        </w:rPr>
        <w:t>；城乡社区（类）支出1,675.46万元，占26.13%</w:t>
      </w:r>
      <w:r>
        <w:rPr>
          <w:rFonts w:hint="eastAsia" w:ascii="仿宋_GB2312" w:hAnsi="仿宋_GB2312" w:eastAsia="仿宋_GB2312" w:cs="仿宋_GB2312"/>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主要用于城乡社区建设、环境整治支出；农林水（类）支出96.77万元，占1.51%</w:t>
      </w:r>
      <w:r>
        <w:rPr>
          <w:rFonts w:hint="eastAsia" w:ascii="仿宋_GB2312" w:hAnsi="仿宋_GB2312" w:eastAsia="仿宋_GB2312" w:cs="仿宋_GB2312"/>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用于农村人居环境打造、农村公益事业支出；交通运输（类）支出0万元，占0%；资源勘探信息等（类）支出0万元，占0%；商业服务业等（类）支出0万元，占0%；金融（类）支出0万元，占0%；援助其他地区（类）支出0万元，占0%；自然资源海洋气象等（类）支出0万元，占0%；住房保障（类）支出168.39万元，占2.63%；粮油物资储备（类）支出0万元，占0%；国有资本经营预算支出0万元，占0%；害防治及应急管理（类）支出0万元，占0%；其他（类）支出0万元，占0%；债务</w:t>
      </w:r>
      <w:r>
        <w:rPr>
          <w:rFonts w:hint="default" w:ascii="Times New Roman" w:hAnsi="Times New Roman" w:eastAsia="仿宋_GB2312" w:cs="Times New Roman"/>
          <w:color w:val="auto"/>
          <w:kern w:val="2"/>
          <w:sz w:val="32"/>
          <w:szCs w:val="32"/>
          <w:lang w:val="en-US" w:eastAsia="zh-CN" w:bidi="ar-SA"/>
        </w:rPr>
        <w:t>还本</w:t>
      </w:r>
      <w:r>
        <w:rPr>
          <w:rFonts w:hint="default" w:ascii="Times New Roman" w:hAnsi="Times New Roman" w:eastAsia="仿宋_GB2312" w:cs="Times New Roman"/>
          <w:color w:val="auto"/>
          <w:kern w:val="2"/>
          <w:sz w:val="32"/>
          <w:szCs w:val="32"/>
          <w:lang w:val="zh-CN" w:eastAsia="zh-CN" w:bidi="ar-SA"/>
        </w:rPr>
        <w:t>（类）支出0万元，占0%；债务付息（类）支出0万元，占0%；抗疫特别国债安排的支出0万 元，占0%。</w:t>
      </w:r>
    </w:p>
    <w:p>
      <w:pPr>
        <w:pStyle w:val="10"/>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kern w:val="2"/>
          <w:sz w:val="32"/>
          <w:szCs w:val="32"/>
          <w:lang w:val="zh-CN"/>
        </w:rPr>
        <w:drawing>
          <wp:inline distT="0" distB="0" distL="114300" distR="114300">
            <wp:extent cx="5256530" cy="2988310"/>
            <wp:effectExtent l="0" t="0" r="1270" b="254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10"/>
        <w:widowControl/>
        <w:numPr>
          <w:ilvl w:val="0"/>
          <w:numId w:val="2"/>
        </w:numPr>
        <w:spacing w:beforeAutospacing="0" w:afterAutospacing="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一般公共预算基本支出决算情况说明</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2,490.87万元，其中：人员经费1,910.02万元，主要包括基本工资、津贴补贴、奖金、机关事业部门基本养老保险缴费、职工基本医疗保险缴费、公务员医疗补助缴费、住房公积金、其他社会保障缴费、其他工资福利支出</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 xml:space="preserve"> 退休费、生活补助</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其他对</w:t>
      </w:r>
      <w:r>
        <w:rPr>
          <w:rFonts w:hint="default" w:ascii="Times New Roman" w:hAnsi="Times New Roman" w:eastAsia="仿宋_GB2312" w:cs="Times New Roman"/>
          <w:i w:val="0"/>
          <w:iCs w:val="0"/>
          <w:caps w:val="0"/>
          <w:color w:val="333333"/>
          <w:spacing w:val="0"/>
          <w:sz w:val="33"/>
          <w:szCs w:val="33"/>
          <w:highlight w:val="none"/>
          <w:shd w:val="clear" w:fill="FFFFFF"/>
        </w:rPr>
        <w:t>个人和家庭</w:t>
      </w:r>
      <w:r>
        <w:rPr>
          <w:rFonts w:hint="default" w:ascii="Times New Roman" w:hAnsi="Times New Roman" w:eastAsia="仿宋_GB2312" w:cs="Times New Roman"/>
          <w:color w:val="auto"/>
          <w:kern w:val="2"/>
          <w:sz w:val="32"/>
          <w:szCs w:val="32"/>
          <w:lang w:val="zh-CN" w:eastAsia="zh-CN" w:bidi="ar-SA"/>
        </w:rPr>
        <w:t>的补助支出。</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ascii="Times New Roman" w:hAnsi="Times New Roman" w:eastAsia="仿宋_GB2312"/>
          <w:sz w:val="32"/>
          <w:szCs w:val="32"/>
          <w:highlight w:val="yellow"/>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公用经费580.84万元，主要包括办公费、水费、电费、邮电费、取暖费、培训费、劳务费、工会经费、福利费、公务用车运行维护费、其他交通费用、其他商品和服务支出</w:t>
      </w:r>
      <w:r>
        <w:rPr>
          <w:rFonts w:hint="eastAsia" w:ascii="Times New Roman" w:hAnsi="Times New Roman" w:eastAsia="仿宋_GB2312" w:cs="Times New Roman"/>
          <w:color w:val="auto"/>
          <w:kern w:val="2"/>
          <w:sz w:val="32"/>
          <w:szCs w:val="32"/>
          <w:lang w:val="zh-CN" w:eastAsia="zh-CN" w:bidi="ar-SA"/>
        </w:rPr>
        <w:t>。</w:t>
      </w:r>
    </w:p>
    <w:p>
      <w:pPr>
        <w:pStyle w:val="10"/>
        <w:widowControl/>
        <w:spacing w:beforeAutospacing="0" w:afterAutospacing="0"/>
        <w:jc w:val="both"/>
        <w:outlineLvl w:val="1"/>
        <w:rPr>
          <w:rFonts w:ascii="Times New Roman" w:hAnsi="Times New Roman" w:eastAsia="黑体"/>
          <w:kern w:val="2"/>
          <w:sz w:val="32"/>
          <w:szCs w:val="32"/>
        </w:rPr>
      </w:pPr>
      <w:r>
        <w:rPr>
          <w:rFonts w:ascii="Times New Roman" w:hAnsi="Times New Roman" w:eastAsia="黑体"/>
          <w:kern w:val="2"/>
          <w:sz w:val="32"/>
          <w:szCs w:val="32"/>
        </w:rPr>
        <w:t>五、财政拨款“三公” 经费支出决算情况说明</w:t>
      </w:r>
    </w:p>
    <w:p>
      <w:pPr>
        <w:pStyle w:val="10"/>
        <w:widowControl/>
        <w:spacing w:beforeAutospacing="0" w:afterAutospacing="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（一）“三公”经费财政拨款支出决算总体情况说明</w:t>
      </w:r>
    </w:p>
    <w:p>
      <w:pPr>
        <w:pStyle w:val="10"/>
        <w:widowControl/>
        <w:spacing w:beforeAutospacing="0" w:afterAutospacing="0"/>
        <w:rPr>
          <w:rFonts w:ascii="Times New Roman" w:hAnsi="Times New Roman" w:eastAsia="仿宋_GB2312"/>
          <w:kern w:val="2"/>
          <w:sz w:val="32"/>
          <w:szCs w:val="32"/>
          <w:highlight w:val="none"/>
        </w:rPr>
      </w:pPr>
      <w:r>
        <w:rPr>
          <w:rFonts w:ascii="Times New Roman" w:hAnsi="Times New Roman" w:eastAsia="仿宋_GB2312"/>
          <w:color w:val="333333"/>
          <w:sz w:val="33"/>
          <w:szCs w:val="33"/>
          <w:shd w:val="clear" w:color="auto" w:fill="FFFFFF"/>
        </w:rPr>
        <w:t xml:space="preserve">    </w:t>
      </w:r>
      <w:r>
        <w:rPr>
          <w:rFonts w:ascii="Times New Roman" w:hAnsi="Times New Roman" w:eastAsia="仿宋_GB2312"/>
          <w:kern w:val="2"/>
          <w:sz w:val="32"/>
          <w:szCs w:val="32"/>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年度“三公”经费财政拨款支出预算为9.1万元，支出决算为 8.07万元，完成预算的 88.64%，较预算</w:t>
      </w:r>
      <w:r>
        <w:rPr>
          <w:rFonts w:hint="eastAsia" w:ascii="Times New Roman" w:hAnsi="Times New Roman" w:eastAsia="仿宋_GB2312" w:cs="Times New Roman"/>
          <w:color w:val="auto"/>
          <w:kern w:val="2"/>
          <w:sz w:val="32"/>
          <w:szCs w:val="32"/>
          <w:lang w:val="zh-CN" w:eastAsia="zh-CN" w:bidi="ar-SA"/>
        </w:rPr>
        <w:t>减少1.03万元，减少11.36%，</w:t>
      </w:r>
      <w:r>
        <w:rPr>
          <w:rFonts w:hint="default" w:ascii="Times New Roman" w:hAnsi="Times New Roman" w:eastAsia="仿宋_GB2312" w:cs="Times New Roman"/>
          <w:color w:val="auto"/>
          <w:kern w:val="2"/>
          <w:sz w:val="32"/>
          <w:szCs w:val="32"/>
          <w:lang w:val="zh-CN" w:eastAsia="zh-CN" w:bidi="ar-SA"/>
        </w:rPr>
        <w:t>主要是</w:t>
      </w:r>
      <w:r>
        <w:rPr>
          <w:rFonts w:hint="default" w:ascii="Times New Roman" w:hAnsi="Times New Roman" w:eastAsia="仿宋_GB2312" w:cs="Times New Roman"/>
          <w:color w:val="auto"/>
          <w:kern w:val="2"/>
          <w:sz w:val="32"/>
          <w:szCs w:val="32"/>
          <w:highlight w:val="none"/>
          <w:lang w:val="zh-CN" w:eastAsia="zh-CN" w:bidi="ar-SA"/>
        </w:rPr>
        <w:t>一是本单位无公务出国（境）</w:t>
      </w:r>
      <w:r>
        <w:rPr>
          <w:rFonts w:hint="eastAsia" w:ascii="Times New Roman" w:hAnsi="Times New Roman" w:eastAsia="仿宋_GB2312" w:cs="Times New Roman"/>
          <w:color w:val="auto"/>
          <w:kern w:val="2"/>
          <w:sz w:val="32"/>
          <w:szCs w:val="32"/>
          <w:highlight w:val="none"/>
          <w:lang w:val="zh-CN" w:eastAsia="zh-CN" w:bidi="ar-SA"/>
        </w:rPr>
        <w:t>，</w:t>
      </w:r>
      <w:r>
        <w:rPr>
          <w:rFonts w:hint="default" w:ascii="Times New Roman" w:hAnsi="Times New Roman" w:eastAsia="仿宋_GB2312" w:cs="Times New Roman"/>
          <w:color w:val="auto"/>
          <w:kern w:val="2"/>
          <w:sz w:val="32"/>
          <w:szCs w:val="32"/>
          <w:highlight w:val="none"/>
          <w:lang w:val="zh-CN" w:eastAsia="zh-CN" w:bidi="ar-SA"/>
        </w:rPr>
        <w:t>未</w:t>
      </w:r>
      <w:r>
        <w:rPr>
          <w:rFonts w:hint="eastAsia" w:ascii="Times New Roman" w:hAnsi="Times New Roman" w:eastAsia="仿宋_GB2312" w:cs="Times New Roman"/>
          <w:color w:val="auto"/>
          <w:kern w:val="2"/>
          <w:sz w:val="32"/>
          <w:szCs w:val="32"/>
          <w:highlight w:val="none"/>
          <w:lang w:val="zh-CN" w:eastAsia="zh-CN" w:bidi="ar-SA"/>
        </w:rPr>
        <w:t>做</w:t>
      </w:r>
      <w:r>
        <w:rPr>
          <w:rFonts w:hint="default" w:ascii="Times New Roman" w:hAnsi="Times New Roman" w:eastAsia="仿宋_GB2312" w:cs="Times New Roman"/>
          <w:color w:val="auto"/>
          <w:kern w:val="2"/>
          <w:sz w:val="32"/>
          <w:szCs w:val="32"/>
          <w:highlight w:val="none"/>
          <w:lang w:val="zh-CN" w:eastAsia="zh-CN" w:bidi="ar-SA"/>
        </w:rPr>
        <w:t>支出预算；二是厉行节约，严控公务接待规模，本年我单位无公务接待费支出。；较2022年度决算</w:t>
      </w:r>
      <w:r>
        <w:rPr>
          <w:rFonts w:hint="eastAsia" w:ascii="Times New Roman" w:hAnsi="Times New Roman" w:eastAsia="仿宋_GB2312" w:cs="Times New Roman"/>
          <w:color w:val="auto"/>
          <w:kern w:val="2"/>
          <w:sz w:val="32"/>
          <w:szCs w:val="32"/>
          <w:highlight w:val="none"/>
          <w:lang w:val="zh-CN" w:eastAsia="zh-CN" w:bidi="ar-SA"/>
        </w:rPr>
        <w:t>减少0.03万元</w:t>
      </w:r>
      <w:r>
        <w:rPr>
          <w:rFonts w:hint="eastAsia" w:ascii="Times New Roman" w:hAnsi="Times New Roman" w:eastAsia="仿宋_GB2312" w:cs="仿宋_GB2312"/>
          <w:sz w:val="30"/>
          <w:szCs w:val="30"/>
          <w:highlight w:val="none"/>
        </w:rPr>
        <w:t>，</w:t>
      </w:r>
      <w:r>
        <w:rPr>
          <w:rFonts w:hint="eastAsia" w:ascii="Times New Roman" w:hAnsi="Times New Roman" w:eastAsia="仿宋_GB2312" w:cs="Times New Roman"/>
          <w:color w:val="auto"/>
          <w:kern w:val="2"/>
          <w:sz w:val="32"/>
          <w:szCs w:val="32"/>
          <w:highlight w:val="none"/>
          <w:lang w:val="zh-CN" w:eastAsia="zh-CN" w:bidi="ar-SA"/>
        </w:rPr>
        <w:t>减少0.36%，</w:t>
      </w:r>
      <w:r>
        <w:rPr>
          <w:rFonts w:hint="default" w:ascii="Times New Roman" w:hAnsi="Times New Roman" w:eastAsia="仿宋_GB2312" w:cs="Times New Roman"/>
          <w:color w:val="auto"/>
          <w:kern w:val="2"/>
          <w:sz w:val="32"/>
          <w:szCs w:val="32"/>
          <w:highlight w:val="none"/>
          <w:lang w:val="zh-CN" w:eastAsia="zh-CN" w:bidi="ar-SA"/>
        </w:rPr>
        <w:t>主要是</w:t>
      </w:r>
      <w:r>
        <w:rPr>
          <w:rFonts w:hint="eastAsia" w:ascii="Times New Roman" w:hAnsi="Times New Roman" w:eastAsia="仿宋_GB2312" w:cs="Times New Roman"/>
          <w:color w:val="auto"/>
          <w:kern w:val="2"/>
          <w:sz w:val="32"/>
          <w:szCs w:val="32"/>
          <w:highlight w:val="none"/>
          <w:lang w:val="zh-CN" w:eastAsia="zh-CN" w:bidi="ar-SA"/>
        </w:rPr>
        <w:t>公务用车费用略有减少</w:t>
      </w:r>
      <w:r>
        <w:rPr>
          <w:rFonts w:hint="default" w:ascii="Times New Roman" w:hAnsi="Times New Roman" w:eastAsia="仿宋_GB2312" w:cs="Times New Roman"/>
          <w:color w:val="auto"/>
          <w:kern w:val="2"/>
          <w:sz w:val="32"/>
          <w:szCs w:val="32"/>
          <w:highlight w:val="none"/>
          <w:lang w:val="zh-CN" w:eastAsia="zh-CN" w:bidi="ar-SA"/>
        </w:rPr>
        <w:t>。</w:t>
      </w:r>
    </w:p>
    <w:p>
      <w:pPr>
        <w:adjustRightInd w:val="0"/>
        <w:snapToGrid w:val="0"/>
        <w:spacing w:line="580" w:lineRule="exact"/>
        <w:rPr>
          <w:rFonts w:ascii="Times New Roman" w:hAnsi="Times New Roman" w:eastAsia="楷体_GB2312" w:cs="Times New Roman"/>
          <w:b/>
          <w:bCs/>
          <w:kern w:val="2"/>
          <w:sz w:val="32"/>
          <w:szCs w:val="32"/>
        </w:rPr>
      </w:pPr>
      <w:r>
        <w:rPr>
          <w:rFonts w:ascii="Times New Roman" w:hAnsi="Times New Roman" w:eastAsia="楷体_GB2312" w:cs="Times New Roman"/>
          <w:b/>
          <w:bCs/>
          <w:kern w:val="2"/>
          <w:sz w:val="32"/>
          <w:szCs w:val="32"/>
        </w:rPr>
        <w:t>（二）“三公”经费财政拨款支出决算具体情况说明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本单位</w:t>
      </w:r>
      <w:r>
        <w:rPr>
          <w:rFonts w:hint="default" w:ascii="Times New Roman" w:hAnsi="Times New Roman" w:eastAsia="仿宋_GB2312" w:cs="Times New Roman"/>
          <w:color w:val="auto"/>
          <w:kern w:val="2"/>
          <w:sz w:val="32"/>
          <w:szCs w:val="32"/>
          <w:lang w:val="en-US" w:eastAsia="zh-CN" w:bidi="ar-SA"/>
        </w:rPr>
        <w:t>2023年度因公出国（境）费支出预算为0万元,支出决算0万元。完成预算的0%。因公出国（境）费支出较预算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主要是本单位202</w:t>
      </w:r>
      <w:r>
        <w:rPr>
          <w:rFonts w:hint="eastAsia" w:ascii="Times New Roman" w:hAnsi="Times New Roman" w:eastAsia="仿宋_GB2312" w:cs="Times New Roman"/>
          <w:color w:val="auto"/>
          <w:kern w:val="2"/>
          <w:sz w:val="32"/>
          <w:szCs w:val="32"/>
          <w:highlight w:val="none"/>
          <w:lang w:val="en-US" w:eastAsia="zh-CN" w:bidi="ar-SA"/>
        </w:rPr>
        <w:t>3</w:t>
      </w:r>
      <w:r>
        <w:rPr>
          <w:rFonts w:hint="default" w:ascii="Times New Roman" w:hAnsi="Times New Roman" w:eastAsia="仿宋_GB2312" w:cs="Times New Roman"/>
          <w:color w:val="auto"/>
          <w:kern w:val="2"/>
          <w:sz w:val="32"/>
          <w:szCs w:val="32"/>
          <w:highlight w:val="none"/>
          <w:lang w:val="en-US" w:eastAsia="zh-CN" w:bidi="ar-SA"/>
        </w:rPr>
        <w:t>年度无因公出国（境）支出预算；较上年</w:t>
      </w:r>
      <w:r>
        <w:rPr>
          <w:rFonts w:hint="eastAsia" w:ascii="Times New Roman" w:hAnsi="Times New Roman" w:eastAsia="仿宋_GB2312" w:cs="Times New Roman"/>
          <w:color w:val="auto"/>
          <w:kern w:val="2"/>
          <w:sz w:val="32"/>
          <w:szCs w:val="32"/>
          <w:highlight w:val="none"/>
          <w:lang w:val="zh-CN" w:eastAsia="zh-CN" w:bidi="ar-SA"/>
        </w:rPr>
        <w:t>持平</w:t>
      </w:r>
      <w:r>
        <w:rPr>
          <w:rFonts w:hint="default" w:ascii="Times New Roman" w:hAnsi="Times New Roman" w:eastAsia="仿宋_GB2312" w:cs="Times New Roman"/>
          <w:color w:val="auto"/>
          <w:kern w:val="2"/>
          <w:sz w:val="32"/>
          <w:szCs w:val="32"/>
          <w:highlight w:val="none"/>
          <w:lang w:val="en-US" w:eastAsia="zh-CN" w:bidi="ar-SA"/>
        </w:rPr>
        <w:t>，主要是本单位202</w:t>
      </w:r>
      <w:r>
        <w:rPr>
          <w:rFonts w:hint="eastAsia" w:ascii="Times New Roman" w:hAnsi="Times New Roman" w:eastAsia="仿宋_GB2312" w:cs="Times New Roman"/>
          <w:color w:val="auto"/>
          <w:kern w:val="2"/>
          <w:sz w:val="32"/>
          <w:szCs w:val="32"/>
          <w:highlight w:val="none"/>
          <w:lang w:val="en-US" w:eastAsia="zh-CN" w:bidi="ar-SA"/>
        </w:rPr>
        <w:t>3</w:t>
      </w:r>
      <w:r>
        <w:rPr>
          <w:rFonts w:hint="default" w:ascii="Times New Roman" w:hAnsi="Times New Roman" w:eastAsia="仿宋_GB2312" w:cs="Times New Roman"/>
          <w:color w:val="auto"/>
          <w:kern w:val="2"/>
          <w:sz w:val="32"/>
          <w:szCs w:val="32"/>
          <w:highlight w:val="none"/>
          <w:lang w:val="en-US" w:eastAsia="zh-CN" w:bidi="ar-SA"/>
        </w:rPr>
        <w:t>年度无因公出国（境）支出预算。因公出国（境）团组0个、共0人、参加其他单位组织的因公出国（境）团组</w:t>
      </w:r>
      <w:r>
        <w:rPr>
          <w:rFonts w:hint="eastAsia" w:ascii="Times New Roman" w:hAnsi="Times New Roman" w:eastAsia="仿宋_GB2312" w:cs="Times New Roman"/>
          <w:color w:val="auto"/>
          <w:kern w:val="2"/>
          <w:sz w:val="32"/>
          <w:szCs w:val="32"/>
          <w:highlight w:val="none"/>
          <w:lang w:val="en-US" w:eastAsia="zh-CN" w:bidi="ar-SA"/>
        </w:rPr>
        <w:t>0</w:t>
      </w:r>
      <w:r>
        <w:rPr>
          <w:rFonts w:hint="default" w:ascii="Times New Roman" w:hAnsi="Times New Roman" w:eastAsia="仿宋_GB2312" w:cs="Times New Roman"/>
          <w:color w:val="auto"/>
          <w:kern w:val="2"/>
          <w:sz w:val="32"/>
          <w:szCs w:val="32"/>
          <w:highlight w:val="none"/>
          <w:lang w:val="en-US" w:eastAsia="zh-CN" w:bidi="ar-SA"/>
        </w:rPr>
        <w:t>个、共</w:t>
      </w:r>
      <w:r>
        <w:rPr>
          <w:rFonts w:hint="eastAsia" w:ascii="Times New Roman" w:hAnsi="Times New Roman" w:eastAsia="仿宋_GB2312" w:cs="Times New Roman"/>
          <w:color w:val="auto"/>
          <w:kern w:val="2"/>
          <w:sz w:val="32"/>
          <w:szCs w:val="32"/>
          <w:highlight w:val="none"/>
          <w:lang w:val="en-US" w:eastAsia="zh-CN" w:bidi="ar-SA"/>
        </w:rPr>
        <w:t>0</w:t>
      </w:r>
      <w:r>
        <w:rPr>
          <w:rFonts w:hint="default" w:ascii="Times New Roman" w:hAnsi="Times New Roman" w:eastAsia="仿宋_GB2312" w:cs="Times New Roman"/>
          <w:color w:val="auto"/>
          <w:kern w:val="2"/>
          <w:sz w:val="32"/>
          <w:szCs w:val="32"/>
          <w:highlight w:val="none"/>
          <w:lang w:val="en-US" w:eastAsia="zh-CN" w:bidi="ar-SA"/>
        </w:rPr>
        <w:t>人</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无本部门组织的出国（境）团组。</w:t>
      </w:r>
    </w:p>
    <w:p>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Arial" w:cs="Times New Roman"/>
          <w:highlight w:val="none"/>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年度公务用车购置及运行维护费预算为8.1万元，支出决算 8.07万元，完成预算的99.59%,较预算</w:t>
      </w:r>
      <w:r>
        <w:rPr>
          <w:rFonts w:hint="eastAsia" w:ascii="Times New Roman" w:hAnsi="Times New Roman" w:eastAsia="仿宋_GB2312" w:cs="Times New Roman"/>
          <w:color w:val="auto"/>
          <w:kern w:val="2"/>
          <w:sz w:val="32"/>
          <w:szCs w:val="32"/>
          <w:lang w:val="zh-CN" w:eastAsia="zh-CN" w:bidi="ar-SA"/>
        </w:rPr>
        <w:t>减少0.03万元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减少0.41%，</w:t>
      </w:r>
      <w:r>
        <w:rPr>
          <w:rFonts w:hint="default" w:ascii="Times New Roman" w:hAnsi="Times New Roman" w:eastAsia="仿宋_GB2312" w:cs="Times New Roman"/>
          <w:color w:val="auto"/>
          <w:kern w:val="2"/>
          <w:sz w:val="32"/>
          <w:szCs w:val="32"/>
          <w:lang w:val="zh-CN" w:eastAsia="zh-CN" w:bidi="ar-SA"/>
        </w:rPr>
        <w:t>主要是</w:t>
      </w:r>
      <w:r>
        <w:rPr>
          <w:rFonts w:hint="default" w:ascii="Times New Roman" w:hAnsi="Times New Roman" w:eastAsia="仿宋_GB2312" w:cs="Times New Roman"/>
          <w:color w:val="auto"/>
          <w:kern w:val="2"/>
          <w:sz w:val="32"/>
          <w:szCs w:val="32"/>
          <w:highlight w:val="none"/>
          <w:lang w:val="zh-CN" w:eastAsia="zh-CN" w:bidi="ar-SA"/>
        </w:rPr>
        <w:t>本单位202</w:t>
      </w:r>
      <w:r>
        <w:rPr>
          <w:rFonts w:hint="eastAsia" w:ascii="Times New Roman" w:hAnsi="Times New Roman" w:eastAsia="仿宋_GB2312" w:cs="Times New Roman"/>
          <w:color w:val="auto"/>
          <w:kern w:val="2"/>
          <w:sz w:val="32"/>
          <w:szCs w:val="32"/>
          <w:highlight w:val="none"/>
          <w:lang w:val="en-US" w:eastAsia="zh-CN" w:bidi="ar-SA"/>
        </w:rPr>
        <w:t>3</w:t>
      </w:r>
      <w:r>
        <w:rPr>
          <w:rFonts w:hint="default" w:ascii="Times New Roman" w:hAnsi="Times New Roman" w:eastAsia="仿宋_GB2312" w:cs="Times New Roman"/>
          <w:color w:val="auto"/>
          <w:kern w:val="2"/>
          <w:sz w:val="32"/>
          <w:szCs w:val="32"/>
          <w:highlight w:val="none"/>
          <w:lang w:val="zh-CN" w:eastAsia="zh-CN" w:bidi="ar-SA"/>
        </w:rPr>
        <w:t>厉行节约，公车维护略有减少。与上年比持平；较上年</w:t>
      </w:r>
      <w:r>
        <w:rPr>
          <w:rFonts w:hint="eastAsia" w:ascii="Times New Roman" w:hAnsi="Times New Roman" w:eastAsia="仿宋_GB2312" w:cs="Times New Roman"/>
          <w:color w:val="auto"/>
          <w:kern w:val="2"/>
          <w:sz w:val="32"/>
          <w:szCs w:val="32"/>
          <w:highlight w:val="none"/>
          <w:lang w:val="zh-CN" w:eastAsia="zh-CN" w:bidi="ar-SA"/>
        </w:rPr>
        <w:t>减少0.03万元</w:t>
      </w:r>
      <w:r>
        <w:rPr>
          <w:rFonts w:hint="default" w:ascii="Times New Roman" w:hAnsi="Times New Roman" w:eastAsia="仿宋_GB2312" w:cs="Times New Roman"/>
          <w:color w:val="auto"/>
          <w:kern w:val="2"/>
          <w:sz w:val="32"/>
          <w:szCs w:val="32"/>
          <w:highlight w:val="none"/>
          <w:lang w:val="zh-CN" w:eastAsia="zh-CN" w:bidi="ar-SA"/>
        </w:rPr>
        <w:t>，</w:t>
      </w:r>
      <w:r>
        <w:rPr>
          <w:rFonts w:hint="eastAsia" w:ascii="Times New Roman" w:hAnsi="Times New Roman" w:eastAsia="仿宋_GB2312" w:cs="Times New Roman"/>
          <w:color w:val="auto"/>
          <w:kern w:val="2"/>
          <w:sz w:val="32"/>
          <w:szCs w:val="32"/>
          <w:highlight w:val="none"/>
          <w:lang w:val="zh-CN" w:eastAsia="zh-CN" w:bidi="ar-SA"/>
        </w:rPr>
        <w:t>减少0.36%，</w:t>
      </w:r>
      <w:r>
        <w:rPr>
          <w:rFonts w:hint="default" w:ascii="Times New Roman" w:hAnsi="Times New Roman" w:eastAsia="仿宋_GB2312" w:cs="Times New Roman"/>
          <w:color w:val="auto"/>
          <w:kern w:val="2"/>
          <w:sz w:val="32"/>
          <w:szCs w:val="32"/>
          <w:highlight w:val="none"/>
          <w:lang w:val="zh-CN" w:eastAsia="zh-CN" w:bidi="ar-SA"/>
        </w:rPr>
        <w:t>主要是公车维护略有减少。其中：</w:t>
      </w:r>
    </w:p>
    <w:p>
      <w:pPr>
        <w:adjustRightInd w:val="0"/>
        <w:snapToGrid w:val="0"/>
        <w:spacing w:line="580" w:lineRule="exact"/>
        <w:ind w:firstLine="643"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年度公务用车购置量0辆，</w:t>
      </w:r>
      <w:r>
        <w:rPr>
          <w:rFonts w:hint="default" w:ascii="Times New Roman" w:hAnsi="Times New Roman" w:eastAsia="仿宋_GB2312" w:cs="Times New Roman"/>
          <w:color w:val="auto"/>
          <w:kern w:val="0"/>
          <w:sz w:val="32"/>
          <w:szCs w:val="32"/>
          <w:highlight w:val="none"/>
          <w:lang w:val="en-US" w:eastAsia="zh-CN" w:bidi="ar-SA"/>
        </w:rPr>
        <w:t>未发生</w:t>
      </w:r>
      <w:r>
        <w:rPr>
          <w:rFonts w:hint="eastAsia" w:ascii="Times New Roman" w:hAnsi="Times New Roman" w:eastAsia="仿宋_GB2312" w:cs="Times New Roman"/>
          <w:color w:val="auto"/>
          <w:kern w:val="0"/>
          <w:sz w:val="32"/>
          <w:szCs w:val="32"/>
          <w:highlight w:val="none"/>
          <w:lang w:val="en-US" w:eastAsia="zh-CN" w:bidi="ar-SA"/>
        </w:rPr>
        <w:t>“</w:t>
      </w:r>
      <w:r>
        <w:rPr>
          <w:rFonts w:hint="default" w:ascii="Times New Roman" w:hAnsi="Times New Roman" w:eastAsia="仿宋_GB2312" w:cs="Times New Roman"/>
          <w:color w:val="auto"/>
          <w:kern w:val="0"/>
          <w:sz w:val="32"/>
          <w:szCs w:val="32"/>
          <w:highlight w:val="none"/>
          <w:lang w:val="en-US" w:eastAsia="zh-CN" w:bidi="ar-SA"/>
        </w:rPr>
        <w:t>公务用车购置</w:t>
      </w:r>
      <w:r>
        <w:rPr>
          <w:rFonts w:hint="eastAsia" w:ascii="Times New Roman" w:hAnsi="Times New Roman" w:eastAsia="仿宋_GB2312" w:cs="Times New Roman"/>
          <w:color w:val="auto"/>
          <w:kern w:val="0"/>
          <w:sz w:val="32"/>
          <w:szCs w:val="32"/>
          <w:highlight w:val="none"/>
          <w:lang w:val="en-US" w:eastAsia="zh-CN" w:bidi="ar-SA"/>
        </w:rPr>
        <w:t>”</w:t>
      </w:r>
      <w:r>
        <w:rPr>
          <w:rFonts w:hint="default" w:ascii="Times New Roman" w:hAnsi="Times New Roman" w:eastAsia="仿宋_GB2312" w:cs="Times New Roman"/>
          <w:color w:val="auto"/>
          <w:kern w:val="0"/>
          <w:sz w:val="32"/>
          <w:szCs w:val="32"/>
          <w:highlight w:val="none"/>
          <w:lang w:val="en-US" w:eastAsia="zh-CN" w:bidi="ar-SA"/>
        </w:rPr>
        <w:t>经费支出</w:t>
      </w:r>
      <w:r>
        <w:rPr>
          <w:rFonts w:hint="eastAsia" w:ascii="Times New Roman" w:hAnsi="Times New Roman" w:eastAsia="仿宋_GB2312" w:cs="Times New Roman"/>
          <w:color w:val="auto"/>
          <w:kern w:val="0"/>
          <w:sz w:val="32"/>
          <w:szCs w:val="32"/>
          <w:highlight w:val="none"/>
          <w:lang w:val="en-US" w:eastAsia="zh-CN" w:bidi="ar-SA"/>
        </w:rPr>
        <w:t>，</w:t>
      </w:r>
      <w:r>
        <w:rPr>
          <w:rFonts w:hint="default" w:ascii="Times New Roman" w:hAnsi="Times New Roman" w:eastAsia="仿宋_GB2312" w:cs="Times New Roman"/>
          <w:color w:val="auto"/>
          <w:kern w:val="2"/>
          <w:sz w:val="32"/>
          <w:szCs w:val="32"/>
          <w:lang w:val="zh-CN" w:eastAsia="zh-CN" w:bidi="ar-SA"/>
        </w:rPr>
        <w:t>公务用车购置费支出</w:t>
      </w:r>
      <w:r>
        <w:rPr>
          <w:rFonts w:hint="eastAsia" w:ascii="Times New Roman" w:hAnsi="Times New Roman" w:eastAsia="仿宋_GB2312" w:cs="Times New Roman"/>
          <w:color w:val="auto"/>
          <w:kern w:val="2"/>
          <w:sz w:val="32"/>
          <w:szCs w:val="32"/>
          <w:lang w:val="zh-CN" w:eastAsia="zh-CN" w:bidi="ar-SA"/>
        </w:rPr>
        <w:t>与</w:t>
      </w:r>
      <w:r>
        <w:rPr>
          <w:rFonts w:hint="default" w:ascii="Times New Roman" w:hAnsi="Times New Roman" w:eastAsia="仿宋_GB2312" w:cs="Times New Roman"/>
          <w:color w:val="auto"/>
          <w:kern w:val="2"/>
          <w:sz w:val="32"/>
          <w:szCs w:val="32"/>
          <w:lang w:val="zh-CN" w:eastAsia="zh-CN" w:bidi="ar-SA"/>
        </w:rPr>
        <w:t>预算</w:t>
      </w:r>
      <w:r>
        <w:rPr>
          <w:rFonts w:hint="eastAsia" w:ascii="Times New Roman" w:hAnsi="Times New Roman" w:eastAsia="仿宋_GB2312" w:cs="Times New Roman"/>
          <w:color w:val="auto"/>
          <w:kern w:val="2"/>
          <w:sz w:val="32"/>
          <w:szCs w:val="32"/>
          <w:lang w:val="zh-CN" w:eastAsia="zh-CN" w:bidi="ar-SA"/>
        </w:rPr>
        <w:t>持平，与</w:t>
      </w:r>
      <w:r>
        <w:rPr>
          <w:rFonts w:hint="eastAsia" w:ascii="Times New Roman" w:hAnsi="Times New Roman" w:eastAsia="仿宋_GB2312" w:cs="Times New Roman"/>
          <w:color w:val="auto"/>
          <w:kern w:val="2"/>
          <w:sz w:val="32"/>
          <w:szCs w:val="32"/>
          <w:lang w:val="en-US" w:eastAsia="zh-CN" w:bidi="ar-SA"/>
        </w:rPr>
        <w:t>2022年度决算支出</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eastAsia"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8.07</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w:t>
      </w:r>
      <w:r>
        <w:rPr>
          <w:rFonts w:hint="eastAsia" w:ascii="Times New Roman" w:hAnsi="Times New Roman" w:eastAsia="仿宋_GB2312" w:cs="Times New Roman"/>
          <w:color w:val="auto"/>
          <w:kern w:val="2"/>
          <w:sz w:val="32"/>
          <w:szCs w:val="32"/>
          <w:lang w:val="en-US" w:eastAsia="zh-CN" w:bidi="ar-SA"/>
        </w:rPr>
        <w:t>3</w:t>
      </w:r>
      <w:bookmarkStart w:id="0" w:name="_GoBack"/>
      <w:bookmarkEnd w:id="0"/>
      <w:r>
        <w:rPr>
          <w:rFonts w:hint="default" w:ascii="Times New Roman" w:hAnsi="Times New Roman" w:eastAsia="仿宋_GB2312" w:cs="Times New Roman"/>
          <w:color w:val="auto"/>
          <w:kern w:val="2"/>
          <w:sz w:val="32"/>
          <w:szCs w:val="32"/>
          <w:lang w:val="zh-CN" w:eastAsia="zh-CN" w:bidi="ar-SA"/>
        </w:rPr>
        <w:t>辆，发生运行维护费支出8.07万元。公车运行维护费支出较预算</w:t>
      </w:r>
      <w:r>
        <w:rPr>
          <w:rFonts w:hint="eastAsia" w:ascii="Times New Roman" w:hAnsi="Times New Roman" w:eastAsia="仿宋_GB2312" w:cs="Times New Roman"/>
          <w:color w:val="auto"/>
          <w:kern w:val="2"/>
          <w:sz w:val="32"/>
          <w:szCs w:val="32"/>
          <w:lang w:val="zh-CN" w:eastAsia="zh-CN" w:bidi="ar-SA"/>
        </w:rPr>
        <w:t>减少0.03万元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减少0.41%，</w:t>
      </w:r>
      <w:r>
        <w:rPr>
          <w:rFonts w:hint="default" w:ascii="Times New Roman" w:hAnsi="Times New Roman" w:eastAsia="仿宋_GB2312" w:cs="Times New Roman"/>
          <w:color w:val="auto"/>
          <w:kern w:val="2"/>
          <w:sz w:val="32"/>
          <w:szCs w:val="32"/>
          <w:lang w:val="zh-CN" w:eastAsia="zh-CN" w:bidi="ar-SA"/>
        </w:rPr>
        <w:t>主要是本单位202</w:t>
      </w:r>
      <w:r>
        <w:rPr>
          <w:rFonts w:hint="eastAsia"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年度厉行节约，公车维护费略有减少；较上年</w:t>
      </w:r>
      <w:r>
        <w:rPr>
          <w:rFonts w:hint="eastAsia" w:ascii="Times New Roman" w:hAnsi="Times New Roman" w:eastAsia="仿宋_GB2312" w:cs="Times New Roman"/>
          <w:color w:val="auto"/>
          <w:kern w:val="2"/>
          <w:sz w:val="32"/>
          <w:szCs w:val="32"/>
          <w:lang w:val="zh-CN" w:eastAsia="zh-CN" w:bidi="ar-SA"/>
        </w:rPr>
        <w:t>减少0.03万元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减少0.36%，</w:t>
      </w:r>
      <w:r>
        <w:rPr>
          <w:rFonts w:hint="default" w:ascii="Times New Roman" w:hAnsi="Times New Roman" w:eastAsia="仿宋_GB2312" w:cs="Times New Roman"/>
          <w:color w:val="auto"/>
          <w:kern w:val="2"/>
          <w:sz w:val="32"/>
          <w:szCs w:val="32"/>
          <w:lang w:val="zh-CN" w:eastAsia="zh-CN" w:bidi="ar-SA"/>
        </w:rPr>
        <w:t>主要是公车维护费略有减少</w:t>
      </w:r>
      <w:r>
        <w:rPr>
          <w:rFonts w:hint="eastAsia" w:ascii="Times New Roman" w:hAnsi="Times New Roman" w:eastAsia="仿宋_GB2312" w:cs="Times New Roman"/>
          <w:color w:val="auto"/>
          <w:kern w:val="2"/>
          <w:sz w:val="32"/>
          <w:szCs w:val="32"/>
          <w:lang w:val="zh-CN" w:eastAsia="zh-CN" w:bidi="ar-SA"/>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年度公务接待费支出预算为1万元，支出决算0万元，完成预算的0%。公务接待费支出较预算</w:t>
      </w:r>
      <w:r>
        <w:rPr>
          <w:rFonts w:hint="eastAsia" w:ascii="Times New Roman" w:hAnsi="Times New Roman" w:eastAsia="仿宋_GB2312" w:cs="Times New Roman"/>
          <w:color w:val="auto"/>
          <w:kern w:val="2"/>
          <w:sz w:val="32"/>
          <w:szCs w:val="32"/>
          <w:lang w:val="zh-CN" w:eastAsia="zh-CN" w:bidi="ar-SA"/>
        </w:rPr>
        <w:t>减少1万元，减少100%，</w:t>
      </w:r>
      <w:r>
        <w:rPr>
          <w:rFonts w:hint="default" w:ascii="Times New Roman" w:hAnsi="Times New Roman" w:eastAsia="仿宋_GB2312" w:cs="Times New Roman"/>
          <w:color w:val="auto"/>
          <w:kern w:val="2"/>
          <w:sz w:val="32"/>
          <w:szCs w:val="32"/>
          <w:lang w:val="zh-CN" w:eastAsia="zh-CN" w:bidi="ar-SA"/>
        </w:rPr>
        <w:t>主要是</w:t>
      </w:r>
      <w:r>
        <w:rPr>
          <w:rFonts w:hint="default" w:ascii="Times New Roman" w:hAnsi="Times New Roman" w:eastAsia="仿宋_GB2312" w:cs="Times New Roman"/>
          <w:color w:val="auto"/>
          <w:kern w:val="2"/>
          <w:sz w:val="32"/>
          <w:szCs w:val="32"/>
          <w:highlight w:val="none"/>
          <w:lang w:val="zh-CN" w:eastAsia="zh-CN" w:bidi="ar-SA"/>
        </w:rPr>
        <w:t>。主要是厉行节约，严格规范公务接待行为和经费支出</w:t>
      </w:r>
      <w:r>
        <w:rPr>
          <w:rFonts w:hint="eastAsia" w:ascii="Times New Roman" w:hAnsi="Times New Roman" w:eastAsia="仿宋_GB2312" w:cs="Times New Roman"/>
          <w:color w:val="auto"/>
          <w:kern w:val="2"/>
          <w:sz w:val="32"/>
          <w:szCs w:val="32"/>
          <w:highlight w:val="none"/>
          <w:lang w:val="zh-CN" w:eastAsia="zh-CN" w:bidi="ar-SA"/>
        </w:rPr>
        <w:t>，本年未发生公务接待支出</w:t>
      </w:r>
      <w:r>
        <w:rPr>
          <w:rFonts w:hint="default" w:ascii="Times New Roman" w:hAnsi="Times New Roman" w:eastAsia="仿宋_GB2312" w:cs="Times New Roman"/>
          <w:color w:val="auto"/>
          <w:kern w:val="2"/>
          <w:sz w:val="32"/>
          <w:szCs w:val="32"/>
          <w:lang w:val="zh-CN" w:eastAsia="zh-CN" w:bidi="ar-SA"/>
        </w:rPr>
        <w:t>；较上年度</w:t>
      </w:r>
      <w:r>
        <w:rPr>
          <w:rFonts w:hint="eastAsia" w:ascii="Times New Roman" w:hAnsi="Times New Roman" w:eastAsia="仿宋_GB2312" w:cs="Times New Roman"/>
          <w:color w:val="auto"/>
          <w:kern w:val="2"/>
          <w:sz w:val="32"/>
          <w:szCs w:val="32"/>
          <w:lang w:val="zh-CN" w:eastAsia="zh-CN" w:bidi="ar-SA"/>
        </w:rPr>
        <w:t>增加</w:t>
      </w:r>
      <w:r>
        <w:rPr>
          <w:rFonts w:hint="eastAsia" w:ascii="Times New Roman" w:hAnsi="Times New Roman" w:eastAsia="仿宋_GB2312" w:cs="Times New Roman"/>
          <w:color w:val="auto"/>
          <w:kern w:val="2"/>
          <w:sz w:val="32"/>
          <w:szCs w:val="32"/>
          <w:lang w:val="en-US" w:eastAsia="zh-CN" w:bidi="ar-SA"/>
        </w:rPr>
        <w:t>0</w:t>
      </w:r>
      <w:r>
        <w:rPr>
          <w:rFonts w:hint="eastAsia" w:ascii="Times New Roman" w:hAnsi="Times New Roman" w:eastAsia="仿宋_GB2312" w:cs="Times New Roman"/>
          <w:color w:val="auto"/>
          <w:kern w:val="2"/>
          <w:sz w:val="32"/>
          <w:szCs w:val="32"/>
          <w:lang w:val="zh-CN" w:eastAsia="zh-CN" w:bidi="ar-SA"/>
        </w:rPr>
        <w:t>万元，增加0%，</w:t>
      </w:r>
      <w:r>
        <w:rPr>
          <w:rFonts w:hint="default" w:ascii="Times New Roman" w:hAnsi="Times New Roman" w:eastAsia="仿宋_GB2312" w:cs="Times New Roman"/>
          <w:color w:val="auto"/>
          <w:kern w:val="2"/>
          <w:sz w:val="32"/>
          <w:szCs w:val="32"/>
          <w:lang w:val="zh-CN" w:eastAsia="zh-CN" w:bidi="ar-SA"/>
        </w:rPr>
        <w:t>主要是</w:t>
      </w:r>
      <w:r>
        <w:rPr>
          <w:rFonts w:hint="default" w:ascii="Times New Roman" w:hAnsi="Times New Roman" w:eastAsia="仿宋_GB2312" w:cs="Times New Roman"/>
          <w:color w:val="auto"/>
          <w:kern w:val="2"/>
          <w:sz w:val="32"/>
          <w:szCs w:val="32"/>
          <w:highlight w:val="none"/>
          <w:lang w:val="zh-CN" w:eastAsia="zh-CN" w:bidi="ar-SA"/>
        </w:rPr>
        <w:t>202</w:t>
      </w:r>
      <w:r>
        <w:rPr>
          <w:rFonts w:hint="eastAsia" w:ascii="Times New Roman" w:hAnsi="Times New Roman" w:eastAsia="仿宋_GB2312" w:cs="Times New Roman"/>
          <w:color w:val="auto"/>
          <w:kern w:val="2"/>
          <w:sz w:val="32"/>
          <w:szCs w:val="32"/>
          <w:highlight w:val="none"/>
          <w:lang w:val="en-US" w:eastAsia="zh-CN" w:bidi="ar-SA"/>
        </w:rPr>
        <w:t>3</w:t>
      </w:r>
      <w:r>
        <w:rPr>
          <w:rFonts w:hint="default" w:ascii="Times New Roman" w:hAnsi="Times New Roman" w:eastAsia="仿宋_GB2312" w:cs="Times New Roman"/>
          <w:color w:val="auto"/>
          <w:kern w:val="2"/>
          <w:sz w:val="32"/>
          <w:szCs w:val="32"/>
          <w:highlight w:val="none"/>
          <w:lang w:val="zh-CN" w:eastAsia="zh-CN" w:bidi="ar-SA"/>
        </w:rPr>
        <w:t>年度我单位无公务接待支出</w:t>
      </w:r>
      <w:r>
        <w:rPr>
          <w:rFonts w:hint="eastAsia" w:ascii="Times New Roman" w:hAnsi="Times New Roman" w:eastAsia="仿宋_GB2312" w:cs="Times New Roman"/>
          <w:color w:val="auto"/>
          <w:kern w:val="2"/>
          <w:sz w:val="32"/>
          <w:szCs w:val="32"/>
          <w:highlight w:val="none"/>
          <w:lang w:val="zh-CN" w:eastAsia="zh-CN" w:bidi="ar-SA"/>
        </w:rPr>
        <w:t>，</w:t>
      </w:r>
      <w:r>
        <w:rPr>
          <w:rFonts w:hint="default" w:ascii="Times New Roman" w:hAnsi="Times New Roman" w:eastAsia="仿宋_GB2312" w:cs="Times New Roman"/>
          <w:color w:val="auto"/>
          <w:kern w:val="2"/>
          <w:sz w:val="32"/>
          <w:szCs w:val="32"/>
          <w:highlight w:val="none"/>
          <w:lang w:val="zh-CN" w:eastAsia="zh-CN" w:bidi="ar-SA"/>
        </w:rPr>
        <w:t>与上年相同。本年</w:t>
      </w:r>
      <w:r>
        <w:rPr>
          <w:rFonts w:hint="default" w:ascii="Times New Roman" w:hAnsi="Times New Roman" w:eastAsia="仿宋_GB2312" w:cs="Times New Roman"/>
          <w:color w:val="auto"/>
          <w:kern w:val="2"/>
          <w:sz w:val="32"/>
          <w:szCs w:val="32"/>
          <w:lang w:val="zh-CN" w:eastAsia="zh-CN" w:bidi="ar-SA"/>
        </w:rPr>
        <w:t>度共发生公务接待</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批次、</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人次。</w:t>
      </w:r>
    </w:p>
    <w:p>
      <w:pPr>
        <w:pStyle w:val="10"/>
        <w:widowControl/>
        <w:spacing w:beforeAutospacing="0" w:afterAutospacing="0"/>
        <w:ind w:firstLine="660" w:firstLineChars="200"/>
        <w:jc w:val="both"/>
        <w:outlineLvl w:val="1"/>
        <w:rPr>
          <w:rFonts w:ascii="Times New Roman" w:hAnsi="Times New Roman" w:eastAsia="仿宋_GB2312"/>
          <w:sz w:val="32"/>
          <w:szCs w:val="32"/>
          <w:highlight w:val="yellow"/>
        </w:rPr>
      </w:pPr>
      <w:r>
        <w:rPr>
          <w:rFonts w:ascii="Times New Roman" w:hAnsi="Times New Roman" w:eastAsia="黑体"/>
          <w:color w:val="333333"/>
          <w:sz w:val="33"/>
          <w:szCs w:val="33"/>
          <w:shd w:val="clear" w:color="auto" w:fill="FFFFFF"/>
        </w:rPr>
        <w:t>六、</w:t>
      </w:r>
      <w:r>
        <w:rPr>
          <w:rFonts w:ascii="Times New Roman" w:hAnsi="Times New Roman" w:eastAsia="黑体"/>
          <w:sz w:val="32"/>
          <w:szCs w:val="32"/>
        </w:rPr>
        <w:t>机关运行经费支出说明</w:t>
      </w:r>
    </w:p>
    <w:p>
      <w:pPr>
        <w:pStyle w:val="10"/>
        <w:widowControl/>
        <w:spacing w:beforeAutospacing="0" w:afterAutospacing="0"/>
        <w:rPr>
          <w:rFonts w:ascii="Times New Roman" w:hAnsi="Times New Roman" w:eastAsia="仿宋_GB2312"/>
          <w:sz w:val="32"/>
          <w:szCs w:val="32"/>
          <w:highlight w:val="none"/>
        </w:rPr>
      </w:pPr>
      <w:r>
        <w:rPr>
          <w:rFonts w:ascii="Times New Roman" w:hAnsi="Times New Roman" w:eastAsia="仿宋_GB2312"/>
          <w:color w:val="333333"/>
          <w:sz w:val="33"/>
          <w:szCs w:val="33"/>
          <w:shd w:val="clear" w:color="auto" w:fill="FFFFFF"/>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年度机关运行经费支出580.84万元，较2022年度</w:t>
      </w:r>
      <w:r>
        <w:rPr>
          <w:rFonts w:hint="eastAsia" w:ascii="Times New Roman" w:hAnsi="Times New Roman" w:eastAsia="仿宋_GB2312" w:cs="Times New Roman"/>
          <w:color w:val="auto"/>
          <w:kern w:val="2"/>
          <w:sz w:val="32"/>
          <w:szCs w:val="32"/>
          <w:lang w:val="zh-CN" w:eastAsia="zh-CN" w:bidi="ar-SA"/>
        </w:rPr>
        <w:t>减少353.95万元，减少37.86%，</w:t>
      </w:r>
      <w:r>
        <w:rPr>
          <w:rFonts w:hint="default" w:ascii="Times New Roman" w:hAnsi="Times New Roman" w:eastAsia="仿宋_GB2312" w:cs="Times New Roman"/>
          <w:color w:val="auto"/>
          <w:kern w:val="2"/>
          <w:sz w:val="32"/>
          <w:szCs w:val="32"/>
          <w:lang w:val="zh-CN" w:eastAsia="zh-CN" w:bidi="ar-SA"/>
        </w:rPr>
        <w:t>主要原因是</w:t>
      </w:r>
      <w:r>
        <w:rPr>
          <w:rFonts w:hint="default" w:ascii="Times New Roman" w:hAnsi="Times New Roman" w:eastAsia="仿宋_GB2312" w:cs="Times New Roman"/>
          <w:color w:val="auto"/>
          <w:kern w:val="2"/>
          <w:sz w:val="32"/>
          <w:szCs w:val="32"/>
          <w:highlight w:val="none"/>
          <w:lang w:val="zh-CN" w:eastAsia="zh-CN" w:bidi="ar-SA"/>
        </w:rPr>
        <w:t>临聘人员劳务费本年在公用经费商品和服务支出中填报。</w:t>
      </w:r>
    </w:p>
    <w:p>
      <w:pPr>
        <w:adjustRightInd w:val="0"/>
        <w:snapToGrid w:val="0"/>
        <w:spacing w:line="580" w:lineRule="exact"/>
        <w:ind w:firstLine="660" w:firstLineChars="200"/>
        <w:rPr>
          <w:rFonts w:ascii="Times New Roman" w:hAnsi="Times New Roman" w:eastAsia="仿宋_GB2312" w:cs="Times New Roman"/>
          <w:sz w:val="32"/>
          <w:szCs w:val="32"/>
          <w:highlight w:val="yellow"/>
        </w:rPr>
      </w:pPr>
      <w:r>
        <w:rPr>
          <w:rFonts w:ascii="Times New Roman" w:hAnsi="Times New Roman" w:eastAsia="黑体" w:cs="Times New Roman"/>
          <w:color w:val="333333"/>
          <w:sz w:val="33"/>
          <w:szCs w:val="33"/>
          <w:shd w:val="clear" w:color="auto" w:fill="FFFFFF"/>
        </w:rPr>
        <w:t>七、</w:t>
      </w:r>
      <w:r>
        <w:rPr>
          <w:rFonts w:ascii="Times New Roman" w:hAnsi="Times New Roman" w:eastAsia="黑体" w:cs="Times New Roman"/>
          <w:sz w:val="32"/>
          <w:szCs w:val="32"/>
        </w:rPr>
        <w:t>政府采购支出说明</w:t>
      </w:r>
    </w:p>
    <w:p>
      <w:pPr>
        <w:pStyle w:val="10"/>
        <w:widowControl/>
        <w:spacing w:beforeAutospacing="0" w:afterAutospacing="0"/>
        <w:rPr>
          <w:rFonts w:ascii="Times New Roman" w:hAnsi="Times New Roman" w:eastAsia="仿宋_GB2312"/>
          <w:sz w:val="32"/>
          <w:szCs w:val="32"/>
          <w:highlight w:val="yellow"/>
        </w:rPr>
      </w:pPr>
      <w:r>
        <w:rPr>
          <w:rFonts w:ascii="Times New Roman" w:hAnsi="Times New Roman" w:eastAsia="Arial"/>
          <w:color w:val="333333"/>
          <w:sz w:val="19"/>
          <w:szCs w:val="19"/>
          <w:shd w:val="clear" w:color="auto" w:fill="FFFFFF"/>
        </w:rPr>
        <w:t> </w:t>
      </w:r>
      <w:r>
        <w:rPr>
          <w:rFonts w:ascii="Times New Roman" w:hAnsi="Times New Roman" w:eastAsia="仿宋_GB2312"/>
          <w:color w:val="333333"/>
          <w:sz w:val="33"/>
          <w:szCs w:val="33"/>
          <w:shd w:val="clear" w:color="auto" w:fill="FFFFFF"/>
        </w:rPr>
        <w:t xml:space="preserve">     </w:t>
      </w:r>
      <w:r>
        <w:rPr>
          <w:rFonts w:ascii="Times New Roman" w:hAnsi="Times New Roman" w:eastAsia="仿宋_GB2312"/>
          <w:kern w:val="2"/>
          <w:sz w:val="32"/>
          <w:szCs w:val="32"/>
        </w:rPr>
        <w:t>本单位2023</w:t>
      </w:r>
      <w:r>
        <w:rPr>
          <w:rFonts w:ascii="Times New Roman" w:hAnsi="Times New Roman" w:eastAsia="仿宋_GB2312"/>
          <w:kern w:val="2"/>
          <w:sz w:val="32"/>
          <w:szCs w:val="32"/>
          <w:lang w:val="zh-CN"/>
        </w:rPr>
        <w:t>年度政府采购支出总额</w:t>
      </w:r>
      <w:r>
        <w:rPr>
          <w:rFonts w:ascii="Times New Roman" w:hAnsi="Times New Roman" w:eastAsia="仿宋_GB2312"/>
          <w:kern w:val="2"/>
          <w:sz w:val="32"/>
          <w:szCs w:val="32"/>
        </w:rPr>
        <w:t>33.31</w:t>
      </w:r>
      <w:r>
        <w:rPr>
          <w:rFonts w:ascii="Times New Roman" w:hAnsi="Times New Roman" w:eastAsia="仿宋_GB2312"/>
          <w:kern w:val="2"/>
          <w:sz w:val="32"/>
          <w:szCs w:val="32"/>
          <w:lang w:val="zh-CN"/>
        </w:rPr>
        <w:t>万元</w:t>
      </w:r>
      <w:r>
        <w:rPr>
          <w:rFonts w:ascii="Times New Roman" w:hAnsi="Times New Roman" w:eastAsia="仿宋_GB2312"/>
          <w:kern w:val="2"/>
          <w:sz w:val="32"/>
          <w:szCs w:val="32"/>
        </w:rPr>
        <w:t>，</w:t>
      </w:r>
      <w:r>
        <w:rPr>
          <w:rFonts w:ascii="Times New Roman" w:hAnsi="Times New Roman" w:eastAsia="仿宋_GB2312"/>
          <w:kern w:val="2"/>
          <w:sz w:val="32"/>
          <w:szCs w:val="32"/>
          <w:lang w:val="zh-CN"/>
        </w:rPr>
        <w:t>从采购类型来看</w:t>
      </w:r>
      <w:r>
        <w:rPr>
          <w:rFonts w:ascii="Times New Roman" w:hAnsi="Times New Roman" w:eastAsia="仿宋_GB2312"/>
          <w:kern w:val="2"/>
          <w:sz w:val="32"/>
          <w:szCs w:val="32"/>
        </w:rPr>
        <w:t>，</w:t>
      </w:r>
      <w:r>
        <w:rPr>
          <w:rFonts w:ascii="Times New Roman" w:hAnsi="Times New Roman" w:eastAsia="仿宋_GB2312"/>
          <w:kern w:val="2"/>
          <w:sz w:val="32"/>
          <w:szCs w:val="32"/>
          <w:lang w:val="zh-CN"/>
        </w:rPr>
        <w:t>政府采购货物支出</w:t>
      </w:r>
      <w:r>
        <w:rPr>
          <w:rFonts w:ascii="Times New Roman" w:hAnsi="Times New Roman" w:eastAsia="仿宋_GB2312"/>
          <w:kern w:val="2"/>
          <w:sz w:val="32"/>
          <w:szCs w:val="32"/>
        </w:rPr>
        <w:t>21.01</w:t>
      </w:r>
      <w:r>
        <w:rPr>
          <w:rFonts w:ascii="Times New Roman" w:hAnsi="Times New Roman" w:eastAsia="仿宋_GB2312"/>
          <w:kern w:val="2"/>
          <w:sz w:val="32"/>
          <w:szCs w:val="32"/>
          <w:lang w:val="zh-CN"/>
        </w:rPr>
        <w:t>万元、政府采购工程支出</w:t>
      </w:r>
      <w:r>
        <w:rPr>
          <w:rFonts w:ascii="Times New Roman" w:hAnsi="Times New Roman" w:eastAsia="仿宋_GB2312"/>
          <w:kern w:val="2"/>
          <w:sz w:val="32"/>
          <w:szCs w:val="32"/>
        </w:rPr>
        <w:t>0</w:t>
      </w:r>
      <w:r>
        <w:rPr>
          <w:rFonts w:ascii="Times New Roman" w:hAnsi="Times New Roman" w:eastAsia="仿宋_GB2312"/>
          <w:kern w:val="2"/>
          <w:sz w:val="32"/>
          <w:szCs w:val="32"/>
          <w:lang w:val="zh-CN"/>
        </w:rPr>
        <w:t>万元、政府采购服务支出</w:t>
      </w:r>
      <w:r>
        <w:rPr>
          <w:rFonts w:ascii="Times New Roman" w:hAnsi="Times New Roman" w:eastAsia="仿宋_GB2312"/>
          <w:kern w:val="2"/>
          <w:sz w:val="32"/>
          <w:szCs w:val="32"/>
        </w:rPr>
        <w:t>12.3</w:t>
      </w:r>
      <w:r>
        <w:rPr>
          <w:rFonts w:ascii="Times New Roman" w:hAnsi="Times New Roman" w:eastAsia="仿宋_GB2312"/>
          <w:kern w:val="2"/>
          <w:sz w:val="32"/>
          <w:szCs w:val="32"/>
          <w:lang w:val="zh-CN"/>
        </w:rPr>
        <w:t>万元。授予中小企业</w:t>
      </w:r>
      <w:r>
        <w:rPr>
          <w:rFonts w:ascii="Times New Roman" w:hAnsi="Times New Roman" w:eastAsia="仿宋_GB2312"/>
          <w:kern w:val="2"/>
          <w:sz w:val="32"/>
          <w:szCs w:val="32"/>
        </w:rPr>
        <w:t>合同金额</w:t>
      </w:r>
      <w:r>
        <w:rPr>
          <w:rFonts w:ascii="Times New Roman" w:hAnsi="Times New Roman" w:eastAsia="仿宋_GB2312"/>
          <w:kern w:val="2"/>
          <w:sz w:val="32"/>
          <w:szCs w:val="32"/>
          <w:lang w:val="zh-CN"/>
        </w:rPr>
        <w:t>33.31万元，占政府采购支出总额的100%，其中授予小微企业合同金额32.11万元，占政府采购支出总额的96.4%。</w:t>
      </w:r>
    </w:p>
    <w:p>
      <w:pPr>
        <w:snapToGrid w:val="0"/>
        <w:spacing w:line="580" w:lineRule="exact"/>
        <w:ind w:firstLine="660" w:firstLineChars="200"/>
        <w:jc w:val="left"/>
        <w:rPr>
          <w:rFonts w:ascii="Times New Roman" w:hAnsi="Times New Roman" w:eastAsia="仿宋_GB2312" w:cs="Times New Roman"/>
          <w:sz w:val="32"/>
          <w:szCs w:val="32"/>
          <w:highlight w:val="yellow"/>
        </w:rPr>
      </w:pPr>
      <w:r>
        <w:rPr>
          <w:rFonts w:ascii="Times New Roman" w:hAnsi="Times New Roman" w:eastAsia="黑体" w:cs="Times New Roman"/>
          <w:color w:val="333333"/>
          <w:sz w:val="33"/>
          <w:szCs w:val="33"/>
          <w:shd w:val="clear" w:color="auto" w:fill="FFFFFF"/>
        </w:rPr>
        <w:t>八、</w:t>
      </w:r>
      <w:r>
        <w:rPr>
          <w:rFonts w:ascii="Times New Roman" w:hAnsi="Times New Roman" w:eastAsia="黑体" w:cs="Times New Roman"/>
          <w:sz w:val="32"/>
          <w:szCs w:val="32"/>
        </w:rPr>
        <w:t>国有资产占用情况说明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ascii="Times New Roman" w:hAnsi="Times New Roman" w:eastAsia="仿宋_GB2312"/>
          <w:kern w:val="2"/>
          <w:sz w:val="32"/>
          <w:szCs w:val="32"/>
          <w:lang w:val="zh-CN"/>
        </w:rPr>
      </w:pPr>
      <w:r>
        <w:rPr>
          <w:rFonts w:ascii="Times New Roman" w:hAnsi="Times New Roman" w:eastAsia="仿宋_GB2312"/>
          <w:color w:val="333333"/>
          <w:sz w:val="33"/>
          <w:szCs w:val="33"/>
          <w:shd w:val="clear" w:color="auto" w:fill="FFFFFF"/>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年12月31日，4共有车辆本单位辆，比上年</w:t>
      </w:r>
      <w:r>
        <w:rPr>
          <w:rFonts w:hint="eastAsia" w:ascii="Times New Roman" w:hAnsi="Times New Roman" w:eastAsia="仿宋_GB2312" w:cs="Times New Roman"/>
          <w:color w:val="auto"/>
          <w:kern w:val="2"/>
          <w:sz w:val="32"/>
          <w:szCs w:val="32"/>
          <w:lang w:val="zh-CN" w:eastAsia="zh-CN" w:bidi="ar-SA"/>
        </w:rPr>
        <w:t>增加1</w:t>
      </w:r>
      <w:r>
        <w:rPr>
          <w:rFonts w:hint="default" w:ascii="Times New Roman" w:hAnsi="Times New Roman" w:eastAsia="仿宋_GB2312" w:cs="Times New Roman"/>
          <w:color w:val="auto"/>
          <w:kern w:val="2"/>
          <w:sz w:val="32"/>
          <w:szCs w:val="32"/>
          <w:lang w:val="zh-CN" w:eastAsia="zh-CN" w:bidi="ar-SA"/>
        </w:rPr>
        <w:t>辆</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增加了</w:t>
      </w:r>
      <w:r>
        <w:rPr>
          <w:rFonts w:hint="eastAsia" w:ascii="Times New Roman" w:hAnsi="Times New Roman" w:eastAsia="仿宋_GB2312" w:cs="Times New Roman"/>
          <w:color w:val="auto"/>
          <w:kern w:val="2"/>
          <w:sz w:val="32"/>
          <w:szCs w:val="32"/>
          <w:lang w:val="en-US" w:eastAsia="zh-CN" w:bidi="ar-SA"/>
        </w:rPr>
        <w:t>1辆捐赠的洒水扫地车</w:t>
      </w:r>
      <w:r>
        <w:rPr>
          <w:rFonts w:hint="default" w:ascii="Times New Roman" w:hAnsi="Times New Roman" w:eastAsia="仿宋_GB2312" w:cs="Times New Roman"/>
          <w:color w:val="auto"/>
          <w:kern w:val="2"/>
          <w:sz w:val="32"/>
          <w:szCs w:val="32"/>
          <w:lang w:val="zh-CN" w:eastAsia="zh-CN" w:bidi="ar-SA"/>
        </w:rPr>
        <w:t>。其中，副部（省）级及以上领导用车0辆，主要</w:t>
      </w:r>
      <w:r>
        <w:rPr>
          <w:rFonts w:hint="default" w:ascii="Times New Roman" w:hAnsi="Times New Roman" w:eastAsia="仿宋_GB2312" w:cs="Times New Roman"/>
          <w:color w:val="auto"/>
          <w:kern w:val="2"/>
          <w:sz w:val="32"/>
          <w:szCs w:val="32"/>
          <w:lang w:val="en-US" w:eastAsia="zh-CN" w:bidi="ar-SA"/>
        </w:rPr>
        <w:t>负责人</w:t>
      </w:r>
      <w:r>
        <w:rPr>
          <w:rFonts w:hint="default" w:ascii="Times New Roman" w:hAnsi="Times New Roman" w:eastAsia="仿宋_GB2312" w:cs="Times New Roman"/>
          <w:color w:val="auto"/>
          <w:kern w:val="2"/>
          <w:sz w:val="32"/>
          <w:szCs w:val="32"/>
          <w:lang w:val="zh-CN" w:eastAsia="zh-CN" w:bidi="ar-SA"/>
        </w:rPr>
        <w:t>用车0辆，机要通信用车1辆，应急保障用车0辆，执法执勤用车0辆，特种专业技术用车1辆，离退休干部用车1辆，其他用车1辆，其他用车 主要是</w:t>
      </w:r>
      <w:r>
        <w:rPr>
          <w:rFonts w:hint="eastAsia" w:ascii="Times New Roman" w:hAnsi="Times New Roman" w:eastAsia="仿宋_GB2312" w:cs="Times New Roman"/>
          <w:color w:val="auto"/>
          <w:kern w:val="2"/>
          <w:sz w:val="32"/>
          <w:szCs w:val="32"/>
          <w:lang w:val="zh-CN" w:eastAsia="zh-CN" w:bidi="ar-SA"/>
        </w:rPr>
        <w:t>日常公共用车</w:t>
      </w:r>
      <w:r>
        <w:rPr>
          <w:rFonts w:hint="default" w:ascii="Times New Roman" w:hAnsi="Times New Roman" w:eastAsia="仿宋_GB2312" w:cs="Times New Roman"/>
          <w:color w:val="auto"/>
          <w:kern w:val="2"/>
          <w:sz w:val="32"/>
          <w:szCs w:val="32"/>
          <w:lang w:val="zh-CN" w:eastAsia="zh-CN" w:bidi="ar-SA"/>
        </w:rPr>
        <w:t>。单位价值100万元（含）以上设备（不含车辆）0台（套）。</w:t>
      </w:r>
    </w:p>
    <w:p>
      <w:pPr>
        <w:pStyle w:val="10"/>
        <w:widowControl/>
        <w:spacing w:beforeAutospacing="0" w:afterAutospacing="0"/>
        <w:ind w:firstLine="640" w:firstLineChars="200"/>
        <w:jc w:val="both"/>
        <w:outlineLvl w:val="1"/>
        <w:rPr>
          <w:rFonts w:ascii="Times New Roman" w:hAnsi="Times New Roman" w:eastAsia="黑体"/>
          <w:kern w:val="2"/>
          <w:sz w:val="32"/>
          <w:szCs w:val="40"/>
          <w:highlight w:val="none"/>
        </w:rPr>
      </w:pPr>
      <w:r>
        <w:rPr>
          <w:rFonts w:ascii="Times New Roman" w:hAnsi="Times New Roman" w:eastAsia="黑体"/>
          <w:kern w:val="2"/>
          <w:sz w:val="32"/>
          <w:szCs w:val="40"/>
          <w:highlight w:val="none"/>
        </w:rPr>
        <w:t>九、预算绩效情况说明</w:t>
      </w:r>
    </w:p>
    <w:p>
      <w:pPr>
        <w:adjustRightInd w:val="0"/>
        <w:snapToGrid w:val="0"/>
        <w:spacing w:line="58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（一）预算绩效管理工作开展情况</w:t>
      </w:r>
    </w:p>
    <w:p>
      <w:pPr>
        <w:pStyle w:val="10"/>
        <w:widowControl/>
        <w:spacing w:beforeAutospacing="0" w:afterAutospacing="0"/>
        <w:ind w:firstLine="640" w:firstLineChars="200"/>
        <w:rPr>
          <w:rFonts w:ascii="Times New Roman" w:hAnsi="Times New Roman" w:eastAsia="仿宋_GB2312"/>
          <w:kern w:val="2"/>
          <w:sz w:val="32"/>
          <w:szCs w:val="32"/>
          <w:lang w:val="zh-CN"/>
        </w:rPr>
      </w:pPr>
      <w:r>
        <w:rPr>
          <w:rFonts w:ascii="Times New Roman" w:hAnsi="Times New Roman" w:eastAsia="仿宋_GB2312"/>
          <w:kern w:val="2"/>
          <w:sz w:val="32"/>
          <w:szCs w:val="32"/>
          <w:lang w:val="zh-CN"/>
        </w:rPr>
        <w:t>根据预算绩效管理要求</w:t>
      </w:r>
      <w:r>
        <w:rPr>
          <w:rFonts w:ascii="Times New Roman" w:hAnsi="Times New Roman" w:eastAsia="仿宋_GB2312"/>
          <w:kern w:val="2"/>
          <w:sz w:val="32"/>
          <w:szCs w:val="32"/>
        </w:rPr>
        <w:t>，本单位</w:t>
      </w:r>
      <w:r>
        <w:rPr>
          <w:rFonts w:ascii="Times New Roman" w:hAnsi="Times New Roman" w:eastAsia="仿宋_GB2312"/>
          <w:kern w:val="2"/>
          <w:sz w:val="32"/>
          <w:szCs w:val="32"/>
          <w:lang w:val="zh-CN"/>
        </w:rPr>
        <w:t>组织对</w:t>
      </w:r>
      <w:r>
        <w:rPr>
          <w:rFonts w:ascii="Times New Roman" w:hAnsi="Times New Roman" w:eastAsia="仿宋_GB2312"/>
          <w:kern w:val="2"/>
          <w:sz w:val="32"/>
          <w:szCs w:val="32"/>
        </w:rPr>
        <w:t>2023</w:t>
      </w:r>
      <w:r>
        <w:rPr>
          <w:rFonts w:ascii="Times New Roman" w:hAnsi="Times New Roman" w:eastAsia="仿宋_GB2312"/>
          <w:kern w:val="2"/>
          <w:sz w:val="32"/>
          <w:szCs w:val="32"/>
          <w:lang w:val="zh-CN"/>
        </w:rPr>
        <w:t>年度一般公共预算项目支出全面开展绩效自评</w:t>
      </w:r>
      <w:r>
        <w:rPr>
          <w:rFonts w:ascii="Times New Roman" w:hAnsi="Times New Roman" w:eastAsia="仿宋_GB2312"/>
          <w:kern w:val="2"/>
          <w:sz w:val="32"/>
          <w:szCs w:val="32"/>
        </w:rPr>
        <w:t>，</w:t>
      </w:r>
      <w:r>
        <w:rPr>
          <w:rFonts w:ascii="Times New Roman" w:hAnsi="Times New Roman" w:eastAsia="仿宋_GB2312"/>
          <w:kern w:val="2"/>
          <w:sz w:val="32"/>
          <w:szCs w:val="32"/>
          <w:lang w:val="zh-CN"/>
        </w:rPr>
        <w:t>其中</w:t>
      </w:r>
      <w:r>
        <w:rPr>
          <w:rFonts w:ascii="Times New Roman" w:hAnsi="Times New Roman" w:eastAsia="仿宋_GB2312"/>
          <w:kern w:val="2"/>
          <w:sz w:val="32"/>
          <w:szCs w:val="32"/>
        </w:rPr>
        <w:t>，</w:t>
      </w:r>
      <w:r>
        <w:rPr>
          <w:rFonts w:ascii="Times New Roman" w:hAnsi="Times New Roman" w:eastAsia="仿宋_GB2312"/>
          <w:kern w:val="2"/>
          <w:sz w:val="32"/>
          <w:szCs w:val="32"/>
          <w:lang w:val="zh-CN"/>
        </w:rPr>
        <w:t>一级项目</w:t>
      </w:r>
      <w:r>
        <w:rPr>
          <w:rFonts w:hint="eastAsia" w:ascii="Times New Roman" w:hAnsi="Times New Roman" w:eastAsia="仿宋_GB2312"/>
          <w:kern w:val="2"/>
          <w:sz w:val="32"/>
          <w:szCs w:val="32"/>
          <w:lang w:val="en-US" w:eastAsia="zh-CN"/>
        </w:rPr>
        <w:t>11</w:t>
      </w:r>
      <w:r>
        <w:rPr>
          <w:rFonts w:ascii="Times New Roman" w:hAnsi="Times New Roman" w:eastAsia="仿宋_GB2312"/>
          <w:kern w:val="2"/>
          <w:sz w:val="32"/>
          <w:szCs w:val="32"/>
          <w:lang w:val="zh-CN"/>
        </w:rPr>
        <w:t>个</w:t>
      </w:r>
      <w:r>
        <w:rPr>
          <w:rFonts w:ascii="Times New Roman" w:hAnsi="Times New Roman" w:eastAsia="仿宋_GB2312"/>
          <w:kern w:val="2"/>
          <w:sz w:val="32"/>
          <w:szCs w:val="32"/>
        </w:rPr>
        <w:t>，</w:t>
      </w:r>
      <w:r>
        <w:rPr>
          <w:rFonts w:ascii="Times New Roman" w:hAnsi="Times New Roman" w:eastAsia="仿宋_GB2312"/>
          <w:kern w:val="2"/>
          <w:sz w:val="32"/>
          <w:szCs w:val="32"/>
          <w:lang w:val="zh-CN"/>
        </w:rPr>
        <w:t>二级项目</w:t>
      </w:r>
      <w:r>
        <w:rPr>
          <w:rFonts w:hint="eastAsia" w:ascii="Times New Roman" w:hAnsi="Times New Roman" w:eastAsia="仿宋_GB2312"/>
          <w:kern w:val="2"/>
          <w:sz w:val="32"/>
          <w:szCs w:val="32"/>
          <w:lang w:val="en-US" w:eastAsia="zh-CN"/>
        </w:rPr>
        <w:t>14</w:t>
      </w:r>
      <w:r>
        <w:rPr>
          <w:rFonts w:ascii="Times New Roman" w:hAnsi="Times New Roman" w:eastAsia="仿宋_GB2312"/>
          <w:kern w:val="2"/>
          <w:sz w:val="32"/>
          <w:szCs w:val="32"/>
          <w:lang w:val="zh-CN"/>
        </w:rPr>
        <w:t>个</w:t>
      </w:r>
      <w:r>
        <w:rPr>
          <w:rFonts w:ascii="Times New Roman" w:hAnsi="Times New Roman" w:eastAsia="仿宋_GB2312"/>
          <w:kern w:val="2"/>
          <w:sz w:val="32"/>
          <w:szCs w:val="32"/>
        </w:rPr>
        <w:t>，</w:t>
      </w:r>
      <w:r>
        <w:rPr>
          <w:rFonts w:ascii="Times New Roman" w:hAnsi="Times New Roman" w:eastAsia="仿宋_GB2312"/>
          <w:kern w:val="2"/>
          <w:sz w:val="32"/>
          <w:szCs w:val="32"/>
          <w:lang w:val="zh-CN"/>
        </w:rPr>
        <w:t>共涉及资金</w:t>
      </w:r>
      <w:r>
        <w:rPr>
          <w:rFonts w:hint="eastAsia" w:ascii="Times New Roman" w:hAnsi="Times New Roman" w:eastAsia="仿宋_GB2312"/>
          <w:kern w:val="2"/>
          <w:sz w:val="32"/>
          <w:szCs w:val="32"/>
          <w:lang w:val="en-US" w:eastAsia="zh-CN"/>
        </w:rPr>
        <w:t>4302</w:t>
      </w:r>
      <w:r>
        <w:rPr>
          <w:rFonts w:ascii="Times New Roman" w:hAnsi="Times New Roman" w:eastAsia="仿宋_GB2312"/>
          <w:kern w:val="2"/>
          <w:sz w:val="32"/>
          <w:szCs w:val="32"/>
          <w:lang w:val="zh-CN"/>
        </w:rPr>
        <w:t>万元</w:t>
      </w:r>
      <w:r>
        <w:rPr>
          <w:rFonts w:ascii="Times New Roman" w:hAnsi="Times New Roman" w:eastAsia="仿宋_GB2312"/>
          <w:kern w:val="2"/>
          <w:sz w:val="32"/>
          <w:szCs w:val="32"/>
        </w:rPr>
        <w:t>，</w:t>
      </w:r>
      <w:r>
        <w:rPr>
          <w:rFonts w:ascii="Times New Roman" w:hAnsi="Times New Roman" w:eastAsia="仿宋_GB2312"/>
          <w:kern w:val="2"/>
          <w:sz w:val="32"/>
          <w:szCs w:val="32"/>
          <w:lang w:val="zh-CN"/>
        </w:rPr>
        <w:t>占一般公共预算项目支出总额的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rPr>
        <w:t>%</w:t>
      </w:r>
      <w:r>
        <w:rPr>
          <w:rFonts w:ascii="Times New Roman" w:hAnsi="Times New Roman" w:eastAsia="仿宋_GB2312"/>
          <w:kern w:val="2"/>
          <w:sz w:val="32"/>
          <w:szCs w:val="32"/>
          <w:lang w:val="zh-CN"/>
        </w:rPr>
        <w:t>。组织对2023年度</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个政府性基金预算项目支出开展绩效自评，共涉及资金</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万元，占政府性基金预算项目支出总额的</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%。组织对2023年度</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个国有资本经营预算项目支出开展绩效自评，共涉及资金</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万元，占国有资本经营预算项目支出总额的</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w:t>
      </w:r>
    </w:p>
    <w:p>
      <w:pPr>
        <w:adjustRightInd w:val="0"/>
        <w:snapToGrid w:val="0"/>
        <w:spacing w:line="580" w:lineRule="exact"/>
        <w:ind w:firstLine="640" w:firstLineChars="200"/>
        <w:rPr>
          <w:rFonts w:ascii="Times New Roman" w:hAnsi="Times New Roman" w:eastAsia="仿宋_GB2312" w:cs="Times New Roman"/>
          <w:kern w:val="2"/>
          <w:sz w:val="32"/>
          <w:szCs w:val="32"/>
          <w:lang w:val="zh-CN" w:eastAsia="zh-CN" w:bidi="ar-SA"/>
        </w:rPr>
      </w:pPr>
      <w:r>
        <w:rPr>
          <w:rFonts w:hint="eastAsia" w:ascii="Times New Roman" w:hAnsi="Times New Roman" w:eastAsia="仿宋_GB2312" w:cs="Times New Roman"/>
          <w:kern w:val="2"/>
          <w:sz w:val="32"/>
          <w:szCs w:val="32"/>
          <w:lang w:val="zh-CN" w:eastAsia="zh-CN" w:bidi="ar-SA"/>
        </w:rPr>
        <w:t>组织对区级“啤酒厂占地补偿、获鹿北侧监测点周边绿化”等</w:t>
      </w:r>
      <w:r>
        <w:rPr>
          <w:rFonts w:hint="eastAsia" w:ascii="Times New Roman" w:hAnsi="Times New Roman" w:eastAsia="仿宋_GB2312" w:cs="Times New Roman"/>
          <w:kern w:val="2"/>
          <w:sz w:val="32"/>
          <w:szCs w:val="32"/>
          <w:lang w:val="en-US" w:eastAsia="zh-CN" w:bidi="ar-SA"/>
        </w:rPr>
        <w:t>25</w:t>
      </w:r>
      <w:r>
        <w:rPr>
          <w:rFonts w:hint="eastAsia" w:ascii="Times New Roman" w:hAnsi="Times New Roman" w:eastAsia="仿宋_GB2312" w:cs="Times New Roman"/>
          <w:kern w:val="2"/>
          <w:sz w:val="32"/>
          <w:szCs w:val="32"/>
          <w:lang w:val="zh-CN" w:eastAsia="zh-CN" w:bidi="ar-SA"/>
        </w:rPr>
        <w:t>个项目开展了部门评价，涉及一般公共预算支出</w:t>
      </w:r>
      <w:r>
        <w:rPr>
          <w:rFonts w:hint="eastAsia" w:ascii="Times New Roman" w:hAnsi="Times New Roman" w:eastAsia="仿宋_GB2312" w:cs="Times New Roman"/>
          <w:kern w:val="2"/>
          <w:sz w:val="32"/>
          <w:szCs w:val="32"/>
          <w:lang w:val="en-US" w:eastAsia="zh-CN" w:bidi="ar-SA"/>
        </w:rPr>
        <w:t>4302</w:t>
      </w:r>
      <w:r>
        <w:rPr>
          <w:rFonts w:hint="eastAsia" w:ascii="Times New Roman" w:hAnsi="Times New Roman" w:eastAsia="仿宋_GB2312" w:cs="Times New Roman"/>
          <w:kern w:val="2"/>
          <w:sz w:val="32"/>
          <w:szCs w:val="32"/>
          <w:lang w:val="zh-CN" w:eastAsia="zh-CN" w:bidi="ar-SA"/>
        </w:rPr>
        <w:t>万元；</w:t>
      </w:r>
      <w:r>
        <w:rPr>
          <w:rFonts w:ascii="Times New Roman" w:hAnsi="Times New Roman" w:eastAsia="仿宋_GB2312"/>
          <w:kern w:val="2"/>
          <w:sz w:val="32"/>
          <w:szCs w:val="32"/>
          <w:lang w:val="zh-CN"/>
        </w:rPr>
        <w:t>政府性基金预算支出</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万元，国有资本经营预算支出</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万元。</w:t>
      </w:r>
      <w:r>
        <w:rPr>
          <w:rFonts w:hint="eastAsia" w:ascii="Times New Roman" w:hAnsi="Times New Roman" w:eastAsia="仿宋_GB2312" w:cs="Times New Roman"/>
          <w:kern w:val="2"/>
          <w:sz w:val="32"/>
          <w:szCs w:val="32"/>
          <w:lang w:val="zh-CN" w:eastAsia="zh-CN" w:bidi="ar-SA"/>
        </w:rPr>
        <w:t>从评价情况来看区级项目资金及时到位，绩效评估为优，镇级项目绩效评估较差，主要原因是今年预算资金不足，项目进展缓慢。</w:t>
      </w:r>
    </w:p>
    <w:p>
      <w:pPr>
        <w:pStyle w:val="10"/>
        <w:widowControl/>
        <w:spacing w:beforeAutospacing="0" w:afterAutospacing="0"/>
        <w:rPr>
          <w:rFonts w:ascii="Times New Roman" w:hAnsi="Times New Roman" w:eastAsia="Arial"/>
        </w:rPr>
      </w:pPr>
    </w:p>
    <w:p>
      <w:pPr>
        <w:adjustRightInd w:val="0"/>
        <w:snapToGrid w:val="0"/>
        <w:spacing w:line="58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（二）部门决算中项目绩效自评结果（如有）</w:t>
      </w:r>
    </w:p>
    <w:p>
      <w:pPr>
        <w:pStyle w:val="10"/>
        <w:widowControl/>
        <w:spacing w:beforeAutospacing="0" w:afterAutospacing="0"/>
        <w:ind w:firstLine="660" w:firstLineChars="200"/>
        <w:rPr>
          <w:rFonts w:ascii="Times New Roman" w:hAnsi="Times New Roman" w:eastAsia="仿宋_GB2312"/>
          <w:kern w:val="2"/>
          <w:sz w:val="32"/>
          <w:szCs w:val="32"/>
          <w:lang w:val="zh-CN"/>
        </w:rPr>
      </w:pPr>
      <w:r>
        <w:rPr>
          <w:rFonts w:ascii="Times New Roman" w:hAnsi="Times New Roman" w:eastAsia="仿宋_GB2312"/>
          <w:color w:val="333333"/>
          <w:sz w:val="33"/>
          <w:szCs w:val="33"/>
          <w:shd w:val="clear" w:color="auto" w:fill="FFFFFF"/>
        </w:rPr>
        <w:t> </w:t>
      </w:r>
      <w:r>
        <w:rPr>
          <w:rFonts w:ascii="Times New Roman" w:hAnsi="Times New Roman" w:eastAsia="仿宋_GB2312"/>
          <w:kern w:val="2"/>
          <w:sz w:val="32"/>
          <w:szCs w:val="32"/>
          <w:lang w:val="zh-CN"/>
        </w:rPr>
        <w:t>本单位在今年部门决算公开中</w:t>
      </w:r>
      <w:r>
        <w:rPr>
          <w:rFonts w:hint="eastAsia" w:ascii="仿宋_GB2312" w:hAnsi="仿宋_GB2312" w:eastAsia="仿宋_GB2312" w:cs="仿宋_GB2312"/>
          <w:sz w:val="32"/>
          <w:szCs w:val="32"/>
        </w:rPr>
        <w:t>反映“啤酒厂占地补偿、获中侧北监测点周边绿化”等区级资金项目及镇级“公共安全保卫维稳、节能环保管理”等</w:t>
      </w:r>
      <w:r>
        <w:rPr>
          <w:rFonts w:hint="eastAsia" w:ascii="仿宋_GB2312" w:hAnsi="仿宋_GB2312" w:eastAsia="仿宋_GB2312" w:cs="仿宋_GB2312"/>
          <w:sz w:val="32"/>
          <w:szCs w:val="32"/>
          <w:lang w:val="en-US" w:eastAsia="zh-CN"/>
        </w:rPr>
        <w:t>25</w:t>
      </w:r>
      <w:r>
        <w:rPr>
          <w:rFonts w:hint="eastAsia" w:ascii="仿宋_GB2312" w:hAnsi="仿宋_GB2312" w:eastAsia="仿宋_GB2312" w:cs="仿宋_GB2312"/>
          <w:sz w:val="32"/>
          <w:szCs w:val="32"/>
        </w:rPr>
        <w:t>个项目绩效自评结果</w:t>
      </w:r>
    </w:p>
    <w:p>
      <w:pPr>
        <w:numPr>
          <w:ilvl w:val="0"/>
          <w:numId w:val="3"/>
        </w:numPr>
        <w:adjustRightInd w:val="0"/>
        <w:snapToGrid w:val="0"/>
        <w:spacing w:line="600" w:lineRule="exact"/>
        <w:ind w:left="-10"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军人退役人员公益岗位工资项目自评综述：根据年初设定的绩效目标，该项目项目绩效自评得分为100分。全年预算数为</w:t>
      </w:r>
      <w:r>
        <w:rPr>
          <w:rFonts w:hint="eastAsia" w:ascii="仿宋_GB2312" w:hAnsi="仿宋_GB2312" w:eastAsia="仿宋_GB2312" w:cs="仿宋_GB2312"/>
          <w:sz w:val="32"/>
          <w:szCs w:val="32"/>
          <w:lang w:val="en-US" w:eastAsia="zh-CN"/>
        </w:rPr>
        <w:t>126.26</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126.26</w:t>
      </w:r>
      <w:r>
        <w:rPr>
          <w:rFonts w:hint="eastAsia" w:ascii="仿宋_GB2312" w:hAnsi="仿宋_GB2312" w:eastAsia="仿宋_GB2312" w:cs="仿宋_GB2312"/>
          <w:sz w:val="32"/>
          <w:szCs w:val="32"/>
        </w:rPr>
        <w:t>万元，完成预算的100%。项目绩效目标完成情况：一是按时完成；二是高质量完成。该项目有效安置退役军人岗位</w:t>
      </w: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rPr>
        <w:t>个，使</w:t>
      </w: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rPr>
        <w:t>名退役军人得到相应补偿。下一步改进措施：一是健全考核机制；二是加强事后监督。</w:t>
      </w:r>
    </w:p>
    <w:p>
      <w:pPr>
        <w:numPr>
          <w:ilvl w:val="0"/>
          <w:numId w:val="3"/>
        </w:numPr>
        <w:adjustRightInd w:val="0"/>
        <w:snapToGrid w:val="0"/>
        <w:spacing w:line="600" w:lineRule="exact"/>
        <w:ind w:left="-10"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啤酒厂占地补偿、武装部占地补偿、排水泵站管护运行费、获中北侧监测点周边绿化租地、智慧广场花海租地等5个项目绩效自评综述：该5个项目都是区级资金支持项目。预算资金共计86.31万元，执行数86.31万元，预算数和执行数一致，预算完成率100%。项目目标都能按时高质量完成，补偿及时到位有效保障了人民的生活水平。</w:t>
      </w:r>
    </w:p>
    <w:p>
      <w:pPr>
        <w:numPr>
          <w:ilvl w:val="0"/>
          <w:numId w:val="3"/>
        </w:numPr>
        <w:adjustRightInd w:val="0"/>
        <w:snapToGrid w:val="0"/>
        <w:spacing w:line="600" w:lineRule="exact"/>
        <w:ind w:left="-10"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公共安全保卫维稳事务、节能环保管理事务、城乡人居环境打造项目、医疗卫生与计划生育事务、文化体育宣传事务</w:t>
      </w:r>
      <w:r>
        <w:rPr>
          <w:rFonts w:hint="eastAsia" w:ascii="仿宋_GB2312" w:hAnsi="仿宋_GB2312" w:eastAsia="仿宋_GB2312" w:cs="仿宋_GB2312"/>
          <w:sz w:val="32"/>
          <w:szCs w:val="32"/>
          <w:lang w:eastAsia="zh-CN"/>
        </w:rPr>
        <w:t>、垃圾分类项目和疫情防控补助及环境整治项目、村容村貌整治</w:t>
      </w:r>
      <w:r>
        <w:rPr>
          <w:rFonts w:hint="eastAsia" w:ascii="仿宋_GB2312" w:hAnsi="仿宋_GB2312" w:eastAsia="仿宋_GB2312" w:cs="仿宋_GB2312"/>
          <w:sz w:val="32"/>
          <w:szCs w:val="32"/>
        </w:rPr>
        <w:t>等</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个项目都是保障我镇正常运行的自有资金项目。预算资金</w:t>
      </w:r>
      <w:r>
        <w:rPr>
          <w:rFonts w:hint="eastAsia" w:ascii="仿宋_GB2312" w:hAnsi="仿宋_GB2312" w:eastAsia="仿宋_GB2312" w:cs="仿宋_GB2312"/>
          <w:sz w:val="32"/>
          <w:szCs w:val="32"/>
          <w:lang w:val="en-US" w:eastAsia="zh-CN"/>
        </w:rPr>
        <w:t>1370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1370</w:t>
      </w:r>
      <w:r>
        <w:rPr>
          <w:rFonts w:hint="eastAsia" w:ascii="仿宋_GB2312" w:hAnsi="仿宋_GB2312" w:eastAsia="仿宋_GB2312" w:cs="仿宋_GB2312"/>
          <w:sz w:val="32"/>
          <w:szCs w:val="32"/>
        </w:rPr>
        <w:t>万元，预算执行率100%。上述项目目标都能较好完成，保障了我镇各项工作正常运行。</w:t>
      </w:r>
    </w:p>
    <w:p>
      <w:pPr>
        <w:numPr>
          <w:ilvl w:val="0"/>
          <w:numId w:val="3"/>
        </w:numPr>
        <w:adjustRightInd w:val="0"/>
        <w:snapToGrid w:val="0"/>
        <w:spacing w:line="600" w:lineRule="exact"/>
        <w:ind w:left="-10"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城乡社区基础设施建设项目、学校代课老师劳务费项目、机关社区辅助人员劳务费项目、社区管理服务提升4个项目，是我镇的民生投入项目，预算数1</w:t>
      </w:r>
      <w:r>
        <w:rPr>
          <w:rFonts w:hint="eastAsia" w:ascii="仿宋_GB2312" w:hAnsi="仿宋_GB2312" w:eastAsia="仿宋_GB2312" w:cs="仿宋_GB2312"/>
          <w:sz w:val="32"/>
          <w:szCs w:val="32"/>
          <w:lang w:val="en-US" w:eastAsia="zh-CN"/>
        </w:rPr>
        <w:t>680</w:t>
      </w:r>
      <w:r>
        <w:rPr>
          <w:rFonts w:hint="eastAsia" w:ascii="仿宋_GB2312" w:hAnsi="仿宋_GB2312" w:eastAsia="仿宋_GB2312" w:cs="仿宋_GB2312"/>
          <w:sz w:val="32"/>
          <w:szCs w:val="32"/>
        </w:rPr>
        <w:t>万元，执行数1</w:t>
      </w:r>
      <w:r>
        <w:rPr>
          <w:rFonts w:hint="eastAsia" w:ascii="仿宋_GB2312" w:hAnsi="仿宋_GB2312" w:eastAsia="仿宋_GB2312" w:cs="仿宋_GB2312"/>
          <w:sz w:val="32"/>
          <w:szCs w:val="32"/>
          <w:lang w:val="en-US" w:eastAsia="zh-CN"/>
        </w:rPr>
        <w:t>680</w:t>
      </w:r>
      <w:r>
        <w:rPr>
          <w:rFonts w:hint="eastAsia" w:ascii="仿宋_GB2312" w:hAnsi="仿宋_GB2312" w:eastAsia="仿宋_GB2312" w:cs="仿宋_GB2312"/>
          <w:sz w:val="32"/>
          <w:szCs w:val="32"/>
        </w:rPr>
        <w:t>万元，预算执行率100%。由于我镇上年财力不足，上述4个项目202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年度预算资金不足，资金支付需列入下年预算。</w:t>
      </w:r>
    </w:p>
    <w:p>
      <w:pPr>
        <w:numPr>
          <w:ilvl w:val="0"/>
          <w:numId w:val="3"/>
        </w:numPr>
        <w:adjustRightInd w:val="0"/>
        <w:snapToGrid w:val="0"/>
        <w:spacing w:line="600" w:lineRule="exact"/>
        <w:ind w:left="-10" w:firstLine="64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本年福康小区换热站</w:t>
      </w:r>
      <w:r>
        <w:rPr>
          <w:rFonts w:hint="eastAsia" w:ascii="仿宋_GB2312" w:hAnsi="仿宋_GB2312" w:eastAsia="仿宋_GB2312" w:cs="仿宋_GB2312"/>
          <w:sz w:val="32"/>
          <w:szCs w:val="32"/>
        </w:rPr>
        <w:t>项目、</w:t>
      </w:r>
      <w:r>
        <w:rPr>
          <w:rFonts w:hint="eastAsia" w:ascii="仿宋_GB2312" w:hAnsi="仿宋_GB2312" w:eastAsia="仿宋_GB2312" w:cs="仿宋_GB2312"/>
          <w:sz w:val="32"/>
          <w:szCs w:val="32"/>
          <w:lang w:eastAsia="zh-CN"/>
        </w:rPr>
        <w:t>社区办公场所租赁</w:t>
      </w:r>
      <w:r>
        <w:rPr>
          <w:rFonts w:hint="eastAsia" w:ascii="仿宋_GB2312" w:hAnsi="仿宋_GB2312" w:eastAsia="仿宋_GB2312" w:cs="仿宋_GB2312"/>
          <w:sz w:val="32"/>
          <w:szCs w:val="32"/>
        </w:rPr>
        <w:t>项目、</w:t>
      </w:r>
      <w:r>
        <w:rPr>
          <w:rFonts w:hint="eastAsia" w:ascii="仿宋_GB2312" w:hAnsi="仿宋_GB2312" w:eastAsia="仿宋_GB2312" w:cs="仿宋_GB2312"/>
          <w:sz w:val="32"/>
          <w:szCs w:val="32"/>
          <w:lang w:eastAsia="zh-CN"/>
        </w:rPr>
        <w:t>辅助人员劳务费</w:t>
      </w:r>
      <w:r>
        <w:rPr>
          <w:rFonts w:hint="eastAsia" w:ascii="仿宋_GB2312" w:hAnsi="仿宋_GB2312" w:eastAsia="仿宋_GB2312" w:cs="仿宋_GB2312"/>
          <w:sz w:val="32"/>
          <w:szCs w:val="32"/>
        </w:rPr>
        <w:t>项目、</w:t>
      </w:r>
      <w:r>
        <w:rPr>
          <w:rFonts w:hint="eastAsia" w:ascii="仿宋_GB2312" w:hAnsi="仿宋_GB2312" w:eastAsia="仿宋_GB2312" w:cs="仿宋_GB2312"/>
          <w:sz w:val="32"/>
          <w:szCs w:val="32"/>
          <w:lang w:eastAsia="zh-CN"/>
        </w:rPr>
        <w:t>鹿城一号契税缴纳项目、农村生活垃圾清理、纵六街电力敷设及第三实验小学引电工程</w:t>
      </w:r>
      <w:r>
        <w:rPr>
          <w:rFonts w:hint="eastAsia" w:ascii="仿宋_GB2312" w:hAnsi="仿宋_GB2312" w:eastAsia="仿宋_GB2312" w:cs="仿宋_GB2312"/>
          <w:sz w:val="32"/>
          <w:szCs w:val="32"/>
        </w:rPr>
        <w:t>等</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个项目，预算数</w:t>
      </w:r>
      <w:r>
        <w:rPr>
          <w:rFonts w:hint="eastAsia" w:ascii="仿宋_GB2312" w:hAnsi="仿宋_GB2312" w:eastAsia="仿宋_GB2312" w:cs="仿宋_GB2312"/>
          <w:sz w:val="32"/>
          <w:szCs w:val="32"/>
          <w:lang w:val="en-US" w:eastAsia="zh-CN"/>
        </w:rPr>
        <w:t>1040.02</w:t>
      </w:r>
      <w:r>
        <w:rPr>
          <w:rFonts w:hint="eastAsia" w:ascii="仿宋_GB2312" w:hAnsi="仿宋_GB2312" w:eastAsia="仿宋_GB2312" w:cs="仿宋_GB2312"/>
          <w:sz w:val="32"/>
          <w:szCs w:val="32"/>
        </w:rPr>
        <w:t>万元，执行预算数</w:t>
      </w:r>
      <w:r>
        <w:rPr>
          <w:rFonts w:hint="eastAsia" w:ascii="仿宋_GB2312" w:hAnsi="仿宋_GB2312" w:eastAsia="仿宋_GB2312" w:cs="仿宋_GB2312"/>
          <w:sz w:val="32"/>
          <w:szCs w:val="32"/>
          <w:lang w:val="en-US" w:eastAsia="zh-CN"/>
        </w:rPr>
        <w:t>1040.02</w:t>
      </w:r>
      <w:r>
        <w:rPr>
          <w:rFonts w:hint="eastAsia" w:ascii="仿宋_GB2312" w:hAnsi="仿宋_GB2312" w:eastAsia="仿宋_GB2312" w:cs="仿宋_GB2312"/>
          <w:sz w:val="32"/>
          <w:szCs w:val="32"/>
        </w:rPr>
        <w:t>万元，预算执行率100%</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个都是本年预算追加项目，均按时保质保量完成了预算目标。</w:t>
      </w:r>
    </w:p>
    <w:p>
      <w:pPr>
        <w:numPr>
          <w:ilvl w:val="0"/>
          <w:numId w:val="4"/>
        </w:numPr>
        <w:adjustRightInd w:val="0"/>
        <w:snapToGrid w:val="0"/>
        <w:spacing w:line="580" w:lineRule="exact"/>
        <w:ind w:left="480" w:leftChars="200" w:firstLine="321" w:firstLineChars="100"/>
        <w:rPr>
          <w:rFonts w:ascii="Times New Roman" w:hAnsi="Times New Roman" w:eastAsia="仿宋_GB2312" w:cs="Times New Roman"/>
          <w:b/>
          <w:bCs/>
          <w:sz w:val="32"/>
          <w:szCs w:val="32"/>
          <w:highlight w:val="none"/>
        </w:rPr>
      </w:pPr>
      <w:r>
        <w:rPr>
          <w:rFonts w:ascii="Times New Roman" w:hAnsi="Times New Roman" w:eastAsia="仿宋_GB2312" w:cs="Times New Roman"/>
          <w:b/>
          <w:bCs/>
          <w:sz w:val="32"/>
          <w:szCs w:val="32"/>
          <w:highlight w:val="none"/>
        </w:rPr>
        <w:t>部门评价项目绩效评价结果（如有）</w:t>
      </w:r>
    </w:p>
    <w:p>
      <w:pPr>
        <w:snapToGrid w:val="0"/>
        <w:spacing w:line="620" w:lineRule="exact"/>
        <w:ind w:firstLine="640" w:firstLineChars="200"/>
        <w:rPr>
          <w:rFonts w:ascii="仿宋_GB2312" w:hAnsi="宋体" w:eastAsia="仿宋_GB2312"/>
          <w:sz w:val="32"/>
          <w:szCs w:val="32"/>
          <w:highlight w:val="none"/>
        </w:rPr>
      </w:pPr>
      <w:r>
        <w:rPr>
          <w:rFonts w:hint="eastAsia" w:ascii="仿宋_GB2312" w:hAnsi="宋体" w:eastAsia="仿宋_GB2312"/>
          <w:sz w:val="32"/>
          <w:szCs w:val="32"/>
          <w:highlight w:val="none"/>
        </w:rPr>
        <w:t>202</w:t>
      </w:r>
      <w:r>
        <w:rPr>
          <w:rFonts w:hint="eastAsia" w:ascii="仿宋_GB2312" w:hAnsi="宋体" w:eastAsia="仿宋_GB2312"/>
          <w:sz w:val="32"/>
          <w:szCs w:val="32"/>
          <w:highlight w:val="none"/>
          <w:lang w:val="en-US" w:eastAsia="zh-CN"/>
        </w:rPr>
        <w:t>3</w:t>
      </w:r>
      <w:r>
        <w:rPr>
          <w:rFonts w:hint="eastAsia" w:ascii="仿宋_GB2312" w:hAnsi="宋体" w:eastAsia="仿宋_GB2312"/>
          <w:sz w:val="32"/>
          <w:szCs w:val="32"/>
          <w:highlight w:val="none"/>
        </w:rPr>
        <w:t>年本单位绩效自评项目共2</w:t>
      </w:r>
      <w:r>
        <w:rPr>
          <w:rFonts w:hint="eastAsia" w:ascii="仿宋_GB2312" w:hAnsi="宋体" w:eastAsia="仿宋_GB2312"/>
          <w:sz w:val="32"/>
          <w:szCs w:val="32"/>
          <w:highlight w:val="none"/>
          <w:lang w:val="en-US" w:eastAsia="zh-CN"/>
        </w:rPr>
        <w:t>5</w:t>
      </w:r>
      <w:r>
        <w:rPr>
          <w:rFonts w:hint="eastAsia" w:ascii="仿宋_GB2312" w:hAnsi="宋体" w:eastAsia="仿宋_GB2312"/>
          <w:sz w:val="32"/>
          <w:szCs w:val="32"/>
          <w:highlight w:val="none"/>
        </w:rPr>
        <w:t>个，其中</w:t>
      </w:r>
      <w:r>
        <w:rPr>
          <w:rFonts w:hint="eastAsia" w:ascii="仿宋_GB2312" w:hAnsi="仿宋" w:eastAsia="仿宋_GB2312"/>
          <w:sz w:val="32"/>
          <w:szCs w:val="32"/>
          <w:highlight w:val="none"/>
        </w:rPr>
        <w:t>评价等级为“优”项目</w:t>
      </w:r>
      <w:r>
        <w:rPr>
          <w:rFonts w:hint="eastAsia" w:ascii="仿宋_GB2312" w:hAnsi="仿宋" w:eastAsia="仿宋_GB2312"/>
          <w:sz w:val="32"/>
          <w:szCs w:val="32"/>
          <w:highlight w:val="none"/>
          <w:lang w:val="en-US" w:eastAsia="zh-CN"/>
        </w:rPr>
        <w:t>20</w:t>
      </w:r>
      <w:r>
        <w:rPr>
          <w:rFonts w:hint="eastAsia" w:ascii="仿宋_GB2312" w:hAnsi="仿宋" w:eastAsia="仿宋_GB2312"/>
          <w:sz w:val="32"/>
          <w:szCs w:val="32"/>
          <w:highlight w:val="none"/>
        </w:rPr>
        <w:t>个，评优率为</w:t>
      </w:r>
      <w:r>
        <w:rPr>
          <w:rFonts w:hint="eastAsia" w:ascii="仿宋_GB2312" w:hAnsi="仿宋" w:eastAsia="仿宋_GB2312"/>
          <w:sz w:val="32"/>
          <w:szCs w:val="32"/>
          <w:highlight w:val="none"/>
          <w:lang w:val="en-US" w:eastAsia="zh-CN"/>
        </w:rPr>
        <w:t>80</w:t>
      </w:r>
      <w:r>
        <w:rPr>
          <w:rFonts w:hint="eastAsia" w:ascii="仿宋_GB2312" w:hAnsi="仿宋" w:eastAsia="仿宋_GB2312"/>
          <w:sz w:val="32"/>
          <w:szCs w:val="32"/>
          <w:highlight w:val="none"/>
        </w:rPr>
        <w:t>%；评价等级为“良”的项目</w:t>
      </w:r>
      <w:r>
        <w:rPr>
          <w:rFonts w:hint="eastAsia" w:ascii="仿宋_GB2312" w:hAnsi="仿宋" w:eastAsia="仿宋_GB2312"/>
          <w:sz w:val="32"/>
          <w:szCs w:val="32"/>
          <w:highlight w:val="none"/>
          <w:lang w:val="en-US" w:eastAsia="zh-CN"/>
        </w:rPr>
        <w:t>5</w:t>
      </w:r>
      <w:r>
        <w:rPr>
          <w:rFonts w:hint="eastAsia" w:ascii="仿宋_GB2312" w:hAnsi="仿宋" w:eastAsia="仿宋_GB2312"/>
          <w:sz w:val="32"/>
          <w:szCs w:val="32"/>
          <w:highlight w:val="none"/>
        </w:rPr>
        <w:t>个，评良率为</w:t>
      </w:r>
      <w:r>
        <w:rPr>
          <w:rFonts w:hint="eastAsia" w:ascii="仿宋_GB2312" w:hAnsi="仿宋" w:eastAsia="仿宋_GB2312"/>
          <w:sz w:val="32"/>
          <w:szCs w:val="32"/>
          <w:highlight w:val="none"/>
          <w:lang w:val="en-US" w:eastAsia="zh-CN"/>
        </w:rPr>
        <w:t>20</w:t>
      </w:r>
      <w:r>
        <w:rPr>
          <w:rFonts w:hint="eastAsia" w:ascii="仿宋_GB2312" w:hAnsi="仿宋" w:eastAsia="仿宋_GB2312"/>
          <w:sz w:val="32"/>
          <w:szCs w:val="32"/>
          <w:highlight w:val="none"/>
        </w:rPr>
        <w:t>%。</w:t>
      </w:r>
      <w:r>
        <w:rPr>
          <w:rFonts w:hint="eastAsia" w:ascii="仿宋_GB2312" w:hAnsi="宋体" w:eastAsia="仿宋_GB2312"/>
          <w:sz w:val="32"/>
          <w:szCs w:val="32"/>
          <w:highlight w:val="none"/>
        </w:rPr>
        <w:t>详见下表。</w:t>
      </w:r>
    </w:p>
    <w:p>
      <w:pPr>
        <w:snapToGrid w:val="0"/>
        <w:spacing w:line="360" w:lineRule="auto"/>
        <w:ind w:left="-120" w:leftChars="-50" w:right="-120" w:rightChars="-50"/>
        <w:jc w:val="center"/>
        <w:rPr>
          <w:rFonts w:ascii="仿宋_GB2312" w:hAnsi="宋体" w:eastAsia="仿宋_GB2312"/>
          <w:b/>
          <w:sz w:val="32"/>
          <w:szCs w:val="32"/>
          <w:highlight w:val="none"/>
        </w:rPr>
      </w:pPr>
      <w:r>
        <w:rPr>
          <w:rFonts w:hint="eastAsia" w:ascii="仿宋_GB2312" w:hAnsi="宋体" w:eastAsia="仿宋_GB2312"/>
          <w:b/>
          <w:sz w:val="32"/>
          <w:szCs w:val="32"/>
          <w:highlight w:val="none"/>
        </w:rPr>
        <w:t>获鹿镇绩效自评结果统计表</w:t>
      </w:r>
    </w:p>
    <w:tbl>
      <w:tblPr>
        <w:tblStyle w:val="11"/>
        <w:tblW w:w="8238" w:type="dxa"/>
        <w:jc w:val="center"/>
        <w:tblLayout w:type="fixed"/>
        <w:tblCellMar>
          <w:top w:w="0" w:type="dxa"/>
          <w:left w:w="108" w:type="dxa"/>
          <w:bottom w:w="0" w:type="dxa"/>
          <w:right w:w="108" w:type="dxa"/>
        </w:tblCellMar>
      </w:tblPr>
      <w:tblGrid>
        <w:gridCol w:w="763"/>
        <w:gridCol w:w="5515"/>
        <w:gridCol w:w="1000"/>
        <w:gridCol w:w="960"/>
      </w:tblGrid>
      <w:tr>
        <w:tblPrEx>
          <w:tblCellMar>
            <w:top w:w="0" w:type="dxa"/>
            <w:left w:w="108" w:type="dxa"/>
            <w:bottom w:w="0" w:type="dxa"/>
            <w:right w:w="108" w:type="dxa"/>
          </w:tblCellMar>
        </w:tblPrEx>
        <w:trPr>
          <w:trHeight w:val="758"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120" w:leftChars="-50" w:right="-120" w:rightChars="-50"/>
              <w:jc w:val="center"/>
              <w:rPr>
                <w:rFonts w:ascii="黑体" w:hAnsi="黑体" w:eastAsia="黑体" w:cs="黑体"/>
                <w:kern w:val="0"/>
                <w:sz w:val="22"/>
                <w:szCs w:val="22"/>
              </w:rPr>
            </w:pPr>
            <w:r>
              <w:rPr>
                <w:rFonts w:hint="eastAsia" w:ascii="黑体" w:hAnsi="黑体" w:eastAsia="黑体" w:cs="黑体"/>
                <w:kern w:val="0"/>
                <w:sz w:val="22"/>
                <w:szCs w:val="22"/>
              </w:rPr>
              <w:t>序号</w:t>
            </w:r>
          </w:p>
        </w:tc>
        <w:tc>
          <w:tcPr>
            <w:tcW w:w="5515" w:type="dxa"/>
            <w:tcBorders>
              <w:top w:val="single" w:color="auto" w:sz="4" w:space="0"/>
              <w:left w:val="nil"/>
              <w:bottom w:val="single" w:color="auto" w:sz="4" w:space="0"/>
              <w:right w:val="single" w:color="auto" w:sz="4" w:space="0"/>
            </w:tcBorders>
            <w:vAlign w:val="center"/>
          </w:tcPr>
          <w:p>
            <w:pPr>
              <w:widowControl/>
              <w:spacing w:line="360" w:lineRule="auto"/>
              <w:ind w:left="-120" w:leftChars="-50" w:right="-120" w:rightChars="-50"/>
              <w:jc w:val="center"/>
              <w:rPr>
                <w:rFonts w:ascii="黑体" w:hAnsi="黑体" w:eastAsia="黑体" w:cs="黑体"/>
                <w:kern w:val="0"/>
                <w:sz w:val="22"/>
                <w:szCs w:val="22"/>
              </w:rPr>
            </w:pPr>
            <w:r>
              <w:rPr>
                <w:rFonts w:hint="eastAsia" w:ascii="黑体" w:hAnsi="黑体" w:eastAsia="黑体" w:cs="黑体"/>
                <w:kern w:val="0"/>
                <w:sz w:val="22"/>
                <w:szCs w:val="22"/>
              </w:rPr>
              <w:t>项目名称</w:t>
            </w:r>
          </w:p>
        </w:tc>
        <w:tc>
          <w:tcPr>
            <w:tcW w:w="1000" w:type="dxa"/>
            <w:tcBorders>
              <w:top w:val="single" w:color="auto" w:sz="4" w:space="0"/>
              <w:left w:val="nil"/>
              <w:bottom w:val="single" w:color="auto" w:sz="4" w:space="0"/>
              <w:right w:val="single" w:color="auto" w:sz="4" w:space="0"/>
            </w:tcBorders>
            <w:vAlign w:val="center"/>
          </w:tcPr>
          <w:p>
            <w:pPr>
              <w:widowControl/>
              <w:spacing w:line="360" w:lineRule="auto"/>
              <w:ind w:left="-120" w:leftChars="-50" w:right="-120" w:rightChars="-50"/>
              <w:jc w:val="center"/>
              <w:rPr>
                <w:rFonts w:ascii="黑体" w:hAnsi="黑体" w:eastAsia="黑体" w:cs="黑体"/>
                <w:kern w:val="0"/>
                <w:sz w:val="22"/>
                <w:szCs w:val="22"/>
              </w:rPr>
            </w:pPr>
            <w:r>
              <w:rPr>
                <w:rFonts w:hint="eastAsia" w:ascii="黑体" w:hAnsi="黑体" w:eastAsia="黑体" w:cs="黑体"/>
                <w:kern w:val="0"/>
                <w:sz w:val="22"/>
                <w:szCs w:val="22"/>
              </w:rPr>
              <w:t>自评得分</w:t>
            </w:r>
          </w:p>
        </w:tc>
        <w:tc>
          <w:tcPr>
            <w:tcW w:w="960" w:type="dxa"/>
            <w:tcBorders>
              <w:top w:val="single" w:color="auto" w:sz="4" w:space="0"/>
              <w:left w:val="nil"/>
              <w:bottom w:val="single" w:color="auto" w:sz="4" w:space="0"/>
              <w:right w:val="single" w:color="auto" w:sz="4" w:space="0"/>
            </w:tcBorders>
            <w:vAlign w:val="center"/>
          </w:tcPr>
          <w:p>
            <w:pPr>
              <w:widowControl/>
              <w:spacing w:line="360" w:lineRule="auto"/>
              <w:ind w:left="-120" w:leftChars="-50" w:right="-120" w:rightChars="-50"/>
              <w:jc w:val="center"/>
              <w:rPr>
                <w:rFonts w:ascii="黑体" w:hAnsi="黑体" w:eastAsia="黑体" w:cs="黑体"/>
                <w:kern w:val="0"/>
                <w:sz w:val="22"/>
                <w:szCs w:val="22"/>
              </w:rPr>
            </w:pPr>
            <w:r>
              <w:rPr>
                <w:rFonts w:hint="eastAsia" w:ascii="黑体" w:hAnsi="黑体" w:eastAsia="黑体" w:cs="黑体"/>
                <w:kern w:val="0"/>
                <w:sz w:val="22"/>
                <w:szCs w:val="22"/>
              </w:rPr>
              <w:t>评价等级</w:t>
            </w:r>
          </w:p>
        </w:tc>
      </w:tr>
      <w:tr>
        <w:tblPrEx>
          <w:tblCellMar>
            <w:top w:w="0" w:type="dxa"/>
            <w:left w:w="108" w:type="dxa"/>
            <w:bottom w:w="0" w:type="dxa"/>
            <w:right w:w="108" w:type="dxa"/>
          </w:tblCellMar>
        </w:tblPrEx>
        <w:trPr>
          <w:trHeight w:val="444" w:hRule="atLeast"/>
          <w:jc w:val="center"/>
        </w:trPr>
        <w:tc>
          <w:tcPr>
            <w:tcW w:w="763" w:type="dxa"/>
            <w:tcBorders>
              <w:top w:val="nil"/>
              <w:left w:val="single" w:color="auto" w:sz="4" w:space="0"/>
              <w:bottom w:val="single" w:color="auto" w:sz="4" w:space="0"/>
              <w:right w:val="single" w:color="auto" w:sz="4" w:space="0"/>
            </w:tcBorders>
            <w:vAlign w:val="center"/>
          </w:tcPr>
          <w:p>
            <w:pPr>
              <w:widowControl/>
              <w:spacing w:line="360" w:lineRule="auto"/>
              <w:ind w:left="-120" w:leftChars="-50" w:right="-120" w:rightChars="-50"/>
              <w:jc w:val="center"/>
              <w:rPr>
                <w:rFonts w:ascii="仿宋_GB2312" w:hAnsi="宋体" w:eastAsia="仿宋_GB2312" w:cs="宋体"/>
                <w:kern w:val="0"/>
                <w:sz w:val="22"/>
                <w:szCs w:val="22"/>
              </w:rPr>
            </w:pPr>
            <w:r>
              <w:rPr>
                <w:rFonts w:hint="eastAsia" w:ascii="仿宋_GB2312" w:hAnsi="宋体" w:eastAsia="仿宋_GB2312" w:cs="宋体"/>
                <w:kern w:val="0"/>
                <w:sz w:val="22"/>
                <w:szCs w:val="22"/>
              </w:rPr>
              <w:t>1</w:t>
            </w:r>
          </w:p>
        </w:tc>
        <w:tc>
          <w:tcPr>
            <w:tcW w:w="5515" w:type="dxa"/>
            <w:tcBorders>
              <w:top w:val="nil"/>
              <w:left w:val="nil"/>
              <w:bottom w:val="single" w:color="auto" w:sz="4" w:space="0"/>
              <w:right w:val="single" w:color="auto" w:sz="4" w:space="0"/>
            </w:tcBorders>
            <w:vAlign w:val="center"/>
          </w:tcPr>
          <w:p>
            <w:pPr>
              <w:widowControl/>
              <w:spacing w:line="360" w:lineRule="auto"/>
              <w:ind w:left="-120" w:leftChars="-50" w:right="-120" w:rightChars="-50"/>
              <w:jc w:val="left"/>
              <w:rPr>
                <w:rFonts w:ascii="仿宋_GB2312" w:hAnsi="宋体" w:eastAsia="仿宋_GB2312" w:cs="宋体"/>
                <w:kern w:val="0"/>
                <w:sz w:val="22"/>
                <w:szCs w:val="22"/>
              </w:rPr>
            </w:pPr>
            <w:r>
              <w:rPr>
                <w:rFonts w:hint="eastAsia" w:ascii="仿宋_GB2312" w:hAnsi="宋体" w:eastAsia="仿宋_GB2312" w:cs="宋体"/>
                <w:kern w:val="0"/>
                <w:sz w:val="22"/>
                <w:szCs w:val="22"/>
              </w:rPr>
              <w:t>啤酒厂占地补偿</w:t>
            </w:r>
          </w:p>
        </w:tc>
        <w:tc>
          <w:tcPr>
            <w:tcW w:w="1000" w:type="dxa"/>
            <w:tcBorders>
              <w:top w:val="nil"/>
              <w:left w:val="nil"/>
              <w:bottom w:val="single" w:color="auto" w:sz="4" w:space="0"/>
              <w:right w:val="single" w:color="auto" w:sz="4" w:space="0"/>
            </w:tcBorders>
            <w:vAlign w:val="center"/>
          </w:tcPr>
          <w:p>
            <w:pPr>
              <w:widowControl/>
              <w:spacing w:line="360" w:lineRule="auto"/>
              <w:ind w:left="-120" w:leftChars="-50" w:right="-120" w:rightChars="-50"/>
              <w:jc w:val="center"/>
              <w:rPr>
                <w:rFonts w:ascii="Times New Roman" w:hAnsi="Times New Roman" w:eastAsia="仿宋_GB2312" w:cs="Times New Roman"/>
                <w:kern w:val="0"/>
                <w:sz w:val="22"/>
                <w:szCs w:val="22"/>
              </w:rPr>
            </w:pPr>
            <w:r>
              <w:rPr>
                <w:rFonts w:ascii="Times New Roman" w:hAnsi="Times New Roman" w:eastAsia="仿宋_GB2312" w:cs="Times New Roman"/>
                <w:kern w:val="0"/>
                <w:sz w:val="22"/>
                <w:szCs w:val="22"/>
              </w:rPr>
              <w:t>100</w:t>
            </w:r>
          </w:p>
        </w:tc>
        <w:tc>
          <w:tcPr>
            <w:tcW w:w="960" w:type="dxa"/>
            <w:tcBorders>
              <w:top w:val="nil"/>
              <w:left w:val="nil"/>
              <w:bottom w:val="single" w:color="auto" w:sz="4" w:space="0"/>
              <w:right w:val="single" w:color="auto" w:sz="4" w:space="0"/>
            </w:tcBorders>
            <w:vAlign w:val="center"/>
          </w:tcPr>
          <w:p>
            <w:pPr>
              <w:widowControl/>
              <w:spacing w:line="360" w:lineRule="auto"/>
              <w:ind w:left="-120" w:leftChars="-50" w:right="-120" w:rightChars="-50"/>
              <w:jc w:val="center"/>
              <w:rPr>
                <w:rFonts w:ascii="Times New Roman" w:hAnsi="Times New Roman" w:eastAsia="仿宋_GB2312" w:cs="Times New Roman"/>
                <w:kern w:val="0"/>
                <w:sz w:val="22"/>
                <w:szCs w:val="22"/>
              </w:rPr>
            </w:pPr>
            <w:r>
              <w:rPr>
                <w:rFonts w:ascii="Times New Roman" w:hAnsi="Times New Roman" w:eastAsia="仿宋_GB2312" w:cs="Times New Roman"/>
                <w:kern w:val="0"/>
                <w:sz w:val="22"/>
                <w:szCs w:val="22"/>
              </w:rPr>
              <w:t>优</w:t>
            </w:r>
          </w:p>
        </w:tc>
      </w:tr>
      <w:tr>
        <w:tblPrEx>
          <w:tblCellMar>
            <w:top w:w="0" w:type="dxa"/>
            <w:left w:w="108" w:type="dxa"/>
            <w:bottom w:w="0" w:type="dxa"/>
            <w:right w:w="108" w:type="dxa"/>
          </w:tblCellMar>
        </w:tblPrEx>
        <w:trPr>
          <w:trHeight w:val="444" w:hRule="atLeast"/>
          <w:jc w:val="center"/>
        </w:trPr>
        <w:tc>
          <w:tcPr>
            <w:tcW w:w="763" w:type="dxa"/>
            <w:tcBorders>
              <w:top w:val="nil"/>
              <w:left w:val="single" w:color="auto" w:sz="4" w:space="0"/>
              <w:bottom w:val="single" w:color="auto" w:sz="4" w:space="0"/>
              <w:right w:val="single" w:color="auto" w:sz="4" w:space="0"/>
            </w:tcBorders>
            <w:vAlign w:val="center"/>
          </w:tcPr>
          <w:p>
            <w:pPr>
              <w:widowControl/>
              <w:spacing w:line="360" w:lineRule="auto"/>
              <w:ind w:left="-120" w:leftChars="-50" w:right="-120" w:rightChars="-50"/>
              <w:jc w:val="center"/>
              <w:rPr>
                <w:rFonts w:ascii="仿宋_GB2312" w:hAnsi="宋体" w:eastAsia="仿宋_GB2312" w:cs="宋体"/>
                <w:kern w:val="0"/>
                <w:sz w:val="22"/>
                <w:szCs w:val="22"/>
              </w:rPr>
            </w:pPr>
            <w:r>
              <w:rPr>
                <w:rFonts w:hint="eastAsia" w:ascii="仿宋_GB2312" w:hAnsi="宋体" w:eastAsia="仿宋_GB2312" w:cs="宋体"/>
                <w:kern w:val="0"/>
                <w:sz w:val="22"/>
                <w:szCs w:val="22"/>
              </w:rPr>
              <w:t>2</w:t>
            </w:r>
          </w:p>
        </w:tc>
        <w:tc>
          <w:tcPr>
            <w:tcW w:w="5515" w:type="dxa"/>
            <w:tcBorders>
              <w:top w:val="nil"/>
              <w:left w:val="nil"/>
              <w:bottom w:val="single" w:color="auto" w:sz="4" w:space="0"/>
              <w:right w:val="single" w:color="auto" w:sz="4" w:space="0"/>
            </w:tcBorders>
            <w:vAlign w:val="center"/>
          </w:tcPr>
          <w:p>
            <w:pPr>
              <w:widowControl/>
              <w:spacing w:line="360" w:lineRule="auto"/>
              <w:ind w:left="-120" w:leftChars="-50" w:right="-120" w:rightChars="-50"/>
              <w:jc w:val="left"/>
              <w:rPr>
                <w:rFonts w:ascii="仿宋_GB2312" w:hAnsi="宋体" w:eastAsia="仿宋_GB2312" w:cs="宋体"/>
                <w:kern w:val="0"/>
                <w:sz w:val="22"/>
                <w:szCs w:val="22"/>
              </w:rPr>
            </w:pPr>
            <w:r>
              <w:rPr>
                <w:rFonts w:hint="eastAsia" w:ascii="仿宋_GB2312" w:hAnsi="宋体" w:eastAsia="仿宋_GB2312" w:cs="宋体"/>
                <w:kern w:val="0"/>
                <w:sz w:val="22"/>
                <w:szCs w:val="22"/>
              </w:rPr>
              <w:t>武装部占地补偿</w:t>
            </w:r>
          </w:p>
        </w:tc>
        <w:tc>
          <w:tcPr>
            <w:tcW w:w="1000" w:type="dxa"/>
            <w:tcBorders>
              <w:top w:val="nil"/>
              <w:left w:val="nil"/>
              <w:bottom w:val="single" w:color="auto" w:sz="4" w:space="0"/>
              <w:right w:val="single" w:color="auto" w:sz="4" w:space="0"/>
            </w:tcBorders>
            <w:vAlign w:val="center"/>
          </w:tcPr>
          <w:p>
            <w:pPr>
              <w:widowControl/>
              <w:spacing w:line="360" w:lineRule="auto"/>
              <w:ind w:left="-120" w:leftChars="-50" w:right="-120" w:rightChars="-50"/>
              <w:jc w:val="center"/>
              <w:rPr>
                <w:rFonts w:ascii="Times New Roman" w:hAnsi="Times New Roman" w:eastAsia="仿宋_GB2312" w:cs="Times New Roman"/>
                <w:kern w:val="0"/>
                <w:sz w:val="22"/>
                <w:szCs w:val="22"/>
              </w:rPr>
            </w:pPr>
            <w:r>
              <w:rPr>
                <w:rFonts w:ascii="Times New Roman" w:hAnsi="Times New Roman" w:eastAsia="仿宋_GB2312" w:cs="Times New Roman"/>
                <w:kern w:val="0"/>
                <w:sz w:val="22"/>
                <w:szCs w:val="22"/>
              </w:rPr>
              <w:t>100</w:t>
            </w:r>
          </w:p>
        </w:tc>
        <w:tc>
          <w:tcPr>
            <w:tcW w:w="960" w:type="dxa"/>
            <w:tcBorders>
              <w:top w:val="nil"/>
              <w:left w:val="nil"/>
              <w:bottom w:val="single" w:color="auto" w:sz="4" w:space="0"/>
              <w:right w:val="single" w:color="auto" w:sz="4" w:space="0"/>
            </w:tcBorders>
            <w:vAlign w:val="center"/>
          </w:tcPr>
          <w:p>
            <w:pPr>
              <w:widowControl/>
              <w:spacing w:line="360" w:lineRule="auto"/>
              <w:ind w:left="-120" w:leftChars="-50" w:right="-120" w:rightChars="-50"/>
              <w:jc w:val="center"/>
              <w:rPr>
                <w:rFonts w:ascii="Times New Roman" w:hAnsi="Times New Roman" w:eastAsia="仿宋_GB2312" w:cs="Times New Roman"/>
                <w:kern w:val="0"/>
                <w:sz w:val="22"/>
                <w:szCs w:val="22"/>
              </w:rPr>
            </w:pPr>
            <w:r>
              <w:rPr>
                <w:rFonts w:ascii="Times New Roman" w:hAnsi="Times New Roman" w:eastAsia="仿宋_GB2312" w:cs="Times New Roman"/>
                <w:kern w:val="0"/>
                <w:sz w:val="22"/>
                <w:szCs w:val="22"/>
              </w:rPr>
              <w:t xml:space="preserve"> 优 </w:t>
            </w:r>
          </w:p>
        </w:tc>
      </w:tr>
      <w:tr>
        <w:tblPrEx>
          <w:tblCellMar>
            <w:top w:w="0" w:type="dxa"/>
            <w:left w:w="108" w:type="dxa"/>
            <w:bottom w:w="0" w:type="dxa"/>
            <w:right w:w="108" w:type="dxa"/>
          </w:tblCellMar>
        </w:tblPrEx>
        <w:trPr>
          <w:trHeight w:val="444" w:hRule="atLeast"/>
          <w:jc w:val="center"/>
        </w:trPr>
        <w:tc>
          <w:tcPr>
            <w:tcW w:w="763" w:type="dxa"/>
            <w:tcBorders>
              <w:top w:val="nil"/>
              <w:left w:val="single" w:color="auto" w:sz="4" w:space="0"/>
              <w:bottom w:val="single" w:color="auto" w:sz="4" w:space="0"/>
              <w:right w:val="single" w:color="auto" w:sz="4" w:space="0"/>
            </w:tcBorders>
            <w:vAlign w:val="center"/>
          </w:tcPr>
          <w:p>
            <w:pPr>
              <w:widowControl/>
              <w:spacing w:line="360" w:lineRule="auto"/>
              <w:ind w:left="-120" w:leftChars="-50" w:right="-120" w:rightChars="-50"/>
              <w:jc w:val="center"/>
              <w:rPr>
                <w:rFonts w:ascii="仿宋_GB2312" w:hAnsi="宋体" w:eastAsia="仿宋_GB2312" w:cs="宋体"/>
                <w:kern w:val="0"/>
                <w:sz w:val="22"/>
                <w:szCs w:val="22"/>
              </w:rPr>
            </w:pPr>
            <w:r>
              <w:rPr>
                <w:rFonts w:hint="eastAsia" w:ascii="仿宋_GB2312" w:hAnsi="宋体" w:eastAsia="仿宋_GB2312" w:cs="宋体"/>
                <w:kern w:val="0"/>
                <w:sz w:val="22"/>
                <w:szCs w:val="22"/>
              </w:rPr>
              <w:t>3</w:t>
            </w:r>
          </w:p>
        </w:tc>
        <w:tc>
          <w:tcPr>
            <w:tcW w:w="5515" w:type="dxa"/>
            <w:tcBorders>
              <w:top w:val="nil"/>
              <w:left w:val="nil"/>
              <w:bottom w:val="single" w:color="auto" w:sz="4" w:space="0"/>
              <w:right w:val="single" w:color="auto" w:sz="4" w:space="0"/>
            </w:tcBorders>
            <w:vAlign w:val="center"/>
          </w:tcPr>
          <w:p>
            <w:pPr>
              <w:widowControl/>
              <w:spacing w:line="360" w:lineRule="auto"/>
              <w:ind w:left="-120" w:leftChars="-50" w:right="-120" w:rightChars="-50"/>
              <w:jc w:val="left"/>
              <w:rPr>
                <w:rFonts w:ascii="仿宋_GB2312" w:hAnsi="宋体" w:eastAsia="仿宋_GB2312" w:cs="宋体"/>
                <w:kern w:val="0"/>
                <w:sz w:val="22"/>
                <w:szCs w:val="22"/>
              </w:rPr>
            </w:pPr>
            <w:r>
              <w:rPr>
                <w:rFonts w:hint="eastAsia" w:ascii="仿宋_GB2312" w:hAnsi="宋体" w:eastAsia="仿宋_GB2312" w:cs="宋体"/>
                <w:kern w:val="0"/>
                <w:sz w:val="22"/>
                <w:szCs w:val="22"/>
              </w:rPr>
              <w:t>排水泵站管护运行费</w:t>
            </w:r>
          </w:p>
        </w:tc>
        <w:tc>
          <w:tcPr>
            <w:tcW w:w="1000" w:type="dxa"/>
            <w:tcBorders>
              <w:top w:val="nil"/>
              <w:left w:val="nil"/>
              <w:bottom w:val="single" w:color="auto" w:sz="4" w:space="0"/>
              <w:right w:val="single" w:color="auto" w:sz="4" w:space="0"/>
            </w:tcBorders>
            <w:vAlign w:val="center"/>
          </w:tcPr>
          <w:p>
            <w:pPr>
              <w:widowControl/>
              <w:spacing w:line="360" w:lineRule="auto"/>
              <w:ind w:left="-120" w:leftChars="-50" w:right="-120" w:rightChars="-50"/>
              <w:jc w:val="center"/>
              <w:rPr>
                <w:rFonts w:ascii="Times New Roman" w:hAnsi="Times New Roman" w:eastAsia="仿宋_GB2312" w:cs="Times New Roman"/>
                <w:kern w:val="0"/>
                <w:sz w:val="22"/>
                <w:szCs w:val="22"/>
              </w:rPr>
            </w:pPr>
            <w:r>
              <w:rPr>
                <w:rFonts w:ascii="Times New Roman" w:hAnsi="Times New Roman" w:eastAsia="仿宋_GB2312" w:cs="Times New Roman"/>
                <w:kern w:val="0"/>
                <w:sz w:val="22"/>
                <w:szCs w:val="22"/>
              </w:rPr>
              <w:t>100</w:t>
            </w:r>
          </w:p>
        </w:tc>
        <w:tc>
          <w:tcPr>
            <w:tcW w:w="960" w:type="dxa"/>
            <w:tcBorders>
              <w:top w:val="nil"/>
              <w:left w:val="nil"/>
              <w:bottom w:val="single" w:color="auto" w:sz="4" w:space="0"/>
              <w:right w:val="single" w:color="auto" w:sz="4" w:space="0"/>
            </w:tcBorders>
            <w:vAlign w:val="center"/>
          </w:tcPr>
          <w:p>
            <w:pPr>
              <w:widowControl/>
              <w:spacing w:line="360" w:lineRule="auto"/>
              <w:ind w:left="-120" w:leftChars="-50" w:right="-120" w:rightChars="-50"/>
              <w:jc w:val="center"/>
              <w:rPr>
                <w:rFonts w:ascii="Times New Roman" w:hAnsi="Times New Roman" w:eastAsia="仿宋_GB2312" w:cs="Times New Roman"/>
                <w:kern w:val="0"/>
                <w:sz w:val="22"/>
                <w:szCs w:val="22"/>
              </w:rPr>
            </w:pPr>
            <w:r>
              <w:rPr>
                <w:rFonts w:ascii="Times New Roman" w:hAnsi="Times New Roman" w:eastAsia="仿宋_GB2312" w:cs="Times New Roman"/>
                <w:kern w:val="0"/>
                <w:sz w:val="22"/>
                <w:szCs w:val="22"/>
              </w:rPr>
              <w:t xml:space="preserve"> 优 </w:t>
            </w:r>
          </w:p>
        </w:tc>
      </w:tr>
      <w:tr>
        <w:tblPrEx>
          <w:tblCellMar>
            <w:top w:w="0" w:type="dxa"/>
            <w:left w:w="108" w:type="dxa"/>
            <w:bottom w:w="0" w:type="dxa"/>
            <w:right w:w="108" w:type="dxa"/>
          </w:tblCellMar>
        </w:tblPrEx>
        <w:trPr>
          <w:trHeight w:val="444" w:hRule="atLeast"/>
          <w:jc w:val="center"/>
        </w:trPr>
        <w:tc>
          <w:tcPr>
            <w:tcW w:w="763" w:type="dxa"/>
            <w:tcBorders>
              <w:top w:val="nil"/>
              <w:left w:val="single" w:color="auto" w:sz="4" w:space="0"/>
              <w:bottom w:val="single" w:color="auto" w:sz="4" w:space="0"/>
              <w:right w:val="single" w:color="auto" w:sz="4" w:space="0"/>
            </w:tcBorders>
            <w:vAlign w:val="center"/>
          </w:tcPr>
          <w:p>
            <w:pPr>
              <w:widowControl/>
              <w:spacing w:line="360" w:lineRule="auto"/>
              <w:ind w:left="-120" w:leftChars="-50" w:right="-120" w:rightChars="-50"/>
              <w:jc w:val="center"/>
              <w:rPr>
                <w:rFonts w:ascii="仿宋_GB2312" w:hAnsi="宋体" w:eastAsia="仿宋_GB2312" w:cs="宋体"/>
                <w:kern w:val="0"/>
                <w:sz w:val="22"/>
                <w:szCs w:val="22"/>
              </w:rPr>
            </w:pPr>
            <w:r>
              <w:rPr>
                <w:rFonts w:hint="eastAsia" w:ascii="仿宋_GB2312" w:hAnsi="宋体" w:eastAsia="仿宋_GB2312" w:cs="宋体"/>
                <w:kern w:val="0"/>
                <w:sz w:val="22"/>
                <w:szCs w:val="22"/>
              </w:rPr>
              <w:t>4</w:t>
            </w:r>
          </w:p>
        </w:tc>
        <w:tc>
          <w:tcPr>
            <w:tcW w:w="5515" w:type="dxa"/>
            <w:tcBorders>
              <w:top w:val="nil"/>
              <w:left w:val="nil"/>
              <w:bottom w:val="single" w:color="auto" w:sz="4" w:space="0"/>
              <w:right w:val="single" w:color="auto" w:sz="4" w:space="0"/>
            </w:tcBorders>
            <w:vAlign w:val="center"/>
          </w:tcPr>
          <w:p>
            <w:pPr>
              <w:widowControl/>
              <w:spacing w:line="360" w:lineRule="auto"/>
              <w:ind w:left="-120" w:leftChars="-50" w:right="-120" w:rightChars="-50"/>
              <w:jc w:val="left"/>
              <w:rPr>
                <w:rFonts w:ascii="仿宋_GB2312" w:hAnsi="宋体" w:eastAsia="仿宋_GB2312" w:cs="宋体"/>
                <w:kern w:val="0"/>
                <w:sz w:val="22"/>
                <w:szCs w:val="22"/>
              </w:rPr>
            </w:pPr>
            <w:r>
              <w:rPr>
                <w:rFonts w:hint="eastAsia" w:ascii="仿宋_GB2312" w:hAnsi="宋体" w:eastAsia="仿宋_GB2312" w:cs="宋体"/>
                <w:kern w:val="0"/>
                <w:sz w:val="22"/>
                <w:szCs w:val="22"/>
              </w:rPr>
              <w:t>获中北侧监测点周边绿化租地款</w:t>
            </w:r>
          </w:p>
        </w:tc>
        <w:tc>
          <w:tcPr>
            <w:tcW w:w="1000" w:type="dxa"/>
            <w:tcBorders>
              <w:top w:val="nil"/>
              <w:left w:val="nil"/>
              <w:bottom w:val="single" w:color="auto" w:sz="4" w:space="0"/>
              <w:right w:val="single" w:color="auto" w:sz="4" w:space="0"/>
            </w:tcBorders>
            <w:vAlign w:val="center"/>
          </w:tcPr>
          <w:p>
            <w:pPr>
              <w:widowControl/>
              <w:spacing w:line="360" w:lineRule="auto"/>
              <w:ind w:left="-120" w:leftChars="-50" w:right="-120" w:rightChars="-50"/>
              <w:jc w:val="center"/>
              <w:rPr>
                <w:rFonts w:ascii="Times New Roman" w:hAnsi="Times New Roman" w:eastAsia="仿宋_GB2312" w:cs="Times New Roman"/>
                <w:kern w:val="0"/>
                <w:sz w:val="22"/>
                <w:szCs w:val="22"/>
              </w:rPr>
            </w:pPr>
            <w:r>
              <w:rPr>
                <w:rFonts w:ascii="Times New Roman" w:hAnsi="Times New Roman" w:eastAsia="仿宋_GB2312" w:cs="Times New Roman"/>
                <w:kern w:val="0"/>
                <w:sz w:val="22"/>
                <w:szCs w:val="22"/>
              </w:rPr>
              <w:t>100</w:t>
            </w:r>
          </w:p>
        </w:tc>
        <w:tc>
          <w:tcPr>
            <w:tcW w:w="960" w:type="dxa"/>
            <w:tcBorders>
              <w:top w:val="nil"/>
              <w:left w:val="nil"/>
              <w:bottom w:val="single" w:color="auto" w:sz="4" w:space="0"/>
              <w:right w:val="single" w:color="auto" w:sz="4" w:space="0"/>
            </w:tcBorders>
            <w:vAlign w:val="center"/>
          </w:tcPr>
          <w:p>
            <w:pPr>
              <w:widowControl/>
              <w:spacing w:line="360" w:lineRule="auto"/>
              <w:ind w:left="-120" w:leftChars="-50" w:right="-120" w:rightChars="-50"/>
              <w:jc w:val="center"/>
              <w:rPr>
                <w:rFonts w:ascii="Times New Roman" w:hAnsi="Times New Roman" w:eastAsia="仿宋_GB2312" w:cs="Times New Roman"/>
                <w:kern w:val="0"/>
                <w:sz w:val="22"/>
                <w:szCs w:val="22"/>
              </w:rPr>
            </w:pPr>
            <w:r>
              <w:rPr>
                <w:rFonts w:ascii="Times New Roman" w:hAnsi="Times New Roman" w:eastAsia="仿宋_GB2312" w:cs="Times New Roman"/>
                <w:kern w:val="0"/>
                <w:sz w:val="22"/>
                <w:szCs w:val="22"/>
              </w:rPr>
              <w:t xml:space="preserve"> 优 </w:t>
            </w:r>
          </w:p>
        </w:tc>
      </w:tr>
      <w:tr>
        <w:tblPrEx>
          <w:tblCellMar>
            <w:top w:w="0" w:type="dxa"/>
            <w:left w:w="108" w:type="dxa"/>
            <w:bottom w:w="0" w:type="dxa"/>
            <w:right w:w="108" w:type="dxa"/>
          </w:tblCellMar>
        </w:tblPrEx>
        <w:trPr>
          <w:trHeight w:val="444" w:hRule="atLeast"/>
          <w:jc w:val="center"/>
        </w:trPr>
        <w:tc>
          <w:tcPr>
            <w:tcW w:w="763" w:type="dxa"/>
            <w:tcBorders>
              <w:top w:val="nil"/>
              <w:left w:val="single" w:color="auto" w:sz="4" w:space="0"/>
              <w:bottom w:val="single" w:color="auto" w:sz="4" w:space="0"/>
              <w:right w:val="single" w:color="auto" w:sz="4" w:space="0"/>
            </w:tcBorders>
            <w:vAlign w:val="center"/>
          </w:tcPr>
          <w:p>
            <w:pPr>
              <w:widowControl/>
              <w:spacing w:line="360" w:lineRule="auto"/>
              <w:ind w:left="-120" w:leftChars="-50" w:right="-120" w:rightChars="-50"/>
              <w:jc w:val="center"/>
              <w:rPr>
                <w:rFonts w:ascii="仿宋_GB2312" w:hAnsi="宋体" w:eastAsia="仿宋_GB2312" w:cs="宋体"/>
                <w:kern w:val="0"/>
                <w:sz w:val="22"/>
                <w:szCs w:val="22"/>
              </w:rPr>
            </w:pPr>
            <w:r>
              <w:rPr>
                <w:rFonts w:hint="eastAsia" w:ascii="仿宋_GB2312" w:hAnsi="宋体" w:eastAsia="仿宋_GB2312" w:cs="宋体"/>
                <w:kern w:val="0"/>
                <w:sz w:val="22"/>
                <w:szCs w:val="22"/>
              </w:rPr>
              <w:t>5</w:t>
            </w:r>
          </w:p>
        </w:tc>
        <w:tc>
          <w:tcPr>
            <w:tcW w:w="5515" w:type="dxa"/>
            <w:tcBorders>
              <w:top w:val="nil"/>
              <w:left w:val="nil"/>
              <w:bottom w:val="single" w:color="auto" w:sz="4" w:space="0"/>
              <w:right w:val="single" w:color="auto" w:sz="4" w:space="0"/>
            </w:tcBorders>
            <w:vAlign w:val="center"/>
          </w:tcPr>
          <w:p>
            <w:pPr>
              <w:widowControl/>
              <w:spacing w:line="360" w:lineRule="auto"/>
              <w:ind w:left="-120" w:leftChars="-50" w:right="-120" w:rightChars="-50"/>
              <w:jc w:val="left"/>
              <w:rPr>
                <w:rFonts w:ascii="仿宋_GB2312" w:hAnsi="宋体" w:eastAsia="仿宋_GB2312" w:cs="宋体"/>
                <w:kern w:val="0"/>
                <w:sz w:val="22"/>
                <w:szCs w:val="22"/>
              </w:rPr>
            </w:pPr>
            <w:r>
              <w:rPr>
                <w:rFonts w:hint="eastAsia" w:ascii="仿宋_GB2312" w:hAnsi="宋体" w:eastAsia="仿宋_GB2312" w:cs="宋体"/>
                <w:kern w:val="0"/>
                <w:sz w:val="22"/>
                <w:szCs w:val="22"/>
              </w:rPr>
              <w:t>军人退役人员公益岗位安置</w:t>
            </w:r>
          </w:p>
        </w:tc>
        <w:tc>
          <w:tcPr>
            <w:tcW w:w="1000" w:type="dxa"/>
            <w:tcBorders>
              <w:top w:val="nil"/>
              <w:left w:val="nil"/>
              <w:bottom w:val="single" w:color="auto" w:sz="4" w:space="0"/>
              <w:right w:val="single" w:color="auto" w:sz="4" w:space="0"/>
            </w:tcBorders>
            <w:vAlign w:val="center"/>
          </w:tcPr>
          <w:p>
            <w:pPr>
              <w:widowControl/>
              <w:spacing w:line="360" w:lineRule="auto"/>
              <w:ind w:left="-120" w:leftChars="-50" w:right="-120" w:rightChars="-50"/>
              <w:jc w:val="center"/>
              <w:rPr>
                <w:rFonts w:ascii="Times New Roman" w:hAnsi="Times New Roman" w:eastAsia="仿宋_GB2312" w:cs="Times New Roman"/>
                <w:kern w:val="0"/>
                <w:sz w:val="22"/>
                <w:szCs w:val="22"/>
              </w:rPr>
            </w:pPr>
            <w:r>
              <w:rPr>
                <w:rFonts w:ascii="Times New Roman" w:hAnsi="Times New Roman" w:eastAsia="仿宋_GB2312" w:cs="Times New Roman"/>
                <w:kern w:val="0"/>
                <w:sz w:val="22"/>
                <w:szCs w:val="22"/>
              </w:rPr>
              <w:t>100</w:t>
            </w:r>
          </w:p>
        </w:tc>
        <w:tc>
          <w:tcPr>
            <w:tcW w:w="960" w:type="dxa"/>
            <w:tcBorders>
              <w:top w:val="nil"/>
              <w:left w:val="nil"/>
              <w:bottom w:val="single" w:color="auto" w:sz="4" w:space="0"/>
              <w:right w:val="single" w:color="auto" w:sz="4" w:space="0"/>
            </w:tcBorders>
            <w:vAlign w:val="center"/>
          </w:tcPr>
          <w:p>
            <w:pPr>
              <w:widowControl/>
              <w:spacing w:line="360" w:lineRule="auto"/>
              <w:ind w:left="-120" w:leftChars="-50" w:right="-120" w:rightChars="-50"/>
              <w:jc w:val="center"/>
              <w:rPr>
                <w:rFonts w:ascii="Times New Roman" w:hAnsi="Times New Roman" w:eastAsia="仿宋_GB2312" w:cs="Times New Roman"/>
                <w:kern w:val="0"/>
                <w:sz w:val="22"/>
                <w:szCs w:val="22"/>
              </w:rPr>
            </w:pPr>
            <w:r>
              <w:rPr>
                <w:rFonts w:ascii="Times New Roman" w:hAnsi="Times New Roman" w:eastAsia="仿宋_GB2312" w:cs="Times New Roman"/>
                <w:kern w:val="0"/>
                <w:sz w:val="22"/>
                <w:szCs w:val="22"/>
              </w:rPr>
              <w:t>优</w:t>
            </w:r>
          </w:p>
        </w:tc>
      </w:tr>
      <w:tr>
        <w:tblPrEx>
          <w:tblCellMar>
            <w:top w:w="0" w:type="dxa"/>
            <w:left w:w="108" w:type="dxa"/>
            <w:bottom w:w="0" w:type="dxa"/>
            <w:right w:w="108" w:type="dxa"/>
          </w:tblCellMar>
        </w:tblPrEx>
        <w:trPr>
          <w:trHeight w:val="444" w:hRule="atLeast"/>
          <w:jc w:val="center"/>
        </w:trPr>
        <w:tc>
          <w:tcPr>
            <w:tcW w:w="763" w:type="dxa"/>
            <w:tcBorders>
              <w:top w:val="nil"/>
              <w:left w:val="single" w:color="auto" w:sz="4" w:space="0"/>
              <w:bottom w:val="single" w:color="auto" w:sz="4" w:space="0"/>
              <w:right w:val="single" w:color="auto" w:sz="4" w:space="0"/>
            </w:tcBorders>
            <w:vAlign w:val="center"/>
          </w:tcPr>
          <w:p>
            <w:pPr>
              <w:widowControl/>
              <w:spacing w:line="360" w:lineRule="auto"/>
              <w:ind w:left="-120" w:leftChars="-50" w:right="-120" w:rightChars="-50"/>
              <w:jc w:val="center"/>
              <w:rPr>
                <w:rFonts w:ascii="仿宋_GB2312" w:hAnsi="宋体" w:eastAsia="仿宋_GB2312" w:cs="宋体"/>
                <w:kern w:val="0"/>
                <w:sz w:val="22"/>
                <w:szCs w:val="22"/>
              </w:rPr>
            </w:pPr>
            <w:r>
              <w:rPr>
                <w:rFonts w:hint="eastAsia" w:ascii="仿宋_GB2312" w:hAnsi="宋体" w:eastAsia="仿宋_GB2312" w:cs="宋体"/>
                <w:kern w:val="0"/>
                <w:sz w:val="22"/>
                <w:szCs w:val="22"/>
              </w:rPr>
              <w:t>6</w:t>
            </w:r>
          </w:p>
        </w:tc>
        <w:tc>
          <w:tcPr>
            <w:tcW w:w="5515" w:type="dxa"/>
            <w:tcBorders>
              <w:top w:val="nil"/>
              <w:left w:val="nil"/>
              <w:bottom w:val="single" w:color="auto" w:sz="4" w:space="0"/>
              <w:right w:val="single" w:color="auto" w:sz="4" w:space="0"/>
            </w:tcBorders>
            <w:vAlign w:val="center"/>
          </w:tcPr>
          <w:p>
            <w:pPr>
              <w:widowControl/>
              <w:spacing w:line="360" w:lineRule="auto"/>
              <w:ind w:left="-120" w:leftChars="-50" w:right="-120" w:rightChars="-50"/>
              <w:jc w:val="left"/>
              <w:rPr>
                <w:rFonts w:ascii="仿宋_GB2312" w:hAnsi="宋体" w:eastAsia="仿宋_GB2312" w:cs="宋体"/>
                <w:kern w:val="0"/>
                <w:sz w:val="22"/>
                <w:szCs w:val="22"/>
              </w:rPr>
            </w:pPr>
            <w:r>
              <w:rPr>
                <w:rFonts w:hint="eastAsia" w:ascii="仿宋_GB2312" w:hAnsi="宋体" w:eastAsia="仿宋_GB2312" w:cs="宋体"/>
                <w:kern w:val="0"/>
                <w:sz w:val="22"/>
                <w:szCs w:val="22"/>
              </w:rPr>
              <w:t>智慧广场花海租地项目</w:t>
            </w:r>
          </w:p>
        </w:tc>
        <w:tc>
          <w:tcPr>
            <w:tcW w:w="1000" w:type="dxa"/>
            <w:tcBorders>
              <w:top w:val="nil"/>
              <w:left w:val="nil"/>
              <w:bottom w:val="single" w:color="auto" w:sz="4" w:space="0"/>
              <w:right w:val="single" w:color="auto" w:sz="4" w:space="0"/>
            </w:tcBorders>
            <w:vAlign w:val="center"/>
          </w:tcPr>
          <w:p>
            <w:pPr>
              <w:widowControl/>
              <w:tabs>
                <w:tab w:val="left" w:pos="426"/>
              </w:tabs>
              <w:spacing w:line="360" w:lineRule="auto"/>
              <w:ind w:left="-120" w:leftChars="-50" w:right="-120" w:rightChars="-50"/>
              <w:jc w:val="center"/>
              <w:rPr>
                <w:rFonts w:ascii="Times New Roman" w:hAnsi="Times New Roman" w:eastAsia="仿宋_GB2312" w:cs="Times New Roman"/>
                <w:kern w:val="0"/>
                <w:sz w:val="22"/>
                <w:szCs w:val="22"/>
              </w:rPr>
            </w:pPr>
            <w:r>
              <w:rPr>
                <w:rFonts w:hint="eastAsia" w:ascii="Times New Roman" w:hAnsi="Times New Roman" w:eastAsia="仿宋_GB2312" w:cs="Times New Roman"/>
                <w:kern w:val="0"/>
                <w:sz w:val="22"/>
                <w:szCs w:val="22"/>
              </w:rPr>
              <w:t>100</w:t>
            </w:r>
          </w:p>
        </w:tc>
        <w:tc>
          <w:tcPr>
            <w:tcW w:w="960" w:type="dxa"/>
            <w:tcBorders>
              <w:top w:val="nil"/>
              <w:left w:val="nil"/>
              <w:bottom w:val="single" w:color="auto" w:sz="4" w:space="0"/>
              <w:right w:val="single" w:color="auto" w:sz="4" w:space="0"/>
            </w:tcBorders>
            <w:vAlign w:val="center"/>
          </w:tcPr>
          <w:p>
            <w:pPr>
              <w:widowControl/>
              <w:spacing w:line="360" w:lineRule="auto"/>
              <w:ind w:left="-120" w:leftChars="-50" w:right="-120" w:rightChars="-50"/>
              <w:jc w:val="center"/>
              <w:rPr>
                <w:rFonts w:ascii="Times New Roman" w:hAnsi="Times New Roman" w:eastAsia="仿宋_GB2312" w:cs="Times New Roman"/>
                <w:kern w:val="0"/>
                <w:sz w:val="22"/>
                <w:szCs w:val="22"/>
              </w:rPr>
            </w:pPr>
            <w:r>
              <w:rPr>
                <w:rFonts w:hint="eastAsia" w:ascii="Times New Roman" w:hAnsi="Times New Roman" w:eastAsia="仿宋_GB2312" w:cs="Times New Roman"/>
                <w:kern w:val="0"/>
                <w:sz w:val="22"/>
                <w:szCs w:val="22"/>
              </w:rPr>
              <w:t>优</w:t>
            </w:r>
          </w:p>
        </w:tc>
      </w:tr>
      <w:tr>
        <w:tblPrEx>
          <w:tblCellMar>
            <w:top w:w="0" w:type="dxa"/>
            <w:left w:w="108" w:type="dxa"/>
            <w:bottom w:w="0" w:type="dxa"/>
            <w:right w:w="108" w:type="dxa"/>
          </w:tblCellMar>
        </w:tblPrEx>
        <w:trPr>
          <w:trHeight w:val="444" w:hRule="atLeast"/>
          <w:jc w:val="center"/>
        </w:trPr>
        <w:tc>
          <w:tcPr>
            <w:tcW w:w="763" w:type="dxa"/>
            <w:tcBorders>
              <w:top w:val="nil"/>
              <w:left w:val="single" w:color="auto" w:sz="4" w:space="0"/>
              <w:bottom w:val="single" w:color="auto" w:sz="4" w:space="0"/>
              <w:right w:val="single" w:color="auto" w:sz="4" w:space="0"/>
            </w:tcBorders>
            <w:vAlign w:val="center"/>
          </w:tcPr>
          <w:p>
            <w:pPr>
              <w:widowControl/>
              <w:spacing w:line="360" w:lineRule="auto"/>
              <w:ind w:left="-120" w:leftChars="-50" w:right="-120" w:rightChars="-50"/>
              <w:jc w:val="center"/>
              <w:rPr>
                <w:rFonts w:ascii="仿宋_GB2312" w:hAnsi="宋体" w:eastAsia="仿宋_GB2312" w:cs="宋体"/>
                <w:kern w:val="0"/>
                <w:sz w:val="22"/>
                <w:szCs w:val="22"/>
              </w:rPr>
            </w:pPr>
            <w:r>
              <w:rPr>
                <w:rFonts w:hint="eastAsia" w:ascii="仿宋_GB2312" w:hAnsi="宋体" w:eastAsia="仿宋_GB2312" w:cs="宋体"/>
                <w:kern w:val="0"/>
                <w:sz w:val="22"/>
                <w:szCs w:val="22"/>
              </w:rPr>
              <w:t>7</w:t>
            </w:r>
          </w:p>
        </w:tc>
        <w:tc>
          <w:tcPr>
            <w:tcW w:w="5515" w:type="dxa"/>
            <w:tcBorders>
              <w:top w:val="nil"/>
              <w:left w:val="nil"/>
              <w:bottom w:val="single" w:color="auto" w:sz="4" w:space="0"/>
              <w:right w:val="single" w:color="auto" w:sz="4" w:space="0"/>
            </w:tcBorders>
            <w:vAlign w:val="center"/>
          </w:tcPr>
          <w:p>
            <w:pPr>
              <w:widowControl/>
              <w:spacing w:line="360" w:lineRule="auto"/>
              <w:ind w:left="-120" w:leftChars="-50" w:right="-120" w:rightChars="-50"/>
              <w:jc w:val="left"/>
              <w:rPr>
                <w:rFonts w:hint="eastAsia" w:ascii="仿宋_GB2312" w:hAnsi="宋体" w:eastAsia="仿宋_GB2312" w:cs="宋体"/>
                <w:kern w:val="0"/>
                <w:sz w:val="22"/>
                <w:szCs w:val="22"/>
                <w:lang w:eastAsia="zh-CN"/>
              </w:rPr>
            </w:pPr>
            <w:r>
              <w:rPr>
                <w:rFonts w:hint="eastAsia" w:ascii="仿宋_GB2312" w:hAnsi="宋体" w:eastAsia="仿宋_GB2312" w:cs="宋体"/>
                <w:kern w:val="0"/>
                <w:sz w:val="22"/>
                <w:szCs w:val="22"/>
                <w:lang w:eastAsia="zh-CN"/>
              </w:rPr>
              <w:t>公共安全保卫维稳事务</w:t>
            </w:r>
          </w:p>
        </w:tc>
        <w:tc>
          <w:tcPr>
            <w:tcW w:w="1000" w:type="dxa"/>
            <w:tcBorders>
              <w:top w:val="nil"/>
              <w:left w:val="nil"/>
              <w:bottom w:val="single" w:color="auto" w:sz="4" w:space="0"/>
              <w:right w:val="single" w:color="auto" w:sz="4" w:space="0"/>
            </w:tcBorders>
            <w:vAlign w:val="center"/>
          </w:tcPr>
          <w:p>
            <w:pPr>
              <w:widowControl/>
              <w:tabs>
                <w:tab w:val="left" w:pos="426"/>
              </w:tabs>
              <w:spacing w:line="360" w:lineRule="auto"/>
              <w:ind w:left="-120" w:leftChars="-50" w:right="-120" w:rightChars="-50"/>
              <w:jc w:val="center"/>
              <w:rPr>
                <w:rFonts w:ascii="Times New Roman" w:hAnsi="Times New Roman" w:eastAsia="仿宋_GB2312" w:cs="Times New Roman"/>
                <w:kern w:val="0"/>
                <w:sz w:val="22"/>
                <w:szCs w:val="22"/>
              </w:rPr>
            </w:pPr>
            <w:r>
              <w:rPr>
                <w:rFonts w:hint="eastAsia" w:ascii="Times New Roman" w:hAnsi="Times New Roman" w:eastAsia="仿宋_GB2312" w:cs="Times New Roman"/>
                <w:kern w:val="0"/>
                <w:sz w:val="22"/>
                <w:szCs w:val="22"/>
                <w:lang w:val="en-US" w:eastAsia="zh-CN"/>
              </w:rPr>
              <w:t>95</w:t>
            </w:r>
          </w:p>
        </w:tc>
        <w:tc>
          <w:tcPr>
            <w:tcW w:w="960" w:type="dxa"/>
            <w:tcBorders>
              <w:top w:val="nil"/>
              <w:left w:val="nil"/>
              <w:bottom w:val="single" w:color="auto" w:sz="4" w:space="0"/>
              <w:right w:val="single" w:color="auto" w:sz="4" w:space="0"/>
            </w:tcBorders>
            <w:vAlign w:val="center"/>
          </w:tcPr>
          <w:p>
            <w:pPr>
              <w:widowControl/>
              <w:spacing w:line="360" w:lineRule="auto"/>
              <w:ind w:left="-120" w:leftChars="-50" w:right="-120" w:rightChars="-50"/>
              <w:jc w:val="center"/>
              <w:rPr>
                <w:rFonts w:ascii="Times New Roman" w:hAnsi="Times New Roman" w:eastAsia="仿宋_GB2312" w:cs="Times New Roman"/>
                <w:kern w:val="0"/>
                <w:sz w:val="22"/>
                <w:szCs w:val="22"/>
              </w:rPr>
            </w:pPr>
            <w:r>
              <w:rPr>
                <w:rFonts w:hint="eastAsia" w:ascii="Times New Roman" w:hAnsi="Times New Roman" w:eastAsia="仿宋_GB2312" w:cs="Times New Roman"/>
                <w:kern w:val="0"/>
                <w:sz w:val="22"/>
                <w:szCs w:val="22"/>
              </w:rPr>
              <w:t>优</w:t>
            </w:r>
          </w:p>
        </w:tc>
      </w:tr>
      <w:tr>
        <w:tblPrEx>
          <w:tblCellMar>
            <w:top w:w="0" w:type="dxa"/>
            <w:left w:w="108" w:type="dxa"/>
            <w:bottom w:w="0" w:type="dxa"/>
            <w:right w:w="108" w:type="dxa"/>
          </w:tblCellMar>
        </w:tblPrEx>
        <w:trPr>
          <w:trHeight w:val="444" w:hRule="atLeast"/>
          <w:jc w:val="center"/>
        </w:trPr>
        <w:tc>
          <w:tcPr>
            <w:tcW w:w="763" w:type="dxa"/>
            <w:tcBorders>
              <w:top w:val="nil"/>
              <w:left w:val="single" w:color="auto" w:sz="4" w:space="0"/>
              <w:bottom w:val="single" w:color="auto" w:sz="4" w:space="0"/>
              <w:right w:val="single" w:color="auto" w:sz="4" w:space="0"/>
            </w:tcBorders>
            <w:vAlign w:val="center"/>
          </w:tcPr>
          <w:p>
            <w:pPr>
              <w:widowControl/>
              <w:spacing w:line="360" w:lineRule="auto"/>
              <w:ind w:left="-120" w:leftChars="-50" w:right="-120" w:rightChars="-50"/>
              <w:jc w:val="center"/>
              <w:rPr>
                <w:rFonts w:ascii="仿宋_GB2312" w:hAnsi="宋体" w:eastAsia="仿宋_GB2312" w:cs="宋体"/>
                <w:kern w:val="0"/>
                <w:sz w:val="22"/>
                <w:szCs w:val="22"/>
              </w:rPr>
            </w:pPr>
            <w:r>
              <w:rPr>
                <w:rFonts w:hint="eastAsia" w:ascii="仿宋_GB2312" w:hAnsi="宋体" w:eastAsia="仿宋_GB2312" w:cs="宋体"/>
                <w:kern w:val="0"/>
                <w:sz w:val="22"/>
                <w:szCs w:val="22"/>
              </w:rPr>
              <w:t>8</w:t>
            </w:r>
          </w:p>
        </w:tc>
        <w:tc>
          <w:tcPr>
            <w:tcW w:w="5515" w:type="dxa"/>
            <w:tcBorders>
              <w:top w:val="nil"/>
              <w:left w:val="nil"/>
              <w:bottom w:val="single" w:color="auto" w:sz="4" w:space="0"/>
              <w:right w:val="single" w:color="auto" w:sz="4" w:space="0"/>
            </w:tcBorders>
            <w:vAlign w:val="center"/>
          </w:tcPr>
          <w:p>
            <w:pPr>
              <w:widowControl/>
              <w:spacing w:line="360" w:lineRule="auto"/>
              <w:ind w:left="-120" w:leftChars="-50" w:right="-120" w:rightChars="-50"/>
              <w:jc w:val="left"/>
              <w:rPr>
                <w:rFonts w:ascii="仿宋_GB2312" w:hAnsi="宋体" w:eastAsia="仿宋_GB2312" w:cs="宋体"/>
                <w:kern w:val="0"/>
                <w:sz w:val="22"/>
                <w:szCs w:val="22"/>
              </w:rPr>
            </w:pPr>
            <w:r>
              <w:rPr>
                <w:rFonts w:hint="eastAsia" w:ascii="仿宋_GB2312" w:hAnsi="宋体" w:eastAsia="仿宋_GB2312" w:cs="宋体"/>
                <w:kern w:val="0"/>
                <w:sz w:val="22"/>
                <w:szCs w:val="22"/>
              </w:rPr>
              <w:t>节能环保管理事务</w:t>
            </w:r>
          </w:p>
        </w:tc>
        <w:tc>
          <w:tcPr>
            <w:tcW w:w="1000" w:type="dxa"/>
            <w:tcBorders>
              <w:top w:val="nil"/>
              <w:left w:val="nil"/>
              <w:bottom w:val="single" w:color="auto" w:sz="4" w:space="0"/>
              <w:right w:val="single" w:color="auto" w:sz="4" w:space="0"/>
            </w:tcBorders>
            <w:vAlign w:val="center"/>
          </w:tcPr>
          <w:p>
            <w:pPr>
              <w:widowControl/>
              <w:spacing w:line="360" w:lineRule="auto"/>
              <w:ind w:left="-120" w:leftChars="-50" w:right="-120" w:rightChars="-50"/>
              <w:jc w:val="center"/>
              <w:rPr>
                <w:rFonts w:ascii="Times New Roman" w:hAnsi="Times New Roman" w:eastAsia="仿宋_GB2312" w:cs="Times New Roman"/>
                <w:kern w:val="0"/>
                <w:sz w:val="22"/>
                <w:szCs w:val="22"/>
              </w:rPr>
            </w:pPr>
            <w:r>
              <w:rPr>
                <w:rFonts w:hint="eastAsia" w:ascii="Times New Roman" w:hAnsi="Times New Roman" w:eastAsia="仿宋_GB2312" w:cs="Times New Roman"/>
                <w:kern w:val="0"/>
                <w:sz w:val="22"/>
                <w:szCs w:val="22"/>
                <w:lang w:val="en-US" w:eastAsia="zh-CN"/>
              </w:rPr>
              <w:t>100</w:t>
            </w:r>
          </w:p>
        </w:tc>
        <w:tc>
          <w:tcPr>
            <w:tcW w:w="960" w:type="dxa"/>
            <w:tcBorders>
              <w:top w:val="nil"/>
              <w:left w:val="nil"/>
              <w:bottom w:val="single" w:color="auto" w:sz="4" w:space="0"/>
              <w:right w:val="single" w:color="auto" w:sz="4" w:space="0"/>
            </w:tcBorders>
            <w:vAlign w:val="center"/>
          </w:tcPr>
          <w:p>
            <w:pPr>
              <w:widowControl/>
              <w:spacing w:line="360" w:lineRule="auto"/>
              <w:ind w:left="-120" w:leftChars="-50" w:right="-120" w:rightChars="-50"/>
              <w:jc w:val="center"/>
              <w:rPr>
                <w:rFonts w:ascii="Times New Roman" w:hAnsi="Times New Roman" w:eastAsia="仿宋_GB2312" w:cs="Times New Roman"/>
                <w:kern w:val="0"/>
                <w:sz w:val="22"/>
                <w:szCs w:val="22"/>
              </w:rPr>
            </w:pPr>
            <w:r>
              <w:rPr>
                <w:rFonts w:ascii="Times New Roman" w:hAnsi="Times New Roman" w:eastAsia="仿宋_GB2312" w:cs="Times New Roman"/>
                <w:kern w:val="0"/>
                <w:sz w:val="22"/>
                <w:szCs w:val="22"/>
              </w:rPr>
              <w:t xml:space="preserve"> 优 </w:t>
            </w:r>
          </w:p>
        </w:tc>
      </w:tr>
      <w:tr>
        <w:tblPrEx>
          <w:tblCellMar>
            <w:top w:w="0" w:type="dxa"/>
            <w:left w:w="108" w:type="dxa"/>
            <w:bottom w:w="0" w:type="dxa"/>
            <w:right w:w="108" w:type="dxa"/>
          </w:tblCellMar>
        </w:tblPrEx>
        <w:trPr>
          <w:trHeight w:val="444" w:hRule="atLeast"/>
          <w:jc w:val="center"/>
        </w:trPr>
        <w:tc>
          <w:tcPr>
            <w:tcW w:w="763" w:type="dxa"/>
            <w:tcBorders>
              <w:top w:val="nil"/>
              <w:left w:val="single" w:color="auto" w:sz="4" w:space="0"/>
              <w:bottom w:val="single" w:color="auto" w:sz="4" w:space="0"/>
              <w:right w:val="single" w:color="auto" w:sz="4" w:space="0"/>
            </w:tcBorders>
            <w:vAlign w:val="center"/>
          </w:tcPr>
          <w:p>
            <w:pPr>
              <w:widowControl/>
              <w:spacing w:line="360" w:lineRule="auto"/>
              <w:ind w:left="-120" w:leftChars="-50" w:right="-120" w:rightChars="-50"/>
              <w:jc w:val="center"/>
              <w:rPr>
                <w:rFonts w:ascii="仿宋_GB2312" w:hAnsi="宋体" w:eastAsia="仿宋_GB2312" w:cs="宋体"/>
                <w:kern w:val="0"/>
                <w:sz w:val="22"/>
                <w:szCs w:val="22"/>
              </w:rPr>
            </w:pPr>
            <w:r>
              <w:rPr>
                <w:rFonts w:hint="eastAsia" w:ascii="仿宋_GB2312" w:hAnsi="宋体" w:eastAsia="仿宋_GB2312" w:cs="宋体"/>
                <w:kern w:val="0"/>
                <w:sz w:val="22"/>
                <w:szCs w:val="22"/>
              </w:rPr>
              <w:t>9</w:t>
            </w:r>
          </w:p>
        </w:tc>
        <w:tc>
          <w:tcPr>
            <w:tcW w:w="5515" w:type="dxa"/>
            <w:tcBorders>
              <w:top w:val="nil"/>
              <w:left w:val="nil"/>
              <w:bottom w:val="single" w:color="auto" w:sz="4" w:space="0"/>
              <w:right w:val="single" w:color="auto" w:sz="4" w:space="0"/>
            </w:tcBorders>
            <w:vAlign w:val="center"/>
          </w:tcPr>
          <w:p>
            <w:pPr>
              <w:widowControl/>
              <w:spacing w:line="360" w:lineRule="auto"/>
              <w:ind w:left="-120" w:leftChars="-50" w:right="-120" w:rightChars="-50"/>
              <w:jc w:val="left"/>
              <w:rPr>
                <w:rFonts w:ascii="仿宋_GB2312" w:hAnsi="宋体" w:eastAsia="仿宋_GB2312" w:cs="宋体"/>
                <w:kern w:val="0"/>
                <w:sz w:val="22"/>
                <w:szCs w:val="22"/>
              </w:rPr>
            </w:pPr>
            <w:r>
              <w:rPr>
                <w:rFonts w:hint="eastAsia" w:ascii="仿宋_GB2312" w:hAnsi="宋体" w:eastAsia="仿宋_GB2312" w:cs="宋体"/>
                <w:kern w:val="0"/>
                <w:sz w:val="22"/>
                <w:szCs w:val="22"/>
              </w:rPr>
              <w:t>城乡社区基础设施建设项目</w:t>
            </w:r>
          </w:p>
        </w:tc>
        <w:tc>
          <w:tcPr>
            <w:tcW w:w="1000" w:type="dxa"/>
            <w:tcBorders>
              <w:top w:val="nil"/>
              <w:left w:val="nil"/>
              <w:bottom w:val="single" w:color="auto" w:sz="4" w:space="0"/>
              <w:right w:val="single" w:color="auto" w:sz="4" w:space="0"/>
            </w:tcBorders>
            <w:vAlign w:val="center"/>
          </w:tcPr>
          <w:p>
            <w:pPr>
              <w:widowControl/>
              <w:spacing w:line="360" w:lineRule="auto"/>
              <w:ind w:left="-120" w:leftChars="-50" w:right="-120" w:rightChars="-50"/>
              <w:jc w:val="center"/>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90</w:t>
            </w:r>
          </w:p>
        </w:tc>
        <w:tc>
          <w:tcPr>
            <w:tcW w:w="960" w:type="dxa"/>
            <w:tcBorders>
              <w:top w:val="nil"/>
              <w:left w:val="nil"/>
              <w:bottom w:val="single" w:color="auto" w:sz="4" w:space="0"/>
              <w:right w:val="single" w:color="auto" w:sz="4" w:space="0"/>
            </w:tcBorders>
            <w:vAlign w:val="center"/>
          </w:tcPr>
          <w:p>
            <w:pPr>
              <w:widowControl/>
              <w:spacing w:line="360" w:lineRule="auto"/>
              <w:ind w:left="-120" w:leftChars="-50" w:right="-120" w:rightChars="-50"/>
              <w:jc w:val="center"/>
              <w:rPr>
                <w:rFonts w:ascii="Times New Roman" w:hAnsi="Times New Roman" w:eastAsia="仿宋_GB2312" w:cs="Times New Roman"/>
                <w:kern w:val="0"/>
                <w:sz w:val="22"/>
                <w:szCs w:val="22"/>
              </w:rPr>
            </w:pPr>
            <w:r>
              <w:rPr>
                <w:rFonts w:ascii="Times New Roman" w:hAnsi="Times New Roman" w:eastAsia="仿宋_GB2312" w:cs="Times New Roman"/>
                <w:kern w:val="0"/>
                <w:sz w:val="22"/>
                <w:szCs w:val="22"/>
              </w:rPr>
              <w:t xml:space="preserve"> 优 </w:t>
            </w:r>
          </w:p>
        </w:tc>
      </w:tr>
      <w:tr>
        <w:tblPrEx>
          <w:tblCellMar>
            <w:top w:w="0" w:type="dxa"/>
            <w:left w:w="108" w:type="dxa"/>
            <w:bottom w:w="0" w:type="dxa"/>
            <w:right w:w="108" w:type="dxa"/>
          </w:tblCellMar>
        </w:tblPrEx>
        <w:trPr>
          <w:trHeight w:val="444" w:hRule="atLeast"/>
          <w:jc w:val="center"/>
        </w:trPr>
        <w:tc>
          <w:tcPr>
            <w:tcW w:w="763" w:type="dxa"/>
            <w:tcBorders>
              <w:top w:val="nil"/>
              <w:left w:val="single" w:color="auto" w:sz="4" w:space="0"/>
              <w:bottom w:val="single" w:color="auto" w:sz="4" w:space="0"/>
              <w:right w:val="single" w:color="auto" w:sz="4" w:space="0"/>
            </w:tcBorders>
            <w:vAlign w:val="center"/>
          </w:tcPr>
          <w:p>
            <w:pPr>
              <w:widowControl/>
              <w:spacing w:line="360" w:lineRule="auto"/>
              <w:ind w:left="-120" w:leftChars="-50" w:right="-120" w:rightChars="-50"/>
              <w:jc w:val="center"/>
              <w:rPr>
                <w:rFonts w:ascii="仿宋_GB2312" w:hAnsi="宋体" w:eastAsia="仿宋_GB2312" w:cs="宋体"/>
                <w:kern w:val="0"/>
                <w:sz w:val="22"/>
                <w:szCs w:val="22"/>
              </w:rPr>
            </w:pPr>
            <w:r>
              <w:rPr>
                <w:rFonts w:hint="eastAsia" w:ascii="仿宋_GB2312" w:hAnsi="宋体" w:eastAsia="仿宋_GB2312" w:cs="宋体"/>
                <w:kern w:val="0"/>
                <w:sz w:val="22"/>
                <w:szCs w:val="22"/>
              </w:rPr>
              <w:t>10</w:t>
            </w:r>
          </w:p>
        </w:tc>
        <w:tc>
          <w:tcPr>
            <w:tcW w:w="5515" w:type="dxa"/>
            <w:tcBorders>
              <w:top w:val="nil"/>
              <w:left w:val="nil"/>
              <w:bottom w:val="single" w:color="auto" w:sz="4" w:space="0"/>
              <w:right w:val="single" w:color="auto" w:sz="4" w:space="0"/>
            </w:tcBorders>
            <w:vAlign w:val="center"/>
          </w:tcPr>
          <w:p>
            <w:pPr>
              <w:widowControl/>
              <w:spacing w:line="360" w:lineRule="auto"/>
              <w:ind w:left="-120" w:leftChars="-50" w:right="-120" w:rightChars="-50"/>
              <w:jc w:val="left"/>
              <w:rPr>
                <w:rFonts w:ascii="仿宋_GB2312" w:hAnsi="宋体" w:eastAsia="仿宋_GB2312" w:cs="宋体"/>
                <w:kern w:val="0"/>
                <w:sz w:val="22"/>
                <w:szCs w:val="22"/>
              </w:rPr>
            </w:pPr>
            <w:r>
              <w:rPr>
                <w:rFonts w:hint="eastAsia" w:ascii="仿宋_GB2312" w:hAnsi="宋体" w:eastAsia="仿宋_GB2312" w:cs="宋体"/>
                <w:kern w:val="0"/>
                <w:sz w:val="22"/>
                <w:szCs w:val="22"/>
              </w:rPr>
              <w:t>社区管理服务提升项目</w:t>
            </w:r>
          </w:p>
        </w:tc>
        <w:tc>
          <w:tcPr>
            <w:tcW w:w="1000" w:type="dxa"/>
            <w:tcBorders>
              <w:top w:val="nil"/>
              <w:left w:val="nil"/>
              <w:bottom w:val="single" w:color="auto" w:sz="4" w:space="0"/>
              <w:right w:val="single" w:color="auto" w:sz="4" w:space="0"/>
            </w:tcBorders>
            <w:vAlign w:val="center"/>
          </w:tcPr>
          <w:p>
            <w:pPr>
              <w:widowControl/>
              <w:spacing w:line="360" w:lineRule="auto"/>
              <w:ind w:left="-120" w:leftChars="-50" w:right="-120" w:rightChars="-50"/>
              <w:jc w:val="center"/>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80</w:t>
            </w:r>
          </w:p>
        </w:tc>
        <w:tc>
          <w:tcPr>
            <w:tcW w:w="960" w:type="dxa"/>
            <w:tcBorders>
              <w:top w:val="nil"/>
              <w:left w:val="nil"/>
              <w:bottom w:val="single" w:color="auto" w:sz="4" w:space="0"/>
              <w:right w:val="single" w:color="auto" w:sz="4" w:space="0"/>
            </w:tcBorders>
            <w:vAlign w:val="center"/>
          </w:tcPr>
          <w:p>
            <w:pPr>
              <w:widowControl/>
              <w:spacing w:line="360" w:lineRule="auto"/>
              <w:ind w:left="-120" w:leftChars="-50" w:right="-120" w:rightChars="-50"/>
              <w:jc w:val="center"/>
              <w:rPr>
                <w:rFonts w:hint="eastAsia" w:ascii="Times New Roman" w:hAnsi="Times New Roman" w:eastAsia="仿宋_GB2312" w:cs="Times New Roman"/>
                <w:kern w:val="0"/>
                <w:sz w:val="22"/>
                <w:szCs w:val="22"/>
                <w:lang w:eastAsia="zh-CN"/>
              </w:rPr>
            </w:pPr>
            <w:r>
              <w:rPr>
                <w:rFonts w:ascii="Times New Roman" w:hAnsi="Times New Roman" w:eastAsia="仿宋_GB2312" w:cs="Times New Roman"/>
                <w:kern w:val="0"/>
                <w:sz w:val="22"/>
                <w:szCs w:val="22"/>
              </w:rPr>
              <w:t xml:space="preserve"> </w:t>
            </w:r>
            <w:r>
              <w:rPr>
                <w:rFonts w:hint="eastAsia" w:ascii="Times New Roman" w:hAnsi="Times New Roman" w:eastAsia="仿宋_GB2312" w:cs="Times New Roman"/>
                <w:kern w:val="0"/>
                <w:sz w:val="22"/>
                <w:szCs w:val="22"/>
                <w:lang w:eastAsia="zh-CN"/>
              </w:rPr>
              <w:t>良</w:t>
            </w:r>
          </w:p>
        </w:tc>
      </w:tr>
      <w:tr>
        <w:tblPrEx>
          <w:tblCellMar>
            <w:top w:w="0" w:type="dxa"/>
            <w:left w:w="108" w:type="dxa"/>
            <w:bottom w:w="0" w:type="dxa"/>
            <w:right w:w="108" w:type="dxa"/>
          </w:tblCellMar>
        </w:tblPrEx>
        <w:trPr>
          <w:trHeight w:val="444" w:hRule="atLeast"/>
          <w:jc w:val="center"/>
        </w:trPr>
        <w:tc>
          <w:tcPr>
            <w:tcW w:w="763" w:type="dxa"/>
            <w:tcBorders>
              <w:top w:val="nil"/>
              <w:left w:val="single" w:color="auto" w:sz="4" w:space="0"/>
              <w:bottom w:val="single" w:color="auto" w:sz="4" w:space="0"/>
              <w:right w:val="single" w:color="auto" w:sz="4" w:space="0"/>
            </w:tcBorders>
            <w:vAlign w:val="center"/>
          </w:tcPr>
          <w:p>
            <w:pPr>
              <w:widowControl/>
              <w:spacing w:line="360" w:lineRule="auto"/>
              <w:ind w:left="-120" w:leftChars="-50" w:right="-120" w:rightChars="-50"/>
              <w:jc w:val="center"/>
              <w:rPr>
                <w:rFonts w:ascii="仿宋_GB2312" w:hAnsi="宋体" w:eastAsia="仿宋_GB2312" w:cs="宋体"/>
                <w:kern w:val="0"/>
                <w:sz w:val="22"/>
                <w:szCs w:val="22"/>
              </w:rPr>
            </w:pPr>
            <w:r>
              <w:rPr>
                <w:rFonts w:hint="eastAsia" w:ascii="仿宋_GB2312" w:hAnsi="宋体" w:eastAsia="仿宋_GB2312" w:cs="宋体"/>
                <w:kern w:val="0"/>
                <w:sz w:val="22"/>
                <w:szCs w:val="22"/>
              </w:rPr>
              <w:t>11</w:t>
            </w:r>
          </w:p>
        </w:tc>
        <w:tc>
          <w:tcPr>
            <w:tcW w:w="5515" w:type="dxa"/>
            <w:tcBorders>
              <w:top w:val="nil"/>
              <w:left w:val="nil"/>
              <w:bottom w:val="single" w:color="auto" w:sz="4" w:space="0"/>
              <w:right w:val="single" w:color="auto" w:sz="4" w:space="0"/>
            </w:tcBorders>
            <w:vAlign w:val="center"/>
          </w:tcPr>
          <w:p>
            <w:pPr>
              <w:widowControl/>
              <w:tabs>
                <w:tab w:val="left" w:pos="826"/>
              </w:tabs>
              <w:spacing w:line="360" w:lineRule="auto"/>
              <w:ind w:right="-120" w:rightChars="-50"/>
              <w:rPr>
                <w:rFonts w:ascii="仿宋_GB2312" w:hAnsi="宋体" w:eastAsia="仿宋_GB2312" w:cs="宋体"/>
                <w:kern w:val="0"/>
                <w:sz w:val="22"/>
                <w:szCs w:val="22"/>
              </w:rPr>
            </w:pPr>
            <w:r>
              <w:rPr>
                <w:rFonts w:hint="eastAsia" w:ascii="仿宋_GB2312" w:hAnsi="宋体" w:eastAsia="仿宋_GB2312" w:cs="宋体"/>
                <w:kern w:val="0"/>
                <w:sz w:val="22"/>
                <w:szCs w:val="22"/>
              </w:rPr>
              <w:t>城乡人居环境打造项目</w:t>
            </w:r>
          </w:p>
        </w:tc>
        <w:tc>
          <w:tcPr>
            <w:tcW w:w="1000" w:type="dxa"/>
            <w:tcBorders>
              <w:top w:val="nil"/>
              <w:left w:val="nil"/>
              <w:bottom w:val="single" w:color="auto" w:sz="4" w:space="0"/>
              <w:right w:val="single" w:color="auto" w:sz="4" w:space="0"/>
            </w:tcBorders>
            <w:vAlign w:val="center"/>
          </w:tcPr>
          <w:p>
            <w:pPr>
              <w:widowControl/>
              <w:spacing w:line="360" w:lineRule="auto"/>
              <w:ind w:left="-120" w:leftChars="-50" w:right="-120" w:rightChars="-50"/>
              <w:jc w:val="center"/>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78</w:t>
            </w:r>
          </w:p>
        </w:tc>
        <w:tc>
          <w:tcPr>
            <w:tcW w:w="960" w:type="dxa"/>
            <w:tcBorders>
              <w:top w:val="nil"/>
              <w:left w:val="nil"/>
              <w:bottom w:val="single" w:color="auto" w:sz="4" w:space="0"/>
              <w:right w:val="single" w:color="auto" w:sz="4" w:space="0"/>
            </w:tcBorders>
            <w:vAlign w:val="center"/>
          </w:tcPr>
          <w:p>
            <w:pPr>
              <w:widowControl/>
              <w:tabs>
                <w:tab w:val="left" w:pos="296"/>
              </w:tabs>
              <w:spacing w:line="360" w:lineRule="auto"/>
              <w:ind w:left="-120" w:leftChars="-50" w:right="-120" w:rightChars="-50"/>
              <w:jc w:val="left"/>
              <w:rPr>
                <w:rFonts w:ascii="Times New Roman" w:hAnsi="Times New Roman" w:eastAsia="仿宋_GB2312" w:cs="Times New Roman"/>
                <w:kern w:val="0"/>
                <w:sz w:val="22"/>
                <w:szCs w:val="22"/>
              </w:rPr>
            </w:pPr>
            <w:r>
              <w:rPr>
                <w:rFonts w:hint="eastAsia" w:ascii="Times New Roman" w:hAnsi="Times New Roman" w:eastAsia="仿宋_GB2312" w:cs="Times New Roman"/>
                <w:kern w:val="0"/>
                <w:sz w:val="22"/>
                <w:szCs w:val="22"/>
              </w:rPr>
              <w:tab/>
            </w:r>
            <w:r>
              <w:rPr>
                <w:rFonts w:hint="eastAsia" w:ascii="Times New Roman" w:hAnsi="Times New Roman" w:eastAsia="仿宋_GB2312" w:cs="Times New Roman"/>
                <w:kern w:val="0"/>
                <w:sz w:val="22"/>
                <w:szCs w:val="22"/>
              </w:rPr>
              <w:t>良</w:t>
            </w:r>
          </w:p>
        </w:tc>
      </w:tr>
      <w:tr>
        <w:tblPrEx>
          <w:tblCellMar>
            <w:top w:w="0" w:type="dxa"/>
            <w:left w:w="108" w:type="dxa"/>
            <w:bottom w:w="0" w:type="dxa"/>
            <w:right w:w="108" w:type="dxa"/>
          </w:tblCellMar>
        </w:tblPrEx>
        <w:trPr>
          <w:trHeight w:val="444" w:hRule="atLeast"/>
          <w:jc w:val="center"/>
        </w:trPr>
        <w:tc>
          <w:tcPr>
            <w:tcW w:w="763" w:type="dxa"/>
            <w:tcBorders>
              <w:top w:val="nil"/>
              <w:left w:val="single" w:color="auto" w:sz="4" w:space="0"/>
              <w:bottom w:val="single" w:color="auto" w:sz="4" w:space="0"/>
              <w:right w:val="single" w:color="auto" w:sz="4" w:space="0"/>
            </w:tcBorders>
            <w:vAlign w:val="center"/>
          </w:tcPr>
          <w:p>
            <w:pPr>
              <w:widowControl/>
              <w:spacing w:line="360" w:lineRule="auto"/>
              <w:ind w:left="-120" w:leftChars="-50" w:right="-120" w:rightChars="-50"/>
              <w:jc w:val="center"/>
              <w:rPr>
                <w:rFonts w:ascii="仿宋_GB2312" w:hAnsi="宋体" w:eastAsia="仿宋_GB2312" w:cs="宋体"/>
                <w:kern w:val="0"/>
                <w:sz w:val="22"/>
                <w:szCs w:val="22"/>
              </w:rPr>
            </w:pPr>
            <w:r>
              <w:rPr>
                <w:rFonts w:hint="eastAsia" w:ascii="仿宋_GB2312" w:hAnsi="宋体" w:eastAsia="仿宋_GB2312" w:cs="宋体"/>
                <w:kern w:val="0"/>
                <w:sz w:val="22"/>
                <w:szCs w:val="22"/>
              </w:rPr>
              <w:t>12</w:t>
            </w:r>
          </w:p>
        </w:tc>
        <w:tc>
          <w:tcPr>
            <w:tcW w:w="5515" w:type="dxa"/>
            <w:tcBorders>
              <w:top w:val="nil"/>
              <w:left w:val="nil"/>
              <w:bottom w:val="single" w:color="auto" w:sz="4" w:space="0"/>
              <w:right w:val="single" w:color="auto" w:sz="4" w:space="0"/>
            </w:tcBorders>
            <w:vAlign w:val="center"/>
          </w:tcPr>
          <w:p>
            <w:pPr>
              <w:widowControl/>
              <w:spacing w:line="360" w:lineRule="auto"/>
              <w:ind w:right="-120" w:rightChars="-50"/>
              <w:jc w:val="left"/>
              <w:rPr>
                <w:rFonts w:ascii="仿宋_GB2312" w:hAnsi="宋体" w:eastAsia="仿宋_GB2312" w:cs="宋体"/>
                <w:kern w:val="0"/>
                <w:sz w:val="22"/>
                <w:szCs w:val="22"/>
              </w:rPr>
            </w:pPr>
            <w:r>
              <w:rPr>
                <w:rFonts w:hint="eastAsia" w:ascii="仿宋_GB2312" w:hAnsi="宋体" w:eastAsia="仿宋_GB2312" w:cs="宋体"/>
                <w:kern w:val="0"/>
                <w:sz w:val="22"/>
                <w:szCs w:val="22"/>
              </w:rPr>
              <w:t>医疗卫生与计划生育事务</w:t>
            </w:r>
          </w:p>
        </w:tc>
        <w:tc>
          <w:tcPr>
            <w:tcW w:w="1000" w:type="dxa"/>
            <w:tcBorders>
              <w:top w:val="nil"/>
              <w:left w:val="nil"/>
              <w:bottom w:val="single" w:color="auto" w:sz="4" w:space="0"/>
              <w:right w:val="single" w:color="auto" w:sz="4" w:space="0"/>
            </w:tcBorders>
            <w:vAlign w:val="center"/>
          </w:tcPr>
          <w:p>
            <w:pPr>
              <w:widowControl/>
              <w:tabs>
                <w:tab w:val="left" w:pos="261"/>
              </w:tabs>
              <w:spacing w:line="360" w:lineRule="auto"/>
              <w:ind w:left="-120" w:leftChars="-50" w:right="-120" w:rightChars="-50"/>
              <w:jc w:val="center"/>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95</w:t>
            </w:r>
          </w:p>
        </w:tc>
        <w:tc>
          <w:tcPr>
            <w:tcW w:w="960" w:type="dxa"/>
            <w:tcBorders>
              <w:top w:val="nil"/>
              <w:left w:val="nil"/>
              <w:bottom w:val="single" w:color="auto" w:sz="4" w:space="0"/>
              <w:right w:val="single" w:color="auto" w:sz="4" w:space="0"/>
            </w:tcBorders>
            <w:vAlign w:val="center"/>
          </w:tcPr>
          <w:p>
            <w:pPr>
              <w:widowControl/>
              <w:spacing w:line="360" w:lineRule="auto"/>
              <w:ind w:left="-120" w:leftChars="-50" w:right="-120" w:rightChars="-50"/>
              <w:jc w:val="center"/>
              <w:rPr>
                <w:rFonts w:ascii="Times New Roman" w:hAnsi="Times New Roman" w:eastAsia="仿宋_GB2312" w:cs="Times New Roman"/>
                <w:kern w:val="0"/>
                <w:sz w:val="22"/>
                <w:szCs w:val="22"/>
              </w:rPr>
            </w:pPr>
            <w:r>
              <w:rPr>
                <w:rFonts w:ascii="Times New Roman" w:hAnsi="Times New Roman" w:eastAsia="仿宋_GB2312" w:cs="Times New Roman"/>
                <w:kern w:val="0"/>
                <w:sz w:val="22"/>
                <w:szCs w:val="22"/>
              </w:rPr>
              <w:t xml:space="preserve"> 优 </w:t>
            </w:r>
          </w:p>
        </w:tc>
      </w:tr>
      <w:tr>
        <w:tblPrEx>
          <w:tblCellMar>
            <w:top w:w="0" w:type="dxa"/>
            <w:left w:w="108" w:type="dxa"/>
            <w:bottom w:w="0" w:type="dxa"/>
            <w:right w:w="108" w:type="dxa"/>
          </w:tblCellMar>
        </w:tblPrEx>
        <w:trPr>
          <w:trHeight w:val="444" w:hRule="atLeast"/>
          <w:jc w:val="center"/>
        </w:trPr>
        <w:tc>
          <w:tcPr>
            <w:tcW w:w="763" w:type="dxa"/>
            <w:tcBorders>
              <w:top w:val="nil"/>
              <w:left w:val="single" w:color="auto" w:sz="4" w:space="0"/>
              <w:bottom w:val="single" w:color="auto" w:sz="4" w:space="0"/>
              <w:right w:val="single" w:color="auto" w:sz="4" w:space="0"/>
            </w:tcBorders>
            <w:vAlign w:val="center"/>
          </w:tcPr>
          <w:p>
            <w:pPr>
              <w:widowControl/>
              <w:spacing w:line="360" w:lineRule="auto"/>
              <w:ind w:left="-120" w:leftChars="-50" w:right="-120" w:rightChars="-50"/>
              <w:jc w:val="center"/>
              <w:rPr>
                <w:rFonts w:ascii="仿宋_GB2312" w:hAnsi="宋体" w:eastAsia="仿宋_GB2312" w:cs="宋体"/>
                <w:kern w:val="0"/>
                <w:sz w:val="22"/>
                <w:szCs w:val="22"/>
              </w:rPr>
            </w:pPr>
            <w:r>
              <w:rPr>
                <w:rFonts w:hint="eastAsia" w:ascii="仿宋_GB2312" w:hAnsi="宋体" w:eastAsia="仿宋_GB2312" w:cs="宋体"/>
                <w:kern w:val="0"/>
                <w:sz w:val="22"/>
                <w:szCs w:val="22"/>
              </w:rPr>
              <w:t>13</w:t>
            </w:r>
          </w:p>
        </w:tc>
        <w:tc>
          <w:tcPr>
            <w:tcW w:w="5515" w:type="dxa"/>
            <w:tcBorders>
              <w:top w:val="nil"/>
              <w:left w:val="nil"/>
              <w:bottom w:val="single" w:color="auto" w:sz="4" w:space="0"/>
              <w:right w:val="single" w:color="auto" w:sz="4" w:space="0"/>
            </w:tcBorders>
            <w:vAlign w:val="center"/>
          </w:tcPr>
          <w:p>
            <w:pPr>
              <w:widowControl/>
              <w:spacing w:line="360" w:lineRule="auto"/>
              <w:ind w:right="-120" w:rightChars="-50"/>
              <w:jc w:val="left"/>
              <w:rPr>
                <w:rFonts w:hint="eastAsia" w:ascii="仿宋_GB2312" w:hAnsi="宋体" w:eastAsia="仿宋_GB2312" w:cs="宋体"/>
                <w:kern w:val="0"/>
                <w:sz w:val="22"/>
                <w:szCs w:val="22"/>
                <w:lang w:eastAsia="zh-CN"/>
              </w:rPr>
            </w:pPr>
            <w:r>
              <w:rPr>
                <w:rFonts w:hint="eastAsia" w:ascii="仿宋_GB2312" w:hAnsi="宋体" w:eastAsia="仿宋_GB2312" w:cs="宋体"/>
                <w:kern w:val="0"/>
                <w:sz w:val="22"/>
                <w:szCs w:val="22"/>
                <w:lang w:eastAsia="zh-CN"/>
              </w:rPr>
              <w:t>机关社区辅助人员劳务费项目</w:t>
            </w:r>
          </w:p>
        </w:tc>
        <w:tc>
          <w:tcPr>
            <w:tcW w:w="1000" w:type="dxa"/>
            <w:tcBorders>
              <w:top w:val="nil"/>
              <w:left w:val="nil"/>
              <w:bottom w:val="single" w:color="auto" w:sz="4" w:space="0"/>
              <w:right w:val="single" w:color="auto" w:sz="4" w:space="0"/>
            </w:tcBorders>
            <w:vAlign w:val="center"/>
          </w:tcPr>
          <w:p>
            <w:pPr>
              <w:widowControl/>
              <w:tabs>
                <w:tab w:val="left" w:pos="366"/>
              </w:tabs>
              <w:spacing w:line="360" w:lineRule="auto"/>
              <w:ind w:left="-120" w:leftChars="-50" w:right="-120" w:rightChars="-50"/>
              <w:jc w:val="center"/>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80</w:t>
            </w:r>
          </w:p>
        </w:tc>
        <w:tc>
          <w:tcPr>
            <w:tcW w:w="960" w:type="dxa"/>
            <w:tcBorders>
              <w:top w:val="nil"/>
              <w:left w:val="nil"/>
              <w:bottom w:val="single" w:color="auto" w:sz="4" w:space="0"/>
              <w:right w:val="single" w:color="auto" w:sz="4" w:space="0"/>
            </w:tcBorders>
            <w:vAlign w:val="center"/>
          </w:tcPr>
          <w:p>
            <w:pPr>
              <w:widowControl/>
              <w:spacing w:line="360" w:lineRule="auto"/>
              <w:ind w:left="-120" w:leftChars="-50" w:right="-120" w:rightChars="-50"/>
              <w:jc w:val="center"/>
              <w:rPr>
                <w:rFonts w:hint="eastAsia" w:ascii="Times New Roman" w:hAnsi="Times New Roman" w:eastAsia="仿宋_GB2312" w:cs="Times New Roman"/>
                <w:kern w:val="0"/>
                <w:sz w:val="22"/>
                <w:szCs w:val="22"/>
                <w:lang w:eastAsia="zh-CN"/>
              </w:rPr>
            </w:pPr>
            <w:r>
              <w:rPr>
                <w:rFonts w:ascii="Times New Roman" w:hAnsi="Times New Roman" w:eastAsia="仿宋_GB2312" w:cs="Times New Roman"/>
                <w:kern w:val="0"/>
                <w:sz w:val="22"/>
                <w:szCs w:val="22"/>
              </w:rPr>
              <w:t xml:space="preserve"> </w:t>
            </w:r>
            <w:r>
              <w:rPr>
                <w:rFonts w:hint="eastAsia" w:ascii="Times New Roman" w:hAnsi="Times New Roman" w:eastAsia="仿宋_GB2312" w:cs="Times New Roman"/>
                <w:kern w:val="0"/>
                <w:sz w:val="22"/>
                <w:szCs w:val="22"/>
                <w:lang w:eastAsia="zh-CN"/>
              </w:rPr>
              <w:t>良</w:t>
            </w:r>
          </w:p>
        </w:tc>
      </w:tr>
      <w:tr>
        <w:tblPrEx>
          <w:tblCellMar>
            <w:top w:w="0" w:type="dxa"/>
            <w:left w:w="108" w:type="dxa"/>
            <w:bottom w:w="0" w:type="dxa"/>
            <w:right w:w="108" w:type="dxa"/>
          </w:tblCellMar>
        </w:tblPrEx>
        <w:trPr>
          <w:trHeight w:val="444" w:hRule="atLeast"/>
          <w:jc w:val="center"/>
        </w:trPr>
        <w:tc>
          <w:tcPr>
            <w:tcW w:w="763" w:type="dxa"/>
            <w:tcBorders>
              <w:top w:val="nil"/>
              <w:left w:val="single" w:color="auto" w:sz="4" w:space="0"/>
              <w:bottom w:val="single" w:color="auto" w:sz="4" w:space="0"/>
              <w:right w:val="single" w:color="auto" w:sz="4" w:space="0"/>
            </w:tcBorders>
            <w:vAlign w:val="center"/>
          </w:tcPr>
          <w:p>
            <w:pPr>
              <w:widowControl/>
              <w:spacing w:line="360" w:lineRule="auto"/>
              <w:ind w:left="-120" w:leftChars="-50" w:right="-120" w:rightChars="-50"/>
              <w:jc w:val="center"/>
              <w:rPr>
                <w:rFonts w:ascii="仿宋_GB2312" w:hAnsi="宋体" w:eastAsia="仿宋_GB2312" w:cs="宋体"/>
                <w:kern w:val="0"/>
                <w:sz w:val="22"/>
                <w:szCs w:val="22"/>
              </w:rPr>
            </w:pPr>
            <w:r>
              <w:rPr>
                <w:rFonts w:hint="eastAsia" w:ascii="仿宋_GB2312" w:hAnsi="宋体" w:eastAsia="仿宋_GB2312" w:cs="宋体"/>
                <w:kern w:val="0"/>
                <w:sz w:val="22"/>
                <w:szCs w:val="22"/>
              </w:rPr>
              <w:t>14</w:t>
            </w:r>
          </w:p>
        </w:tc>
        <w:tc>
          <w:tcPr>
            <w:tcW w:w="5515" w:type="dxa"/>
            <w:tcBorders>
              <w:top w:val="nil"/>
              <w:left w:val="nil"/>
              <w:bottom w:val="single" w:color="auto" w:sz="4" w:space="0"/>
              <w:right w:val="single" w:color="auto" w:sz="4" w:space="0"/>
            </w:tcBorders>
            <w:vAlign w:val="center"/>
          </w:tcPr>
          <w:p>
            <w:pPr>
              <w:widowControl/>
              <w:spacing w:line="360" w:lineRule="auto"/>
              <w:ind w:right="-120" w:rightChars="-50"/>
              <w:jc w:val="left"/>
              <w:rPr>
                <w:rFonts w:ascii="仿宋_GB2312" w:hAnsi="宋体" w:eastAsia="仿宋_GB2312" w:cs="宋体"/>
                <w:kern w:val="0"/>
                <w:sz w:val="22"/>
                <w:szCs w:val="22"/>
              </w:rPr>
            </w:pPr>
            <w:r>
              <w:rPr>
                <w:rFonts w:hint="eastAsia" w:ascii="仿宋_GB2312" w:hAnsi="宋体" w:eastAsia="仿宋_GB2312" w:cs="宋体"/>
                <w:kern w:val="0"/>
                <w:sz w:val="22"/>
                <w:szCs w:val="22"/>
              </w:rPr>
              <w:t>学校代课教师劳务费项目</w:t>
            </w:r>
          </w:p>
        </w:tc>
        <w:tc>
          <w:tcPr>
            <w:tcW w:w="1000" w:type="dxa"/>
            <w:tcBorders>
              <w:top w:val="nil"/>
              <w:left w:val="nil"/>
              <w:bottom w:val="single" w:color="auto" w:sz="4" w:space="0"/>
              <w:right w:val="single" w:color="auto" w:sz="4" w:space="0"/>
            </w:tcBorders>
            <w:vAlign w:val="center"/>
          </w:tcPr>
          <w:p>
            <w:pPr>
              <w:widowControl/>
              <w:tabs>
                <w:tab w:val="left" w:pos="201"/>
              </w:tabs>
              <w:spacing w:line="360" w:lineRule="auto"/>
              <w:ind w:left="-120" w:leftChars="-50" w:right="-120" w:rightChars="-50"/>
              <w:jc w:val="center"/>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85</w:t>
            </w:r>
          </w:p>
        </w:tc>
        <w:tc>
          <w:tcPr>
            <w:tcW w:w="960" w:type="dxa"/>
            <w:tcBorders>
              <w:top w:val="nil"/>
              <w:left w:val="nil"/>
              <w:bottom w:val="single" w:color="auto" w:sz="4" w:space="0"/>
              <w:right w:val="single" w:color="auto" w:sz="4" w:space="0"/>
            </w:tcBorders>
            <w:vAlign w:val="center"/>
          </w:tcPr>
          <w:p>
            <w:pPr>
              <w:widowControl/>
              <w:spacing w:line="360" w:lineRule="auto"/>
              <w:ind w:left="-120" w:leftChars="-50" w:right="-120" w:rightChars="-50"/>
              <w:jc w:val="center"/>
              <w:rPr>
                <w:rFonts w:ascii="Times New Roman" w:hAnsi="Times New Roman" w:eastAsia="仿宋_GB2312" w:cs="Times New Roman"/>
                <w:kern w:val="0"/>
                <w:sz w:val="22"/>
                <w:szCs w:val="22"/>
              </w:rPr>
            </w:pPr>
            <w:r>
              <w:rPr>
                <w:rFonts w:ascii="Times New Roman" w:hAnsi="Times New Roman" w:eastAsia="仿宋_GB2312" w:cs="Times New Roman"/>
                <w:kern w:val="0"/>
                <w:sz w:val="22"/>
                <w:szCs w:val="22"/>
              </w:rPr>
              <w:t xml:space="preserve"> </w:t>
            </w:r>
            <w:r>
              <w:rPr>
                <w:rFonts w:hint="eastAsia" w:ascii="Times New Roman" w:hAnsi="Times New Roman" w:eastAsia="仿宋_GB2312" w:cs="Times New Roman"/>
                <w:kern w:val="0"/>
                <w:sz w:val="22"/>
                <w:szCs w:val="22"/>
                <w:lang w:eastAsia="zh-CN"/>
              </w:rPr>
              <w:t>良</w:t>
            </w:r>
            <w:r>
              <w:rPr>
                <w:rFonts w:ascii="Times New Roman" w:hAnsi="Times New Roman" w:eastAsia="仿宋_GB2312" w:cs="Times New Roman"/>
                <w:kern w:val="0"/>
                <w:sz w:val="22"/>
                <w:szCs w:val="22"/>
              </w:rPr>
              <w:t xml:space="preserve"> </w:t>
            </w:r>
          </w:p>
        </w:tc>
      </w:tr>
      <w:tr>
        <w:tblPrEx>
          <w:tblCellMar>
            <w:top w:w="0" w:type="dxa"/>
            <w:left w:w="108" w:type="dxa"/>
            <w:bottom w:w="0" w:type="dxa"/>
            <w:right w:w="108" w:type="dxa"/>
          </w:tblCellMar>
        </w:tblPrEx>
        <w:trPr>
          <w:trHeight w:val="444" w:hRule="atLeast"/>
          <w:jc w:val="center"/>
        </w:trPr>
        <w:tc>
          <w:tcPr>
            <w:tcW w:w="763" w:type="dxa"/>
            <w:tcBorders>
              <w:top w:val="nil"/>
              <w:left w:val="single" w:color="auto" w:sz="4" w:space="0"/>
              <w:bottom w:val="single" w:color="auto" w:sz="4" w:space="0"/>
              <w:right w:val="single" w:color="auto" w:sz="4" w:space="0"/>
            </w:tcBorders>
            <w:vAlign w:val="center"/>
          </w:tcPr>
          <w:p>
            <w:pPr>
              <w:widowControl/>
              <w:spacing w:line="360" w:lineRule="auto"/>
              <w:ind w:left="-120" w:leftChars="-50" w:right="-120" w:rightChars="-50"/>
              <w:jc w:val="center"/>
              <w:rPr>
                <w:rFonts w:ascii="仿宋_GB2312" w:hAnsi="宋体" w:eastAsia="仿宋_GB2312" w:cs="宋体"/>
                <w:kern w:val="0"/>
                <w:sz w:val="22"/>
                <w:szCs w:val="22"/>
              </w:rPr>
            </w:pPr>
            <w:r>
              <w:rPr>
                <w:rFonts w:hint="eastAsia" w:ascii="仿宋_GB2312" w:hAnsi="宋体" w:eastAsia="仿宋_GB2312" w:cs="宋体"/>
                <w:kern w:val="0"/>
                <w:sz w:val="22"/>
                <w:szCs w:val="22"/>
              </w:rPr>
              <w:t>15</w:t>
            </w:r>
          </w:p>
        </w:tc>
        <w:tc>
          <w:tcPr>
            <w:tcW w:w="5515" w:type="dxa"/>
            <w:tcBorders>
              <w:top w:val="nil"/>
              <w:left w:val="nil"/>
              <w:bottom w:val="single" w:color="auto" w:sz="4" w:space="0"/>
              <w:right w:val="single" w:color="auto" w:sz="4" w:space="0"/>
            </w:tcBorders>
            <w:vAlign w:val="center"/>
          </w:tcPr>
          <w:p>
            <w:pPr>
              <w:widowControl/>
              <w:spacing w:line="360" w:lineRule="auto"/>
              <w:ind w:right="-120" w:rightChars="-50"/>
              <w:jc w:val="left"/>
              <w:rPr>
                <w:rFonts w:ascii="仿宋_GB2312" w:hAnsi="宋体" w:eastAsia="仿宋_GB2312" w:cs="宋体"/>
                <w:kern w:val="0"/>
                <w:sz w:val="22"/>
                <w:szCs w:val="22"/>
              </w:rPr>
            </w:pPr>
            <w:r>
              <w:rPr>
                <w:rFonts w:hint="eastAsia" w:ascii="仿宋_GB2312" w:hAnsi="宋体" w:eastAsia="仿宋_GB2312" w:cs="宋体"/>
                <w:kern w:val="0"/>
                <w:sz w:val="22"/>
                <w:szCs w:val="22"/>
              </w:rPr>
              <w:t>文化体育宣传事务</w:t>
            </w:r>
          </w:p>
        </w:tc>
        <w:tc>
          <w:tcPr>
            <w:tcW w:w="1000" w:type="dxa"/>
            <w:tcBorders>
              <w:top w:val="nil"/>
              <w:left w:val="nil"/>
              <w:bottom w:val="single" w:color="auto" w:sz="4" w:space="0"/>
              <w:right w:val="single" w:color="auto" w:sz="4" w:space="0"/>
            </w:tcBorders>
            <w:vAlign w:val="center"/>
          </w:tcPr>
          <w:p>
            <w:pPr>
              <w:widowControl/>
              <w:tabs>
                <w:tab w:val="left" w:pos="201"/>
              </w:tabs>
              <w:spacing w:line="360" w:lineRule="auto"/>
              <w:ind w:left="-120" w:leftChars="-50" w:right="-120" w:rightChars="-50"/>
              <w:jc w:val="center"/>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90</w:t>
            </w:r>
          </w:p>
        </w:tc>
        <w:tc>
          <w:tcPr>
            <w:tcW w:w="960" w:type="dxa"/>
            <w:tcBorders>
              <w:top w:val="nil"/>
              <w:left w:val="nil"/>
              <w:bottom w:val="single" w:color="auto" w:sz="4" w:space="0"/>
              <w:right w:val="single" w:color="auto" w:sz="4" w:space="0"/>
            </w:tcBorders>
            <w:vAlign w:val="center"/>
          </w:tcPr>
          <w:p>
            <w:pPr>
              <w:widowControl/>
              <w:spacing w:line="360" w:lineRule="auto"/>
              <w:ind w:left="-120" w:leftChars="-50" w:right="-120" w:rightChars="-50"/>
              <w:jc w:val="center"/>
              <w:rPr>
                <w:rFonts w:ascii="Times New Roman" w:hAnsi="Times New Roman" w:eastAsia="仿宋_GB2312" w:cs="Times New Roman"/>
                <w:kern w:val="0"/>
                <w:sz w:val="22"/>
                <w:szCs w:val="22"/>
              </w:rPr>
            </w:pPr>
            <w:r>
              <w:rPr>
                <w:rFonts w:ascii="Times New Roman" w:hAnsi="Times New Roman" w:eastAsia="仿宋_GB2312" w:cs="Times New Roman"/>
                <w:kern w:val="0"/>
                <w:sz w:val="22"/>
                <w:szCs w:val="22"/>
              </w:rPr>
              <w:t xml:space="preserve"> 优 </w:t>
            </w:r>
          </w:p>
        </w:tc>
      </w:tr>
      <w:tr>
        <w:tblPrEx>
          <w:tblCellMar>
            <w:top w:w="0" w:type="dxa"/>
            <w:left w:w="108" w:type="dxa"/>
            <w:bottom w:w="0" w:type="dxa"/>
            <w:right w:w="108" w:type="dxa"/>
          </w:tblCellMar>
        </w:tblPrEx>
        <w:trPr>
          <w:trHeight w:val="444" w:hRule="atLeast"/>
          <w:jc w:val="center"/>
        </w:trPr>
        <w:tc>
          <w:tcPr>
            <w:tcW w:w="763" w:type="dxa"/>
            <w:tcBorders>
              <w:top w:val="nil"/>
              <w:left w:val="single" w:color="auto" w:sz="4" w:space="0"/>
              <w:bottom w:val="single" w:color="auto" w:sz="4" w:space="0"/>
              <w:right w:val="single" w:color="auto" w:sz="4" w:space="0"/>
            </w:tcBorders>
            <w:vAlign w:val="center"/>
          </w:tcPr>
          <w:p>
            <w:pPr>
              <w:widowControl/>
              <w:spacing w:line="360" w:lineRule="auto"/>
              <w:ind w:left="-120" w:leftChars="-50" w:right="-120" w:rightChars="-50"/>
              <w:jc w:val="center"/>
              <w:rPr>
                <w:rFonts w:ascii="仿宋_GB2312" w:hAnsi="宋体" w:eastAsia="仿宋_GB2312" w:cs="宋体"/>
                <w:kern w:val="0"/>
                <w:sz w:val="22"/>
                <w:szCs w:val="22"/>
              </w:rPr>
            </w:pPr>
            <w:r>
              <w:rPr>
                <w:rFonts w:hint="eastAsia" w:ascii="仿宋_GB2312" w:hAnsi="宋体" w:eastAsia="仿宋_GB2312" w:cs="宋体"/>
                <w:kern w:val="0"/>
                <w:sz w:val="22"/>
                <w:szCs w:val="22"/>
              </w:rPr>
              <w:t>16</w:t>
            </w:r>
          </w:p>
        </w:tc>
        <w:tc>
          <w:tcPr>
            <w:tcW w:w="5515" w:type="dxa"/>
            <w:tcBorders>
              <w:top w:val="nil"/>
              <w:left w:val="nil"/>
              <w:bottom w:val="single" w:color="auto" w:sz="4" w:space="0"/>
              <w:right w:val="single" w:color="auto" w:sz="4" w:space="0"/>
            </w:tcBorders>
            <w:vAlign w:val="center"/>
          </w:tcPr>
          <w:p>
            <w:pPr>
              <w:widowControl/>
              <w:spacing w:line="360" w:lineRule="auto"/>
              <w:ind w:right="-120" w:rightChars="-50"/>
              <w:jc w:val="left"/>
              <w:rPr>
                <w:rFonts w:hint="eastAsia" w:ascii="仿宋_GB2312" w:hAnsi="宋体" w:eastAsia="仿宋_GB2312" w:cs="宋体"/>
                <w:kern w:val="0"/>
                <w:sz w:val="22"/>
                <w:szCs w:val="22"/>
                <w:lang w:eastAsia="zh-CN"/>
              </w:rPr>
            </w:pPr>
            <w:r>
              <w:rPr>
                <w:rFonts w:hint="eastAsia" w:ascii="仿宋_GB2312" w:hAnsi="宋体" w:eastAsia="仿宋_GB2312" w:cs="宋体"/>
                <w:kern w:val="0"/>
                <w:sz w:val="22"/>
                <w:szCs w:val="22"/>
                <w:lang w:eastAsia="zh-CN"/>
              </w:rPr>
              <w:t>垃圾分类项目</w:t>
            </w:r>
          </w:p>
        </w:tc>
        <w:tc>
          <w:tcPr>
            <w:tcW w:w="1000" w:type="dxa"/>
            <w:tcBorders>
              <w:top w:val="nil"/>
              <w:left w:val="nil"/>
              <w:bottom w:val="single" w:color="auto" w:sz="4" w:space="0"/>
              <w:right w:val="single" w:color="auto" w:sz="4" w:space="0"/>
            </w:tcBorders>
            <w:vAlign w:val="center"/>
          </w:tcPr>
          <w:p>
            <w:pPr>
              <w:widowControl/>
              <w:tabs>
                <w:tab w:val="left" w:pos="276"/>
              </w:tabs>
              <w:spacing w:line="360" w:lineRule="auto"/>
              <w:ind w:left="-120" w:leftChars="-50" w:right="-120" w:rightChars="-50"/>
              <w:jc w:val="center"/>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100</w:t>
            </w:r>
          </w:p>
        </w:tc>
        <w:tc>
          <w:tcPr>
            <w:tcW w:w="960" w:type="dxa"/>
            <w:tcBorders>
              <w:top w:val="nil"/>
              <w:left w:val="nil"/>
              <w:bottom w:val="single" w:color="auto" w:sz="4" w:space="0"/>
              <w:right w:val="single" w:color="auto" w:sz="4" w:space="0"/>
            </w:tcBorders>
            <w:vAlign w:val="center"/>
          </w:tcPr>
          <w:p>
            <w:pPr>
              <w:widowControl/>
              <w:spacing w:line="360" w:lineRule="auto"/>
              <w:ind w:left="-120" w:leftChars="-50" w:right="-120" w:rightChars="-50"/>
              <w:jc w:val="center"/>
              <w:rPr>
                <w:rFonts w:ascii="Times New Roman" w:hAnsi="Times New Roman" w:eastAsia="仿宋_GB2312" w:cs="Times New Roman"/>
                <w:kern w:val="0"/>
                <w:sz w:val="22"/>
                <w:szCs w:val="22"/>
              </w:rPr>
            </w:pPr>
            <w:r>
              <w:rPr>
                <w:rFonts w:ascii="Times New Roman" w:hAnsi="Times New Roman" w:eastAsia="仿宋_GB2312" w:cs="Times New Roman"/>
                <w:kern w:val="0"/>
                <w:sz w:val="22"/>
                <w:szCs w:val="22"/>
              </w:rPr>
              <w:t xml:space="preserve"> </w:t>
            </w:r>
            <w:r>
              <w:rPr>
                <w:rFonts w:hint="eastAsia" w:ascii="Times New Roman" w:hAnsi="Times New Roman" w:eastAsia="仿宋_GB2312" w:cs="Times New Roman"/>
                <w:kern w:val="0"/>
                <w:sz w:val="22"/>
                <w:szCs w:val="22"/>
              </w:rPr>
              <w:t>优</w:t>
            </w:r>
          </w:p>
        </w:tc>
      </w:tr>
      <w:tr>
        <w:tblPrEx>
          <w:tblCellMar>
            <w:top w:w="0" w:type="dxa"/>
            <w:left w:w="108" w:type="dxa"/>
            <w:bottom w:w="0" w:type="dxa"/>
            <w:right w:w="108" w:type="dxa"/>
          </w:tblCellMar>
        </w:tblPrEx>
        <w:trPr>
          <w:trHeight w:val="444" w:hRule="atLeast"/>
          <w:jc w:val="center"/>
        </w:trPr>
        <w:tc>
          <w:tcPr>
            <w:tcW w:w="763" w:type="dxa"/>
            <w:tcBorders>
              <w:top w:val="nil"/>
              <w:left w:val="single" w:color="auto" w:sz="4" w:space="0"/>
              <w:bottom w:val="single" w:color="auto" w:sz="4" w:space="0"/>
              <w:right w:val="single" w:color="auto" w:sz="4" w:space="0"/>
            </w:tcBorders>
            <w:vAlign w:val="center"/>
          </w:tcPr>
          <w:p>
            <w:pPr>
              <w:widowControl/>
              <w:spacing w:line="360" w:lineRule="auto"/>
              <w:ind w:left="-120" w:leftChars="-50" w:right="-120" w:rightChars="-50"/>
              <w:jc w:val="center"/>
              <w:rPr>
                <w:rFonts w:ascii="仿宋_GB2312" w:hAnsi="宋体" w:eastAsia="仿宋_GB2312" w:cs="宋体"/>
                <w:kern w:val="0"/>
                <w:sz w:val="22"/>
                <w:szCs w:val="22"/>
              </w:rPr>
            </w:pPr>
            <w:r>
              <w:rPr>
                <w:rFonts w:hint="eastAsia" w:ascii="仿宋_GB2312" w:hAnsi="宋体" w:eastAsia="仿宋_GB2312" w:cs="宋体"/>
                <w:kern w:val="0"/>
                <w:sz w:val="22"/>
                <w:szCs w:val="22"/>
              </w:rPr>
              <w:t>17</w:t>
            </w:r>
          </w:p>
        </w:tc>
        <w:tc>
          <w:tcPr>
            <w:tcW w:w="5515" w:type="dxa"/>
            <w:tcBorders>
              <w:top w:val="nil"/>
              <w:left w:val="nil"/>
              <w:bottom w:val="single" w:color="auto" w:sz="4" w:space="0"/>
              <w:right w:val="single" w:color="auto" w:sz="4" w:space="0"/>
            </w:tcBorders>
            <w:vAlign w:val="center"/>
          </w:tcPr>
          <w:p>
            <w:pPr>
              <w:widowControl/>
              <w:spacing w:line="360" w:lineRule="auto"/>
              <w:ind w:right="-120" w:rightChars="-50"/>
              <w:jc w:val="left"/>
              <w:rPr>
                <w:rFonts w:hint="eastAsia" w:ascii="仿宋_GB2312" w:hAnsi="宋体" w:eastAsia="仿宋_GB2312" w:cs="宋体"/>
                <w:kern w:val="0"/>
                <w:sz w:val="22"/>
                <w:szCs w:val="22"/>
                <w:lang w:eastAsia="zh-CN"/>
              </w:rPr>
            </w:pPr>
            <w:r>
              <w:rPr>
                <w:rFonts w:hint="eastAsia" w:ascii="仿宋_GB2312" w:hAnsi="宋体" w:eastAsia="仿宋_GB2312" w:cs="宋体"/>
                <w:kern w:val="0"/>
                <w:sz w:val="22"/>
                <w:szCs w:val="22"/>
                <w:lang w:eastAsia="zh-CN"/>
              </w:rPr>
              <w:t>追加福康小区换热站项目</w:t>
            </w:r>
          </w:p>
        </w:tc>
        <w:tc>
          <w:tcPr>
            <w:tcW w:w="1000" w:type="dxa"/>
            <w:tcBorders>
              <w:top w:val="nil"/>
              <w:left w:val="nil"/>
              <w:bottom w:val="single" w:color="auto" w:sz="4" w:space="0"/>
              <w:right w:val="single" w:color="auto" w:sz="4" w:space="0"/>
            </w:tcBorders>
            <w:vAlign w:val="center"/>
          </w:tcPr>
          <w:p>
            <w:pPr>
              <w:widowControl/>
              <w:tabs>
                <w:tab w:val="left" w:pos="381"/>
              </w:tabs>
              <w:spacing w:line="360" w:lineRule="auto"/>
              <w:ind w:left="-120" w:leftChars="-50" w:right="-120" w:rightChars="-50"/>
              <w:jc w:val="center"/>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100</w:t>
            </w:r>
          </w:p>
        </w:tc>
        <w:tc>
          <w:tcPr>
            <w:tcW w:w="960" w:type="dxa"/>
            <w:tcBorders>
              <w:top w:val="nil"/>
              <w:left w:val="nil"/>
              <w:bottom w:val="single" w:color="auto" w:sz="4" w:space="0"/>
              <w:right w:val="single" w:color="auto" w:sz="4" w:space="0"/>
            </w:tcBorders>
            <w:vAlign w:val="center"/>
          </w:tcPr>
          <w:p>
            <w:pPr>
              <w:widowControl/>
              <w:spacing w:line="360" w:lineRule="auto"/>
              <w:ind w:left="-120" w:leftChars="-50" w:right="-120" w:rightChars="-50"/>
              <w:jc w:val="center"/>
              <w:rPr>
                <w:rFonts w:ascii="Times New Roman" w:hAnsi="Times New Roman" w:eastAsia="仿宋_GB2312" w:cs="Times New Roman"/>
                <w:kern w:val="0"/>
                <w:sz w:val="22"/>
                <w:szCs w:val="22"/>
              </w:rPr>
            </w:pPr>
            <w:r>
              <w:rPr>
                <w:rFonts w:ascii="Times New Roman" w:hAnsi="Times New Roman" w:eastAsia="仿宋_GB2312" w:cs="Times New Roman"/>
                <w:kern w:val="0"/>
                <w:sz w:val="22"/>
                <w:szCs w:val="22"/>
              </w:rPr>
              <w:t xml:space="preserve"> 优 </w:t>
            </w:r>
          </w:p>
        </w:tc>
      </w:tr>
      <w:tr>
        <w:tblPrEx>
          <w:tblCellMar>
            <w:top w:w="0" w:type="dxa"/>
            <w:left w:w="108" w:type="dxa"/>
            <w:bottom w:w="0" w:type="dxa"/>
            <w:right w:w="108" w:type="dxa"/>
          </w:tblCellMar>
        </w:tblPrEx>
        <w:trPr>
          <w:trHeight w:val="444"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120" w:leftChars="-50" w:right="-120" w:rightChars="-50"/>
              <w:jc w:val="center"/>
              <w:rPr>
                <w:rFonts w:ascii="仿宋_GB2312" w:hAnsi="宋体" w:eastAsia="仿宋_GB2312" w:cs="宋体"/>
                <w:kern w:val="0"/>
                <w:sz w:val="22"/>
                <w:szCs w:val="22"/>
              </w:rPr>
            </w:pPr>
            <w:r>
              <w:rPr>
                <w:rFonts w:hint="eastAsia" w:ascii="仿宋_GB2312" w:hAnsi="宋体" w:eastAsia="仿宋_GB2312" w:cs="宋体"/>
                <w:kern w:val="0"/>
                <w:sz w:val="22"/>
                <w:szCs w:val="22"/>
              </w:rPr>
              <w:t>18</w:t>
            </w:r>
          </w:p>
        </w:tc>
        <w:tc>
          <w:tcPr>
            <w:tcW w:w="5515"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right="-120" w:rightChars="-50"/>
              <w:jc w:val="left"/>
              <w:rPr>
                <w:rFonts w:hint="eastAsia" w:ascii="仿宋_GB2312" w:hAnsi="宋体" w:eastAsia="仿宋_GB2312" w:cs="宋体"/>
                <w:kern w:val="0"/>
                <w:sz w:val="22"/>
                <w:szCs w:val="22"/>
                <w:lang w:eastAsia="zh-CN"/>
              </w:rPr>
            </w:pPr>
            <w:r>
              <w:rPr>
                <w:rFonts w:hint="eastAsia" w:ascii="仿宋_GB2312" w:hAnsi="宋体" w:eastAsia="仿宋_GB2312" w:cs="宋体"/>
                <w:kern w:val="0"/>
                <w:sz w:val="22"/>
                <w:szCs w:val="22"/>
                <w:lang w:eastAsia="zh-CN"/>
              </w:rPr>
              <w:t>疫情防控补环境整治项目</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120" w:leftChars="-50" w:right="-120" w:rightChars="-50"/>
              <w:jc w:val="center"/>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95</w:t>
            </w:r>
          </w:p>
        </w:tc>
        <w:tc>
          <w:tcPr>
            <w:tcW w:w="9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120" w:leftChars="-50" w:right="-120" w:rightChars="-50"/>
              <w:jc w:val="center"/>
              <w:rPr>
                <w:rFonts w:ascii="Times New Roman" w:hAnsi="Times New Roman" w:eastAsia="仿宋_GB2312" w:cs="Times New Roman"/>
                <w:kern w:val="0"/>
                <w:sz w:val="22"/>
                <w:szCs w:val="22"/>
              </w:rPr>
            </w:pPr>
            <w:r>
              <w:rPr>
                <w:rFonts w:ascii="Times New Roman" w:hAnsi="Times New Roman" w:eastAsia="仿宋_GB2312" w:cs="Times New Roman"/>
                <w:kern w:val="0"/>
                <w:sz w:val="22"/>
                <w:szCs w:val="22"/>
              </w:rPr>
              <w:t xml:space="preserve"> 优 </w:t>
            </w:r>
          </w:p>
        </w:tc>
      </w:tr>
      <w:tr>
        <w:tblPrEx>
          <w:tblCellMar>
            <w:top w:w="0" w:type="dxa"/>
            <w:left w:w="108" w:type="dxa"/>
            <w:bottom w:w="0" w:type="dxa"/>
            <w:right w:w="108" w:type="dxa"/>
          </w:tblCellMar>
        </w:tblPrEx>
        <w:trPr>
          <w:trHeight w:val="444"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120" w:leftChars="-50" w:right="-120" w:rightChars="-50"/>
              <w:jc w:val="center"/>
              <w:rPr>
                <w:rFonts w:ascii="仿宋_GB2312" w:hAnsi="宋体" w:eastAsia="仿宋_GB2312" w:cs="宋体"/>
                <w:kern w:val="0"/>
                <w:sz w:val="22"/>
                <w:szCs w:val="22"/>
              </w:rPr>
            </w:pPr>
            <w:r>
              <w:rPr>
                <w:rFonts w:hint="eastAsia" w:ascii="仿宋_GB2312" w:hAnsi="宋体" w:eastAsia="仿宋_GB2312" w:cs="宋体"/>
                <w:kern w:val="0"/>
                <w:sz w:val="22"/>
                <w:szCs w:val="22"/>
              </w:rPr>
              <w:t>19</w:t>
            </w:r>
          </w:p>
        </w:tc>
        <w:tc>
          <w:tcPr>
            <w:tcW w:w="5515"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right="-120" w:rightChars="-50"/>
              <w:jc w:val="left"/>
              <w:rPr>
                <w:rFonts w:hint="eastAsia" w:ascii="仿宋_GB2312" w:hAnsi="宋体" w:eastAsia="仿宋_GB2312" w:cs="宋体"/>
                <w:kern w:val="0"/>
                <w:sz w:val="22"/>
                <w:szCs w:val="22"/>
                <w:lang w:eastAsia="zh-CN"/>
              </w:rPr>
            </w:pPr>
            <w:r>
              <w:rPr>
                <w:rFonts w:hint="eastAsia" w:ascii="仿宋_GB2312" w:hAnsi="宋体" w:eastAsia="仿宋_GB2312" w:cs="宋体"/>
                <w:kern w:val="0"/>
                <w:sz w:val="22"/>
                <w:szCs w:val="22"/>
                <w:lang w:eastAsia="zh-CN"/>
              </w:rPr>
              <w:t>村容村貌整治项目</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tabs>
                <w:tab w:val="left" w:pos="486"/>
              </w:tabs>
              <w:spacing w:line="360" w:lineRule="auto"/>
              <w:ind w:left="-120" w:leftChars="-50" w:right="-120" w:rightChars="-50"/>
              <w:jc w:val="center"/>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90</w:t>
            </w:r>
          </w:p>
        </w:tc>
        <w:tc>
          <w:tcPr>
            <w:tcW w:w="9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120" w:leftChars="-50" w:right="-120" w:rightChars="-50"/>
              <w:jc w:val="center"/>
              <w:rPr>
                <w:rFonts w:hint="eastAsia" w:ascii="Times New Roman" w:hAnsi="Times New Roman" w:eastAsia="仿宋_GB2312" w:cs="Times New Roman"/>
                <w:kern w:val="0"/>
                <w:sz w:val="22"/>
                <w:szCs w:val="22"/>
                <w:lang w:eastAsia="zh-CN"/>
              </w:rPr>
            </w:pPr>
            <w:r>
              <w:rPr>
                <w:rFonts w:hint="eastAsia" w:ascii="Times New Roman" w:hAnsi="Times New Roman" w:eastAsia="仿宋_GB2312" w:cs="Times New Roman"/>
                <w:kern w:val="0"/>
                <w:sz w:val="22"/>
                <w:szCs w:val="22"/>
                <w:lang w:eastAsia="zh-CN"/>
              </w:rPr>
              <w:t>优</w:t>
            </w:r>
          </w:p>
        </w:tc>
      </w:tr>
      <w:tr>
        <w:tblPrEx>
          <w:tblCellMar>
            <w:top w:w="0" w:type="dxa"/>
            <w:left w:w="108" w:type="dxa"/>
            <w:bottom w:w="0" w:type="dxa"/>
            <w:right w:w="108" w:type="dxa"/>
          </w:tblCellMar>
        </w:tblPrEx>
        <w:trPr>
          <w:trHeight w:val="444"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120" w:leftChars="-50" w:right="-120" w:rightChars="-50"/>
              <w:jc w:val="center"/>
              <w:rPr>
                <w:rFonts w:ascii="仿宋_GB2312" w:hAnsi="宋体" w:eastAsia="仿宋_GB2312" w:cs="宋体"/>
                <w:kern w:val="0"/>
                <w:sz w:val="22"/>
                <w:szCs w:val="22"/>
              </w:rPr>
            </w:pPr>
            <w:r>
              <w:rPr>
                <w:rFonts w:hint="eastAsia" w:ascii="仿宋_GB2312" w:hAnsi="宋体" w:eastAsia="仿宋_GB2312" w:cs="宋体"/>
                <w:kern w:val="0"/>
                <w:sz w:val="22"/>
                <w:szCs w:val="22"/>
              </w:rPr>
              <w:t>20</w:t>
            </w:r>
          </w:p>
        </w:tc>
        <w:tc>
          <w:tcPr>
            <w:tcW w:w="5515"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right="-120" w:rightChars="-50"/>
              <w:jc w:val="left"/>
              <w:rPr>
                <w:rFonts w:hint="eastAsia" w:ascii="仿宋_GB2312" w:hAnsi="宋体" w:eastAsia="仿宋_GB2312" w:cs="宋体"/>
                <w:kern w:val="0"/>
                <w:sz w:val="22"/>
                <w:szCs w:val="22"/>
                <w:lang w:eastAsia="zh-CN"/>
              </w:rPr>
            </w:pPr>
            <w:r>
              <w:rPr>
                <w:rFonts w:hint="eastAsia" w:ascii="仿宋_GB2312" w:hAnsi="宋体" w:eastAsia="仿宋_GB2312" w:cs="宋体"/>
                <w:kern w:val="0"/>
                <w:sz w:val="22"/>
                <w:szCs w:val="22"/>
                <w:lang w:eastAsia="zh-CN"/>
              </w:rPr>
              <w:t>办公场所租赁补助项目</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120" w:leftChars="-50" w:right="-120" w:rightChars="-50"/>
              <w:jc w:val="center"/>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85</w:t>
            </w:r>
          </w:p>
        </w:tc>
        <w:tc>
          <w:tcPr>
            <w:tcW w:w="9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120" w:leftChars="-50" w:right="-120" w:rightChars="-50"/>
              <w:jc w:val="center"/>
              <w:rPr>
                <w:rFonts w:ascii="Times New Roman" w:hAnsi="Times New Roman" w:eastAsia="仿宋_GB2312" w:cs="Times New Roman"/>
                <w:kern w:val="0"/>
                <w:sz w:val="22"/>
                <w:szCs w:val="22"/>
              </w:rPr>
            </w:pPr>
            <w:r>
              <w:rPr>
                <w:rFonts w:hint="eastAsia" w:ascii="Times New Roman" w:hAnsi="Times New Roman" w:eastAsia="仿宋_GB2312" w:cs="Times New Roman"/>
                <w:kern w:val="0"/>
                <w:sz w:val="22"/>
                <w:szCs w:val="22"/>
              </w:rPr>
              <w:t>良</w:t>
            </w:r>
          </w:p>
        </w:tc>
      </w:tr>
      <w:tr>
        <w:tblPrEx>
          <w:tblCellMar>
            <w:top w:w="0" w:type="dxa"/>
            <w:left w:w="108" w:type="dxa"/>
            <w:bottom w:w="0" w:type="dxa"/>
            <w:right w:w="108" w:type="dxa"/>
          </w:tblCellMar>
        </w:tblPrEx>
        <w:trPr>
          <w:trHeight w:val="444"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120" w:leftChars="-50" w:right="-120" w:rightChars="-50"/>
              <w:jc w:val="center"/>
              <w:rPr>
                <w:rFonts w:ascii="仿宋_GB2312" w:hAnsi="宋体" w:eastAsia="仿宋_GB2312" w:cs="宋体"/>
                <w:kern w:val="0"/>
                <w:sz w:val="22"/>
                <w:szCs w:val="22"/>
              </w:rPr>
            </w:pPr>
            <w:r>
              <w:rPr>
                <w:rFonts w:hint="eastAsia" w:ascii="仿宋_GB2312" w:hAnsi="宋体" w:eastAsia="仿宋_GB2312" w:cs="宋体"/>
                <w:kern w:val="0"/>
                <w:sz w:val="22"/>
                <w:szCs w:val="22"/>
              </w:rPr>
              <w:t>21</w:t>
            </w:r>
          </w:p>
        </w:tc>
        <w:tc>
          <w:tcPr>
            <w:tcW w:w="5515"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right="-120" w:rightChars="-50"/>
              <w:jc w:val="left"/>
              <w:rPr>
                <w:rFonts w:hint="eastAsia" w:ascii="仿宋_GB2312" w:hAnsi="宋体" w:eastAsia="仿宋_GB2312" w:cs="宋体"/>
                <w:kern w:val="0"/>
                <w:sz w:val="22"/>
                <w:szCs w:val="22"/>
                <w:lang w:eastAsia="zh-CN"/>
              </w:rPr>
            </w:pPr>
            <w:r>
              <w:rPr>
                <w:rFonts w:hint="eastAsia" w:ascii="仿宋_GB2312" w:hAnsi="宋体" w:eastAsia="仿宋_GB2312" w:cs="宋体"/>
                <w:kern w:val="0"/>
                <w:sz w:val="22"/>
                <w:szCs w:val="22"/>
                <w:lang w:eastAsia="zh-CN"/>
              </w:rPr>
              <w:t>城乡社区保洁劳务费项目</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120" w:leftChars="-50" w:right="-120" w:rightChars="-50" w:firstLine="217"/>
              <w:jc w:val="center"/>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100</w:t>
            </w:r>
          </w:p>
        </w:tc>
        <w:tc>
          <w:tcPr>
            <w:tcW w:w="9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120" w:leftChars="-50" w:right="-120" w:rightChars="-50"/>
              <w:jc w:val="center"/>
              <w:rPr>
                <w:rFonts w:hint="eastAsia" w:ascii="Times New Roman" w:hAnsi="Times New Roman" w:eastAsia="仿宋_GB2312" w:cs="Times New Roman"/>
                <w:kern w:val="0"/>
                <w:sz w:val="22"/>
                <w:szCs w:val="22"/>
                <w:lang w:eastAsia="zh-CN"/>
              </w:rPr>
            </w:pPr>
            <w:r>
              <w:rPr>
                <w:rFonts w:hint="eastAsia" w:ascii="Times New Roman" w:hAnsi="Times New Roman" w:eastAsia="仿宋_GB2312" w:cs="Times New Roman"/>
                <w:kern w:val="0"/>
                <w:sz w:val="22"/>
                <w:szCs w:val="22"/>
                <w:lang w:eastAsia="zh-CN"/>
              </w:rPr>
              <w:t>优</w:t>
            </w:r>
          </w:p>
        </w:tc>
      </w:tr>
      <w:tr>
        <w:tblPrEx>
          <w:tblCellMar>
            <w:top w:w="0" w:type="dxa"/>
            <w:left w:w="108" w:type="dxa"/>
            <w:bottom w:w="0" w:type="dxa"/>
            <w:right w:w="108" w:type="dxa"/>
          </w:tblCellMar>
        </w:tblPrEx>
        <w:trPr>
          <w:trHeight w:val="444"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120" w:leftChars="-50" w:right="-120" w:rightChars="-50"/>
              <w:jc w:val="center"/>
              <w:rPr>
                <w:rFonts w:hint="default" w:ascii="仿宋_GB2312" w:hAnsi="宋体" w:eastAsia="仿宋_GB2312" w:cs="宋体"/>
                <w:kern w:val="0"/>
                <w:sz w:val="22"/>
                <w:szCs w:val="22"/>
                <w:lang w:val="en-US" w:eastAsia="zh-CN"/>
              </w:rPr>
            </w:pPr>
            <w:r>
              <w:rPr>
                <w:rFonts w:hint="eastAsia" w:ascii="仿宋_GB2312" w:hAnsi="宋体" w:eastAsia="仿宋_GB2312" w:cs="宋体"/>
                <w:kern w:val="0"/>
                <w:sz w:val="22"/>
                <w:szCs w:val="22"/>
                <w:lang w:val="en-US" w:eastAsia="zh-CN"/>
              </w:rPr>
              <w:t>22</w:t>
            </w:r>
          </w:p>
        </w:tc>
        <w:tc>
          <w:tcPr>
            <w:tcW w:w="5515"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right="-120" w:rightChars="-50"/>
              <w:jc w:val="left"/>
              <w:rPr>
                <w:rFonts w:hint="eastAsia" w:ascii="仿宋_GB2312" w:hAnsi="宋体" w:eastAsia="仿宋_GB2312" w:cs="宋体"/>
                <w:kern w:val="0"/>
                <w:sz w:val="22"/>
                <w:szCs w:val="22"/>
                <w:lang w:eastAsia="zh-CN"/>
              </w:rPr>
            </w:pPr>
            <w:r>
              <w:rPr>
                <w:rFonts w:hint="eastAsia" w:ascii="仿宋_GB2312" w:hAnsi="宋体" w:eastAsia="仿宋_GB2312" w:cs="宋体"/>
                <w:kern w:val="0"/>
                <w:sz w:val="22"/>
                <w:szCs w:val="22"/>
                <w:lang w:eastAsia="zh-CN"/>
              </w:rPr>
              <w:t>追加辅助人员劳务费项目</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120" w:leftChars="-50" w:right="-120" w:rightChars="-50" w:firstLine="217"/>
              <w:jc w:val="center"/>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100</w:t>
            </w:r>
          </w:p>
        </w:tc>
        <w:tc>
          <w:tcPr>
            <w:tcW w:w="9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120" w:leftChars="-50" w:right="-120" w:rightChars="-50"/>
              <w:jc w:val="center"/>
              <w:rPr>
                <w:rFonts w:hint="eastAsia" w:ascii="Times New Roman" w:hAnsi="Times New Roman" w:eastAsia="仿宋_GB2312" w:cs="Times New Roman"/>
                <w:kern w:val="0"/>
                <w:sz w:val="22"/>
                <w:szCs w:val="22"/>
                <w:lang w:eastAsia="zh-CN"/>
              </w:rPr>
            </w:pPr>
            <w:r>
              <w:rPr>
                <w:rFonts w:hint="eastAsia" w:ascii="Times New Roman" w:hAnsi="Times New Roman" w:eastAsia="仿宋_GB2312" w:cs="Times New Roman"/>
                <w:kern w:val="0"/>
                <w:sz w:val="22"/>
                <w:szCs w:val="22"/>
                <w:lang w:eastAsia="zh-CN"/>
              </w:rPr>
              <w:t>优</w:t>
            </w:r>
          </w:p>
        </w:tc>
      </w:tr>
      <w:tr>
        <w:tblPrEx>
          <w:tblCellMar>
            <w:top w:w="0" w:type="dxa"/>
            <w:left w:w="108" w:type="dxa"/>
            <w:bottom w:w="0" w:type="dxa"/>
            <w:right w:w="108" w:type="dxa"/>
          </w:tblCellMar>
        </w:tblPrEx>
        <w:trPr>
          <w:trHeight w:val="444"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120" w:leftChars="-50" w:right="-120" w:rightChars="-50"/>
              <w:jc w:val="center"/>
              <w:rPr>
                <w:rFonts w:hint="default" w:ascii="仿宋_GB2312" w:hAnsi="宋体" w:eastAsia="仿宋_GB2312" w:cs="宋体"/>
                <w:kern w:val="0"/>
                <w:sz w:val="22"/>
                <w:szCs w:val="22"/>
                <w:lang w:val="en-US" w:eastAsia="zh-CN"/>
              </w:rPr>
            </w:pPr>
            <w:r>
              <w:rPr>
                <w:rFonts w:hint="eastAsia" w:ascii="仿宋_GB2312" w:hAnsi="宋体" w:eastAsia="仿宋_GB2312" w:cs="宋体"/>
                <w:kern w:val="0"/>
                <w:sz w:val="22"/>
                <w:szCs w:val="22"/>
                <w:lang w:val="en-US" w:eastAsia="zh-CN"/>
              </w:rPr>
              <w:t>23</w:t>
            </w:r>
          </w:p>
        </w:tc>
        <w:tc>
          <w:tcPr>
            <w:tcW w:w="5515"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right="-120" w:rightChars="-50"/>
              <w:jc w:val="left"/>
              <w:rPr>
                <w:rFonts w:hint="eastAsia" w:ascii="仿宋_GB2312" w:hAnsi="宋体" w:eastAsia="仿宋_GB2312" w:cs="宋体"/>
                <w:kern w:val="0"/>
                <w:sz w:val="22"/>
                <w:szCs w:val="22"/>
                <w:lang w:eastAsia="zh-CN"/>
              </w:rPr>
            </w:pPr>
            <w:r>
              <w:rPr>
                <w:rFonts w:hint="eastAsia" w:ascii="仿宋_GB2312" w:hAnsi="宋体" w:eastAsia="仿宋_GB2312" w:cs="宋体"/>
                <w:kern w:val="0"/>
                <w:sz w:val="22"/>
                <w:szCs w:val="22"/>
                <w:lang w:eastAsia="zh-CN"/>
              </w:rPr>
              <w:t>追加鹿城一号契税缴纳项目</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120" w:leftChars="-50" w:right="-120" w:rightChars="-50" w:firstLine="217"/>
              <w:jc w:val="center"/>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100</w:t>
            </w:r>
          </w:p>
        </w:tc>
        <w:tc>
          <w:tcPr>
            <w:tcW w:w="9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120" w:leftChars="-50" w:right="-120" w:rightChars="-50"/>
              <w:jc w:val="center"/>
              <w:rPr>
                <w:rFonts w:hint="eastAsia" w:ascii="Times New Roman" w:hAnsi="Times New Roman" w:eastAsia="仿宋_GB2312" w:cs="Times New Roman"/>
                <w:kern w:val="0"/>
                <w:sz w:val="22"/>
                <w:szCs w:val="22"/>
                <w:lang w:eastAsia="zh-CN"/>
              </w:rPr>
            </w:pPr>
            <w:r>
              <w:rPr>
                <w:rFonts w:hint="eastAsia" w:ascii="Times New Roman" w:hAnsi="Times New Roman" w:eastAsia="仿宋_GB2312" w:cs="Times New Roman"/>
                <w:kern w:val="0"/>
                <w:sz w:val="22"/>
                <w:szCs w:val="22"/>
                <w:lang w:eastAsia="zh-CN"/>
              </w:rPr>
              <w:t>优</w:t>
            </w:r>
          </w:p>
        </w:tc>
      </w:tr>
      <w:tr>
        <w:tblPrEx>
          <w:tblCellMar>
            <w:top w:w="0" w:type="dxa"/>
            <w:left w:w="108" w:type="dxa"/>
            <w:bottom w:w="0" w:type="dxa"/>
            <w:right w:w="108" w:type="dxa"/>
          </w:tblCellMar>
        </w:tblPrEx>
        <w:trPr>
          <w:trHeight w:val="444"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120" w:leftChars="-50" w:right="-120" w:rightChars="-50"/>
              <w:jc w:val="center"/>
              <w:rPr>
                <w:rFonts w:hint="default" w:ascii="仿宋_GB2312" w:hAnsi="宋体" w:eastAsia="仿宋_GB2312" w:cs="宋体"/>
                <w:kern w:val="0"/>
                <w:sz w:val="22"/>
                <w:szCs w:val="22"/>
                <w:lang w:val="en-US" w:eastAsia="zh-CN"/>
              </w:rPr>
            </w:pPr>
            <w:r>
              <w:rPr>
                <w:rFonts w:hint="eastAsia" w:ascii="仿宋_GB2312" w:hAnsi="宋体" w:eastAsia="仿宋_GB2312" w:cs="宋体"/>
                <w:kern w:val="0"/>
                <w:sz w:val="22"/>
                <w:szCs w:val="22"/>
                <w:lang w:val="en-US" w:eastAsia="zh-CN"/>
              </w:rPr>
              <w:t>24</w:t>
            </w:r>
          </w:p>
        </w:tc>
        <w:tc>
          <w:tcPr>
            <w:tcW w:w="5515"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right="-120" w:rightChars="-50"/>
              <w:jc w:val="left"/>
              <w:rPr>
                <w:rFonts w:hint="eastAsia" w:ascii="仿宋_GB2312" w:hAnsi="宋体" w:eastAsia="仿宋_GB2312" w:cs="宋体"/>
                <w:kern w:val="0"/>
                <w:sz w:val="22"/>
                <w:szCs w:val="22"/>
                <w:lang w:eastAsia="zh-CN"/>
              </w:rPr>
            </w:pPr>
            <w:r>
              <w:rPr>
                <w:rFonts w:hint="eastAsia" w:ascii="仿宋_GB2312" w:hAnsi="宋体" w:eastAsia="仿宋_GB2312" w:cs="宋体"/>
                <w:kern w:val="0"/>
                <w:sz w:val="22"/>
                <w:szCs w:val="22"/>
                <w:lang w:eastAsia="zh-CN"/>
              </w:rPr>
              <w:t>农村生活垃圾清理</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tabs>
                <w:tab w:val="left" w:pos="475"/>
              </w:tabs>
              <w:spacing w:line="360" w:lineRule="auto"/>
              <w:ind w:left="-120" w:leftChars="-50" w:right="-120" w:rightChars="-50" w:firstLine="217"/>
              <w:jc w:val="center"/>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100</w:t>
            </w:r>
          </w:p>
        </w:tc>
        <w:tc>
          <w:tcPr>
            <w:tcW w:w="9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120" w:leftChars="-50" w:right="-120" w:rightChars="-50"/>
              <w:jc w:val="center"/>
              <w:rPr>
                <w:rFonts w:hint="eastAsia" w:ascii="Times New Roman" w:hAnsi="Times New Roman" w:eastAsia="仿宋_GB2312" w:cs="Times New Roman"/>
                <w:kern w:val="0"/>
                <w:sz w:val="22"/>
                <w:szCs w:val="22"/>
                <w:lang w:eastAsia="zh-CN"/>
              </w:rPr>
            </w:pPr>
            <w:r>
              <w:rPr>
                <w:rFonts w:hint="eastAsia" w:ascii="Times New Roman" w:hAnsi="Times New Roman" w:eastAsia="仿宋_GB2312" w:cs="Times New Roman"/>
                <w:kern w:val="0"/>
                <w:sz w:val="22"/>
                <w:szCs w:val="22"/>
                <w:lang w:eastAsia="zh-CN"/>
              </w:rPr>
              <w:t>优</w:t>
            </w:r>
          </w:p>
        </w:tc>
      </w:tr>
      <w:tr>
        <w:tblPrEx>
          <w:tblCellMar>
            <w:top w:w="0" w:type="dxa"/>
            <w:left w:w="108" w:type="dxa"/>
            <w:bottom w:w="0" w:type="dxa"/>
            <w:right w:w="108" w:type="dxa"/>
          </w:tblCellMar>
        </w:tblPrEx>
        <w:trPr>
          <w:trHeight w:val="444"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120" w:leftChars="-50" w:right="-120" w:rightChars="-50"/>
              <w:jc w:val="center"/>
              <w:rPr>
                <w:rFonts w:hint="default" w:ascii="仿宋_GB2312" w:hAnsi="宋体" w:eastAsia="仿宋_GB2312" w:cs="宋体"/>
                <w:kern w:val="0"/>
                <w:sz w:val="22"/>
                <w:szCs w:val="22"/>
                <w:lang w:val="en-US" w:eastAsia="zh-CN"/>
              </w:rPr>
            </w:pPr>
            <w:r>
              <w:rPr>
                <w:rFonts w:hint="eastAsia" w:ascii="仿宋_GB2312" w:hAnsi="宋体" w:eastAsia="仿宋_GB2312" w:cs="宋体"/>
                <w:kern w:val="0"/>
                <w:sz w:val="22"/>
                <w:szCs w:val="22"/>
                <w:lang w:val="en-US" w:eastAsia="zh-CN"/>
              </w:rPr>
              <w:t>25</w:t>
            </w:r>
          </w:p>
        </w:tc>
        <w:tc>
          <w:tcPr>
            <w:tcW w:w="5515"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right="-120" w:rightChars="-50"/>
              <w:jc w:val="left"/>
              <w:rPr>
                <w:rFonts w:hint="eastAsia" w:ascii="仿宋_GB2312" w:hAnsi="宋体" w:eastAsia="仿宋_GB2312" w:cs="宋体"/>
                <w:kern w:val="0"/>
                <w:sz w:val="22"/>
                <w:szCs w:val="22"/>
                <w:lang w:eastAsia="zh-CN"/>
              </w:rPr>
            </w:pPr>
            <w:r>
              <w:rPr>
                <w:rFonts w:hint="eastAsia" w:ascii="仿宋_GB2312" w:hAnsi="宋体" w:eastAsia="仿宋_GB2312" w:cs="宋体"/>
                <w:kern w:val="0"/>
                <w:sz w:val="22"/>
                <w:szCs w:val="22"/>
                <w:lang w:eastAsia="zh-CN"/>
              </w:rPr>
              <w:t>纵六街电力线敷设及第三实验小学引电工程</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120" w:leftChars="-50" w:right="-120" w:rightChars="-50" w:firstLine="217"/>
              <w:jc w:val="center"/>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100</w:t>
            </w:r>
          </w:p>
        </w:tc>
        <w:tc>
          <w:tcPr>
            <w:tcW w:w="9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120" w:leftChars="-50" w:right="-120" w:rightChars="-50"/>
              <w:jc w:val="center"/>
              <w:rPr>
                <w:rFonts w:hint="eastAsia" w:ascii="Times New Roman" w:hAnsi="Times New Roman" w:eastAsia="仿宋_GB2312" w:cs="Times New Roman"/>
                <w:kern w:val="0"/>
                <w:sz w:val="22"/>
                <w:szCs w:val="22"/>
                <w:lang w:eastAsia="zh-CN"/>
              </w:rPr>
            </w:pPr>
            <w:r>
              <w:rPr>
                <w:rFonts w:hint="eastAsia" w:ascii="Times New Roman" w:hAnsi="Times New Roman" w:eastAsia="仿宋_GB2312" w:cs="Times New Roman"/>
                <w:kern w:val="0"/>
                <w:sz w:val="22"/>
                <w:szCs w:val="22"/>
                <w:lang w:eastAsia="zh-CN"/>
              </w:rPr>
              <w:t>优</w:t>
            </w:r>
          </w:p>
        </w:tc>
      </w:tr>
    </w:tbl>
    <w:p>
      <w:pPr>
        <w:numPr>
          <w:ilvl w:val="0"/>
          <w:numId w:val="0"/>
        </w:numPr>
        <w:adjustRightInd w:val="0"/>
        <w:snapToGrid w:val="0"/>
        <w:spacing w:line="580" w:lineRule="exact"/>
        <w:ind w:leftChars="300"/>
        <w:rPr>
          <w:rFonts w:ascii="Times New Roman" w:hAnsi="Times New Roman" w:eastAsia="仿宋_GB2312" w:cs="Times New Roman"/>
          <w:b/>
          <w:bCs/>
          <w:sz w:val="32"/>
          <w:szCs w:val="32"/>
        </w:rPr>
      </w:pPr>
    </w:p>
    <w:p>
      <w:pPr>
        <w:adjustRightInd w:val="0"/>
        <w:snapToGrid w:val="0"/>
        <w:spacing w:line="580" w:lineRule="exact"/>
        <w:ind w:firstLine="640" w:firstLineChars="200"/>
        <w:rPr>
          <w:rFonts w:ascii="Times New Roman" w:hAnsi="Times New Roman" w:eastAsia="楷体_GB2312" w:cs="Times New Roman"/>
          <w:b/>
          <w:bCs/>
          <w:sz w:val="32"/>
          <w:szCs w:val="32"/>
        </w:rPr>
      </w:pPr>
      <w:r>
        <w:rPr>
          <w:rFonts w:ascii="Times New Roman" w:hAnsi="Times New Roman" w:eastAsia="黑体" w:cs="Times New Roman"/>
          <w:sz w:val="32"/>
          <w:szCs w:val="32"/>
        </w:rPr>
        <w:t>十、其他需要说明的情况</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 本部门2023年度未发生政府性基金预算财政拨款</w:t>
      </w:r>
      <w:r>
        <w:rPr>
          <w:rFonts w:hint="eastAsia" w:ascii="Times New Roman" w:hAnsi="Times New Roman" w:eastAsia="仿宋_GB2312" w:cs="Times New Roman"/>
          <w:sz w:val="32"/>
          <w:szCs w:val="32"/>
          <w:lang w:eastAsia="zh-CN"/>
        </w:rPr>
        <w:t>收支及结转结余和</w:t>
      </w:r>
      <w:r>
        <w:rPr>
          <w:rFonts w:hint="default" w:ascii="Times New Roman" w:hAnsi="Times New Roman" w:eastAsia="仿宋_GB2312" w:cs="Times New Roman"/>
          <w:sz w:val="32"/>
          <w:szCs w:val="32"/>
        </w:rPr>
        <w:t>国有资金经营预算收支及结转结余情况，故政府性基金预算财政拨款收入支出决算表</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07表）和</w:t>
      </w:r>
      <w:r>
        <w:rPr>
          <w:rFonts w:hint="default" w:ascii="Times New Roman" w:hAnsi="Times New Roman" w:eastAsia="仿宋_GB2312" w:cs="Times New Roman"/>
          <w:sz w:val="32"/>
          <w:szCs w:val="32"/>
        </w:rPr>
        <w:t>国有资金经营预算支出表（0</w:t>
      </w:r>
      <w:r>
        <w:rPr>
          <w:rFonts w:hint="eastAsia" w:ascii="Times New Roman" w:hAnsi="Times New Roman" w:eastAsia="仿宋_GB2312" w:cs="Times New Roman"/>
          <w:sz w:val="32"/>
          <w:szCs w:val="32"/>
          <w:lang w:val="en-US" w:eastAsia="zh-CN"/>
        </w:rPr>
        <w:t>8</w:t>
      </w:r>
      <w:r>
        <w:rPr>
          <w:rFonts w:hint="default" w:ascii="Times New Roman" w:hAnsi="Times New Roman" w:eastAsia="仿宋_GB2312" w:cs="Times New Roman"/>
          <w:sz w:val="32"/>
          <w:szCs w:val="32"/>
        </w:rPr>
        <w:t>表）以空表列示。</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adjustRightInd w:val="0"/>
        <w:snapToGrid w:val="0"/>
        <w:spacing w:line="580" w:lineRule="exact"/>
        <w:ind w:firstLine="640" w:firstLineChars="200"/>
        <w:rPr>
          <w:rFonts w:ascii="Times New Roman" w:hAnsi="Times New Roman" w:eastAsia="仿宋_GB2312" w:cs="Times New Roman"/>
          <w:sz w:val="32"/>
          <w:szCs w:val="32"/>
        </w:rPr>
      </w:pPr>
    </w:p>
    <w:p>
      <w:pPr>
        <w:widowControl/>
        <w:spacing w:line="580" w:lineRule="exact"/>
        <w:ind w:firstLine="883" w:firstLineChars="200"/>
        <w:jc w:val="left"/>
        <w:rPr>
          <w:rFonts w:ascii="Times New Roman" w:hAnsi="Times New Roman" w:eastAsia="宋体" w:cs="Times New Roman"/>
          <w:b/>
          <w:bCs/>
          <w:sz w:val="44"/>
          <w:szCs w:val="44"/>
        </w:rPr>
      </w:pPr>
    </w:p>
    <w:p>
      <w:pPr>
        <w:rPr>
          <w:rFonts w:ascii="Times New Roman" w:hAnsi="Times New Roman" w:eastAsia="仿宋_GB2312" w:cs="Times New Roman"/>
          <w:sz w:val="32"/>
          <w:szCs w:val="32"/>
        </w:rPr>
      </w:pPr>
    </w:p>
    <w:p>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pPr>
        <w:rPr>
          <w:rFonts w:ascii="Times New Roman" w:hAnsi="Times New Roman" w:eastAsia="仿宋_GB2312" w:cs="Times New Roman"/>
          <w:sz w:val="32"/>
          <w:szCs w:val="32"/>
        </w:rPr>
      </w:pPr>
      <w: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一、</w:t>
      </w:r>
      <w:r>
        <w:rPr>
          <w:rFonts w:ascii="Times New Roman" w:hAnsi="Times New Roman" w:eastAsia="仿宋_GB2312" w:cs="Times New Roman"/>
          <w:b/>
          <w:bCs/>
          <w:color w:val="000000"/>
          <w:sz w:val="32"/>
          <w:szCs w:val="32"/>
        </w:rPr>
        <w:t>财政拨款收入：</w:t>
      </w:r>
      <w:r>
        <w:rPr>
          <w:rFonts w:ascii="Times New Roman" w:hAnsi="Times New Roman" w:eastAsia="仿宋_GB2312" w:cs="Times New Roman"/>
          <w:bCs/>
          <w:color w:val="000000"/>
          <w:sz w:val="32"/>
          <w:szCs w:val="32"/>
        </w:rPr>
        <w:t>指单位从同级财政部门取得的财政预算资金。</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二、</w:t>
      </w:r>
      <w:r>
        <w:rPr>
          <w:rFonts w:ascii="Times New Roman" w:hAnsi="Times New Roman" w:eastAsia="仿宋_GB2312" w:cs="Times New Roman"/>
          <w:b/>
          <w:bCs/>
          <w:color w:val="000000"/>
          <w:sz w:val="32"/>
          <w:szCs w:val="32"/>
        </w:rPr>
        <w:t>事业收入：</w:t>
      </w:r>
      <w:r>
        <w:rPr>
          <w:rFonts w:ascii="Times New Roman" w:hAnsi="Times New Roman" w:eastAsia="仿宋_GB2312" w:cs="Times New Roman"/>
          <w:bCs/>
          <w:color w:val="000000"/>
          <w:sz w:val="32"/>
          <w:szCs w:val="32"/>
        </w:rPr>
        <w:t>指事业单位开展专业业务活动及辅助活动取得的收入。</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三、</w:t>
      </w:r>
      <w:r>
        <w:rPr>
          <w:rFonts w:ascii="Times New Roman" w:hAnsi="Times New Roman" w:eastAsia="仿宋_GB2312" w:cs="Times New Roman"/>
          <w:b/>
          <w:bCs/>
          <w:color w:val="000000"/>
          <w:sz w:val="32"/>
          <w:szCs w:val="32"/>
        </w:rPr>
        <w:t>经营收入：</w:t>
      </w:r>
      <w:r>
        <w:rPr>
          <w:rFonts w:ascii="Times New Roman" w:hAnsi="Times New Roman" w:eastAsia="仿宋_GB2312" w:cs="Times New Roman"/>
          <w:bCs/>
          <w:color w:val="000000"/>
          <w:sz w:val="32"/>
          <w:szCs w:val="32"/>
        </w:rPr>
        <w:t>指事业单位在专业业务活动及其辅助活动之外开展非独立核算经营活动取得的收入。</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四、</w:t>
      </w:r>
      <w:r>
        <w:rPr>
          <w:rFonts w:ascii="Times New Roman" w:hAnsi="Times New Roman" w:eastAsia="仿宋_GB2312" w:cs="Times New Roman"/>
          <w:b/>
          <w:bCs/>
          <w:color w:val="000000"/>
          <w:sz w:val="32"/>
          <w:szCs w:val="32"/>
        </w:rPr>
        <w:t>其他收入：</w:t>
      </w:r>
      <w:r>
        <w:rPr>
          <w:rFonts w:ascii="Times New Roman" w:hAnsi="Times New Roman" w:eastAsia="仿宋_GB2312" w:cs="Times New Roman"/>
          <w:bCs/>
          <w:color w:val="000000"/>
          <w:sz w:val="32"/>
          <w:szCs w:val="32"/>
        </w:rPr>
        <w:t>指单位取得的除上述收入以外的各项收</w:t>
      </w:r>
    </w:p>
    <w:p>
      <w:pPr>
        <w:spacing w:line="580" w:lineRule="exact"/>
        <w:rPr>
          <w:rFonts w:ascii="Times New Roman" w:hAnsi="Times New Roman" w:eastAsia="仿宋_GB2312" w:cs="Times New Roman"/>
          <w:b/>
          <w:bCs/>
          <w:color w:val="000000"/>
          <w:sz w:val="32"/>
          <w:szCs w:val="32"/>
        </w:rPr>
      </w:pPr>
      <w:r>
        <w:rPr>
          <w:rFonts w:ascii="Times New Roman" w:hAnsi="Times New Roman" w:eastAsia="仿宋_GB2312" w:cs="Times New Roman"/>
          <w:bCs/>
          <w:color w:val="000000"/>
          <w:sz w:val="32"/>
          <w:szCs w:val="32"/>
        </w:rPr>
        <w:t>入。主要是事业单位固定资产出租收入、存款利息收入等。</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五、</w:t>
      </w:r>
      <w:r>
        <w:rPr>
          <w:rFonts w:ascii="Times New Roman" w:hAnsi="Times New Roman" w:eastAsia="仿宋_GB2312" w:cs="Times New Roman"/>
          <w:b/>
          <w:bCs/>
          <w:color w:val="000000"/>
          <w:sz w:val="32"/>
          <w:szCs w:val="32"/>
        </w:rPr>
        <w:t>使用非财政拨款结余（含专用结余）：</w:t>
      </w:r>
      <w:r>
        <w:rPr>
          <w:rFonts w:ascii="Times New Roman" w:hAnsi="Times New Roman" w:eastAsia="仿宋_GB2312" w:cs="Times New Roman"/>
          <w:bCs/>
          <w:color w:val="000000"/>
          <w:sz w:val="32"/>
          <w:szCs w:val="32"/>
        </w:rPr>
        <w:t>指事业单位按照预算管理要求使用非财政拨款结余弥补收支差额的金额，以及使用专用结余安排支出的金额。</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六、</w:t>
      </w:r>
      <w:r>
        <w:rPr>
          <w:rFonts w:ascii="Times New Roman" w:hAnsi="Times New Roman" w:eastAsia="仿宋_GB2312" w:cs="Times New Roman"/>
          <w:b/>
          <w:bCs/>
          <w:color w:val="000000"/>
          <w:sz w:val="32"/>
          <w:szCs w:val="32"/>
        </w:rPr>
        <w:t>年初结转和结余：</w:t>
      </w:r>
      <w:r>
        <w:rPr>
          <w:rFonts w:ascii="Times New Roman" w:hAnsi="Times New Roman" w:eastAsia="仿宋_GB2312" w:cs="Times New Roman"/>
          <w:bCs/>
          <w:color w:val="000000"/>
          <w:sz w:val="32"/>
          <w:szCs w:val="32"/>
        </w:rPr>
        <w:t>指单位以前年度尚未完成、结转到本年仍按原规定用途继续使用的资金，或项目已完成等产生的结余资金。</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七、</w:t>
      </w:r>
      <w:r>
        <w:rPr>
          <w:rFonts w:ascii="Times New Roman" w:hAnsi="Times New Roman" w:eastAsia="仿宋_GB2312" w:cs="Times New Roman"/>
          <w:b/>
          <w:bCs/>
          <w:color w:val="000000"/>
          <w:sz w:val="32"/>
          <w:szCs w:val="32"/>
        </w:rPr>
        <w:t>结余分配：</w:t>
      </w:r>
      <w:r>
        <w:rPr>
          <w:rFonts w:ascii="Times New Roman" w:hAnsi="Times New Roman" w:eastAsia="仿宋_GB2312" w:cs="Times New Roman"/>
          <w:bCs/>
          <w:color w:val="000000"/>
          <w:sz w:val="32"/>
          <w:szCs w:val="32"/>
        </w:rPr>
        <w:t>指事业单位按照会计制度规定缴纳的所得税、提取的专用结余以及转入非财政拨款结余的金额等。</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八、</w:t>
      </w:r>
      <w:r>
        <w:rPr>
          <w:rFonts w:ascii="Times New Roman" w:hAnsi="Times New Roman" w:eastAsia="仿宋_GB2312" w:cs="Times New Roman"/>
          <w:b/>
          <w:bCs/>
          <w:color w:val="000000"/>
          <w:sz w:val="32"/>
          <w:szCs w:val="32"/>
        </w:rPr>
        <w:t>年末结转和结余：</w:t>
      </w:r>
      <w:r>
        <w:rPr>
          <w:rFonts w:ascii="Times New Roman" w:hAnsi="Times New Roman" w:eastAsia="仿宋_GB2312" w:cs="Times New Roman"/>
          <w:bCs/>
          <w:color w:val="000000"/>
          <w:sz w:val="32"/>
          <w:szCs w:val="32"/>
        </w:rPr>
        <w:t>指单位按有关规定结转到下年或以后年度继续使用的资金，或项目已完成等产生的结余资金。</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九、</w:t>
      </w:r>
      <w:r>
        <w:rPr>
          <w:rFonts w:ascii="Times New Roman" w:hAnsi="Times New Roman" w:eastAsia="仿宋_GB2312" w:cs="Times New Roman"/>
          <w:b/>
          <w:bCs/>
          <w:color w:val="000000"/>
          <w:sz w:val="32"/>
          <w:szCs w:val="32"/>
        </w:rPr>
        <w:t>基本支出：</w:t>
      </w:r>
      <w:r>
        <w:rPr>
          <w:rFonts w:ascii="Times New Roman" w:hAnsi="Times New Roman" w:eastAsia="仿宋_GB2312" w:cs="Times New Roman"/>
          <w:bCs/>
          <w:color w:val="000000"/>
          <w:sz w:val="32"/>
          <w:szCs w:val="32"/>
        </w:rPr>
        <w:t>指为保障机构正常运转、完成日常工作任务而发生的人员支出和公用支出。</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w:t>
      </w:r>
      <w:r>
        <w:rPr>
          <w:rFonts w:ascii="Times New Roman" w:hAnsi="Times New Roman" w:eastAsia="仿宋_GB2312" w:cs="Times New Roman"/>
          <w:b/>
          <w:bCs/>
          <w:color w:val="000000"/>
          <w:sz w:val="32"/>
          <w:szCs w:val="32"/>
        </w:rPr>
        <w:t>项目支出：</w:t>
      </w:r>
      <w:r>
        <w:rPr>
          <w:rFonts w:ascii="Times New Roman" w:hAnsi="Times New Roman" w:eastAsia="仿宋_GB2312" w:cs="Times New Roman"/>
          <w:color w:val="000000"/>
          <w:sz w:val="32"/>
          <w:szCs w:val="32"/>
        </w:rPr>
        <w:t>指在基本支出之外为完成特定行政任务和事业发展目标所发生的支出。</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十一、</w:t>
      </w:r>
      <w:r>
        <w:rPr>
          <w:rFonts w:ascii="Times New Roman" w:hAnsi="Times New Roman" w:eastAsia="仿宋_GB2312" w:cs="Times New Roman"/>
          <w:b/>
          <w:bCs/>
          <w:color w:val="000000"/>
          <w:sz w:val="32"/>
          <w:szCs w:val="32"/>
        </w:rPr>
        <w:t>经营支出 ：</w:t>
      </w:r>
      <w:r>
        <w:rPr>
          <w:rFonts w:ascii="Times New Roman" w:hAnsi="Times New Roman" w:eastAsia="仿宋_GB2312" w:cs="Times New Roman"/>
          <w:color w:val="000000"/>
          <w:sz w:val="32"/>
          <w:szCs w:val="32"/>
        </w:rPr>
        <w:t>指事业单位在专业业务活动及其辅助活动之外开展非独立核算经营活动发生的支出。</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十二、</w:t>
      </w:r>
      <w:r>
        <w:rPr>
          <w:rFonts w:ascii="Times New Roman" w:hAnsi="Times New Roman" w:eastAsia="仿宋_GB2312" w:cs="Times New Roman"/>
          <w:b/>
          <w:bCs/>
          <w:color w:val="000000"/>
          <w:sz w:val="32"/>
          <w:szCs w:val="32"/>
        </w:rPr>
        <w:t>基本建设支出：</w:t>
      </w:r>
      <w:r>
        <w:rPr>
          <w:rFonts w:ascii="Times New Roman" w:hAnsi="Times New Roman" w:eastAsia="仿宋_GB2312" w:cs="Times New Roman"/>
          <w:color w:val="00000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ascii="Times New Roman" w:hAnsi="Times New Roman" w:eastAsia="仿宋_GB2312" w:cs="Times New Roman"/>
          <w:b/>
          <w:bCs/>
          <w:color w:val="000000"/>
          <w:sz w:val="32"/>
          <w:szCs w:val="32"/>
        </w:rPr>
      </w:pPr>
      <w:r>
        <w:rPr>
          <w:rFonts w:hint="eastAsia" w:ascii="Times New Roman" w:hAnsi="Times New Roman" w:eastAsia="仿宋_GB2312" w:cs="Times New Roman"/>
          <w:b/>
          <w:bCs/>
          <w:color w:val="000000"/>
          <w:sz w:val="32"/>
          <w:szCs w:val="32"/>
        </w:rPr>
        <w:t>十三、</w:t>
      </w:r>
      <w:r>
        <w:rPr>
          <w:rFonts w:ascii="Times New Roman" w:hAnsi="Times New Roman" w:eastAsia="仿宋_GB2312" w:cs="Times New Roman"/>
          <w:b/>
          <w:bCs/>
          <w:color w:val="000000"/>
          <w:sz w:val="32"/>
          <w:szCs w:val="32"/>
        </w:rPr>
        <w:t>其他资本性支出：</w:t>
      </w:r>
      <w:r>
        <w:rPr>
          <w:rFonts w:ascii="Times New Roman" w:hAnsi="Times New Roman" w:eastAsia="仿宋_GB2312" w:cs="Times New Roman"/>
          <w:color w:val="00000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十四、</w:t>
      </w:r>
      <w:r>
        <w:rPr>
          <w:rFonts w:ascii="Times New Roman" w:hAnsi="Times New Roman" w:eastAsia="仿宋_GB2312" w:cs="Times New Roman"/>
          <w:b/>
          <w:bCs/>
          <w:color w:val="000000"/>
          <w:sz w:val="32"/>
          <w:szCs w:val="32"/>
        </w:rPr>
        <w:t>“三公”经费：</w:t>
      </w:r>
      <w:r>
        <w:rPr>
          <w:rFonts w:ascii="Times New Roman" w:hAnsi="Times New Roman" w:eastAsia="仿宋_GB2312" w:cs="Times New Roman"/>
          <w:color w:val="00000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十五、</w:t>
      </w:r>
      <w:r>
        <w:rPr>
          <w:rFonts w:ascii="Times New Roman" w:hAnsi="Times New Roman" w:eastAsia="仿宋_GB2312" w:cs="Times New Roman"/>
          <w:b/>
          <w:bCs/>
          <w:color w:val="000000"/>
          <w:sz w:val="32"/>
          <w:szCs w:val="32"/>
        </w:rPr>
        <w:t>其他交通费用：</w:t>
      </w:r>
      <w:r>
        <w:rPr>
          <w:rFonts w:ascii="Times New Roman" w:hAnsi="Times New Roman" w:eastAsia="仿宋_GB2312" w:cs="Times New Roman"/>
          <w:color w:val="00000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十六、</w:t>
      </w:r>
      <w:r>
        <w:rPr>
          <w:rFonts w:ascii="Times New Roman" w:hAnsi="Times New Roman" w:eastAsia="仿宋_GB2312" w:cs="Times New Roman"/>
          <w:b/>
          <w:bCs/>
          <w:color w:val="000000"/>
          <w:sz w:val="32"/>
          <w:szCs w:val="32"/>
        </w:rPr>
        <w:t>公务用车购置：</w:t>
      </w:r>
      <w:r>
        <w:rPr>
          <w:rFonts w:ascii="Times New Roman" w:hAnsi="Times New Roman" w:eastAsia="仿宋_GB2312" w:cs="Times New Roman"/>
          <w:color w:val="000000"/>
          <w:sz w:val="32"/>
          <w:szCs w:val="32"/>
        </w:rPr>
        <w:t>填列单位公务用车车辆购置支出（含车辆购置税、牌照费）。</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十七、</w:t>
      </w:r>
      <w:r>
        <w:rPr>
          <w:rFonts w:ascii="Times New Roman" w:hAnsi="Times New Roman" w:eastAsia="仿宋_GB2312" w:cs="Times New Roman"/>
          <w:b/>
          <w:bCs/>
          <w:color w:val="000000"/>
          <w:sz w:val="32"/>
          <w:szCs w:val="32"/>
        </w:rPr>
        <w:t>其他交通工具购置：</w:t>
      </w:r>
      <w:r>
        <w:rPr>
          <w:rFonts w:ascii="Times New Roman" w:hAnsi="Times New Roman" w:eastAsia="仿宋_GB2312" w:cs="Times New Roman"/>
          <w:color w:val="000000"/>
          <w:sz w:val="32"/>
          <w:szCs w:val="32"/>
        </w:rPr>
        <w:t>填列单位除公务用车外的其他各类交通工具（如船舶、飞机等）购置支出（含车辆购置税、牌照费）。</w:t>
      </w:r>
    </w:p>
    <w:p>
      <w:pPr>
        <w:widowControl/>
        <w:spacing w:line="560" w:lineRule="exact"/>
        <w:ind w:firstLine="643" w:firstLineChars="200"/>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sz w:val="32"/>
          <w:szCs w:val="32"/>
        </w:rPr>
        <w:t>十八、机关运行经费：</w:t>
      </w:r>
      <w:r>
        <w:rPr>
          <w:rFonts w:ascii="Times New Roman" w:hAnsi="Times New Roman" w:eastAsia="仿宋_GB2312" w:cs="Times New Roman"/>
          <w:color w:val="00000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color w:val="000000"/>
          <w:sz w:val="32"/>
          <w:szCs w:val="32"/>
        </w:rPr>
        <w:t>十九、经费形式:</w:t>
      </w:r>
      <w:r>
        <w:rPr>
          <w:rFonts w:ascii="Times New Roman" w:hAnsi="Times New Roman" w:eastAsia="仿宋_GB2312" w:cs="Times New Roman"/>
          <w:color w:val="000000"/>
          <w:sz w:val="32"/>
          <w:szCs w:val="32"/>
        </w:rPr>
        <w:t>按照经费来源，</w:t>
      </w:r>
      <w:r>
        <w:rPr>
          <w:rFonts w:ascii="Times New Roman" w:hAnsi="Times New Roman" w:eastAsia="仿宋_GB2312" w:cs="Times New Roman"/>
          <w:sz w:val="32"/>
          <w:szCs w:val="32"/>
        </w:rPr>
        <w:t>可分为财政拨款、财政性资金基本保证、财政性资金定额或定项补助、财政性资金零补助四类</w:t>
      </w:r>
    </w:p>
    <w:p>
      <w:pPr>
        <w:rPr>
          <w:rFonts w:ascii="Times New Roman" w:hAnsi="Times New Roman" w:cs="Times New Roman"/>
        </w:rPr>
      </w:pPr>
    </w:p>
    <w:p>
      <w:pPr>
        <w:pStyle w:val="10"/>
        <w:widowControl/>
        <w:spacing w:beforeAutospacing="0" w:afterAutospacing="0"/>
        <w:rPr>
          <w:rFonts w:ascii="Times New Roman" w:hAnsi="Times New Roman" w:eastAsia="仿宋_GB2312"/>
          <w:color w:val="333333"/>
          <w:sz w:val="33"/>
          <w:szCs w:val="33"/>
          <w:shd w:val="clear" w:color="auto" w:fill="FFFFFF"/>
        </w:rPr>
      </w:pPr>
    </w:p>
    <w:p>
      <w:pPr>
        <w:rPr>
          <w:rFonts w:ascii="Times New Roman" w:hAnsi="Times New Roman" w:eastAsia="仿宋_GB2312" w:cs="Times New Roman"/>
          <w:color w:val="333333"/>
          <w:sz w:val="33"/>
          <w:szCs w:val="33"/>
          <w:shd w:val="clear" w:color="auto"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8DF572F-1A5C-45C1-8C1F-99FD9CBC4055}"/>
  </w:font>
  <w:font w:name="Arial">
    <w:panose1 w:val="020B0604020202020204"/>
    <w:charset w:val="01"/>
    <w:family w:val="swiss"/>
    <w:pitch w:val="default"/>
    <w:sig w:usb0="E0002AFF" w:usb1="C0007843" w:usb2="00000009" w:usb3="00000000" w:csb0="400001FF" w:csb1="FFFF0000"/>
    <w:embedRegular r:id="rId2" w:fontKey="{BE5BD7B7-5C69-4167-BC25-358221B0E735}"/>
  </w:font>
  <w:font w:name="黑体">
    <w:panose1 w:val="02010609060101010101"/>
    <w:charset w:val="86"/>
    <w:family w:val="auto"/>
    <w:pitch w:val="default"/>
    <w:sig w:usb0="800002BF" w:usb1="38CF7CFA" w:usb2="00000016" w:usb3="00000000" w:csb0="00040001" w:csb1="00000000"/>
    <w:embedRegular r:id="rId3" w:fontKey="{14FB95AB-64B4-4ECA-88DF-1924B335D0B7}"/>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AE17963E-B551-40A7-9F99-9AE37B34EF06}"/>
  </w:font>
  <w:font w:name="仿宋">
    <w:panose1 w:val="02010609060101010101"/>
    <w:charset w:val="86"/>
    <w:family w:val="modern"/>
    <w:pitch w:val="default"/>
    <w:sig w:usb0="800002BF" w:usb1="38CF7CFA" w:usb2="00000016" w:usb3="00000000" w:csb0="00040001" w:csb1="00000000"/>
    <w:embedRegular r:id="rId5" w:fontKey="{DD87446E-4C2D-417D-BECF-6F9C476F0C12}"/>
  </w:font>
  <w:font w:name="Calibri Light">
    <w:panose1 w:val="020F0302020204030204"/>
    <w:charset w:val="00"/>
    <w:family w:val="swiss"/>
    <w:pitch w:val="default"/>
    <w:sig w:usb0="A00002EF" w:usb1="4000207B" w:usb2="00000000" w:usb3="00000000" w:csb0="2000019F" w:csb1="00000000"/>
  </w:font>
  <w:font w:name="华文中宋">
    <w:altName w:val="宋体"/>
    <w:panose1 w:val="02010600040101010101"/>
    <w:charset w:val="86"/>
    <w:family w:val="auto"/>
    <w:pitch w:val="default"/>
    <w:sig w:usb0="00000000" w:usb1="00000000" w:usb2="00000010" w:usb3="00000000" w:csb0="0004009F" w:csb1="00000000"/>
  </w:font>
  <w:font w:name="方正魏碑简体">
    <w:altName w:val="微软雅黑"/>
    <w:panose1 w:val="00000000000000000000"/>
    <w:charset w:val="86"/>
    <w:family w:val="auto"/>
    <w:pitch w:val="default"/>
    <w:sig w:usb0="00000000" w:usb1="00000000" w:usb2="00000010" w:usb3="00000000" w:csb0="00040000" w:csb1="00000000"/>
    <w:embedRegular r:id="rId6" w:fontKey="{C3A9AD62-C007-48AE-8AD6-D7E8105236EF}"/>
  </w:font>
  <w:font w:name="思源黑体 CN Heavy">
    <w:altName w:val="黑体"/>
    <w:panose1 w:val="00000000000000000000"/>
    <w:charset w:val="86"/>
    <w:family w:val="swiss"/>
    <w:pitch w:val="default"/>
    <w:sig w:usb0="00000000" w:usb1="00000000" w:usb2="00000016" w:usb3="00000000" w:csb0="00060107" w:csb1="00000000"/>
    <w:embedRegular r:id="rId7" w:fontKey="{8B83465D-CFB1-4A41-B755-750361E191EE}"/>
  </w:font>
  <w:font w:name="楷体_GB2312">
    <w:panose1 w:val="02010609030101010101"/>
    <w:charset w:val="86"/>
    <w:family w:val="auto"/>
    <w:pitch w:val="default"/>
    <w:sig w:usb0="00000001" w:usb1="080E0000" w:usb2="00000000" w:usb3="00000000" w:csb0="00040000" w:csb1="00000000"/>
    <w:embedRegular r:id="rId8" w:fontKey="{1AB0F810-B663-4914-B530-01B257329982}"/>
  </w:font>
  <w:font w:name="仿宋_GB2312">
    <w:panose1 w:val="02010609030101010101"/>
    <w:charset w:val="86"/>
    <w:family w:val="auto"/>
    <w:pitch w:val="default"/>
    <w:sig w:usb0="00000001" w:usb1="080E0000" w:usb2="00000000" w:usb3="00000000" w:csb0="00040000" w:csb1="00000000"/>
    <w:embedRegular r:id="rId9" w:fontKey="{2469BA91-074B-4B61-A2D5-141A18835288}"/>
  </w:font>
  <w:font w:name="方正仿宋_GB2312">
    <w:panose1 w:val="02000000000000000000"/>
    <w:charset w:val="86"/>
    <w:family w:val="auto"/>
    <w:pitch w:val="default"/>
    <w:sig w:usb0="00000000" w:usb1="00000000" w:usb2="00000000" w:usb3="00000000" w:csb0="00000000" w:csb1="00000000"/>
    <w:embedRegular r:id="rId10" w:fontKey="{1AAF54D6-F4D9-44D5-B2E2-55EF9DF2708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31EB42C"/>
    <w:multiLevelType w:val="singleLevel"/>
    <w:tmpl w:val="F31EB42C"/>
    <w:lvl w:ilvl="0" w:tentative="0">
      <w:start w:val="4"/>
      <w:numFmt w:val="chineseCounting"/>
      <w:suff w:val="nothing"/>
      <w:lvlText w:val="（%1）"/>
      <w:lvlJc w:val="left"/>
      <w:rPr>
        <w:rFonts w:hint="eastAsia"/>
      </w:rPr>
    </w:lvl>
  </w:abstractNum>
  <w:abstractNum w:abstractNumId="1">
    <w:nsid w:val="FAEC75E9"/>
    <w:multiLevelType w:val="singleLevel"/>
    <w:tmpl w:val="FAEC75E9"/>
    <w:lvl w:ilvl="0" w:tentative="0">
      <w:start w:val="3"/>
      <w:numFmt w:val="chineseCounting"/>
      <w:suff w:val="nothing"/>
      <w:lvlText w:val="（%1）"/>
      <w:lvlJc w:val="left"/>
      <w:rPr>
        <w:rFonts w:hint="eastAsia"/>
      </w:rPr>
    </w:lvl>
  </w:abstractNum>
  <w:abstractNum w:abstractNumId="2">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
    <w:nsid w:val="5F222FFA"/>
    <w:multiLevelType w:val="singleLevel"/>
    <w:tmpl w:val="5F222FFA"/>
    <w:lvl w:ilvl="0" w:tentative="0">
      <w:start w:val="1"/>
      <w:numFmt w:val="decimal"/>
      <w:suff w:val="nothing"/>
      <w:lvlText w:val="（%1）"/>
      <w:lvlJc w:val="left"/>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DQsImhkaWQiOiJiMzk2N2EzZjUyYWViODRjZjJhMDZjM2YyYjk4MTExMiIsInVzZXJDb3VudCI6Mjd9"/>
  </w:docVars>
  <w:rsids>
    <w:rsidRoot w:val="00144C07"/>
    <w:rsid w:val="00086151"/>
    <w:rsid w:val="00144C07"/>
    <w:rsid w:val="00236F8C"/>
    <w:rsid w:val="0064383A"/>
    <w:rsid w:val="007F638C"/>
    <w:rsid w:val="008B271F"/>
    <w:rsid w:val="008E6AAF"/>
    <w:rsid w:val="00AD3588"/>
    <w:rsid w:val="00B151A5"/>
    <w:rsid w:val="00C65689"/>
    <w:rsid w:val="00CA6AE0"/>
    <w:rsid w:val="00CC2C8E"/>
    <w:rsid w:val="016E52B5"/>
    <w:rsid w:val="01900E19"/>
    <w:rsid w:val="01A03C5A"/>
    <w:rsid w:val="01A5267D"/>
    <w:rsid w:val="02363AF1"/>
    <w:rsid w:val="024808A2"/>
    <w:rsid w:val="025C3821"/>
    <w:rsid w:val="02DA3B1B"/>
    <w:rsid w:val="02E57B4D"/>
    <w:rsid w:val="037B12D4"/>
    <w:rsid w:val="03804D63"/>
    <w:rsid w:val="03FB73B0"/>
    <w:rsid w:val="04BD008C"/>
    <w:rsid w:val="04C55939"/>
    <w:rsid w:val="04DA28BB"/>
    <w:rsid w:val="04F419D9"/>
    <w:rsid w:val="04F528BE"/>
    <w:rsid w:val="05991C82"/>
    <w:rsid w:val="061416A9"/>
    <w:rsid w:val="06236884"/>
    <w:rsid w:val="067E788A"/>
    <w:rsid w:val="06FC7C2A"/>
    <w:rsid w:val="07533AFE"/>
    <w:rsid w:val="07B3657A"/>
    <w:rsid w:val="07C703AC"/>
    <w:rsid w:val="07C857D0"/>
    <w:rsid w:val="08333D3D"/>
    <w:rsid w:val="08AB5AAF"/>
    <w:rsid w:val="09012C64"/>
    <w:rsid w:val="093B2E99"/>
    <w:rsid w:val="095D7943"/>
    <w:rsid w:val="09C006C6"/>
    <w:rsid w:val="0A10621F"/>
    <w:rsid w:val="0A464C4F"/>
    <w:rsid w:val="0A6729A3"/>
    <w:rsid w:val="0A694877"/>
    <w:rsid w:val="0AA954BE"/>
    <w:rsid w:val="0AE0030A"/>
    <w:rsid w:val="0AE70639"/>
    <w:rsid w:val="0B4F5E6D"/>
    <w:rsid w:val="0B753AE2"/>
    <w:rsid w:val="0BB67D0A"/>
    <w:rsid w:val="0BC56230"/>
    <w:rsid w:val="0BCF21BD"/>
    <w:rsid w:val="0C4E53E8"/>
    <w:rsid w:val="0C9F7900"/>
    <w:rsid w:val="0CB23317"/>
    <w:rsid w:val="0CBE297A"/>
    <w:rsid w:val="0D101068"/>
    <w:rsid w:val="0D49470D"/>
    <w:rsid w:val="0D7557DF"/>
    <w:rsid w:val="0D853E34"/>
    <w:rsid w:val="0D9C2A57"/>
    <w:rsid w:val="0DFA5D82"/>
    <w:rsid w:val="0E0B1B42"/>
    <w:rsid w:val="0E1E52CE"/>
    <w:rsid w:val="0E341BC0"/>
    <w:rsid w:val="0E866524"/>
    <w:rsid w:val="0E9268D3"/>
    <w:rsid w:val="0E957F1F"/>
    <w:rsid w:val="0F0E7284"/>
    <w:rsid w:val="0F28110F"/>
    <w:rsid w:val="0F360E40"/>
    <w:rsid w:val="0F37083F"/>
    <w:rsid w:val="0F891DB8"/>
    <w:rsid w:val="0FAA3B86"/>
    <w:rsid w:val="10191346"/>
    <w:rsid w:val="10754A6C"/>
    <w:rsid w:val="108B537D"/>
    <w:rsid w:val="10B11DB1"/>
    <w:rsid w:val="10C7485C"/>
    <w:rsid w:val="10E54095"/>
    <w:rsid w:val="11177F57"/>
    <w:rsid w:val="11217C97"/>
    <w:rsid w:val="11464C20"/>
    <w:rsid w:val="115E4926"/>
    <w:rsid w:val="118A1FFA"/>
    <w:rsid w:val="11E35B5A"/>
    <w:rsid w:val="11E42DD6"/>
    <w:rsid w:val="11F57951"/>
    <w:rsid w:val="125F5A1B"/>
    <w:rsid w:val="126979D6"/>
    <w:rsid w:val="129E45A7"/>
    <w:rsid w:val="13074404"/>
    <w:rsid w:val="136A5C00"/>
    <w:rsid w:val="138517F8"/>
    <w:rsid w:val="13C527AC"/>
    <w:rsid w:val="14711797"/>
    <w:rsid w:val="147B6F17"/>
    <w:rsid w:val="14D42061"/>
    <w:rsid w:val="15081C8B"/>
    <w:rsid w:val="15090D5C"/>
    <w:rsid w:val="15CF053D"/>
    <w:rsid w:val="15E0131A"/>
    <w:rsid w:val="16457D9F"/>
    <w:rsid w:val="17223EFF"/>
    <w:rsid w:val="17B713F6"/>
    <w:rsid w:val="184350A0"/>
    <w:rsid w:val="18541CC2"/>
    <w:rsid w:val="18935485"/>
    <w:rsid w:val="18946C52"/>
    <w:rsid w:val="18A34206"/>
    <w:rsid w:val="18DE3B2C"/>
    <w:rsid w:val="1906685D"/>
    <w:rsid w:val="19111683"/>
    <w:rsid w:val="19353916"/>
    <w:rsid w:val="19585ACD"/>
    <w:rsid w:val="19B07C1B"/>
    <w:rsid w:val="19C10AF1"/>
    <w:rsid w:val="1A077661"/>
    <w:rsid w:val="1A2672DE"/>
    <w:rsid w:val="1A450579"/>
    <w:rsid w:val="1AA81D42"/>
    <w:rsid w:val="1AB433D9"/>
    <w:rsid w:val="1B1B11EE"/>
    <w:rsid w:val="1B3719E0"/>
    <w:rsid w:val="1B6261C3"/>
    <w:rsid w:val="1B731730"/>
    <w:rsid w:val="1B882BB5"/>
    <w:rsid w:val="1B906310"/>
    <w:rsid w:val="1B9B33C7"/>
    <w:rsid w:val="1B9D7FEC"/>
    <w:rsid w:val="1BA55461"/>
    <w:rsid w:val="1BC872C4"/>
    <w:rsid w:val="1BE74496"/>
    <w:rsid w:val="1C35495A"/>
    <w:rsid w:val="1C3D67D1"/>
    <w:rsid w:val="1C40731A"/>
    <w:rsid w:val="1C560392"/>
    <w:rsid w:val="1C581532"/>
    <w:rsid w:val="1CA15E03"/>
    <w:rsid w:val="1CA24F0C"/>
    <w:rsid w:val="1CF8716C"/>
    <w:rsid w:val="1D230EBD"/>
    <w:rsid w:val="1D4B1F5B"/>
    <w:rsid w:val="1D6C5CA0"/>
    <w:rsid w:val="1D725586"/>
    <w:rsid w:val="1D745B4F"/>
    <w:rsid w:val="1D867987"/>
    <w:rsid w:val="1D944010"/>
    <w:rsid w:val="1DD70E85"/>
    <w:rsid w:val="1DE6414E"/>
    <w:rsid w:val="1DE74AD7"/>
    <w:rsid w:val="1DF60A19"/>
    <w:rsid w:val="1DFA6713"/>
    <w:rsid w:val="1E050843"/>
    <w:rsid w:val="1E20024F"/>
    <w:rsid w:val="1E2D3FB0"/>
    <w:rsid w:val="1E2E50F1"/>
    <w:rsid w:val="1E2F73C2"/>
    <w:rsid w:val="1E3B4E26"/>
    <w:rsid w:val="1E536033"/>
    <w:rsid w:val="1E97477F"/>
    <w:rsid w:val="1EDF707D"/>
    <w:rsid w:val="1F65664C"/>
    <w:rsid w:val="1F79478A"/>
    <w:rsid w:val="1F7C149A"/>
    <w:rsid w:val="1F84140D"/>
    <w:rsid w:val="1F863C54"/>
    <w:rsid w:val="1F9B7FFD"/>
    <w:rsid w:val="1F9C7614"/>
    <w:rsid w:val="1FBE1971"/>
    <w:rsid w:val="1FC36E8D"/>
    <w:rsid w:val="2008768D"/>
    <w:rsid w:val="204C2B10"/>
    <w:rsid w:val="207D30AD"/>
    <w:rsid w:val="209064B9"/>
    <w:rsid w:val="20970D81"/>
    <w:rsid w:val="20D165D5"/>
    <w:rsid w:val="210878E6"/>
    <w:rsid w:val="210E1408"/>
    <w:rsid w:val="211069AD"/>
    <w:rsid w:val="2154654F"/>
    <w:rsid w:val="21573FAB"/>
    <w:rsid w:val="2172069C"/>
    <w:rsid w:val="21987BC4"/>
    <w:rsid w:val="220451AB"/>
    <w:rsid w:val="2237486E"/>
    <w:rsid w:val="223D1378"/>
    <w:rsid w:val="22940650"/>
    <w:rsid w:val="22AD4B1E"/>
    <w:rsid w:val="22D31DF3"/>
    <w:rsid w:val="22FD3CF7"/>
    <w:rsid w:val="2356249E"/>
    <w:rsid w:val="236E713A"/>
    <w:rsid w:val="23700968"/>
    <w:rsid w:val="238761A6"/>
    <w:rsid w:val="23920578"/>
    <w:rsid w:val="23BB6F9A"/>
    <w:rsid w:val="23FC3864"/>
    <w:rsid w:val="24F25212"/>
    <w:rsid w:val="254B0AC6"/>
    <w:rsid w:val="25571AB6"/>
    <w:rsid w:val="25B40AD6"/>
    <w:rsid w:val="25BE7872"/>
    <w:rsid w:val="25BF702A"/>
    <w:rsid w:val="264D2D17"/>
    <w:rsid w:val="26625B7E"/>
    <w:rsid w:val="26D50E55"/>
    <w:rsid w:val="270763D6"/>
    <w:rsid w:val="271A539C"/>
    <w:rsid w:val="274972D4"/>
    <w:rsid w:val="2787204F"/>
    <w:rsid w:val="27AA3D97"/>
    <w:rsid w:val="289057C5"/>
    <w:rsid w:val="289724F8"/>
    <w:rsid w:val="28A67C7A"/>
    <w:rsid w:val="28D1057E"/>
    <w:rsid w:val="28D458A4"/>
    <w:rsid w:val="28D7372A"/>
    <w:rsid w:val="28EA3248"/>
    <w:rsid w:val="28F879DA"/>
    <w:rsid w:val="294630F8"/>
    <w:rsid w:val="294B7731"/>
    <w:rsid w:val="296A5FF1"/>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D99655D"/>
    <w:rsid w:val="2E1B4BB8"/>
    <w:rsid w:val="2E256CB6"/>
    <w:rsid w:val="2E3224D3"/>
    <w:rsid w:val="2E5F27E4"/>
    <w:rsid w:val="2EBD223E"/>
    <w:rsid w:val="2EC10AD1"/>
    <w:rsid w:val="2ECB6A5A"/>
    <w:rsid w:val="2EFC0112"/>
    <w:rsid w:val="2F2B730D"/>
    <w:rsid w:val="2F8169E4"/>
    <w:rsid w:val="2F9F3DC1"/>
    <w:rsid w:val="2FFC7AC2"/>
    <w:rsid w:val="301430AF"/>
    <w:rsid w:val="30630612"/>
    <w:rsid w:val="308E59B0"/>
    <w:rsid w:val="30B10568"/>
    <w:rsid w:val="30E55DD3"/>
    <w:rsid w:val="30E60399"/>
    <w:rsid w:val="31356AA5"/>
    <w:rsid w:val="313E22F0"/>
    <w:rsid w:val="31A37D5F"/>
    <w:rsid w:val="31B0194C"/>
    <w:rsid w:val="31CE17D1"/>
    <w:rsid w:val="31CE3CA3"/>
    <w:rsid w:val="32122745"/>
    <w:rsid w:val="323E4515"/>
    <w:rsid w:val="324E00CB"/>
    <w:rsid w:val="3286389B"/>
    <w:rsid w:val="32CE6A40"/>
    <w:rsid w:val="32CF5C94"/>
    <w:rsid w:val="32D337C7"/>
    <w:rsid w:val="32E200EC"/>
    <w:rsid w:val="32E5408B"/>
    <w:rsid w:val="32EB0D70"/>
    <w:rsid w:val="332868BB"/>
    <w:rsid w:val="333211F3"/>
    <w:rsid w:val="33504B41"/>
    <w:rsid w:val="335174BC"/>
    <w:rsid w:val="338B4A07"/>
    <w:rsid w:val="33944811"/>
    <w:rsid w:val="33CE0488"/>
    <w:rsid w:val="34005866"/>
    <w:rsid w:val="34182C85"/>
    <w:rsid w:val="34262463"/>
    <w:rsid w:val="34296F31"/>
    <w:rsid w:val="34340A27"/>
    <w:rsid w:val="34496D9C"/>
    <w:rsid w:val="346A2989"/>
    <w:rsid w:val="34714663"/>
    <w:rsid w:val="348865E9"/>
    <w:rsid w:val="348F70D5"/>
    <w:rsid w:val="349D2BAD"/>
    <w:rsid w:val="34B25886"/>
    <w:rsid w:val="35277FF8"/>
    <w:rsid w:val="3558300F"/>
    <w:rsid w:val="35776F72"/>
    <w:rsid w:val="35997371"/>
    <w:rsid w:val="360134DF"/>
    <w:rsid w:val="360B1E2F"/>
    <w:rsid w:val="360D500F"/>
    <w:rsid w:val="36330424"/>
    <w:rsid w:val="36990C8E"/>
    <w:rsid w:val="36FE3ABA"/>
    <w:rsid w:val="37072BDE"/>
    <w:rsid w:val="3716321D"/>
    <w:rsid w:val="37252B82"/>
    <w:rsid w:val="37455334"/>
    <w:rsid w:val="376A14D2"/>
    <w:rsid w:val="37731921"/>
    <w:rsid w:val="37E509C0"/>
    <w:rsid w:val="37E96FB8"/>
    <w:rsid w:val="38222D85"/>
    <w:rsid w:val="38803721"/>
    <w:rsid w:val="38925A62"/>
    <w:rsid w:val="389F5F4F"/>
    <w:rsid w:val="38C36BA2"/>
    <w:rsid w:val="38F6595C"/>
    <w:rsid w:val="391702A7"/>
    <w:rsid w:val="39286EB6"/>
    <w:rsid w:val="39601DF4"/>
    <w:rsid w:val="39840D35"/>
    <w:rsid w:val="39A239AC"/>
    <w:rsid w:val="39A97DAF"/>
    <w:rsid w:val="39CD1330"/>
    <w:rsid w:val="39DD1AFF"/>
    <w:rsid w:val="3A2510B9"/>
    <w:rsid w:val="3A2B1DFC"/>
    <w:rsid w:val="3AA6422C"/>
    <w:rsid w:val="3AAF46D5"/>
    <w:rsid w:val="3B135A0E"/>
    <w:rsid w:val="3B272BBC"/>
    <w:rsid w:val="3B2C4F14"/>
    <w:rsid w:val="3B374FEE"/>
    <w:rsid w:val="3B3D2A8B"/>
    <w:rsid w:val="3B4410EE"/>
    <w:rsid w:val="3B56159C"/>
    <w:rsid w:val="3B7D732B"/>
    <w:rsid w:val="3BA7084C"/>
    <w:rsid w:val="3BD30423"/>
    <w:rsid w:val="3C3A1750"/>
    <w:rsid w:val="3C6147F2"/>
    <w:rsid w:val="3C6C0B58"/>
    <w:rsid w:val="3CBE41D5"/>
    <w:rsid w:val="3D446B0E"/>
    <w:rsid w:val="3D5B1926"/>
    <w:rsid w:val="3D953A6B"/>
    <w:rsid w:val="3DBB2CD5"/>
    <w:rsid w:val="3DBB5979"/>
    <w:rsid w:val="3E1057AF"/>
    <w:rsid w:val="3E6C0DFA"/>
    <w:rsid w:val="3E740322"/>
    <w:rsid w:val="3E7F4380"/>
    <w:rsid w:val="3E8D171B"/>
    <w:rsid w:val="3E8E5574"/>
    <w:rsid w:val="3EA5630D"/>
    <w:rsid w:val="3EBA731B"/>
    <w:rsid w:val="3EFB5800"/>
    <w:rsid w:val="3F3B4E59"/>
    <w:rsid w:val="3F4D1B74"/>
    <w:rsid w:val="3F6E677C"/>
    <w:rsid w:val="3F712F46"/>
    <w:rsid w:val="3FBC0EF7"/>
    <w:rsid w:val="3FCD2AB9"/>
    <w:rsid w:val="3FD17600"/>
    <w:rsid w:val="4050218A"/>
    <w:rsid w:val="405C7868"/>
    <w:rsid w:val="408B24EB"/>
    <w:rsid w:val="417044B8"/>
    <w:rsid w:val="41A203A0"/>
    <w:rsid w:val="41AC2D77"/>
    <w:rsid w:val="41E83F8C"/>
    <w:rsid w:val="422D1842"/>
    <w:rsid w:val="425B7C31"/>
    <w:rsid w:val="42737A55"/>
    <w:rsid w:val="427D66D0"/>
    <w:rsid w:val="42BC7E02"/>
    <w:rsid w:val="42C82575"/>
    <w:rsid w:val="43022EE1"/>
    <w:rsid w:val="431A5F8F"/>
    <w:rsid w:val="431F247A"/>
    <w:rsid w:val="43335E8F"/>
    <w:rsid w:val="433F2968"/>
    <w:rsid w:val="43676E20"/>
    <w:rsid w:val="43A31040"/>
    <w:rsid w:val="43BF774E"/>
    <w:rsid w:val="43CD062F"/>
    <w:rsid w:val="43E214F9"/>
    <w:rsid w:val="43F06264"/>
    <w:rsid w:val="44404C8E"/>
    <w:rsid w:val="447537F1"/>
    <w:rsid w:val="44870D07"/>
    <w:rsid w:val="44B52C11"/>
    <w:rsid w:val="45513D03"/>
    <w:rsid w:val="45541E1C"/>
    <w:rsid w:val="458931B6"/>
    <w:rsid w:val="45F657C2"/>
    <w:rsid w:val="46107AB9"/>
    <w:rsid w:val="461F0A8B"/>
    <w:rsid w:val="4648721E"/>
    <w:rsid w:val="46663E71"/>
    <w:rsid w:val="466A37AC"/>
    <w:rsid w:val="46CB071B"/>
    <w:rsid w:val="46DE140B"/>
    <w:rsid w:val="46E77334"/>
    <w:rsid w:val="46F22E29"/>
    <w:rsid w:val="46F7142F"/>
    <w:rsid w:val="47107AE3"/>
    <w:rsid w:val="473C62ED"/>
    <w:rsid w:val="47617242"/>
    <w:rsid w:val="47731896"/>
    <w:rsid w:val="4783216D"/>
    <w:rsid w:val="478C16C9"/>
    <w:rsid w:val="47AD79CE"/>
    <w:rsid w:val="47BD246B"/>
    <w:rsid w:val="47CB2B0C"/>
    <w:rsid w:val="47E773CE"/>
    <w:rsid w:val="48015FF5"/>
    <w:rsid w:val="484C45A4"/>
    <w:rsid w:val="48692CD0"/>
    <w:rsid w:val="48AE3D01"/>
    <w:rsid w:val="48D9540B"/>
    <w:rsid w:val="49067B2F"/>
    <w:rsid w:val="496008AE"/>
    <w:rsid w:val="49677E31"/>
    <w:rsid w:val="496C2225"/>
    <w:rsid w:val="49AE2880"/>
    <w:rsid w:val="49F42EAF"/>
    <w:rsid w:val="49F96FB8"/>
    <w:rsid w:val="4A337323"/>
    <w:rsid w:val="4A5B28DC"/>
    <w:rsid w:val="4AA06B93"/>
    <w:rsid w:val="4ACC6C2B"/>
    <w:rsid w:val="4ADB18EB"/>
    <w:rsid w:val="4B0371D8"/>
    <w:rsid w:val="4B6D2F19"/>
    <w:rsid w:val="4B96118E"/>
    <w:rsid w:val="4BAE1B66"/>
    <w:rsid w:val="4BED4708"/>
    <w:rsid w:val="4BF133DC"/>
    <w:rsid w:val="4C507D4A"/>
    <w:rsid w:val="4CDF5563"/>
    <w:rsid w:val="4CFB2214"/>
    <w:rsid w:val="4D2C4D26"/>
    <w:rsid w:val="4D335E0E"/>
    <w:rsid w:val="4D4E4EA3"/>
    <w:rsid w:val="4D9A5B1B"/>
    <w:rsid w:val="4DA55D85"/>
    <w:rsid w:val="4DB74F29"/>
    <w:rsid w:val="4DBB20DB"/>
    <w:rsid w:val="4DDC3F22"/>
    <w:rsid w:val="4E1040C7"/>
    <w:rsid w:val="4E1760BF"/>
    <w:rsid w:val="4E4A7541"/>
    <w:rsid w:val="4E646AEA"/>
    <w:rsid w:val="4EBA03C3"/>
    <w:rsid w:val="4EBC5459"/>
    <w:rsid w:val="4ED94CB0"/>
    <w:rsid w:val="4EEC2ED3"/>
    <w:rsid w:val="4F037DB0"/>
    <w:rsid w:val="4F0B74A3"/>
    <w:rsid w:val="4F0E56EA"/>
    <w:rsid w:val="4F1863F5"/>
    <w:rsid w:val="4F2E11BC"/>
    <w:rsid w:val="4F3C4343"/>
    <w:rsid w:val="4F416688"/>
    <w:rsid w:val="4F5620B0"/>
    <w:rsid w:val="4F6654EE"/>
    <w:rsid w:val="4F7379C6"/>
    <w:rsid w:val="4F872183"/>
    <w:rsid w:val="4F872BDB"/>
    <w:rsid w:val="4F9111A0"/>
    <w:rsid w:val="4F9F566B"/>
    <w:rsid w:val="4FA033E9"/>
    <w:rsid w:val="4FA743DA"/>
    <w:rsid w:val="4FB3565A"/>
    <w:rsid w:val="4FCB76FB"/>
    <w:rsid w:val="4FED77BF"/>
    <w:rsid w:val="503D1C79"/>
    <w:rsid w:val="507A6406"/>
    <w:rsid w:val="50853863"/>
    <w:rsid w:val="508A4590"/>
    <w:rsid w:val="50F1461D"/>
    <w:rsid w:val="50FE5411"/>
    <w:rsid w:val="510B072E"/>
    <w:rsid w:val="511B0BF4"/>
    <w:rsid w:val="51264306"/>
    <w:rsid w:val="516123CE"/>
    <w:rsid w:val="51B177A9"/>
    <w:rsid w:val="51C4760A"/>
    <w:rsid w:val="51CF0D81"/>
    <w:rsid w:val="51E066EB"/>
    <w:rsid w:val="5267570A"/>
    <w:rsid w:val="52707792"/>
    <w:rsid w:val="52A12CDC"/>
    <w:rsid w:val="52DF0C92"/>
    <w:rsid w:val="52E1159C"/>
    <w:rsid w:val="52E34D6A"/>
    <w:rsid w:val="531E524E"/>
    <w:rsid w:val="534072EB"/>
    <w:rsid w:val="537F4776"/>
    <w:rsid w:val="538E2D0B"/>
    <w:rsid w:val="53922782"/>
    <w:rsid w:val="539C1424"/>
    <w:rsid w:val="53A639C0"/>
    <w:rsid w:val="53F00A24"/>
    <w:rsid w:val="53F63DBA"/>
    <w:rsid w:val="5448624E"/>
    <w:rsid w:val="546C44E0"/>
    <w:rsid w:val="546E2B1A"/>
    <w:rsid w:val="5482555F"/>
    <w:rsid w:val="55090D29"/>
    <w:rsid w:val="551452C2"/>
    <w:rsid w:val="55363E67"/>
    <w:rsid w:val="555C4981"/>
    <w:rsid w:val="556E6DF7"/>
    <w:rsid w:val="559D47CE"/>
    <w:rsid w:val="55BE1959"/>
    <w:rsid w:val="56232437"/>
    <w:rsid w:val="56541A75"/>
    <w:rsid w:val="568832FC"/>
    <w:rsid w:val="568C4181"/>
    <w:rsid w:val="56B73A15"/>
    <w:rsid w:val="570725A9"/>
    <w:rsid w:val="5714693E"/>
    <w:rsid w:val="571D0C9C"/>
    <w:rsid w:val="573A16CE"/>
    <w:rsid w:val="577961A6"/>
    <w:rsid w:val="579C7F80"/>
    <w:rsid w:val="57B30D7C"/>
    <w:rsid w:val="57D80EB0"/>
    <w:rsid w:val="58166B03"/>
    <w:rsid w:val="583E3C94"/>
    <w:rsid w:val="58721734"/>
    <w:rsid w:val="58900246"/>
    <w:rsid w:val="58977358"/>
    <w:rsid w:val="58D53944"/>
    <w:rsid w:val="58D65478"/>
    <w:rsid w:val="58F52487"/>
    <w:rsid w:val="58F778BC"/>
    <w:rsid w:val="590422E6"/>
    <w:rsid w:val="592257E5"/>
    <w:rsid w:val="59655E33"/>
    <w:rsid w:val="596655D3"/>
    <w:rsid w:val="59CF5BD9"/>
    <w:rsid w:val="59E20C3C"/>
    <w:rsid w:val="59FF7933"/>
    <w:rsid w:val="5A1D5B0A"/>
    <w:rsid w:val="5A3B4B4E"/>
    <w:rsid w:val="5A4804CA"/>
    <w:rsid w:val="5A594C85"/>
    <w:rsid w:val="5A7A11AE"/>
    <w:rsid w:val="5AC245EC"/>
    <w:rsid w:val="5AEB1E3C"/>
    <w:rsid w:val="5B2507CA"/>
    <w:rsid w:val="5B2A474A"/>
    <w:rsid w:val="5B830730"/>
    <w:rsid w:val="5B871C49"/>
    <w:rsid w:val="5BBB2DD6"/>
    <w:rsid w:val="5BE263B6"/>
    <w:rsid w:val="5C0B5402"/>
    <w:rsid w:val="5C8E5C5A"/>
    <w:rsid w:val="5C965E61"/>
    <w:rsid w:val="5D242A11"/>
    <w:rsid w:val="5D9217C2"/>
    <w:rsid w:val="5DAD06BF"/>
    <w:rsid w:val="5DE23CB3"/>
    <w:rsid w:val="5DE97EEC"/>
    <w:rsid w:val="5DF43138"/>
    <w:rsid w:val="5DFA5EB0"/>
    <w:rsid w:val="5E0B583E"/>
    <w:rsid w:val="5E201A7B"/>
    <w:rsid w:val="5EBD0484"/>
    <w:rsid w:val="5F04373C"/>
    <w:rsid w:val="5F2C5C7C"/>
    <w:rsid w:val="5FC5273F"/>
    <w:rsid w:val="60806DF2"/>
    <w:rsid w:val="61072DA5"/>
    <w:rsid w:val="611C0817"/>
    <w:rsid w:val="61224A52"/>
    <w:rsid w:val="61520CCB"/>
    <w:rsid w:val="61614E76"/>
    <w:rsid w:val="61851A29"/>
    <w:rsid w:val="621D350C"/>
    <w:rsid w:val="622D1522"/>
    <w:rsid w:val="622E0574"/>
    <w:rsid w:val="62683B6B"/>
    <w:rsid w:val="62AC5944"/>
    <w:rsid w:val="632731DA"/>
    <w:rsid w:val="637279B4"/>
    <w:rsid w:val="63817D2B"/>
    <w:rsid w:val="63BD1FA9"/>
    <w:rsid w:val="63D27965"/>
    <w:rsid w:val="64095516"/>
    <w:rsid w:val="641A2468"/>
    <w:rsid w:val="64372F20"/>
    <w:rsid w:val="64DC72D7"/>
    <w:rsid w:val="653619A6"/>
    <w:rsid w:val="65610A02"/>
    <w:rsid w:val="65A11EA3"/>
    <w:rsid w:val="65AC3D66"/>
    <w:rsid w:val="65BB5334"/>
    <w:rsid w:val="663E1DBA"/>
    <w:rsid w:val="665D0213"/>
    <w:rsid w:val="669E59F1"/>
    <w:rsid w:val="66A2024B"/>
    <w:rsid w:val="66EA4BA0"/>
    <w:rsid w:val="6704732B"/>
    <w:rsid w:val="670F6731"/>
    <w:rsid w:val="67127C7D"/>
    <w:rsid w:val="67280F62"/>
    <w:rsid w:val="67585CB0"/>
    <w:rsid w:val="67770F0C"/>
    <w:rsid w:val="67B03535"/>
    <w:rsid w:val="6801775B"/>
    <w:rsid w:val="68174F69"/>
    <w:rsid w:val="682C436A"/>
    <w:rsid w:val="68382778"/>
    <w:rsid w:val="68391F41"/>
    <w:rsid w:val="68436B8C"/>
    <w:rsid w:val="684C37A9"/>
    <w:rsid w:val="68797358"/>
    <w:rsid w:val="6884624F"/>
    <w:rsid w:val="68A519DF"/>
    <w:rsid w:val="68C4160B"/>
    <w:rsid w:val="68C41C30"/>
    <w:rsid w:val="68CF3BA4"/>
    <w:rsid w:val="69257FA7"/>
    <w:rsid w:val="693711B0"/>
    <w:rsid w:val="693B5419"/>
    <w:rsid w:val="693F26C7"/>
    <w:rsid w:val="697E12B2"/>
    <w:rsid w:val="69C8706D"/>
    <w:rsid w:val="6A0E3FB4"/>
    <w:rsid w:val="6A292754"/>
    <w:rsid w:val="6A5E3B28"/>
    <w:rsid w:val="6A6B1EBE"/>
    <w:rsid w:val="6A8F43F7"/>
    <w:rsid w:val="6ABF79B7"/>
    <w:rsid w:val="6AD625F3"/>
    <w:rsid w:val="6B750BA9"/>
    <w:rsid w:val="6BB93285"/>
    <w:rsid w:val="6C0C698C"/>
    <w:rsid w:val="6C222401"/>
    <w:rsid w:val="6C56267F"/>
    <w:rsid w:val="6C826EF9"/>
    <w:rsid w:val="6CAE4C93"/>
    <w:rsid w:val="6D0B1869"/>
    <w:rsid w:val="6D61214D"/>
    <w:rsid w:val="6D65402D"/>
    <w:rsid w:val="6D683822"/>
    <w:rsid w:val="6D7B170B"/>
    <w:rsid w:val="6D8D136C"/>
    <w:rsid w:val="6DBF2759"/>
    <w:rsid w:val="6DC96F36"/>
    <w:rsid w:val="6DE36C13"/>
    <w:rsid w:val="6DFA3EBF"/>
    <w:rsid w:val="6E030E49"/>
    <w:rsid w:val="6E3E63D2"/>
    <w:rsid w:val="6E5F7BE6"/>
    <w:rsid w:val="6E6918C6"/>
    <w:rsid w:val="6E8E495B"/>
    <w:rsid w:val="6EEB4AC4"/>
    <w:rsid w:val="6F212DD6"/>
    <w:rsid w:val="6F3B5912"/>
    <w:rsid w:val="6F3D39F1"/>
    <w:rsid w:val="6FA14A81"/>
    <w:rsid w:val="6FA3261F"/>
    <w:rsid w:val="6FBA5815"/>
    <w:rsid w:val="700D6539"/>
    <w:rsid w:val="704203E3"/>
    <w:rsid w:val="7058046B"/>
    <w:rsid w:val="707F2079"/>
    <w:rsid w:val="70922734"/>
    <w:rsid w:val="70CE6DC7"/>
    <w:rsid w:val="710B3646"/>
    <w:rsid w:val="71156C43"/>
    <w:rsid w:val="711759F2"/>
    <w:rsid w:val="7121708A"/>
    <w:rsid w:val="713C4ED8"/>
    <w:rsid w:val="71407642"/>
    <w:rsid w:val="71641210"/>
    <w:rsid w:val="71D95B7C"/>
    <w:rsid w:val="71EA6A50"/>
    <w:rsid w:val="71FE31A8"/>
    <w:rsid w:val="721F6113"/>
    <w:rsid w:val="7233782C"/>
    <w:rsid w:val="726211FC"/>
    <w:rsid w:val="73177841"/>
    <w:rsid w:val="733774FE"/>
    <w:rsid w:val="73617E1B"/>
    <w:rsid w:val="736D7653"/>
    <w:rsid w:val="738035CB"/>
    <w:rsid w:val="7396335C"/>
    <w:rsid w:val="73F46595"/>
    <w:rsid w:val="74283FA2"/>
    <w:rsid w:val="742C135B"/>
    <w:rsid w:val="74463733"/>
    <w:rsid w:val="748A2F40"/>
    <w:rsid w:val="74F85778"/>
    <w:rsid w:val="75272439"/>
    <w:rsid w:val="758F1E9B"/>
    <w:rsid w:val="75CE266B"/>
    <w:rsid w:val="76120141"/>
    <w:rsid w:val="76272BC6"/>
    <w:rsid w:val="76C23B43"/>
    <w:rsid w:val="76FD6F97"/>
    <w:rsid w:val="770218E8"/>
    <w:rsid w:val="77C875A5"/>
    <w:rsid w:val="78A27DF6"/>
    <w:rsid w:val="79285B3A"/>
    <w:rsid w:val="79625CA9"/>
    <w:rsid w:val="79A91196"/>
    <w:rsid w:val="79BC0EF8"/>
    <w:rsid w:val="7A0B32D3"/>
    <w:rsid w:val="7AC13CD3"/>
    <w:rsid w:val="7AE10264"/>
    <w:rsid w:val="7B086EDB"/>
    <w:rsid w:val="7B4A207F"/>
    <w:rsid w:val="7B936F45"/>
    <w:rsid w:val="7BA47419"/>
    <w:rsid w:val="7BB10D45"/>
    <w:rsid w:val="7BB44151"/>
    <w:rsid w:val="7BC522DB"/>
    <w:rsid w:val="7BEC320B"/>
    <w:rsid w:val="7BF82951"/>
    <w:rsid w:val="7C3307AB"/>
    <w:rsid w:val="7C656A39"/>
    <w:rsid w:val="7CB93996"/>
    <w:rsid w:val="7CBE0F99"/>
    <w:rsid w:val="7D4E45F1"/>
    <w:rsid w:val="7D733448"/>
    <w:rsid w:val="7DFB6D82"/>
    <w:rsid w:val="7E1D71D1"/>
    <w:rsid w:val="7E246254"/>
    <w:rsid w:val="7E6D090F"/>
    <w:rsid w:val="7ECC66B2"/>
    <w:rsid w:val="7EF015E4"/>
    <w:rsid w:val="7F087006"/>
    <w:rsid w:val="7FA837EF"/>
    <w:rsid w:val="7FC36955"/>
    <w:rsid w:val="7FE822EB"/>
    <w:rsid w:val="7FE903A0"/>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numPr>
        <w:ilvl w:val="1"/>
        <w:numId w:val="1"/>
      </w:numPr>
      <w:spacing w:line="416" w:lineRule="auto"/>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Autospacing="1" w:afterAutospacing="1"/>
      <w:jc w:val="left"/>
    </w:pPr>
    <w:rPr>
      <w:rFonts w:cs="Times New Roman"/>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字符"/>
    <w:link w:val="3"/>
    <w:qFormat/>
    <w:uiPriority w:val="0"/>
    <w:rPr>
      <w:rFonts w:ascii="Calibri Light" w:hAnsi="Calibri Light" w:eastAsia="宋体" w:cs="Times New Roman"/>
      <w:b/>
      <w:bCs/>
      <w:sz w:val="28"/>
      <w:szCs w:val="32"/>
    </w:rPr>
  </w:style>
  <w:style w:type="character" w:customStyle="1" w:styleId="16">
    <w:name w:val="页脚 字符"/>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字符"/>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字符"/>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chart" Target="charts/chart6.xml"/><Relationship Id="rId20" Type="http://schemas.openxmlformats.org/officeDocument/2006/relationships/chart" Target="charts/chart5.xml"/><Relationship Id="rId2" Type="http://schemas.openxmlformats.org/officeDocument/2006/relationships/settings" Target="settings.xml"/><Relationship Id="rId19" Type="http://schemas.openxmlformats.org/officeDocument/2006/relationships/chart" Target="charts/chart4.xml"/><Relationship Id="rId18" Type="http://schemas.openxmlformats.org/officeDocument/2006/relationships/chart" Target="charts/chart3.xml"/><Relationship Id="rId17" Type="http://schemas.openxmlformats.org/officeDocument/2006/relationships/chart" Target="charts/chart2.xml"/><Relationship Id="rId16" Type="http://schemas.openxmlformats.org/officeDocument/2006/relationships/chart" Target="charts/chart1.xml"/><Relationship Id="rId15" Type="http://schemas.openxmlformats.org/officeDocument/2006/relationships/image" Target="media/image1.sv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2022-2023</a:t>
            </a:r>
            <a:r>
              <a:rPr lang="zh-CN" altLang="en-US"/>
              <a:t>年收支总计对比图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2022年</c:v>
                </c:pt>
                <c:pt idx="1">
                  <c:v>2023年</c:v>
                </c:pt>
              </c:strCache>
            </c:strRef>
          </c:cat>
          <c:val>
            <c:numRef>
              <c:f>Sheet1!$B$2:$B$3</c:f>
              <c:numCache>
                <c:formatCode>General</c:formatCode>
                <c:ptCount val="2"/>
                <c:pt idx="0">
                  <c:v>6084.88</c:v>
                </c:pt>
                <c:pt idx="1">
                  <c:v>6411.23</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1"/>
              <c:layout>
                <c:manualLayout>
                  <c:x val="-0.312394298139647"/>
                  <c:y val="0.32256693582660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30732544092776"/>
                  <c:y val="0.24753463663659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23571858120656"/>
                  <c:y val="0.17061155971351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340908431988403"/>
                  <c:y val="0.10367573310933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5"/>
              <c:layout>
                <c:manualLayout>
                  <c:x val="-0.320729644841749"/>
                  <c:y val="0.0365490862728432"/>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64112309.12</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0"/>
              <a:t>图 </a:t>
            </a:r>
            <a:r>
              <a:rPr lang="en-US" altLang="zh-CN" b="0"/>
              <a:t>3 </a:t>
            </a:r>
            <a:r>
              <a:rPr lang="zh-CN" altLang="en-US" b="0"/>
              <a:t>：指出决算构成情况图</a:t>
            </a:r>
            <a:endParaRPr lang="zh-CN" altLang="en-US" b="0"/>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2"/>
              <c:layout>
                <c:manualLayout>
                  <c:x val="-0.303272355924588"/>
                  <c:y val="0.31874203144921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277183841691567"/>
                  <c:y val="0.068189120274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99352500604011"/>
                  <c:y val="0.12645601359699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24908679.23</c:v>
                </c:pt>
                <c:pt idx="1">
                  <c:v>39203629.89</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2022-2023</a:t>
            </a:r>
            <a:r>
              <a:rPr lang="zh-CN" altLang="en-US"/>
              <a:t>年财政拨款收支对比图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2022年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5966.35</c:v>
                </c:pt>
                <c:pt idx="1">
                  <c:v>5966.35</c:v>
                </c:pt>
                <c:pt idx="2">
                  <c:v>5787.55</c:v>
                </c:pt>
                <c:pt idx="3">
                  <c:v>5787.55</c:v>
                </c:pt>
                <c:pt idx="4">
                  <c:v>178.8</c:v>
                </c:pt>
                <c:pt idx="5">
                  <c:v>178.8</c:v>
                </c:pt>
                <c:pt idx="6">
                  <c:v>0</c:v>
                </c:pt>
                <c:pt idx="7">
                  <c:v>0</c:v>
                </c:pt>
              </c:numCache>
            </c:numRef>
          </c:val>
        </c:ser>
        <c:ser>
          <c:idx val="1"/>
          <c:order val="1"/>
          <c:tx>
            <c:strRef>
              <c:f>Sheet1!$C$1</c:f>
              <c:strCache>
                <c:ptCount val="1"/>
                <c:pt idx="0">
                  <c:v>2023年</c:v>
                </c:pt>
              </c:strCache>
            </c:strRef>
          </c:tx>
          <c:spPr>
            <a:solidFill>
              <a:schemeClr val="accent2"/>
            </a:solidFill>
            <a:ln>
              <a:noFill/>
            </a:ln>
            <a:effectLst/>
          </c:spPr>
          <c:invertIfNegative val="0"/>
          <c:dLbls>
            <c:dLbl>
              <c:idx val="0"/>
              <c:layout>
                <c:manualLayout>
                  <c:x val="-0.0457840057985021"/>
                  <c:y val="-0.025499362515937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333413868084078"/>
                  <c:y val="-0.018487037824054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205363614399613"/>
                  <c:y val="-0.014662133446663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4119352500604"/>
                  <c:y val="-0.01083722906927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6411.23</c:v>
                </c:pt>
                <c:pt idx="1">
                  <c:v>6411.23</c:v>
                </c:pt>
                <c:pt idx="2">
                  <c:v>6411.23</c:v>
                </c:pt>
                <c:pt idx="3">
                  <c:v>6411.23</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a:t>
            </a:r>
            <a:endParaRPr lang="zh-CN" altLang="en-US"/>
          </a:p>
        </c:rich>
      </c:tx>
      <c:layout>
        <c:manualLayout>
          <c:xMode val="edge"/>
          <c:yMode val="edge"/>
          <c:x val="0.511657405170331"/>
          <c:y val="0.0291117722056949"/>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6411.23</c:v>
                </c:pt>
                <c:pt idx="1">
                  <c:v>6411.23</c:v>
                </c:pt>
                <c:pt idx="2">
                  <c:v>6411.23</c:v>
                </c:pt>
                <c:pt idx="3">
                  <c:v>6411.23</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dLbl>
              <c:idx val="0"/>
              <c:layout>
                <c:manualLayout>
                  <c:x val="-0.0292341145204156"/>
                  <c:y val="-0.073310667233319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66706934042039"/>
                  <c:y val="-0.084147896302592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61609084319884"/>
                  <c:y val="-0.08797280067998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604010630587098"/>
                  <c:y val="0.040161495962600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6411.23</c:v>
                </c:pt>
                <c:pt idx="1">
                  <c:v>6411.23</c:v>
                </c:pt>
                <c:pt idx="2">
                  <c:v>6411.23</c:v>
                </c:pt>
                <c:pt idx="3">
                  <c:v>6411.23</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manualLayout>
          <c:xMode val="edge"/>
          <c:yMode val="edge"/>
          <c:x val="0.111500362406378"/>
          <c:y val="0.0514237144071398"/>
        </c:manualLayout>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Lbls>
            <c:delete val="1"/>
          </c:dLbls>
          <c:cat>
            <c:strRef>
              <c:f>Sheet1!$A$2:$A$23</c:f>
              <c:strCache>
                <c:ptCount val="22"/>
                <c:pt idx="0">
                  <c:v>一般公共服务支出</c:v>
                </c:pt>
                <c:pt idx="1">
                  <c:v>国防支出</c:v>
                </c:pt>
                <c:pt idx="2">
                  <c:v>公共安全支出</c:v>
                </c:pt>
                <c:pt idx="3">
                  <c:v>教育支出</c:v>
                </c:pt>
                <c:pt idx="4">
                  <c:v>科学技术支出</c:v>
                </c:pt>
                <c:pt idx="5">
                  <c:v>文化旅游体育与传媒支出</c:v>
                </c:pt>
                <c:pt idx="6">
                  <c:v>社会保障和就业支出</c:v>
                </c:pt>
                <c:pt idx="7">
                  <c:v>卫生健康支出</c:v>
                </c:pt>
                <c:pt idx="8">
                  <c:v>节能环保支出</c:v>
                </c:pt>
                <c:pt idx="9">
                  <c:v>城乡社区支出</c:v>
                </c:pt>
                <c:pt idx="10">
                  <c:v>农林水支出</c:v>
                </c:pt>
                <c:pt idx="11">
                  <c:v>交通运输支出</c:v>
                </c:pt>
                <c:pt idx="12">
                  <c:v>资源勘探工业信息等支出</c:v>
                </c:pt>
                <c:pt idx="13">
                  <c:v>商业服务业等支出</c:v>
                </c:pt>
                <c:pt idx="14">
                  <c:v>金融支出</c:v>
                </c:pt>
                <c:pt idx="15">
                  <c:v>自然资源海洋气象等支出</c:v>
                </c:pt>
                <c:pt idx="16">
                  <c:v>住房保障支出</c:v>
                </c:pt>
                <c:pt idx="17">
                  <c:v>粮油物资储备支出</c:v>
                </c:pt>
                <c:pt idx="18">
                  <c:v>国有资本经营预算支出</c:v>
                </c:pt>
                <c:pt idx="19">
                  <c:v>灾害防治及应急管理支出</c:v>
                </c:pt>
                <c:pt idx="20">
                  <c:v>其他支出</c:v>
                </c:pt>
                <c:pt idx="21">
                  <c:v>债务付息支出</c:v>
                </c:pt>
              </c:strCache>
            </c:strRef>
          </c:cat>
          <c:val>
            <c:numRef>
              <c:f>Sheet1!$B$2:$B$23</c:f>
              <c:numCache>
                <c:formatCode>General</c:formatCode>
                <c:ptCount val="22"/>
                <c:pt idx="0">
                  <c:v>3074.04</c:v>
                </c:pt>
                <c:pt idx="1">
                  <c:v>0</c:v>
                </c:pt>
                <c:pt idx="2">
                  <c:v>279.58</c:v>
                </c:pt>
                <c:pt idx="3">
                  <c:v>345.76</c:v>
                </c:pt>
                <c:pt idx="4">
                  <c:v>0</c:v>
                </c:pt>
                <c:pt idx="5">
                  <c:v>20</c:v>
                </c:pt>
                <c:pt idx="6">
                  <c:v>464.48</c:v>
                </c:pt>
                <c:pt idx="7">
                  <c:v>206.75</c:v>
                </c:pt>
                <c:pt idx="8">
                  <c:v>80</c:v>
                </c:pt>
                <c:pt idx="9">
                  <c:v>1675.46</c:v>
                </c:pt>
                <c:pt idx="10">
                  <c:v>96.77</c:v>
                </c:pt>
                <c:pt idx="11">
                  <c:v>0</c:v>
                </c:pt>
                <c:pt idx="12">
                  <c:v>0</c:v>
                </c:pt>
                <c:pt idx="13">
                  <c:v>0</c:v>
                </c:pt>
                <c:pt idx="14">
                  <c:v>0</c:v>
                </c:pt>
                <c:pt idx="15">
                  <c:v>0</c:v>
                </c:pt>
                <c:pt idx="16">
                  <c:v>168.39</c:v>
                </c:pt>
                <c:pt idx="17">
                  <c:v>0</c:v>
                </c:pt>
                <c:pt idx="18">
                  <c:v>0</c:v>
                </c:pt>
                <c:pt idx="19">
                  <c:v>0</c:v>
                </c:pt>
                <c:pt idx="20">
                  <c:v>0</c:v>
                </c:pt>
                <c:pt idx="21">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62</Pages>
  <Words>5505</Words>
  <Characters>31383</Characters>
  <Lines>261</Lines>
  <Paragraphs>73</Paragraphs>
  <TotalTime>10</TotalTime>
  <ScaleCrop>false</ScaleCrop>
  <LinksUpToDate>false</LinksUpToDate>
  <CharactersWithSpaces>36815</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Administrator</cp:lastModifiedBy>
  <cp:lastPrinted>2023-08-04T01:00:00Z</cp:lastPrinted>
  <dcterms:modified xsi:type="dcterms:W3CDTF">2024-09-27T08:39:20Z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y fmtid="{D5CDD505-2E9C-101B-9397-08002B2CF9AE}" pid="3" name="ICV">
    <vt:lpwstr>C606A1F9AFE24290B52D98FABC930B66_12</vt:lpwstr>
  </property>
  <property fmtid="{D5CDD505-2E9C-101B-9397-08002B2CF9AE}" pid="4" name="KSOTemplateUUID">
    <vt:lpwstr>v1.0_mb_S7ajbG3IpAnL1wSthNCxfw==</vt:lpwstr>
  </property>
</Properties>
</file>