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：811001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：石家庄市鹿泉区获鹿镇人民政府(本级)</w:t>
      </w:r>
    </w:p>
    <w:p>
      <w:pPr>
        <w:spacing w:line="600" w:lineRule="auto"/>
        <w:jc w:val="left"/>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rPr>
          <w:rFonts w:hint="eastAsia" w:ascii="黑体" w:hAnsi="黑体" w:eastAsia="黑体" w:cs="黑体"/>
          <w:b/>
          <w:bCs/>
          <w:sz w:val="72"/>
          <w:szCs w:val="96"/>
        </w:rPr>
      </w:pPr>
    </w:p>
    <w:p>
      <w:pPr>
        <w:rPr>
          <w:rFonts w:hint="eastAsia" w:ascii="黑体" w:hAnsi="黑体" w:eastAsia="黑体" w:cs="黑体"/>
          <w:b/>
          <w:bCs/>
          <w:sz w:val="72"/>
          <w:szCs w:val="96"/>
        </w:rPr>
      </w:pPr>
    </w:p>
    <w:p>
      <w:pPr>
        <w:rPr>
          <w:rFonts w:hint="eastAsia" w:ascii="黑体" w:hAnsi="黑体" w:eastAsia="黑体" w:cs="黑体"/>
          <w:b/>
          <w:bCs/>
          <w:sz w:val="72"/>
          <w:szCs w:val="96"/>
        </w:rPr>
      </w:pPr>
      <w:r>
        <w:rPr>
          <w:rFonts w:hint="eastAsia" w:ascii="黑体" w:hAnsi="黑体" w:eastAsia="黑体" w:cs="黑体"/>
          <w:b/>
          <w:bCs/>
          <w:sz w:val="72"/>
          <w:szCs w:val="96"/>
        </w:rPr>
        <w:t>2023年度部门决算公开文本</w:t>
      </w:r>
    </w:p>
    <w:p>
      <w:pPr>
        <w:spacing w:line="360" w:lineRule="auto"/>
        <w:jc w:val="center"/>
        <w:rPr>
          <w:rFonts w:hint="eastAsia" w:ascii="黑体" w:hAnsi="黑体" w:eastAsia="黑体" w:cs="黑体"/>
          <w:sz w:val="56"/>
          <w:szCs w:val="72"/>
        </w:rPr>
      </w:pPr>
    </w:p>
    <w:p>
      <w:pPr>
        <w:spacing w:line="600" w:lineRule="auto"/>
        <w:jc w:val="center"/>
        <w:rPr>
          <w:rFonts w:hint="eastAsia" w:ascii="黑体" w:hAnsi="黑体" w:eastAsia="黑体" w:cs="黑体"/>
          <w:sz w:val="56"/>
          <w:szCs w:val="72"/>
        </w:rPr>
      </w:pPr>
    </w:p>
    <w:p>
      <w:pPr>
        <w:spacing w:line="600" w:lineRule="auto"/>
        <w:jc w:val="center"/>
        <w:rPr>
          <w:rFonts w:hint="eastAsia" w:ascii="黑体" w:hAnsi="黑体" w:eastAsia="黑体" w:cs="黑体"/>
          <w:sz w:val="56"/>
          <w:szCs w:val="72"/>
        </w:rPr>
      </w:pPr>
    </w:p>
    <w:p>
      <w:pPr>
        <w:spacing w:line="480" w:lineRule="auto"/>
        <w:rPr>
          <w:rFonts w:hint="eastAsia"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石家庄市鹿泉区获鹿镇人民政府</w:t>
      </w:r>
    </w:p>
    <w:p>
      <w:pPr>
        <w:snapToGrid w:val="0"/>
        <w:jc w:val="center"/>
        <w:rPr>
          <w:rFonts w:hint="eastAsia"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w:t>
      </w:r>
      <w:r>
        <w:rPr>
          <w:rFonts w:hint="eastAsia" w:ascii="楷体_GB2312" w:hAnsi="楷体_GB2312" w:eastAsia="楷体_GB2312" w:cs="楷体_GB2312"/>
          <w:color w:val="000000" w:themeColor="text1"/>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hint="eastAsia"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ascii="Arial" w:hAnsi="Arial" w:eastAsia="Arial" w:cs="Arial"/>
          <w:color w:val="000000"/>
          <w:sz w:val="18"/>
          <w:szCs w:val="18"/>
          <w:shd w:val="clear" w:color="auto" w:fill="FFFFFF"/>
        </w:rPr>
      </w:pP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rPr>
          <w:rFonts w:ascii="Arial" w:hAnsi="Arial" w:eastAsia="Arial" w:cs="Arial"/>
          <w:color w:val="000000"/>
          <w:sz w:val="18"/>
          <w:szCs w:val="18"/>
          <w:shd w:val="clear" w:color="auto" w:fill="FFFFFF"/>
        </w:rPr>
      </w:pPr>
    </w:p>
    <w:p>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0"/>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第一部分  单位概况</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rPr>
          <w:rFonts w:hint="eastAsia"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一、单位职责</w:t>
      </w:r>
    </w:p>
    <w:p>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一）机关事务管理。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（二）农业综合服务。负责配合农口部门（农、林、牧、水）做好农业技术服务和技术推广工作，动物防疫工作；加强农田水利基本建设，增强农业抗御自然灾害的能力。做好农村一事一议项目管理。</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（三）卫生计生服务。配合食品药品监督管理的协调、督导，做好新型农村合作医疗等卫生方面工作，负责计划生育技术服务及人口生育管理，负责育龄妇女普查、妇女病防治、四术及协会等项工作。</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（四）文化综治服务。负责群众文化娱乐、体育活动、广播电视村村通等工作。</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（五）社会保障服务。配合劳动保障部门做好劳动法的宣传贯彻、劳动就业、社会保障等工作。配合安全生产监督管理部门做好安全生产监督管理等工作。</w:t>
      </w:r>
    </w:p>
    <w:p>
      <w:pPr>
        <w:pStyle w:val="10"/>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”）共</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1"/>
        <w:tblpPr w:leftFromText="180" w:rightFromText="180" w:vertAnchor="text" w:horzAnchor="page" w:tblpXSpec="center" w:tblpY="10"/>
        <w:tblOverlap w:val="never"/>
        <w:tblW w:w="87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
        <w:gridCol w:w="3194"/>
        <w:gridCol w:w="2240"/>
        <w:gridCol w:w="24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4" w:hRule="atLeast"/>
          <w:jc w:val="center"/>
        </w:trPr>
        <w:tc>
          <w:tcPr>
            <w:tcW w:w="902"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194"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240"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442"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1" w:hRule="atLeast"/>
          <w:jc w:val="center"/>
        </w:trPr>
        <w:tc>
          <w:tcPr>
            <w:tcW w:w="902"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194" w:type="dxa"/>
          </w:tcPr>
          <w:p>
            <w:pPr>
              <w:spacing w:line="560" w:lineRule="exact"/>
              <w:rPr>
                <w:rFonts w:ascii="仿宋_GB2312" w:eastAsia="仿宋_GB2312" w:cs="仿宋_GB2312"/>
                <w:kern w:val="0"/>
                <w:sz w:val="28"/>
                <w:szCs w:val="28"/>
              </w:rPr>
            </w:pPr>
            <w:r>
              <w:rPr>
                <w:rFonts w:hint="eastAsia" w:ascii="仿宋_GB2312" w:hAnsi="仿宋_GB2312" w:eastAsia="仿宋_GB2312" w:cs="仿宋_GB2312"/>
              </w:rPr>
              <w:t>石家庄市鹿泉区获鹿镇人民政府</w:t>
            </w:r>
          </w:p>
        </w:tc>
        <w:tc>
          <w:tcPr>
            <w:tcW w:w="2240" w:type="dxa"/>
          </w:tcPr>
          <w:p>
            <w:pPr>
              <w:spacing w:line="560" w:lineRule="exact"/>
              <w:jc w:val="center"/>
              <w:rPr>
                <w:rFonts w:ascii="仿宋_GB2312" w:eastAsia="仿宋_GB2312" w:cs="Times New Roman"/>
                <w:kern w:val="0"/>
                <w:sz w:val="28"/>
                <w:szCs w:val="28"/>
              </w:rPr>
            </w:pPr>
            <w:r>
              <w:rPr>
                <w:rFonts w:hint="eastAsia" w:ascii="仿宋_GB2312" w:hAnsi="仿宋_GB2312" w:eastAsia="仿宋_GB2312" w:cs="仿宋_GB2312"/>
              </w:rPr>
              <w:t>行政单位</w:t>
            </w:r>
          </w:p>
        </w:tc>
        <w:tc>
          <w:tcPr>
            <w:tcW w:w="2442" w:type="dxa"/>
          </w:tcPr>
          <w:p>
            <w:pPr>
              <w:spacing w:line="560" w:lineRule="exact"/>
              <w:jc w:val="center"/>
              <w:rPr>
                <w:rFonts w:ascii="仿宋_GB2312" w:eastAsia="仿宋_GB2312" w:cs="Times New Roman"/>
                <w:kern w:val="0"/>
                <w:sz w:val="28"/>
                <w:szCs w:val="28"/>
              </w:rPr>
            </w:pPr>
            <w:r>
              <w:rPr>
                <w:rFonts w:hint="eastAsia" w:ascii="仿宋_GB2312" w:hAnsi="仿宋_GB2312" w:eastAsia="仿宋_GB2312" w:cs="仿宋_GB231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902"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2</w:t>
            </w:r>
          </w:p>
        </w:tc>
        <w:tc>
          <w:tcPr>
            <w:tcW w:w="3194" w:type="dxa"/>
          </w:tcPr>
          <w:p>
            <w:pPr>
              <w:spacing w:line="560" w:lineRule="exact"/>
              <w:rPr>
                <w:rFonts w:ascii="仿宋_GB2312" w:eastAsia="仿宋_GB2312" w:cs="Times New Roman"/>
                <w:kern w:val="0"/>
                <w:sz w:val="28"/>
                <w:szCs w:val="28"/>
              </w:rPr>
            </w:pPr>
          </w:p>
        </w:tc>
        <w:tc>
          <w:tcPr>
            <w:tcW w:w="2240" w:type="dxa"/>
          </w:tcPr>
          <w:p>
            <w:pPr>
              <w:spacing w:line="560" w:lineRule="exact"/>
              <w:jc w:val="center"/>
              <w:rPr>
                <w:rFonts w:ascii="仿宋_GB2312" w:eastAsia="仿宋_GB2312" w:cs="Times New Roman"/>
                <w:kern w:val="0"/>
                <w:sz w:val="28"/>
                <w:szCs w:val="28"/>
              </w:rPr>
            </w:pPr>
          </w:p>
        </w:tc>
        <w:tc>
          <w:tcPr>
            <w:tcW w:w="2442"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902"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3</w:t>
            </w:r>
          </w:p>
        </w:tc>
        <w:tc>
          <w:tcPr>
            <w:tcW w:w="3194" w:type="dxa"/>
          </w:tcPr>
          <w:p>
            <w:pPr>
              <w:spacing w:line="560" w:lineRule="exact"/>
              <w:rPr>
                <w:rFonts w:ascii="仿宋_GB2312" w:eastAsia="仿宋_GB2312" w:cs="Times New Roman"/>
                <w:kern w:val="0"/>
                <w:sz w:val="28"/>
                <w:szCs w:val="28"/>
              </w:rPr>
            </w:pPr>
          </w:p>
        </w:tc>
        <w:tc>
          <w:tcPr>
            <w:tcW w:w="2240" w:type="dxa"/>
          </w:tcPr>
          <w:p>
            <w:pPr>
              <w:spacing w:line="560" w:lineRule="exact"/>
              <w:jc w:val="center"/>
              <w:rPr>
                <w:rFonts w:ascii="仿宋_GB2312" w:eastAsia="仿宋_GB2312" w:cs="Times New Roman"/>
                <w:kern w:val="0"/>
                <w:sz w:val="28"/>
                <w:szCs w:val="28"/>
              </w:rPr>
            </w:pPr>
          </w:p>
        </w:tc>
        <w:tc>
          <w:tcPr>
            <w:tcW w:w="2442"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1" w:hRule="atLeast"/>
          <w:jc w:val="center"/>
        </w:trPr>
        <w:tc>
          <w:tcPr>
            <w:tcW w:w="902" w:type="dxa"/>
          </w:tcPr>
          <w:p>
            <w:pPr>
              <w:spacing w:line="560" w:lineRule="exact"/>
              <w:jc w:val="center"/>
              <w:rPr>
                <w:rFonts w:ascii="仿宋_GB2312" w:eastAsia="仿宋_GB2312" w:cs="Times New Roman"/>
                <w:kern w:val="0"/>
                <w:sz w:val="28"/>
                <w:szCs w:val="28"/>
              </w:rPr>
            </w:pPr>
            <w:r>
              <w:rPr>
                <w:rFonts w:hint="eastAsia" w:ascii="仿宋_GB2312" w:eastAsia="仿宋_GB2312" w:cs="仿宋_GB2312"/>
                <w:kern w:val="0"/>
                <w:sz w:val="28"/>
                <w:szCs w:val="28"/>
              </w:rPr>
              <w:t>……</w:t>
            </w:r>
          </w:p>
        </w:tc>
        <w:tc>
          <w:tcPr>
            <w:tcW w:w="3194" w:type="dxa"/>
          </w:tcPr>
          <w:p>
            <w:pPr>
              <w:spacing w:line="560" w:lineRule="exact"/>
              <w:rPr>
                <w:rFonts w:ascii="仿宋_GB2312" w:eastAsia="仿宋_GB2312" w:cs="Times New Roman"/>
                <w:kern w:val="0"/>
                <w:sz w:val="28"/>
                <w:szCs w:val="28"/>
              </w:rPr>
            </w:pPr>
            <w:r>
              <w:rPr>
                <w:rFonts w:hint="eastAsia" w:ascii="仿宋_GB2312" w:eastAsia="仿宋_GB2312" w:cs="仿宋_GB2312"/>
                <w:kern w:val="0"/>
                <w:sz w:val="28"/>
                <w:szCs w:val="28"/>
              </w:rPr>
              <w:t>……………</w:t>
            </w:r>
          </w:p>
        </w:tc>
        <w:tc>
          <w:tcPr>
            <w:tcW w:w="2240" w:type="dxa"/>
          </w:tcPr>
          <w:p>
            <w:pPr>
              <w:spacing w:line="560" w:lineRule="exact"/>
              <w:jc w:val="center"/>
              <w:rPr>
                <w:rFonts w:ascii="仿宋_GB2312" w:eastAsia="仿宋_GB2312" w:cs="Times New Roman"/>
                <w:kern w:val="0"/>
                <w:sz w:val="28"/>
                <w:szCs w:val="28"/>
              </w:rPr>
            </w:pPr>
          </w:p>
        </w:tc>
        <w:tc>
          <w:tcPr>
            <w:tcW w:w="2442" w:type="dxa"/>
          </w:tcPr>
          <w:p>
            <w:pPr>
              <w:spacing w:line="560" w:lineRule="exact"/>
              <w:jc w:val="center"/>
              <w:rPr>
                <w:rFonts w:ascii="仿宋_GB2312" w:eastAsia="仿宋_GB2312" w:cs="Times New Roman"/>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1" w:hRule="atLeast"/>
          <w:jc w:val="center"/>
        </w:trPr>
        <w:tc>
          <w:tcPr>
            <w:tcW w:w="8778"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pStyle w:val="10"/>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widowControl/>
        <w:spacing w:after="160" w:line="580" w:lineRule="exact"/>
        <w:ind w:firstLine="640" w:firstLineChars="200"/>
        <w:rPr>
          <w:rFonts w:hint="default" w:ascii="仿宋_GB2312" w:hAnsi="仿宋_GB2312" w:eastAsia="仿宋_GB2312" w:cs="仿宋_GB2312"/>
          <w:i w:val="0"/>
          <w:iCs w:val="0"/>
          <w:caps w:val="0"/>
          <w:color w:val="auto"/>
          <w:spacing w:val="0"/>
          <w:sz w:val="32"/>
          <w:szCs w:val="32"/>
          <w:highlight w:val="none"/>
          <w:shd w:val="clear" w:fill="FFFFFF"/>
          <w:lang w:val="en-US" w:eastAsia="zh-CN" w:bidi="ar-SA"/>
        </w:rPr>
      </w:pPr>
      <w:r>
        <w:rPr>
          <w:rFonts w:hint="eastAsia" w:ascii="仿宋_GB2312" w:hAnsi="仿宋_GB2312" w:eastAsia="仿宋_GB2312" w:cs="仿宋_GB2312"/>
          <w:i w:val="0"/>
          <w:iCs w:val="0"/>
          <w:caps w:val="0"/>
          <w:color w:val="auto"/>
          <w:spacing w:val="0"/>
          <w:sz w:val="32"/>
          <w:szCs w:val="32"/>
          <w:highlight w:val="none"/>
          <w:shd w:val="clear" w:fill="FFFFFF"/>
          <w:lang w:val="en-US" w:eastAsia="zh-CN" w:bidi="ar-SA"/>
        </w:rPr>
        <w:t>我部门无二级预算单位，因此，石家庄市鹿泉区获鹿镇人民政府2023年度部门决算即石家庄市鹿泉区获鹿镇人民政府本级2023年度决算。</w:t>
      </w:r>
    </w:p>
    <w:p>
      <w:pPr>
        <w:rPr>
          <w:rFonts w:hint="default" w:ascii="仿宋_GB2312" w:hAnsi="仿宋_GB2312" w:eastAsia="仿宋_GB2312" w:cs="仿宋_GB2312"/>
          <w:i w:val="0"/>
          <w:iCs w:val="0"/>
          <w:caps w:val="0"/>
          <w:color w:val="auto"/>
          <w:spacing w:val="0"/>
          <w:sz w:val="32"/>
          <w:szCs w:val="32"/>
          <w:highlight w:val="none"/>
          <w:shd w:val="clear" w:fill="FFFFFF"/>
          <w:lang w:val="en-US" w:eastAsia="zh-CN" w:bidi="ar-SA"/>
        </w:rPr>
      </w:pPr>
      <w:r>
        <w:rPr>
          <w:rFonts w:hint="eastAsia" w:ascii="仿宋_GB2312" w:hAnsi="仿宋_GB2312" w:eastAsia="仿宋_GB2312" w:cs="仿宋_GB2312"/>
          <w:i w:val="0"/>
          <w:iCs w:val="0"/>
          <w:caps w:val="0"/>
          <w:color w:val="auto"/>
          <w:spacing w:val="0"/>
          <w:sz w:val="32"/>
          <w:szCs w:val="32"/>
          <w:highlight w:val="none"/>
          <w:shd w:val="clear" w:fill="FFFFFF"/>
          <w:lang w:val="en-US" w:eastAsia="zh-CN" w:bidi="ar-SA"/>
        </w:rPr>
        <w:br w:type="page"/>
      </w:r>
    </w:p>
    <w:p>
      <w:pPr>
        <w:widowControl/>
        <w:spacing w:after="160" w:line="580" w:lineRule="exact"/>
        <w:ind w:firstLine="640" w:firstLineChars="200"/>
        <w:rPr>
          <w:rFonts w:ascii="Times New Roman" w:hAnsi="Times New Roman" w:eastAsia="黑体" w:cs="Times New Roman"/>
          <w:sz w:val="32"/>
          <w:szCs w:val="32"/>
          <w:highlight w:val="yellow"/>
        </w:rPr>
      </w:pPr>
    </w:p>
    <w:p>
      <w:pPr>
        <w:pStyle w:val="10"/>
        <w:widowControl/>
        <w:shd w:val="clear" w:color="auto" w:fill="FFFFFF"/>
        <w:spacing w:beforeAutospacing="0" w:afterAutospacing="0"/>
        <w:rPr>
          <w:rFonts w:ascii="Arial" w:hAnsi="Arial" w:eastAsia="Arial" w:cs="Arial"/>
          <w:color w:val="000000"/>
          <w:sz w:val="18"/>
          <w:szCs w:val="18"/>
          <w:shd w:val="clear" w:color="auto" w:fill="FFFFFF"/>
          <w:lang w:bidi="ar"/>
        </w:rPr>
      </w:pPr>
    </w:p>
    <w:p>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2023年度部门决算报表</w:t>
      </w:r>
    </w:p>
    <w:p>
      <w:pPr>
        <w:pStyle w:val="10"/>
        <w:widowControl/>
        <w:spacing w:beforeAutospacing="0" w:afterAutospacing="0"/>
        <w:jc w:val="center"/>
        <w:rPr>
          <w:rFonts w:hint="eastAsia" w:ascii="仿宋_GB2312" w:hAnsi="仿宋_GB2312" w:eastAsia="仿宋_GB2312" w:cs="仿宋_GB2312"/>
          <w:color w:val="FF0000"/>
          <w:sz w:val="33"/>
          <w:szCs w:val="33"/>
          <w:shd w:val="clear" w:color="auto" w:fill="FFFFFF"/>
        </w:rPr>
      </w:pPr>
    </w:p>
    <w:p>
      <w:pPr>
        <w:pStyle w:val="10"/>
        <w:widowControl/>
        <w:spacing w:beforeAutospacing="0" w:afterAutospacing="0"/>
        <w:jc w:val="center"/>
        <w:rPr>
          <w:rFonts w:hint="eastAsia" w:ascii="仿宋_GB2312" w:hAnsi="仿宋_GB2312" w:eastAsia="仿宋_GB2312" w:cs="仿宋_GB2312"/>
          <w:color w:val="FF0000"/>
          <w:sz w:val="33"/>
          <w:szCs w:val="33"/>
          <w:shd w:val="clear" w:color="auto" w:fill="FFFFFF"/>
        </w:rPr>
        <w:sectPr>
          <w:headerReference r:id="rId8" w:type="default"/>
          <w:pgSz w:w="11906" w:h="16838"/>
          <w:pgMar w:top="1531" w:right="1984" w:bottom="1531" w:left="2098" w:header="851" w:footer="992" w:gutter="0"/>
          <w:cols w:space="720" w:num="1"/>
          <w:docGrid w:type="lines" w:linePitch="312" w:charSpace="0"/>
        </w:sectPr>
      </w:pPr>
    </w:p>
    <w:tbl>
      <w:tblPr>
        <w:tblStyle w:val="11"/>
        <w:tblW w:w="13992" w:type="dxa"/>
        <w:tblInd w:w="0" w:type="dxa"/>
        <w:tblLayout w:type="fixed"/>
        <w:tblCellMar>
          <w:top w:w="0" w:type="dxa"/>
          <w:left w:w="108" w:type="dxa"/>
          <w:bottom w:w="0" w:type="dxa"/>
          <w:right w:w="108" w:type="dxa"/>
        </w:tblCellMar>
      </w:tblPr>
      <w:tblGrid>
        <w:gridCol w:w="3456"/>
        <w:gridCol w:w="1410"/>
        <w:gridCol w:w="299"/>
        <w:gridCol w:w="2045"/>
        <w:gridCol w:w="2216"/>
        <w:gridCol w:w="751"/>
        <w:gridCol w:w="1742"/>
        <w:gridCol w:w="2073"/>
      </w:tblGrid>
      <w:tr>
        <w:tblPrEx>
          <w:tblCellMar>
            <w:top w:w="0" w:type="dxa"/>
            <w:left w:w="108" w:type="dxa"/>
            <w:bottom w:w="0" w:type="dxa"/>
            <w:right w:w="108" w:type="dxa"/>
          </w:tblCellMar>
        </w:tblPrEx>
        <w:trPr>
          <w:trHeight w:val="361" w:hRule="atLeast"/>
        </w:trPr>
        <w:tc>
          <w:tcPr>
            <w:tcW w:w="13992" w:type="dxa"/>
            <w:gridSpan w:val="8"/>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收入支出决算总表</w:t>
            </w:r>
          </w:p>
        </w:tc>
      </w:tr>
      <w:tr>
        <w:tblPrEx>
          <w:tblCellMar>
            <w:top w:w="0" w:type="dxa"/>
            <w:left w:w="108" w:type="dxa"/>
            <w:bottom w:w="0" w:type="dxa"/>
            <w:right w:w="108" w:type="dxa"/>
          </w:tblCellMar>
        </w:tblPrEx>
        <w:trPr>
          <w:trHeight w:val="90" w:hRule="atLeast"/>
        </w:trPr>
        <w:tc>
          <w:tcPr>
            <w:tcW w:w="13992" w:type="dxa"/>
            <w:gridSpan w:val="8"/>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01</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866" w:type="dxa"/>
            <w:gridSpan w:val="2"/>
            <w:tcBorders>
              <w:top w:val="nil"/>
              <w:left w:val="nil"/>
              <w:bottom w:val="single" w:color="auto" w:sz="4" w:space="0"/>
              <w:right w:val="nil"/>
            </w:tcBorders>
            <w:noWrap/>
            <w:vAlign w:val="bottom"/>
          </w:tcPr>
          <w:p>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编制部门（单位）：石家庄市鹿泉区获鹿镇人民政府(本级)</w:t>
            </w:r>
          </w:p>
        </w:tc>
        <w:tc>
          <w:tcPr>
            <w:tcW w:w="4560" w:type="dxa"/>
            <w:gridSpan w:val="3"/>
            <w:tcBorders>
              <w:top w:val="nil"/>
              <w:left w:val="nil"/>
              <w:bottom w:val="single" w:color="auto" w:sz="4" w:space="0"/>
              <w:right w:val="nil"/>
            </w:tcBorders>
            <w:noWrap/>
            <w:vAlign w:val="bottom"/>
          </w:tcPr>
          <w:p>
            <w:pPr>
              <w:jc w:val="center"/>
              <w:rPr>
                <w:rFonts w:hint="eastAsia" w:ascii="宋体" w:hAnsi="宋体" w:eastAsia="宋体"/>
                <w:color w:val="000000"/>
                <w:sz w:val="18"/>
                <w:szCs w:val="18"/>
                <w:lang w:bidi="ar"/>
              </w:rPr>
            </w:pPr>
            <w:r>
              <w:rPr>
                <w:rFonts w:hint="eastAsia" w:ascii="Times New Roman" w:hAnsi="Times New Roman" w:eastAsia="宋体"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4566" w:type="dxa"/>
            <w:gridSpan w:val="3"/>
            <w:tcBorders>
              <w:top w:val="nil"/>
              <w:left w:val="nil"/>
              <w:bottom w:val="single" w:color="auto" w:sz="4" w:space="0"/>
              <w:right w:val="nil"/>
            </w:tcBorders>
            <w:noWrap/>
            <w:vAlign w:val="bottom"/>
          </w:tcPr>
          <w:p>
            <w:pPr>
              <w:jc w:val="right"/>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7210" w:type="dxa"/>
            <w:gridSpan w:val="4"/>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收入</w:t>
            </w:r>
          </w:p>
        </w:tc>
        <w:tc>
          <w:tcPr>
            <w:tcW w:w="6782" w:type="dxa"/>
            <w:gridSpan w:val="4"/>
            <w:tcBorders>
              <w:top w:val="single" w:color="auto" w:sz="4" w:space="0"/>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支出</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45" w:type="dxa"/>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c>
          <w:tcPr>
            <w:tcW w:w="2967" w:type="dxa"/>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73" w:type="dxa"/>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09" w:type="dxa"/>
            <w:gridSpan w:val="2"/>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2045" w:type="dxa"/>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1</w:t>
            </w:r>
          </w:p>
        </w:tc>
        <w:tc>
          <w:tcPr>
            <w:tcW w:w="2967" w:type="dxa"/>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42" w:type="dxa"/>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2073" w:type="dxa"/>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2</w:t>
            </w:r>
          </w:p>
        </w:tc>
      </w:tr>
      <w:tr>
        <w:tblPrEx>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一、一般公共预算财政拨款收入</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3,074.04</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二、政府性基金预算财政拨款收入</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三、国有资本经营预算财政拨款收入</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四、上级补助收入</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279.58</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五、事业收入</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345.76</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六、经营收入</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七、附属单位上缴收入</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20.00</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八、其他收入</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464.48</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206.75</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80.00</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1,675.46</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96.77</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2045"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auto"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1742" w:type="dxa"/>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2073"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204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1742"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207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204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1742"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207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204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1742"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207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204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1742"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207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204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1742"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50</w:t>
            </w:r>
          </w:p>
        </w:tc>
        <w:tc>
          <w:tcPr>
            <w:tcW w:w="207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168.39</w:t>
            </w: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2045"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1742"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207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2045"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1742" w:type="dxa"/>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2073"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c>
          <w:tcPr>
            <w:tcW w:w="2967" w:type="dxa"/>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使用非财政拨款结余（含专用结余）</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结余分配</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年初结转和结余</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年末结转和结余</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60</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30</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61</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09"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2045"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c>
          <w:tcPr>
            <w:tcW w:w="2967" w:type="dxa"/>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4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207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r>
      <w:tr>
        <w:tblPrEx>
          <w:tblCellMar>
            <w:top w:w="0" w:type="dxa"/>
            <w:left w:w="108" w:type="dxa"/>
            <w:bottom w:w="0" w:type="dxa"/>
            <w:right w:w="108" w:type="dxa"/>
          </w:tblCellMar>
        </w:tblPrEx>
        <w:trPr>
          <w:trHeight w:val="308" w:hRule="atLeast"/>
        </w:trPr>
        <w:tc>
          <w:tcPr>
            <w:tcW w:w="13992" w:type="dxa"/>
            <w:gridSpan w:val="8"/>
            <w:tcBorders>
              <w:top w:val="nil"/>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注：1.本表反映部门本年度的总收支和年末结转结余情况。2.本套报表金额转换时可能存在尾数误差。</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黑体" w:hAnsi="黑体" w:eastAsia="黑体"/>
          <w:bCs/>
          <w:sz w:val="32"/>
          <w:szCs w:val="32"/>
        </w:rPr>
      </w:pPr>
    </w:p>
    <w:tbl>
      <w:tblPr>
        <w:tblStyle w:val="11"/>
        <w:tblW w:w="13992" w:type="dxa"/>
        <w:tblInd w:w="0" w:type="dxa"/>
        <w:tblLayout w:type="fixed"/>
        <w:tblCellMar>
          <w:top w:w="0" w:type="dxa"/>
          <w:left w:w="108" w:type="dxa"/>
          <w:bottom w:w="0" w:type="dxa"/>
          <w:right w:w="108" w:type="dxa"/>
        </w:tblCellMar>
      </w:tblPr>
      <w:tblGrid>
        <w:gridCol w:w="715"/>
        <w:gridCol w:w="1119"/>
        <w:gridCol w:w="1726"/>
        <w:gridCol w:w="881"/>
        <w:gridCol w:w="881"/>
        <w:gridCol w:w="1727"/>
        <w:gridCol w:w="1727"/>
        <w:gridCol w:w="881"/>
        <w:gridCol w:w="881"/>
        <w:gridCol w:w="1727"/>
        <w:gridCol w:w="1727"/>
      </w:tblGrid>
      <w:tr>
        <w:tblPrEx>
          <w:tblCellMar>
            <w:top w:w="0" w:type="dxa"/>
            <w:left w:w="108" w:type="dxa"/>
            <w:bottom w:w="0" w:type="dxa"/>
            <w:right w:w="108" w:type="dxa"/>
          </w:tblCellMar>
        </w:tblPrEx>
        <w:trPr>
          <w:trHeight w:val="550" w:hRule="atLeast"/>
        </w:trPr>
        <w:tc>
          <w:tcPr>
            <w:tcW w:w="13992" w:type="dxa"/>
            <w:gridSpan w:val="11"/>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收入决算表</w:t>
            </w:r>
          </w:p>
        </w:tc>
      </w:tr>
      <w:tr>
        <w:tblPrEx>
          <w:tblCellMar>
            <w:top w:w="0" w:type="dxa"/>
            <w:left w:w="108" w:type="dxa"/>
            <w:bottom w:w="0" w:type="dxa"/>
            <w:right w:w="108" w:type="dxa"/>
          </w:tblCellMar>
        </w:tblPrEx>
        <w:trPr>
          <w:trHeight w:val="300" w:hRule="atLeast"/>
        </w:trPr>
        <w:tc>
          <w:tcPr>
            <w:tcW w:w="13992" w:type="dxa"/>
            <w:gridSpan w:val="11"/>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02</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441" w:type="dxa"/>
            <w:gridSpan w:val="4"/>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编制部门（单位）：石家庄市鹿泉区获鹿镇人民政府(本级)                                                                                                         </w:t>
            </w:r>
          </w:p>
        </w:tc>
        <w:tc>
          <w:tcPr>
            <w:tcW w:w="5216"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color w:val="000000"/>
                <w:sz w:val="18"/>
                <w:szCs w:val="18"/>
                <w:lang w:bidi="ar"/>
              </w:rPr>
            </w:pPr>
            <w:r>
              <w:rPr>
                <w:rFonts w:ascii="Times New Roman" w:hAnsi="Times New Roman" w:eastAsia="方正仿宋_GB2312"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4335"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1834"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2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本年收入合计</w:t>
            </w:r>
          </w:p>
        </w:tc>
        <w:tc>
          <w:tcPr>
            <w:tcW w:w="176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财政拨款收入</w:t>
            </w:r>
          </w:p>
        </w:tc>
        <w:tc>
          <w:tcPr>
            <w:tcW w:w="17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上级补助收入</w:t>
            </w:r>
          </w:p>
        </w:tc>
        <w:tc>
          <w:tcPr>
            <w:tcW w:w="1727"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事业收入</w:t>
            </w:r>
          </w:p>
        </w:tc>
        <w:tc>
          <w:tcPr>
            <w:tcW w:w="176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经营收入</w:t>
            </w:r>
          </w:p>
        </w:tc>
        <w:tc>
          <w:tcPr>
            <w:tcW w:w="17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附属单位上缴收入</w:t>
            </w:r>
          </w:p>
        </w:tc>
        <w:tc>
          <w:tcPr>
            <w:tcW w:w="17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其他收入</w:t>
            </w:r>
          </w:p>
        </w:tc>
      </w:tr>
      <w:tr>
        <w:tblPrEx>
          <w:tblCellMar>
            <w:top w:w="0" w:type="dxa"/>
            <w:left w:w="108" w:type="dxa"/>
            <w:bottom w:w="0" w:type="dxa"/>
            <w:right w:w="108" w:type="dxa"/>
          </w:tblCellMar>
        </w:tblPrEx>
        <w:trPr>
          <w:trHeight w:val="312" w:hRule="atLeast"/>
        </w:trPr>
        <w:tc>
          <w:tcPr>
            <w:tcW w:w="715"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119" w:type="dxa"/>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7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left w:val="nil"/>
              <w:right w:val="single" w:color="000000" w:sz="4" w:space="0"/>
            </w:tcBorders>
            <w:vAlign w:val="center"/>
          </w:tcPr>
          <w:p>
            <w:pPr>
              <w:widowControl/>
              <w:jc w:val="center"/>
              <w:textAlignment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71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19"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17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left w:val="nil"/>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71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19"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17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90" w:hRule="atLeast"/>
        </w:trPr>
        <w:tc>
          <w:tcPr>
            <w:tcW w:w="183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26"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1762"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4</w:t>
            </w:r>
          </w:p>
        </w:tc>
        <w:tc>
          <w:tcPr>
            <w:tcW w:w="1762"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6</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7</w:t>
            </w:r>
          </w:p>
        </w:tc>
      </w:tr>
      <w:tr>
        <w:tblPrEx>
          <w:tblCellMar>
            <w:top w:w="0" w:type="dxa"/>
            <w:left w:w="108" w:type="dxa"/>
            <w:bottom w:w="0" w:type="dxa"/>
            <w:right w:w="108" w:type="dxa"/>
          </w:tblCellMar>
        </w:tblPrEx>
        <w:trPr>
          <w:trHeight w:val="308" w:hRule="atLeast"/>
        </w:trPr>
        <w:tc>
          <w:tcPr>
            <w:tcW w:w="183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6,411.23</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6,411.23</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一般公共服务支出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3,074.04</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3,074.04</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政府办公厅（室）及相关机构事务</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3,074.04</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3,074.04</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行政运行</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1,804.04</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1,804.04</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2010302</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一般行政管理事务</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1,270.00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1,270.00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204</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公共安全支出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279.58</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279.58</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20402</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公安</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279.58</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279.58</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2040202</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一般行政管理事务</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279.58</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279.58</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205</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教育支出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345.76</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345.76</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20509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教育费附加安排的支出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15.76</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15.76</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2050999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其他教育费附加安排的支出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15.76</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15.76</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20599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其他教育支出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2059999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其他教育支出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207</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文化旅游体育与传媒支出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20799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其他文化旅游体育与传媒支出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2079999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其他文化旅游体育与传媒支出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社会保障和就业支出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464.48</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464.48</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行政事业单位养老支出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338.22</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338.22</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行政单位离退休</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181.14</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181.14</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2080505</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机关事业单位基本养老保险缴费支出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157.08</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157.08</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退役安置</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126.26</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126.26</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2080901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退役士兵安置</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126.26</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126.26</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卫生健康支出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206.75</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206.75</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21004</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公共卫生</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2100499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其他公共卫生支出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行政事业单位医疗</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116.75</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116.75</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2101101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行政单位医疗</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116.75</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116.75</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节能环保支出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21103</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污染防治</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2110301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大气</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1,675.46</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1,675.46</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城乡社区管理事务</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329.00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329.00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2120102</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一般行政管理事务</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2120199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其他城乡社区管理事务支出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300.00</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300.00</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21203</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城乡社区公共设施</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205.99</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205.99</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2120399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其他城乡社区公共设施支出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205.99</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205.99</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21205</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城乡社区环境卫生</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697.69</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697.69</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2120501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城乡社区环境卫生</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697.69</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697.69</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其他城乡社区支出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442.79</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442.79</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2129999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其他城乡社区支出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442.79</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442.79</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农林水支出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96.77</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96.77</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21307</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农村综合改革</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14.96</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14.96</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2130701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对村级公益事业建设的补助</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14.96</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14.96</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其他农林水支出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81.81</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81.81</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2139999</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其他农林水支出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81.81</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81.81</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住房保障支出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168.39</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168.39</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住房改革支出</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168.39</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168.39</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2210201</w:t>
            </w:r>
          </w:p>
        </w:tc>
        <w:tc>
          <w:tcPr>
            <w:tcW w:w="1119"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住房公积金</w:t>
            </w:r>
          </w:p>
        </w:tc>
        <w:tc>
          <w:tcPr>
            <w:tcW w:w="1726"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168.39</w:t>
            </w: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168.39</w:t>
            </w: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11"/>
            <w:tcBorders>
              <w:top w:val="nil"/>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注：本表反映部门本年度取得的各项收入情况。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黑体" w:hAnsi="黑体" w:eastAsia="黑体"/>
          <w:bCs/>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1"/>
        <w:tblW w:w="13992" w:type="dxa"/>
        <w:tblInd w:w="0" w:type="dxa"/>
        <w:tblLayout w:type="fixed"/>
        <w:tblCellMar>
          <w:top w:w="0" w:type="dxa"/>
          <w:left w:w="108" w:type="dxa"/>
          <w:bottom w:w="0" w:type="dxa"/>
          <w:right w:w="108" w:type="dxa"/>
        </w:tblCellMar>
      </w:tblPr>
      <w:tblGrid>
        <w:gridCol w:w="800"/>
        <w:gridCol w:w="1272"/>
        <w:gridCol w:w="1984"/>
        <w:gridCol w:w="700"/>
        <w:gridCol w:w="1292"/>
        <w:gridCol w:w="1984"/>
        <w:gridCol w:w="1349"/>
        <w:gridCol w:w="643"/>
        <w:gridCol w:w="1984"/>
        <w:gridCol w:w="1984"/>
      </w:tblGrid>
      <w:tr>
        <w:tblPrEx>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noWrap/>
            <w:vAlign w:val="bottom"/>
          </w:tcPr>
          <w:p>
            <w:pPr>
              <w:jc w:val="center"/>
              <w:outlineLvl w:val="1"/>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CellMar>
            <w:top w:w="0" w:type="dxa"/>
            <w:left w:w="108" w:type="dxa"/>
            <w:bottom w:w="0" w:type="dxa"/>
            <w:right w:w="108" w:type="dxa"/>
          </w:tblCellMar>
        </w:tblPrEx>
        <w:trPr>
          <w:trHeight w:val="300" w:hRule="atLeast"/>
        </w:trPr>
        <w:tc>
          <w:tcPr>
            <w:tcW w:w="13992" w:type="dxa"/>
            <w:gridSpan w:val="10"/>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03</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756" w:type="dxa"/>
            <w:gridSpan w:val="4"/>
            <w:tcBorders>
              <w:top w:val="nil"/>
              <w:left w:val="nil"/>
              <w:bottom w:val="single" w:color="auto" w:sz="4" w:space="0"/>
              <w:right w:val="nil"/>
            </w:tcBorders>
            <w:noWrap/>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编制部门（单位）：石家庄市鹿泉区获鹿镇人民政府(本级) </w:t>
            </w:r>
            <w:r>
              <w:rPr>
                <w:rFonts w:hint="eastAsia" w:asciiTheme="minorEastAsia" w:hAnsiTheme="minorEastAsia" w:cstheme="minorEastAsia"/>
                <w:color w:val="000000"/>
                <w:sz w:val="18"/>
                <w:szCs w:val="18"/>
                <w:lang w:bidi="ar"/>
              </w:rPr>
              <w:t xml:space="preserve">                                                                                                         </w:t>
            </w:r>
          </w:p>
        </w:tc>
        <w:tc>
          <w:tcPr>
            <w:tcW w:w="4625" w:type="dxa"/>
            <w:gridSpan w:val="3"/>
            <w:tcBorders>
              <w:top w:val="nil"/>
              <w:left w:val="nil"/>
              <w:bottom w:val="single" w:color="auto" w:sz="4" w:space="0"/>
              <w:right w:val="nil"/>
            </w:tcBorders>
            <w:noWrap/>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11" w:type="dxa"/>
            <w:gridSpan w:val="3"/>
            <w:tcBorders>
              <w:top w:val="nil"/>
              <w:left w:val="nil"/>
              <w:bottom w:val="single" w:color="auto" w:sz="4" w:space="0"/>
              <w:right w:val="nil"/>
            </w:tcBorders>
            <w:noWrap/>
            <w:vAlign w:val="bottom"/>
          </w:tcPr>
          <w:p>
            <w:pPr>
              <w:widowControl/>
              <w:jc w:val="right"/>
              <w:textAlignment w:val="bottom"/>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 xml:space="preserve"> 金额单位：万元</w:t>
            </w:r>
          </w:p>
        </w:tc>
      </w:tr>
      <w:tr>
        <w:tblPrEx>
          <w:tblCellMar>
            <w:top w:w="0" w:type="dxa"/>
            <w:left w:w="108" w:type="dxa"/>
            <w:bottom w:w="0" w:type="dxa"/>
            <w:right w:w="108" w:type="dxa"/>
          </w:tblCellMar>
        </w:tblPrEx>
        <w:trPr>
          <w:trHeight w:val="308" w:hRule="atLeast"/>
        </w:trPr>
        <w:tc>
          <w:tcPr>
            <w:tcW w:w="2072"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本年支出合计</w:t>
            </w:r>
          </w:p>
        </w:tc>
        <w:tc>
          <w:tcPr>
            <w:tcW w:w="199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99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上缴上级支出</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经营支出</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对附属单位补助支出</w:t>
            </w:r>
          </w:p>
        </w:tc>
      </w:tr>
      <w:tr>
        <w:tblPrEx>
          <w:tblCellMar>
            <w:top w:w="0" w:type="dxa"/>
            <w:left w:w="108" w:type="dxa"/>
            <w:bottom w:w="0" w:type="dxa"/>
            <w:right w:w="108" w:type="dxa"/>
          </w:tblCellMar>
        </w:tblPrEx>
        <w:trPr>
          <w:trHeight w:val="312" w:hRule="atLeast"/>
        </w:trPr>
        <w:tc>
          <w:tcPr>
            <w:tcW w:w="80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272" w:type="dxa"/>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80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72"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80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72"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08" w:hRule="atLeast"/>
        </w:trPr>
        <w:tc>
          <w:tcPr>
            <w:tcW w:w="2072"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992"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992"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r>
      <w:tr>
        <w:tblPrEx>
          <w:tblCellMar>
            <w:top w:w="0" w:type="dxa"/>
            <w:left w:w="108" w:type="dxa"/>
            <w:bottom w:w="0" w:type="dxa"/>
            <w:right w:w="108" w:type="dxa"/>
          </w:tblCellMar>
        </w:tblPrEx>
        <w:trPr>
          <w:trHeight w:val="308" w:hRule="atLeast"/>
        </w:trPr>
        <w:tc>
          <w:tcPr>
            <w:tcW w:w="2072"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2,490.87</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3,920.36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3,074.04</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1,830.77</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1,243.27</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3,074.04</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1,830.77</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1,243.27</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1,804.04</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1,804.04</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2010302</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1,270.00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26.73</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1,243.27</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204</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公共安全支出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279.58</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1.70</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277.87</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20402</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公安</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279.58</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1.70</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277.87</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2040202</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279.58</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1.70</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277.87</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教育支出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345.76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35.03</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310.73</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教育费附加安排的支出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2050999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其他教育费附加安排的支出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其他教育支出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35.03</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294.97</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2059999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其他教育支出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35.03</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294.97</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文化旅游体育与传媒支出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其他文化旅游体育与传媒支出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2079999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其他文化旅游体育与传媒支出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464.48</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338.22</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126.26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338.22</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338.22</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行政单位离退休</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181.14</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181.14</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157.08</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157.08</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退役安置</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126.26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126.26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2080901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退役士兵安置</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126.26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126.26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206.75</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116.75</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21004</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公共卫生</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2100499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其他公共卫生支出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116.75</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116.75</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行政单位医疗</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116.75</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116.75</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节能环保支出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污染防治</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2110301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大气</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1,675.46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1,675.46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城乡社区管理事务</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329.00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329.00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2120102</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2120199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其他城乡社区管理事务支出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300.00</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城乡社区公共设施</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205.99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205.99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其他城乡社区公共设施支出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205.99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205.99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697.69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697.69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2120501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697.69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697.69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442.79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442.79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2129999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442.79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442.79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农林水支出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96.77</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96.77</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农村综合改革</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2130701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对村级公益事业建设的补助</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14.96</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其他农林水支出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81.81</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81.81</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2139999</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其他农林水支出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81.81</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81.81</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1272"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注：本表反映部门本年度各项支出情况。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W w:w="13989" w:type="dxa"/>
        <w:tblInd w:w="0" w:type="dxa"/>
        <w:tblLayout w:type="fixed"/>
        <w:tblCellMar>
          <w:top w:w="0" w:type="dxa"/>
          <w:left w:w="108" w:type="dxa"/>
          <w:bottom w:w="0" w:type="dxa"/>
          <w:right w:w="108" w:type="dxa"/>
        </w:tblCellMar>
      </w:tblPr>
      <w:tblGrid>
        <w:gridCol w:w="2466"/>
        <w:gridCol w:w="464"/>
        <w:gridCol w:w="1544"/>
        <w:gridCol w:w="2202"/>
        <w:gridCol w:w="425"/>
        <w:gridCol w:w="464"/>
        <w:gridCol w:w="1542"/>
        <w:gridCol w:w="215"/>
        <w:gridCol w:w="1407"/>
        <w:gridCol w:w="1623"/>
        <w:gridCol w:w="1637"/>
      </w:tblGrid>
      <w:tr>
        <w:tblPrEx>
          <w:tblCellMar>
            <w:top w:w="0" w:type="dxa"/>
            <w:left w:w="108" w:type="dxa"/>
            <w:bottom w:w="0" w:type="dxa"/>
            <w:right w:w="108" w:type="dxa"/>
          </w:tblCellMar>
        </w:tblPrEx>
        <w:trPr>
          <w:trHeight w:val="550" w:hRule="atLeast"/>
        </w:trPr>
        <w:tc>
          <w:tcPr>
            <w:tcW w:w="13989" w:type="dxa"/>
            <w:gridSpan w:val="11"/>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财政拨款收入支出决算总表</w:t>
            </w:r>
          </w:p>
        </w:tc>
      </w:tr>
      <w:tr>
        <w:tblPrEx>
          <w:tblCellMar>
            <w:top w:w="0" w:type="dxa"/>
            <w:left w:w="108" w:type="dxa"/>
            <w:bottom w:w="0" w:type="dxa"/>
            <w:right w:w="108" w:type="dxa"/>
          </w:tblCellMar>
        </w:tblPrEx>
        <w:trPr>
          <w:trHeight w:val="300" w:hRule="atLeast"/>
        </w:trPr>
        <w:tc>
          <w:tcPr>
            <w:tcW w:w="13989" w:type="dxa"/>
            <w:gridSpan w:val="11"/>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公开04表</w:t>
            </w:r>
          </w:p>
        </w:tc>
      </w:tr>
      <w:tr>
        <w:tblPrEx>
          <w:tblCellMar>
            <w:top w:w="0" w:type="dxa"/>
            <w:left w:w="108" w:type="dxa"/>
            <w:bottom w:w="0" w:type="dxa"/>
            <w:right w:w="108" w:type="dxa"/>
          </w:tblCellMar>
        </w:tblPrEx>
        <w:trPr>
          <w:trHeight w:val="300" w:hRule="atLeast"/>
        </w:trPr>
        <w:tc>
          <w:tcPr>
            <w:tcW w:w="6676" w:type="dxa"/>
            <w:gridSpan w:val="4"/>
            <w:tcBorders>
              <w:top w:val="nil"/>
              <w:left w:val="nil"/>
              <w:bottom w:val="single" w:color="auto" w:sz="4" w:space="0"/>
              <w:right w:val="nil"/>
            </w:tcBorders>
            <w:noWrap/>
            <w:vAlign w:val="bottom"/>
          </w:tcPr>
          <w:p>
            <w:pPr>
              <w:rPr>
                <w:rFonts w:hint="eastAsia" w:ascii="仿宋" w:hAnsi="仿宋" w:eastAsia="仿宋" w:cs="仿宋"/>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编制部门（单位）：石家庄市鹿泉区获鹿镇人民政府(本级) </w:t>
            </w:r>
            <w:r>
              <w:rPr>
                <w:rFonts w:hint="eastAsia" w:asciiTheme="minorEastAsia" w:hAnsiTheme="minorEastAsia" w:cstheme="minorEastAsia"/>
                <w:color w:val="000000"/>
                <w:sz w:val="18"/>
                <w:szCs w:val="18"/>
                <w:lang w:bidi="ar"/>
              </w:rPr>
              <w:t xml:space="preserve">                                                                                                   </w:t>
            </w:r>
          </w:p>
        </w:tc>
        <w:tc>
          <w:tcPr>
            <w:tcW w:w="2646" w:type="dxa"/>
            <w:gridSpan w:val="4"/>
            <w:tcBorders>
              <w:top w:val="nil"/>
              <w:left w:val="nil"/>
              <w:bottom w:val="single" w:color="auto" w:sz="4" w:space="0"/>
              <w:right w:val="nil"/>
            </w:tcBorders>
            <w:noWrap/>
            <w:vAlign w:val="bottom"/>
          </w:tcPr>
          <w:p>
            <w:pPr>
              <w:jc w:val="center"/>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7" w:type="dxa"/>
            <w:gridSpan w:val="3"/>
            <w:tcBorders>
              <w:top w:val="nil"/>
              <w:left w:val="nil"/>
              <w:bottom w:val="single" w:color="auto" w:sz="4" w:space="0"/>
              <w:right w:val="nil"/>
            </w:tcBorders>
            <w:noWrap/>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4474" w:type="dxa"/>
            <w:gridSpan w:val="3"/>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收     入</w:t>
            </w:r>
          </w:p>
        </w:tc>
        <w:tc>
          <w:tcPr>
            <w:tcW w:w="9515" w:type="dxa"/>
            <w:gridSpan w:val="8"/>
            <w:tcBorders>
              <w:top w:val="single" w:color="auto" w:sz="4" w:space="0"/>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支     出</w:t>
            </w:r>
          </w:p>
        </w:tc>
      </w:tr>
      <w:tr>
        <w:tblPrEx>
          <w:tblCellMar>
            <w:top w:w="0" w:type="dxa"/>
            <w:left w:w="108" w:type="dxa"/>
            <w:bottom w:w="0" w:type="dxa"/>
            <w:right w:w="108" w:type="dxa"/>
          </w:tblCellMar>
        </w:tblPrEx>
        <w:trPr>
          <w:trHeight w:val="312" w:hRule="atLeast"/>
        </w:trPr>
        <w:tc>
          <w:tcPr>
            <w:tcW w:w="2466"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    目</w:t>
            </w:r>
          </w:p>
        </w:tc>
        <w:tc>
          <w:tcPr>
            <w:tcW w:w="46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54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2627"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46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542" w:type="dxa"/>
            <w:vMerge w:val="restart"/>
            <w:tcBorders>
              <w:top w:val="nil"/>
              <w:left w:val="nil"/>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1622" w:type="dxa"/>
            <w:gridSpan w:val="2"/>
            <w:vMerge w:val="restart"/>
            <w:tcBorders>
              <w:top w:val="nil"/>
              <w:left w:val="nil"/>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一般公共预算财政拨款</w:t>
            </w:r>
          </w:p>
        </w:tc>
        <w:tc>
          <w:tcPr>
            <w:tcW w:w="1623" w:type="dxa"/>
            <w:vMerge w:val="restart"/>
            <w:tcBorders>
              <w:top w:val="nil"/>
              <w:left w:val="nil"/>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政府性基金预算财政拨款</w:t>
            </w:r>
          </w:p>
        </w:tc>
        <w:tc>
          <w:tcPr>
            <w:tcW w:w="1637" w:type="dxa"/>
            <w:vMerge w:val="restart"/>
            <w:tcBorders>
              <w:top w:val="nil"/>
              <w:left w:val="nil"/>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国有资本经营预算财政拨款</w:t>
            </w:r>
          </w:p>
        </w:tc>
      </w:tr>
      <w:tr>
        <w:tblPrEx>
          <w:tblCellMar>
            <w:top w:w="0" w:type="dxa"/>
            <w:left w:w="108" w:type="dxa"/>
            <w:bottom w:w="0" w:type="dxa"/>
            <w:right w:w="108" w:type="dxa"/>
          </w:tblCellMar>
        </w:tblPrEx>
        <w:trPr>
          <w:trHeight w:val="312" w:hRule="atLeast"/>
        </w:trPr>
        <w:tc>
          <w:tcPr>
            <w:tcW w:w="2466"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6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4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627"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6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42"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22" w:type="dxa"/>
            <w:gridSpan w:val="2"/>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23"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37"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464" w:type="dxa"/>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1544" w:type="dxa"/>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2627" w:type="dxa"/>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464" w:type="dxa"/>
            <w:tcBorders>
              <w:top w:val="nil"/>
              <w:left w:val="nil"/>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1542" w:type="dxa"/>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622" w:type="dxa"/>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1623" w:type="dxa"/>
            <w:tcBorders>
              <w:top w:val="nil"/>
              <w:left w:val="nil"/>
              <w:bottom w:val="single" w:color="000000" w:sz="4" w:space="0"/>
              <w:right w:val="single" w:color="000000"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4</w:t>
            </w:r>
          </w:p>
        </w:tc>
        <w:tc>
          <w:tcPr>
            <w:tcW w:w="1637" w:type="dxa"/>
            <w:tcBorders>
              <w:top w:val="nil"/>
              <w:left w:val="nil"/>
              <w:bottom w:val="single" w:color="000000" w:sz="4" w:space="0"/>
              <w:right w:val="single" w:color="000000" w:sz="8"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3,074.04</w:t>
            </w: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3,074.04</w:t>
            </w: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279.58</w:t>
            </w: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279.58</w:t>
            </w: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345.76</w:t>
            </w: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345.76</w:t>
            </w: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20.00</w:t>
            </w: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20.00</w:t>
            </w: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40</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464.48</w:t>
            </w: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464.48</w:t>
            </w: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206.75</w:t>
            </w: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206.75</w:t>
            </w: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80.00</w:t>
            </w: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80.00</w:t>
            </w: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1,675.46</w:t>
            </w: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1,675.46</w:t>
            </w: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olor w:val="000000"/>
                <w:sz w:val="18"/>
                <w:szCs w:val="18"/>
              </w:rPr>
            </w:pPr>
          </w:p>
        </w:tc>
        <w:tc>
          <w:tcPr>
            <w:tcW w:w="464" w:type="dxa"/>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1544"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auto"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464" w:type="dxa"/>
            <w:tcBorders>
              <w:top w:val="nil"/>
              <w:left w:val="nil"/>
              <w:bottom w:val="single" w:color="auto"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1542"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96.77</w:t>
            </w:r>
          </w:p>
        </w:tc>
        <w:tc>
          <w:tcPr>
            <w:tcW w:w="1622" w:type="dxa"/>
            <w:gridSpan w:val="2"/>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96.77</w:t>
            </w:r>
          </w:p>
        </w:tc>
        <w:tc>
          <w:tcPr>
            <w:tcW w:w="1623" w:type="dxa"/>
            <w:tcBorders>
              <w:top w:val="nil"/>
              <w:left w:val="nil"/>
              <w:bottom w:val="single" w:color="auto"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auto"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154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1542"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154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1542"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154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1542"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154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1542"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154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1542"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154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50</w:t>
            </w:r>
          </w:p>
        </w:tc>
        <w:tc>
          <w:tcPr>
            <w:tcW w:w="1542"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154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1542"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168.39</w:t>
            </w: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168.39</w:t>
            </w:r>
          </w:p>
        </w:tc>
        <w:tc>
          <w:tcPr>
            <w:tcW w:w="16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154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1542"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154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1542"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154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1542"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154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46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1542"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olor w:val="000000"/>
                <w:sz w:val="18"/>
                <w:szCs w:val="18"/>
              </w:rPr>
            </w:pPr>
          </w:p>
        </w:tc>
        <w:tc>
          <w:tcPr>
            <w:tcW w:w="464" w:type="dxa"/>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1544"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464" w:type="dxa"/>
            <w:tcBorders>
              <w:top w:val="single" w:color="auto" w:sz="4" w:space="0"/>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1542"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b/>
                <w:bCs/>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c>
          <w:tcPr>
            <w:tcW w:w="2627" w:type="dxa"/>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年初财政拨款结转和结余</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年末财政拨款结转和结余</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60</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61</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30</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1544"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63</w:t>
            </w:r>
          </w:p>
        </w:tc>
        <w:tc>
          <w:tcPr>
            <w:tcW w:w="1542"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noWrap/>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8"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464" w:type="dxa"/>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1544" w:type="dxa"/>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c>
          <w:tcPr>
            <w:tcW w:w="2627" w:type="dxa"/>
            <w:gridSpan w:val="2"/>
            <w:tcBorders>
              <w:top w:val="nil"/>
              <w:left w:val="nil"/>
              <w:bottom w:val="single" w:color="000000" w:sz="8"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464" w:type="dxa"/>
            <w:tcBorders>
              <w:top w:val="nil"/>
              <w:left w:val="nil"/>
              <w:bottom w:val="single" w:color="000000" w:sz="8" w:space="0"/>
              <w:right w:val="single" w:color="000000" w:sz="4" w:space="0"/>
            </w:tcBorders>
            <w:noWrap/>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64</w:t>
            </w:r>
          </w:p>
        </w:tc>
        <w:tc>
          <w:tcPr>
            <w:tcW w:w="1542" w:type="dxa"/>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c>
          <w:tcPr>
            <w:tcW w:w="1622" w:type="dxa"/>
            <w:gridSpan w:val="2"/>
            <w:tcBorders>
              <w:top w:val="nil"/>
              <w:left w:val="nil"/>
              <w:bottom w:val="single" w:color="000000" w:sz="8" w:space="0"/>
              <w:right w:val="single" w:color="000000"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6,411.23</w:t>
            </w:r>
          </w:p>
          <w:p>
            <w:pPr>
              <w:jc w:val="right"/>
              <w:rPr>
                <w:rFonts w:ascii="Times New Roman" w:hAnsi="Times New Roman" w:eastAsia="宋体" w:cs="Times New Roman"/>
                <w:color w:val="000000"/>
                <w:sz w:val="18"/>
                <w:szCs w:val="18"/>
              </w:rPr>
            </w:pPr>
          </w:p>
        </w:tc>
        <w:tc>
          <w:tcPr>
            <w:tcW w:w="1623" w:type="dxa"/>
            <w:tcBorders>
              <w:top w:val="nil"/>
              <w:left w:val="nil"/>
              <w:bottom w:val="single" w:color="000000" w:sz="8"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8" w:space="0"/>
              <w:right w:val="single" w:color="000000" w:sz="8"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89" w:type="dxa"/>
            <w:gridSpan w:val="11"/>
            <w:tcBorders>
              <w:top w:val="nil"/>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注：本表反映部门本年度一般公共预算财政拨款、政府性基金预算财政拨款和国有资本经营预算财政拨款的总收支和年末结转结余情况。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宋体" w:hAnsi="宋体" w:eastAsia="宋体"/>
          <w:spacing w:val="-2"/>
          <w:sz w:val="20"/>
        </w:rPr>
      </w:pPr>
    </w:p>
    <w:tbl>
      <w:tblPr>
        <w:tblStyle w:val="11"/>
        <w:tblW w:w="13992" w:type="dxa"/>
        <w:tblInd w:w="0" w:type="dxa"/>
        <w:tblLayout w:type="fixed"/>
        <w:tblCellMar>
          <w:top w:w="0" w:type="dxa"/>
          <w:left w:w="108" w:type="dxa"/>
          <w:bottom w:w="0" w:type="dxa"/>
          <w:right w:w="108" w:type="dxa"/>
        </w:tblCellMar>
      </w:tblPr>
      <w:tblGrid>
        <w:gridCol w:w="1355"/>
        <w:gridCol w:w="2077"/>
        <w:gridCol w:w="1228"/>
        <w:gridCol w:w="2283"/>
        <w:gridCol w:w="2376"/>
        <w:gridCol w:w="1139"/>
        <w:gridCol w:w="3534"/>
      </w:tblGrid>
      <w:tr>
        <w:tblPrEx>
          <w:tblCellMar>
            <w:top w:w="0" w:type="dxa"/>
            <w:left w:w="108" w:type="dxa"/>
            <w:bottom w:w="0" w:type="dxa"/>
            <w:right w:w="108" w:type="dxa"/>
          </w:tblCellMar>
        </w:tblPrEx>
        <w:trPr>
          <w:trHeight w:val="550" w:hRule="atLeast"/>
        </w:trPr>
        <w:tc>
          <w:tcPr>
            <w:tcW w:w="13992" w:type="dxa"/>
            <w:gridSpan w:val="7"/>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一般公共预算财政拨款支出决算表</w:t>
            </w:r>
          </w:p>
        </w:tc>
      </w:tr>
      <w:tr>
        <w:tblPrEx>
          <w:tblCellMar>
            <w:top w:w="0" w:type="dxa"/>
            <w:left w:w="108" w:type="dxa"/>
            <w:bottom w:w="0" w:type="dxa"/>
            <w:right w:w="108" w:type="dxa"/>
          </w:tblCellMar>
        </w:tblPrEx>
        <w:trPr>
          <w:trHeight w:val="300" w:hRule="atLeast"/>
        </w:trPr>
        <w:tc>
          <w:tcPr>
            <w:tcW w:w="13992" w:type="dxa"/>
            <w:gridSpan w:val="7"/>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05</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660" w:type="dxa"/>
            <w:gridSpan w:val="3"/>
            <w:tcBorders>
              <w:top w:val="nil"/>
              <w:left w:val="nil"/>
              <w:bottom w:val="single" w:color="auto" w:sz="4" w:space="0"/>
              <w:right w:val="nil"/>
            </w:tcBorders>
            <w:noWrap/>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编制部门（单位）：石家庄市鹿泉区获鹿镇人民政府(本级)</w:t>
            </w:r>
          </w:p>
        </w:tc>
        <w:tc>
          <w:tcPr>
            <w:tcW w:w="4659" w:type="dxa"/>
            <w:gridSpan w:val="2"/>
            <w:tcBorders>
              <w:top w:val="nil"/>
              <w:left w:val="nil"/>
              <w:bottom w:val="single" w:color="auto" w:sz="4" w:space="0"/>
              <w:right w:val="nil"/>
            </w:tcBorders>
            <w:noWrap/>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73" w:type="dxa"/>
            <w:gridSpan w:val="2"/>
            <w:tcBorders>
              <w:top w:val="nil"/>
              <w:left w:val="nil"/>
              <w:bottom w:val="single" w:color="auto" w:sz="4" w:space="0"/>
              <w:right w:val="nil"/>
            </w:tcBorders>
            <w:noWrap/>
            <w:vAlign w:val="bottom"/>
          </w:tcPr>
          <w:p>
            <w:pPr>
              <w:widowControl/>
              <w:jc w:val="right"/>
              <w:textAlignment w:val="bottom"/>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445"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0560"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r>
      <w:tr>
        <w:tblPrEx>
          <w:tblCellMar>
            <w:top w:w="0" w:type="dxa"/>
            <w:left w:w="108" w:type="dxa"/>
            <w:bottom w:w="0" w:type="dxa"/>
            <w:right w:w="108" w:type="dxa"/>
          </w:tblCellMar>
        </w:tblPrEx>
        <w:trPr>
          <w:trHeight w:val="312" w:hRule="atLeast"/>
        </w:trPr>
        <w:tc>
          <w:tcPr>
            <w:tcW w:w="135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2077"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3511"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351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3534"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r>
      <w:tr>
        <w:tblPrEx>
          <w:tblCellMar>
            <w:top w:w="0" w:type="dxa"/>
            <w:left w:w="108" w:type="dxa"/>
            <w:bottom w:w="0" w:type="dxa"/>
            <w:right w:w="108" w:type="dxa"/>
          </w:tblCellMar>
        </w:tblPrEx>
        <w:trPr>
          <w:trHeight w:val="312" w:hRule="atLeast"/>
        </w:trPr>
        <w:tc>
          <w:tcPr>
            <w:tcW w:w="135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207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3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135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207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3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08"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1</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2</w:t>
            </w:r>
          </w:p>
        </w:tc>
        <w:tc>
          <w:tcPr>
            <w:tcW w:w="353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3</w:t>
            </w:r>
          </w:p>
        </w:tc>
      </w:tr>
      <w:tr>
        <w:tblPrEx>
          <w:tblCellMar>
            <w:top w:w="0" w:type="dxa"/>
            <w:left w:w="108" w:type="dxa"/>
            <w:bottom w:w="0" w:type="dxa"/>
            <w:right w:w="108" w:type="dxa"/>
          </w:tblCellMar>
        </w:tblPrEx>
        <w:trPr>
          <w:trHeight w:val="308"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6,411.23</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2,490.87</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3,920.36</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3,074.04</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1,830.77</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1,243.27</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3,074.04</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1,830.77</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1,243.27</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1,804.04</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1,804.04</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2010302</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1,270.00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26.73</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1,243.27</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204</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公共安全支出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279.58</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1.70</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277.87</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20402</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公安</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279.58</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1.70</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277.87</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2040202</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279.58</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1.70</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277.87</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教育支出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345.76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35.03</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310.73</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教育费附加安排的支出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15.76</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2050999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其他教育费附加安排的支出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15.76</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其他教育支出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35.03</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294.97</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2059999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其他教育支出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35.03</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294.97</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文化旅游体育与传媒支出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其他文化旅游体育与传媒支出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2079999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其他文化旅游体育与传媒支出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464.48</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338.22</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126.26</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行政事业单位养老支出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338.22</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338.22</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行政单位离退休</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181.14</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181.14</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157.08</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157.08</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退役安置</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126.26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126.26</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2080901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退役士兵安置</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126.26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126.26</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206.75</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116.75</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21004</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公共卫生</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2100499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其他公共卫生支出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行政事业单位医疗</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116.75</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116.75</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行政单位医疗</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116.75</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116.75</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节能环保支出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污染防治</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2110301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大气</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1,675.46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1,675.46</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城乡社区管理事务</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329.00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329.00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2120102</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2120199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其他城乡社区管理事务支出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300.00</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城乡社区公共设施</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205.99</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205.99</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2120399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其他城乡社区公共设施支出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205.99</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205.99</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697.69</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697.69</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2120501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城乡社区环境卫生</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697.69</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697.69</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442.79</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442.79</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2129999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其他城乡社区支出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442.79</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442.79</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农林水支出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96.77</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96.77</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农村综合改革</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14.96</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2130701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对村级公益事业建设的补助</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14.96</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14.96</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其他农林水支出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81.81</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81.81</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2139999</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其他农林水支出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81.81</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81.81</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2077"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35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351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168.39</w:t>
            </w:r>
          </w:p>
        </w:tc>
        <w:tc>
          <w:tcPr>
            <w:tcW w:w="3534"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7"/>
            <w:tcBorders>
              <w:top w:val="single" w:color="auto" w:sz="4" w:space="0"/>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注：本表反映部门本年度一般公共预算财政拨款支出情况。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W w:w="14009" w:type="dxa"/>
        <w:tblInd w:w="0" w:type="dxa"/>
        <w:tblLayout w:type="fixed"/>
        <w:tblCellMar>
          <w:top w:w="0" w:type="dxa"/>
          <w:left w:w="108" w:type="dxa"/>
          <w:bottom w:w="0" w:type="dxa"/>
          <w:right w:w="108" w:type="dxa"/>
        </w:tblCellMar>
      </w:tblPr>
      <w:tblGrid>
        <w:gridCol w:w="738"/>
        <w:gridCol w:w="2324"/>
        <w:gridCol w:w="1648"/>
        <w:gridCol w:w="1203"/>
        <w:gridCol w:w="325"/>
        <w:gridCol w:w="1364"/>
        <w:gridCol w:w="1067"/>
        <w:gridCol w:w="981"/>
        <w:gridCol w:w="2401"/>
        <w:gridCol w:w="1936"/>
        <w:gridCol w:w="22"/>
      </w:tblGrid>
      <w:tr>
        <w:tblPrEx>
          <w:tblCellMar>
            <w:top w:w="0" w:type="dxa"/>
            <w:left w:w="108" w:type="dxa"/>
            <w:bottom w:w="0" w:type="dxa"/>
            <w:right w:w="108" w:type="dxa"/>
          </w:tblCellMar>
        </w:tblPrEx>
        <w:trPr>
          <w:gridAfter w:val="1"/>
          <w:wAfter w:w="22" w:type="dxa"/>
          <w:trHeight w:val="624" w:hRule="atLeast"/>
        </w:trPr>
        <w:tc>
          <w:tcPr>
            <w:tcW w:w="13987" w:type="dxa"/>
            <w:gridSpan w:val="10"/>
            <w:tcBorders>
              <w:top w:val="nil"/>
              <w:left w:val="nil"/>
              <w:bottom w:val="nil"/>
              <w:right w:val="nil"/>
            </w:tcBorders>
            <w:noWrap/>
            <w:vAlign w:val="bottom"/>
          </w:tcPr>
          <w:p>
            <w:pPr>
              <w:widowControl/>
              <w:jc w:val="center"/>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一般公共预算财政拨款基本支出决算表</w:t>
            </w:r>
          </w:p>
        </w:tc>
      </w:tr>
      <w:tr>
        <w:tblPrEx>
          <w:tblCellMar>
            <w:top w:w="0" w:type="dxa"/>
            <w:left w:w="108" w:type="dxa"/>
            <w:bottom w:w="0" w:type="dxa"/>
            <w:right w:w="108" w:type="dxa"/>
          </w:tblCellMar>
        </w:tblPrEx>
        <w:trPr>
          <w:gridAfter w:val="1"/>
          <w:wAfter w:w="22" w:type="dxa"/>
          <w:trHeight w:val="300" w:hRule="atLeast"/>
        </w:trPr>
        <w:tc>
          <w:tcPr>
            <w:tcW w:w="13987" w:type="dxa"/>
            <w:gridSpan w:val="10"/>
            <w:tcBorders>
              <w:top w:val="nil"/>
              <w:left w:val="nil"/>
              <w:bottom w:val="nil"/>
              <w:right w:val="nil"/>
            </w:tcBorders>
            <w:noWrap/>
            <w:vAlign w:val="bottom"/>
          </w:tcPr>
          <w:p>
            <w:pPr>
              <w:widowControl/>
              <w:jc w:val="right"/>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90" w:hRule="atLeast"/>
        </w:trPr>
        <w:tc>
          <w:tcPr>
            <w:tcW w:w="6238" w:type="dxa"/>
            <w:gridSpan w:val="5"/>
            <w:tcBorders>
              <w:top w:val="nil"/>
              <w:left w:val="nil"/>
              <w:bottom w:val="single" w:color="auto" w:sz="4" w:space="0"/>
              <w:right w:val="nil"/>
            </w:tcBorders>
            <w:noWrap/>
            <w:vAlign w:val="bottom"/>
          </w:tcPr>
          <w:p>
            <w:pP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编制部门（单位）：石家庄市鹿泉区获鹿镇人民政府(本级) </w:t>
            </w:r>
            <w:r>
              <w:rPr>
                <w:rFonts w:hint="eastAsia" w:asciiTheme="minorEastAsia" w:hAnsiTheme="minorEastAsia" w:cstheme="minorEastAsia"/>
                <w:color w:val="000000"/>
                <w:sz w:val="18"/>
                <w:szCs w:val="18"/>
                <w:lang w:bidi="ar"/>
              </w:rPr>
              <w:t xml:space="preserve">                                                                   </w:t>
            </w:r>
          </w:p>
        </w:tc>
        <w:tc>
          <w:tcPr>
            <w:tcW w:w="3412" w:type="dxa"/>
            <w:gridSpan w:val="3"/>
            <w:tcBorders>
              <w:top w:val="nil"/>
              <w:left w:val="nil"/>
              <w:bottom w:val="single" w:color="auto" w:sz="4" w:space="0"/>
              <w:right w:val="nil"/>
            </w:tcBorders>
            <w:noWrap/>
            <w:vAlign w:val="bottom"/>
          </w:tcPr>
          <w:p>
            <w:pPr>
              <w:jc w:val="center"/>
              <w:rPr>
                <w:rFonts w:hint="eastAsia"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359" w:type="dxa"/>
            <w:gridSpan w:val="3"/>
            <w:tcBorders>
              <w:top w:val="nil"/>
              <w:left w:val="nil"/>
              <w:bottom w:val="single" w:color="auto" w:sz="4" w:space="0"/>
              <w:right w:val="nil"/>
            </w:tcBorders>
            <w:noWrap/>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gridAfter w:val="1"/>
          <w:wAfter w:w="22" w:type="dxa"/>
          <w:trHeight w:val="510" w:hRule="atLeast"/>
        </w:trPr>
        <w:tc>
          <w:tcPr>
            <w:tcW w:w="5913" w:type="dxa"/>
            <w:gridSpan w:val="4"/>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8074" w:type="dxa"/>
            <w:gridSpan w:val="6"/>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64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067"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36"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1,701.84</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580.84</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537.04</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24.74</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229.30</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435.64</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1.86</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机关事业单位基本养老保险缴费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90.52</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20.03</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29.54</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38.39</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14.29</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29.51</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121.01</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169.54</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50.87</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208.18</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0.18</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182.52</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0.92</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395.78</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7.62</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8.86</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8.07</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58.08</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2324"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24.75</w:t>
            </w: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1067"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11.80</w:t>
            </w: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noWrap/>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noWrap/>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2401" w:type="dxa"/>
            <w:tcBorders>
              <w:top w:val="single" w:color="auto" w:sz="4" w:space="0"/>
              <w:left w:val="single" w:color="auto" w:sz="4" w:space="0"/>
              <w:bottom w:val="single" w:color="auto" w:sz="4" w:space="0"/>
              <w:right w:val="single" w:color="auto" w:sz="4" w:space="0"/>
            </w:tcBorders>
            <w:noWrap/>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3062"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1648" w:type="dxa"/>
            <w:tcBorders>
              <w:top w:val="single" w:color="auto" w:sz="4" w:space="0"/>
              <w:left w:val="single" w:color="auto" w:sz="4" w:space="0"/>
              <w:bottom w:val="single" w:color="auto" w:sz="4" w:space="0"/>
              <w:right w:val="single" w:color="auto" w:sz="4" w:space="0"/>
            </w:tcBorders>
            <w:noWrap/>
            <w:vAlign w:val="center"/>
          </w:tcPr>
          <w:p>
            <w:pPr>
              <w:jc w:val="right"/>
              <w:rPr>
                <w:rFonts w:ascii="Times New Roman" w:hAnsi="Times New Roman" w:cs="Times New Roman"/>
                <w:sz w:val="18"/>
                <w:szCs w:val="18"/>
              </w:rPr>
            </w:pPr>
            <w:r>
              <w:rPr>
                <w:rFonts w:ascii="Times New Roman" w:hAnsi="Times New Roman" w:cs="Times New Roman"/>
                <w:sz w:val="18"/>
                <w:szCs w:val="18"/>
              </w:rPr>
              <w:t>1,910.02</w:t>
            </w:r>
          </w:p>
        </w:tc>
        <w:tc>
          <w:tcPr>
            <w:tcW w:w="7341" w:type="dxa"/>
            <w:gridSpan w:val="6"/>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1936"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cstheme="minorEastAsia"/>
                <w:color w:val="000000"/>
                <w:sz w:val="18"/>
                <w:szCs w:val="18"/>
              </w:rPr>
            </w:pPr>
            <w:r>
              <w:rPr>
                <w:rFonts w:ascii="Times New Roman" w:hAnsi="Times New Roman" w:cs="Times New Roman"/>
                <w:sz w:val="18"/>
                <w:szCs w:val="18"/>
              </w:rPr>
              <w:t>580.84</w:t>
            </w:r>
          </w:p>
        </w:tc>
      </w:tr>
      <w:tr>
        <w:tblPrEx>
          <w:tblCellMar>
            <w:top w:w="0" w:type="dxa"/>
            <w:left w:w="108" w:type="dxa"/>
            <w:bottom w:w="0" w:type="dxa"/>
            <w:right w:w="108" w:type="dxa"/>
          </w:tblCellMar>
        </w:tblPrEx>
        <w:trPr>
          <w:gridAfter w:val="1"/>
          <w:wAfter w:w="22" w:type="dxa"/>
          <w:trHeight w:val="510" w:hRule="atLeast"/>
        </w:trPr>
        <w:tc>
          <w:tcPr>
            <w:tcW w:w="13987" w:type="dxa"/>
            <w:gridSpan w:val="10"/>
            <w:tcBorders>
              <w:top w:val="single" w:color="auto" w:sz="4" w:space="0"/>
              <w:left w:val="nil"/>
              <w:bottom w:val="nil"/>
              <w:right w:val="nil"/>
            </w:tcBorders>
            <w:noWrap/>
            <w:vAlign w:val="center"/>
          </w:tcPr>
          <w:p>
            <w:pPr>
              <w:widowControl/>
              <w:jc w:val="left"/>
              <w:textAlignment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注：本表反映部门本年度一般公共预算财政拨款基本支出明细情况。</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仿宋_GB2312" w:hAnsi="宋体" w:eastAsia="仿宋_GB2312"/>
          <w:b/>
          <w:sz w:val="32"/>
          <w:szCs w:val="32"/>
        </w:rPr>
      </w:pPr>
    </w:p>
    <w:tbl>
      <w:tblPr>
        <w:tblStyle w:val="11"/>
        <w:tblW w:w="13992" w:type="dxa"/>
        <w:tblInd w:w="0" w:type="dxa"/>
        <w:tblLayout w:type="fixed"/>
        <w:tblCellMar>
          <w:top w:w="0" w:type="dxa"/>
          <w:left w:w="108" w:type="dxa"/>
          <w:bottom w:w="0" w:type="dxa"/>
          <w:right w:w="108" w:type="dxa"/>
        </w:tblCellMar>
      </w:tblPr>
      <w:tblGrid>
        <w:gridCol w:w="811"/>
        <w:gridCol w:w="1293"/>
        <w:gridCol w:w="1980"/>
        <w:gridCol w:w="673"/>
        <w:gridCol w:w="1311"/>
        <w:gridCol w:w="1980"/>
        <w:gridCol w:w="1335"/>
        <w:gridCol w:w="649"/>
        <w:gridCol w:w="1980"/>
        <w:gridCol w:w="1980"/>
      </w:tblGrid>
      <w:tr>
        <w:tblPrEx>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政府性基金预算财政拨款收入支出决算表</w:t>
            </w:r>
          </w:p>
        </w:tc>
      </w:tr>
      <w:tr>
        <w:tblPrEx>
          <w:tblCellMar>
            <w:top w:w="0" w:type="dxa"/>
            <w:left w:w="108" w:type="dxa"/>
            <w:bottom w:w="0" w:type="dxa"/>
            <w:right w:w="108" w:type="dxa"/>
          </w:tblCellMar>
        </w:tblPrEx>
        <w:trPr>
          <w:trHeight w:val="90" w:hRule="atLeast"/>
        </w:trPr>
        <w:tc>
          <w:tcPr>
            <w:tcW w:w="13992" w:type="dxa"/>
            <w:gridSpan w:val="10"/>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07</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757" w:type="dxa"/>
            <w:gridSpan w:val="4"/>
            <w:tcBorders>
              <w:top w:val="nil"/>
              <w:left w:val="nil"/>
              <w:bottom w:val="single" w:color="auto" w:sz="4" w:space="0"/>
              <w:right w:val="nil"/>
            </w:tcBorders>
            <w:noWrap/>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 xml:space="preserve">编制部门（单位）：石家庄市鹿泉区获鹿镇人民政府(本级) </w:t>
            </w:r>
            <w:r>
              <w:rPr>
                <w:rFonts w:hint="eastAsia" w:ascii="宋体" w:hAnsi="宋体" w:eastAsia="宋体"/>
                <w:color w:val="000000"/>
                <w:sz w:val="18"/>
                <w:szCs w:val="18"/>
                <w:lang w:bidi="ar"/>
              </w:rPr>
              <w:t xml:space="preserve">                                                                                     </w:t>
            </w:r>
          </w:p>
        </w:tc>
        <w:tc>
          <w:tcPr>
            <w:tcW w:w="4626" w:type="dxa"/>
            <w:gridSpan w:val="3"/>
            <w:tcBorders>
              <w:top w:val="nil"/>
              <w:left w:val="nil"/>
              <w:bottom w:val="single" w:color="auto" w:sz="4" w:space="0"/>
              <w:right w:val="nil"/>
            </w:tcBorders>
            <w:noWrap/>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09" w:type="dxa"/>
            <w:gridSpan w:val="3"/>
            <w:tcBorders>
              <w:top w:val="nil"/>
              <w:left w:val="nil"/>
              <w:bottom w:val="single" w:color="auto" w:sz="4" w:space="0"/>
              <w:right w:val="nil"/>
            </w:tcBorders>
            <w:noWrap/>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08" w:hRule="atLeast"/>
        </w:trPr>
        <w:tc>
          <w:tcPr>
            <w:tcW w:w="2104"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980"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年初结转和结余</w:t>
            </w:r>
          </w:p>
        </w:tc>
        <w:tc>
          <w:tcPr>
            <w:tcW w:w="198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w:t>
            </w:r>
          </w:p>
        </w:tc>
        <w:tc>
          <w:tcPr>
            <w:tcW w:w="5944"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c>
          <w:tcPr>
            <w:tcW w:w="1980"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年末结转和结余</w:t>
            </w:r>
          </w:p>
        </w:tc>
      </w:tr>
      <w:tr>
        <w:tblPrEx>
          <w:tblCellMar>
            <w:top w:w="0" w:type="dxa"/>
            <w:left w:w="108" w:type="dxa"/>
            <w:bottom w:w="0" w:type="dxa"/>
            <w:right w:w="108" w:type="dxa"/>
          </w:tblCellMar>
        </w:tblPrEx>
        <w:trPr>
          <w:trHeight w:val="312" w:hRule="atLeast"/>
        </w:trPr>
        <w:tc>
          <w:tcPr>
            <w:tcW w:w="811"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293"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8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1984"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980"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980" w:type="dxa"/>
            <w:vMerge w:val="continue"/>
            <w:tcBorders>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结转</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结余</w:t>
            </w:r>
          </w:p>
        </w:tc>
      </w:tr>
      <w:tr>
        <w:tblPrEx>
          <w:tblCellMar>
            <w:top w:w="0" w:type="dxa"/>
            <w:left w:w="108" w:type="dxa"/>
            <w:bottom w:w="0" w:type="dxa"/>
            <w:right w:w="108" w:type="dxa"/>
          </w:tblCellMar>
        </w:tblPrEx>
        <w:trPr>
          <w:trHeight w:val="312" w:hRule="atLeast"/>
        </w:trPr>
        <w:tc>
          <w:tcPr>
            <w:tcW w:w="811"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293"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12" w:hRule="atLeast"/>
        </w:trPr>
        <w:tc>
          <w:tcPr>
            <w:tcW w:w="811"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293"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210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980" w:type="dxa"/>
            <w:tcBorders>
              <w:top w:val="nil"/>
              <w:left w:val="single" w:color="auto"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984"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980"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984"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980"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980"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r>
      <w:tr>
        <w:tblPrEx>
          <w:tblCellMar>
            <w:top w:w="0" w:type="dxa"/>
            <w:left w:w="108" w:type="dxa"/>
            <w:bottom w:w="0" w:type="dxa"/>
            <w:right w:w="108" w:type="dxa"/>
          </w:tblCellMar>
        </w:tblPrEx>
        <w:trPr>
          <w:trHeight w:val="869" w:hRule="atLeast"/>
        </w:trPr>
        <w:tc>
          <w:tcPr>
            <w:tcW w:w="210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980" w:type="dxa"/>
            <w:tcBorders>
              <w:top w:val="nil"/>
              <w:left w:val="single" w:color="auto" w:sz="4" w:space="0"/>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4"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noWrap/>
            <w:vAlign w:val="center"/>
          </w:tcPr>
          <w:p>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18"/>
                <w:szCs w:val="18"/>
                <w:lang w:bidi="ar"/>
              </w:rPr>
              <w:br w:type="page"/>
            </w:r>
          </w:p>
        </w:tc>
      </w:tr>
    </w:tbl>
    <w:p>
      <w:pPr>
        <w:rPr>
          <w:rFonts w:hint="eastAsia" w:ascii="仿宋_GB2312" w:hAnsi="宋体" w:eastAsia="仿宋_GB2312"/>
          <w:b/>
          <w:sz w:val="32"/>
          <w:szCs w:val="32"/>
        </w:rPr>
      </w:pPr>
      <w:r>
        <w:rPr>
          <w:rFonts w:hint="eastAsia" w:ascii="仿宋_GB2312" w:hAnsi="宋体" w:eastAsia="仿宋_GB2312"/>
          <w:b/>
          <w:sz w:val="32"/>
          <w:szCs w:val="32"/>
        </w:rPr>
        <w:t>备注：无</w:t>
      </w:r>
      <w:r>
        <w:rPr>
          <w:rFonts w:hint="eastAsia" w:ascii="仿宋_GB2312" w:hAnsi="宋体" w:eastAsia="仿宋_GB2312"/>
          <w:b/>
          <w:sz w:val="32"/>
          <w:szCs w:val="32"/>
          <w:lang w:eastAsia="zh-CN"/>
        </w:rPr>
        <w:t>先关数据，</w:t>
      </w:r>
      <w:r>
        <w:rPr>
          <w:rFonts w:hint="eastAsia" w:ascii="仿宋_GB2312" w:hAnsi="宋体" w:eastAsia="仿宋_GB2312"/>
          <w:b/>
          <w:sz w:val="32"/>
          <w:szCs w:val="32"/>
        </w:rPr>
        <w:t>空表</w:t>
      </w:r>
      <w:r>
        <w:rPr>
          <w:rFonts w:hint="eastAsia" w:ascii="仿宋_GB2312" w:hAnsi="宋体" w:eastAsia="仿宋_GB2312"/>
          <w:b/>
          <w:sz w:val="32"/>
          <w:szCs w:val="32"/>
          <w:lang w:eastAsia="zh-CN"/>
        </w:rPr>
        <w:t>列示</w:t>
      </w:r>
      <w:r>
        <w:rPr>
          <w:rFonts w:hint="eastAsia" w:ascii="仿宋_GB2312" w:hAnsi="宋体" w:eastAsia="仿宋_GB2312"/>
          <w:b/>
          <w:sz w:val="32"/>
          <w:szCs w:val="32"/>
        </w:rPr>
        <w:t>。</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1"/>
        <w:tblW w:w="13992" w:type="dxa"/>
        <w:tblInd w:w="0" w:type="dxa"/>
        <w:tblLayout w:type="fixed"/>
        <w:tblCellMar>
          <w:top w:w="0" w:type="dxa"/>
          <w:left w:w="108" w:type="dxa"/>
          <w:bottom w:w="0" w:type="dxa"/>
          <w:right w:w="108" w:type="dxa"/>
        </w:tblCellMar>
      </w:tblPr>
      <w:tblGrid>
        <w:gridCol w:w="3510"/>
        <w:gridCol w:w="1271"/>
        <w:gridCol w:w="2258"/>
        <w:gridCol w:w="2317"/>
        <w:gridCol w:w="8"/>
        <w:gridCol w:w="78"/>
        <w:gridCol w:w="2230"/>
        <w:gridCol w:w="17"/>
        <w:gridCol w:w="2303"/>
      </w:tblGrid>
      <w:tr>
        <w:tblPrEx>
          <w:tblCellMar>
            <w:top w:w="0" w:type="dxa"/>
            <w:left w:w="108" w:type="dxa"/>
            <w:bottom w:w="0" w:type="dxa"/>
            <w:right w:w="108" w:type="dxa"/>
          </w:tblCellMar>
        </w:tblPrEx>
        <w:trPr>
          <w:trHeight w:val="550" w:hRule="atLeast"/>
        </w:trPr>
        <w:tc>
          <w:tcPr>
            <w:tcW w:w="13992" w:type="dxa"/>
            <w:gridSpan w:val="9"/>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国有资本经营预算财政拨款支出决算表</w:t>
            </w:r>
          </w:p>
        </w:tc>
      </w:tr>
      <w:tr>
        <w:tblPrEx>
          <w:tblCellMar>
            <w:top w:w="0" w:type="dxa"/>
            <w:left w:w="108" w:type="dxa"/>
            <w:bottom w:w="0" w:type="dxa"/>
            <w:right w:w="108" w:type="dxa"/>
          </w:tblCellMar>
        </w:tblPrEx>
        <w:trPr>
          <w:trHeight w:val="300" w:hRule="atLeast"/>
        </w:trPr>
        <w:tc>
          <w:tcPr>
            <w:tcW w:w="13992" w:type="dxa"/>
            <w:gridSpan w:val="9"/>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08</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781" w:type="dxa"/>
            <w:gridSpan w:val="2"/>
            <w:tcBorders>
              <w:top w:val="nil"/>
              <w:left w:val="nil"/>
              <w:bottom w:val="single" w:color="auto" w:sz="4" w:space="0"/>
              <w:right w:val="nil"/>
            </w:tcBorders>
            <w:noWrap/>
            <w:vAlign w:val="bottom"/>
          </w:tcPr>
          <w:p>
            <w:pPr>
              <w:widowControl/>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编制部门（单位）：石家庄市鹿泉区获鹿镇人民政府(本级)</w:t>
            </w:r>
          </w:p>
        </w:tc>
        <w:tc>
          <w:tcPr>
            <w:tcW w:w="4661" w:type="dxa"/>
            <w:gridSpan w:val="4"/>
            <w:tcBorders>
              <w:top w:val="nil"/>
              <w:left w:val="nil"/>
              <w:bottom w:val="single" w:color="auto" w:sz="4" w:space="0"/>
              <w:right w:val="nil"/>
            </w:tcBorders>
            <w:noWrap/>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550" w:type="dxa"/>
            <w:gridSpan w:val="3"/>
            <w:tcBorders>
              <w:top w:val="nil"/>
              <w:left w:val="nil"/>
              <w:bottom w:val="single" w:color="auto" w:sz="4" w:space="0"/>
              <w:right w:val="nil"/>
            </w:tcBorders>
            <w:noWrap/>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312" w:hRule="atLeast"/>
        </w:trPr>
        <w:tc>
          <w:tcPr>
            <w:tcW w:w="7039" w:type="dxa"/>
            <w:gridSpan w:val="3"/>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项目</w:t>
            </w:r>
          </w:p>
        </w:tc>
        <w:tc>
          <w:tcPr>
            <w:tcW w:w="6953" w:type="dxa"/>
            <w:gridSpan w:val="6"/>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本年支出</w:t>
            </w:r>
          </w:p>
        </w:tc>
      </w:tr>
      <w:tr>
        <w:tblPrEx>
          <w:tblCellMar>
            <w:top w:w="0" w:type="dxa"/>
            <w:left w:w="108" w:type="dxa"/>
            <w:bottom w:w="0" w:type="dxa"/>
            <w:right w:w="108" w:type="dxa"/>
          </w:tblCellMar>
        </w:tblPrEx>
        <w:trPr>
          <w:trHeight w:val="312" w:hRule="atLeast"/>
        </w:trPr>
        <w:tc>
          <w:tcPr>
            <w:tcW w:w="7039" w:type="dxa"/>
            <w:gridSpan w:val="3"/>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6953" w:type="dxa"/>
            <w:gridSpan w:val="6"/>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12" w:hRule="atLeast"/>
        </w:trPr>
        <w:tc>
          <w:tcPr>
            <w:tcW w:w="3510" w:type="dxa"/>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529" w:type="dxa"/>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2325" w:type="dxa"/>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2325" w:type="dxa"/>
            <w:gridSpan w:val="3"/>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基本支出</w:t>
            </w:r>
          </w:p>
        </w:tc>
        <w:tc>
          <w:tcPr>
            <w:tcW w:w="2303" w:type="dxa"/>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项目支出</w:t>
            </w:r>
          </w:p>
        </w:tc>
      </w:tr>
      <w:tr>
        <w:tblPrEx>
          <w:tblCellMar>
            <w:top w:w="0" w:type="dxa"/>
            <w:left w:w="108" w:type="dxa"/>
            <w:bottom w:w="0" w:type="dxa"/>
            <w:right w:w="108" w:type="dxa"/>
          </w:tblCellMar>
        </w:tblPrEx>
        <w:trPr>
          <w:trHeight w:val="312" w:hRule="atLeast"/>
        </w:trPr>
        <w:tc>
          <w:tcPr>
            <w:tcW w:w="351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529" w:type="dxa"/>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25" w:type="dxa"/>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25"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03"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栏次</w:t>
            </w:r>
          </w:p>
        </w:tc>
        <w:tc>
          <w:tcPr>
            <w:tcW w:w="2317"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1</w:t>
            </w:r>
          </w:p>
        </w:tc>
        <w:tc>
          <w:tcPr>
            <w:tcW w:w="2316" w:type="dxa"/>
            <w:gridSpan w:val="3"/>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2</w:t>
            </w:r>
          </w:p>
        </w:tc>
        <w:tc>
          <w:tcPr>
            <w:tcW w:w="2320"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3</w:t>
            </w:r>
          </w:p>
        </w:tc>
      </w:tr>
      <w:tr>
        <w:tblPrEx>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noWrap/>
            <w:vAlign w:val="center"/>
          </w:tcPr>
          <w:p>
            <w:pPr>
              <w:jc w:val="center"/>
              <w:rPr>
                <w:rFonts w:ascii="Times New Roman" w:hAnsi="Times New Roman" w:eastAsia="宋体" w:cs="Times New Roman"/>
                <w:color w:val="000000"/>
                <w:sz w:val="18"/>
                <w:szCs w:val="18"/>
              </w:rPr>
            </w:pPr>
            <w:r>
              <w:rPr>
                <w:rFonts w:hint="eastAsia" w:ascii="Times New Roman" w:hAnsi="Times New Roman" w:eastAsia="方正仿宋_GB2312" w:cs="Times New Roman"/>
                <w:color w:val="000000"/>
                <w:sz w:val="18"/>
                <w:szCs w:val="18"/>
              </w:rPr>
              <w:t>合计</w:t>
            </w:r>
          </w:p>
        </w:tc>
        <w:tc>
          <w:tcPr>
            <w:tcW w:w="2317" w:type="dxa"/>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316" w:type="dxa"/>
            <w:gridSpan w:val="3"/>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c>
          <w:tcPr>
            <w:tcW w:w="232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9"/>
            <w:tcBorders>
              <w:top w:val="nil"/>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注：本表反映部门本年度国有资本经营预算财政拨款收入、支出及结转和结余情况。（如无相关数据，则需注明空表列示）</w:t>
            </w:r>
          </w:p>
        </w:tc>
      </w:tr>
    </w:tbl>
    <w:p>
      <w:pPr>
        <w:rPr>
          <w:rFonts w:hint="eastAsia" w:ascii="仿宋_GB2312" w:hAnsi="宋体" w:eastAsia="仿宋_GB2312"/>
          <w:b/>
          <w:sz w:val="32"/>
          <w:szCs w:val="32"/>
        </w:rPr>
      </w:pPr>
      <w:r>
        <w:rPr>
          <w:rFonts w:hint="eastAsia" w:ascii="仿宋_GB2312" w:hAnsi="宋体" w:eastAsia="仿宋_GB2312"/>
          <w:b/>
          <w:sz w:val="32"/>
          <w:szCs w:val="32"/>
        </w:rPr>
        <w:t>备注：无</w:t>
      </w:r>
      <w:r>
        <w:rPr>
          <w:rFonts w:hint="eastAsia" w:ascii="仿宋_GB2312" w:hAnsi="宋体" w:eastAsia="仿宋_GB2312"/>
          <w:b/>
          <w:sz w:val="32"/>
          <w:szCs w:val="32"/>
          <w:lang w:eastAsia="zh-CN"/>
        </w:rPr>
        <w:t>先关数据，</w:t>
      </w:r>
      <w:r>
        <w:rPr>
          <w:rFonts w:hint="eastAsia" w:ascii="仿宋_GB2312" w:hAnsi="宋体" w:eastAsia="仿宋_GB2312"/>
          <w:b/>
          <w:sz w:val="32"/>
          <w:szCs w:val="32"/>
        </w:rPr>
        <w:t>空表</w:t>
      </w:r>
      <w:r>
        <w:rPr>
          <w:rFonts w:hint="eastAsia" w:ascii="仿宋_GB2312" w:hAnsi="宋体" w:eastAsia="仿宋_GB2312"/>
          <w:b/>
          <w:sz w:val="32"/>
          <w:szCs w:val="32"/>
          <w:lang w:eastAsia="zh-CN"/>
        </w:rPr>
        <w:t>列示</w:t>
      </w:r>
      <w:r>
        <w:rPr>
          <w:rFonts w:hint="eastAsia" w:ascii="仿宋_GB2312" w:hAnsi="宋体" w:eastAsia="仿宋_GB2312"/>
          <w:b/>
          <w:sz w:val="32"/>
          <w:szCs w:val="32"/>
        </w:rPr>
        <w:t>。</w:t>
      </w:r>
    </w:p>
    <w:p>
      <w:pPr>
        <w:rPr>
          <w:rFonts w:hint="eastAsia" w:ascii="仿宋_GB2312" w:hAnsi="宋体" w:eastAsia="仿宋_GB2312"/>
          <w:b/>
          <w:sz w:val="32"/>
          <w:szCs w:val="32"/>
        </w:rPr>
      </w:pPr>
    </w:p>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1586" w:tblpY="39"/>
        <w:tblOverlap w:val="never"/>
        <w:tblW w:w="13986" w:type="dxa"/>
        <w:tblInd w:w="0" w:type="dxa"/>
        <w:tblLayout w:type="fixed"/>
        <w:tblCellMar>
          <w:top w:w="0" w:type="dxa"/>
          <w:left w:w="108" w:type="dxa"/>
          <w:bottom w:w="0" w:type="dxa"/>
          <w:right w:w="108" w:type="dxa"/>
        </w:tblCellMar>
      </w:tblPr>
      <w:tblGrid>
        <w:gridCol w:w="1150"/>
        <w:gridCol w:w="1150"/>
        <w:gridCol w:w="1150"/>
        <w:gridCol w:w="1152"/>
        <w:gridCol w:w="945"/>
        <w:gridCol w:w="210"/>
        <w:gridCol w:w="1155"/>
        <w:gridCol w:w="1152"/>
        <w:gridCol w:w="1152"/>
        <w:gridCol w:w="101"/>
        <w:gridCol w:w="1049"/>
        <w:gridCol w:w="1203"/>
        <w:gridCol w:w="1206"/>
        <w:gridCol w:w="1211"/>
      </w:tblGrid>
      <w:tr>
        <w:tblPrEx>
          <w:tblCellMar>
            <w:top w:w="0" w:type="dxa"/>
            <w:left w:w="108" w:type="dxa"/>
            <w:bottom w:w="0" w:type="dxa"/>
            <w:right w:w="108" w:type="dxa"/>
          </w:tblCellMar>
        </w:tblPrEx>
        <w:trPr>
          <w:trHeight w:val="550" w:hRule="atLeast"/>
        </w:trPr>
        <w:tc>
          <w:tcPr>
            <w:tcW w:w="13986" w:type="dxa"/>
            <w:gridSpan w:val="14"/>
            <w:tcBorders>
              <w:top w:val="nil"/>
              <w:left w:val="nil"/>
              <w:bottom w:val="nil"/>
              <w:right w:val="nil"/>
            </w:tcBorders>
            <w:noWrap/>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CellMar>
            <w:top w:w="0" w:type="dxa"/>
            <w:left w:w="108" w:type="dxa"/>
            <w:bottom w:w="0" w:type="dxa"/>
            <w:right w:w="108" w:type="dxa"/>
          </w:tblCellMar>
        </w:tblPrEx>
        <w:trPr>
          <w:trHeight w:val="260" w:hRule="atLeast"/>
        </w:trPr>
        <w:tc>
          <w:tcPr>
            <w:tcW w:w="13986" w:type="dxa"/>
            <w:gridSpan w:val="14"/>
            <w:tcBorders>
              <w:top w:val="nil"/>
              <w:left w:val="nil"/>
              <w:bottom w:val="nil"/>
              <w:right w:val="nil"/>
            </w:tcBorders>
            <w:noWrap/>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260" w:hRule="atLeast"/>
        </w:trPr>
        <w:tc>
          <w:tcPr>
            <w:tcW w:w="5547" w:type="dxa"/>
            <w:gridSpan w:val="5"/>
            <w:tcBorders>
              <w:top w:val="nil"/>
              <w:left w:val="nil"/>
              <w:bottom w:val="single" w:color="auto" w:sz="4" w:space="0"/>
              <w:right w:val="nil"/>
            </w:tcBorders>
            <w:noWrap/>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编制部门（单位）：石家庄市鹿泉区获鹿镇人民政府(本级)</w:t>
            </w:r>
          </w:p>
        </w:tc>
        <w:tc>
          <w:tcPr>
            <w:tcW w:w="3770" w:type="dxa"/>
            <w:gridSpan w:val="5"/>
            <w:tcBorders>
              <w:top w:val="nil"/>
              <w:left w:val="nil"/>
              <w:bottom w:val="single" w:color="auto" w:sz="4" w:space="0"/>
              <w:right w:val="nil"/>
            </w:tcBorders>
            <w:noWrap/>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9" w:type="dxa"/>
            <w:gridSpan w:val="4"/>
            <w:tcBorders>
              <w:top w:val="nil"/>
              <w:left w:val="nil"/>
              <w:bottom w:val="single" w:color="auto" w:sz="4" w:space="0"/>
              <w:right w:val="nil"/>
            </w:tcBorders>
            <w:noWrap/>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金额单位：万元</w:t>
            </w:r>
          </w:p>
        </w:tc>
      </w:tr>
      <w:tr>
        <w:tblPrEx>
          <w:tblCellMar>
            <w:top w:w="0" w:type="dxa"/>
            <w:left w:w="108" w:type="dxa"/>
            <w:bottom w:w="0" w:type="dxa"/>
            <w:right w:w="108" w:type="dxa"/>
          </w:tblCellMar>
        </w:tblPrEx>
        <w:trPr>
          <w:trHeight w:val="431" w:hRule="atLeast"/>
        </w:trPr>
        <w:tc>
          <w:tcPr>
            <w:tcW w:w="6912" w:type="dxa"/>
            <w:gridSpan w:val="7"/>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7074" w:type="dxa"/>
            <w:gridSpan w:val="7"/>
            <w:tcBorders>
              <w:top w:val="single" w:color="auto" w:sz="4" w:space="0"/>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431" w:hRule="atLeast"/>
        </w:trPr>
        <w:tc>
          <w:tcPr>
            <w:tcW w:w="1150" w:type="dxa"/>
            <w:vMerge w:val="restart"/>
            <w:tcBorders>
              <w:top w:val="nil"/>
              <w:left w:val="single" w:color="000000" w:sz="4" w:space="0"/>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0" w:type="dxa"/>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457" w:type="dxa"/>
            <w:gridSpan w:val="4"/>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155" w:type="dxa"/>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152" w:type="dxa"/>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2" w:type="dxa"/>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559" w:type="dxa"/>
            <w:gridSpan w:val="4"/>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211" w:type="dxa"/>
            <w:vMerge w:val="restart"/>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CellMar>
            <w:top w:w="0" w:type="dxa"/>
            <w:left w:w="108" w:type="dxa"/>
            <w:bottom w:w="0" w:type="dxa"/>
            <w:right w:w="108" w:type="dxa"/>
          </w:tblCellMar>
        </w:tblPrEx>
        <w:trPr>
          <w:trHeight w:val="431" w:hRule="atLeast"/>
        </w:trPr>
        <w:tc>
          <w:tcPr>
            <w:tcW w:w="1150"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115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1150" w:type="dxa"/>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152" w:type="dxa"/>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155" w:type="dxa"/>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155"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c>
          <w:tcPr>
            <w:tcW w:w="1150" w:type="dxa"/>
            <w:gridSpan w:val="2"/>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203" w:type="dxa"/>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206" w:type="dxa"/>
            <w:tcBorders>
              <w:top w:val="nil"/>
              <w:left w:val="nil"/>
              <w:bottom w:val="single" w:color="000000" w:sz="4" w:space="0"/>
              <w:right w:val="single" w:color="000000" w:sz="4" w:space="0"/>
            </w:tcBorders>
            <w:noWrap/>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211"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150"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150"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15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155"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155"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115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1152"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1150" w:type="dxa"/>
            <w:gridSpan w:val="2"/>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1203"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1206"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1211" w:type="dxa"/>
            <w:tcBorders>
              <w:top w:val="nil"/>
              <w:left w:val="nil"/>
              <w:bottom w:val="single" w:color="000000" w:sz="4" w:space="0"/>
              <w:right w:val="single" w:color="000000" w:sz="4" w:space="0"/>
            </w:tcBorders>
            <w:noWrap/>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9.10</w:t>
            </w:r>
          </w:p>
        </w:tc>
        <w:tc>
          <w:tcPr>
            <w:tcW w:w="1150"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1150"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8.10</w:t>
            </w:r>
          </w:p>
        </w:tc>
        <w:tc>
          <w:tcPr>
            <w:tcW w:w="1152"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1155"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8.10</w:t>
            </w:r>
          </w:p>
        </w:tc>
        <w:tc>
          <w:tcPr>
            <w:tcW w:w="1155"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1.00</w:t>
            </w:r>
          </w:p>
        </w:tc>
        <w:tc>
          <w:tcPr>
            <w:tcW w:w="1152"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8.07</w:t>
            </w:r>
          </w:p>
        </w:tc>
        <w:tc>
          <w:tcPr>
            <w:tcW w:w="1152"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1150" w:type="dxa"/>
            <w:gridSpan w:val="2"/>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8.07</w:t>
            </w:r>
          </w:p>
        </w:tc>
        <w:tc>
          <w:tcPr>
            <w:tcW w:w="1203"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c>
          <w:tcPr>
            <w:tcW w:w="1206"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8.07</w:t>
            </w:r>
          </w:p>
        </w:tc>
        <w:tc>
          <w:tcPr>
            <w:tcW w:w="1211" w:type="dxa"/>
            <w:tcBorders>
              <w:top w:val="nil"/>
              <w:left w:val="nil"/>
              <w:bottom w:val="single" w:color="000000" w:sz="4" w:space="0"/>
              <w:right w:val="single" w:color="000000" w:sz="4" w:space="0"/>
            </w:tcBorders>
            <w:noWrap/>
            <w:vAlign w:val="center"/>
          </w:tcPr>
          <w:p>
            <w:pPr>
              <w:jc w:val="right"/>
              <w:rPr>
                <w:rFonts w:ascii="Times New Roman" w:hAnsi="Times New Roman" w:eastAsia="方正仿宋_GB2312" w:cs="Times New Roman"/>
                <w:color w:val="000000"/>
                <w:sz w:val="18"/>
                <w:szCs w:val="18"/>
              </w:rPr>
            </w:pPr>
          </w:p>
        </w:tc>
      </w:tr>
      <w:tr>
        <w:tblPrEx>
          <w:tblCellMar>
            <w:top w:w="0" w:type="dxa"/>
            <w:left w:w="108" w:type="dxa"/>
            <w:bottom w:w="0" w:type="dxa"/>
            <w:right w:w="108" w:type="dxa"/>
          </w:tblCellMar>
        </w:tblPrEx>
        <w:trPr>
          <w:trHeight w:val="431" w:hRule="atLeast"/>
        </w:trPr>
        <w:tc>
          <w:tcPr>
            <w:tcW w:w="13986" w:type="dxa"/>
            <w:gridSpan w:val="14"/>
            <w:tcBorders>
              <w:top w:val="nil"/>
              <w:left w:val="nil"/>
              <w:bottom w:val="nil"/>
              <w:right w:val="nil"/>
            </w:tcBorders>
            <w:noWrap/>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sz w:val="32"/>
          <w:szCs w:val="32"/>
        </w:rPr>
      </w:pPr>
      <w:r>
        <w:rPr>
          <w:rFonts w:hint="eastAsia" w:ascii="仿宋_GB2312" w:hAnsi="宋体" w:eastAsia="仿宋_GB2312"/>
          <w:b/>
          <w:sz w:val="32"/>
          <w:szCs w:val="32"/>
        </w:rPr>
        <w:t>备注：无内容应公开空表并说明情况。</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rPr>
          <w:rFonts w:hint="eastAsia" w:ascii="仿宋_GB2312" w:hAnsi="宋体" w:eastAsia="仿宋_GB2312"/>
          <w:b/>
          <w:sz w:val="32"/>
          <w:szCs w:val="32"/>
        </w:rPr>
        <w:sectPr>
          <w:pgSz w:w="16838" w:h="11906" w:orient="landscape"/>
          <w:pgMar w:top="2098" w:right="1531" w:bottom="1984" w:left="1531" w:header="851" w:footer="992" w:gutter="0"/>
          <w:cols w:space="720" w:num="1"/>
          <w:docGrid w:type="lines" w:linePitch="312" w:charSpace="0"/>
        </w:sectPr>
      </w:pPr>
    </w:p>
    <w:p>
      <w:pPr>
        <w:pStyle w:val="10"/>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2023年度部门决算情况说明</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pPr>
        <w:pStyle w:val="10"/>
        <w:widowControl/>
        <w:spacing w:beforeAutospacing="0" w:afterAutospacing="0"/>
        <w:jc w:val="center"/>
        <w:rPr>
          <w:rFonts w:ascii="Arial" w:hAnsi="Arial" w:eastAsia="Arial" w:cs="Arial"/>
          <w:color w:val="000000"/>
          <w:sz w:val="18"/>
          <w:szCs w:val="18"/>
          <w:shd w:val="clear" w:color="auto" w:fill="FFFFFF"/>
        </w:rPr>
      </w:pPr>
    </w:p>
    <w:p>
      <w:pPr>
        <w:pStyle w:val="10"/>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0"/>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highlight w:val="none"/>
          <w:lang w:eastAsia="zh-CN"/>
        </w:rPr>
      </w:pPr>
      <w:r>
        <w:rPr>
          <w:rFonts w:hint="default" w:ascii="Times New Roman" w:hAnsi="Times New Roman" w:eastAsia="仿宋_GB2312" w:cs="Times New Roman"/>
          <w:kern w:val="2"/>
          <w:sz w:val="32"/>
          <w:szCs w:val="32"/>
          <w:lang w:eastAsia="zh-CN"/>
        </w:rPr>
        <w:t>本单位</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6,411.23</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增加326.36万元</w:t>
      </w:r>
      <w:r>
        <w:rPr>
          <w:rFonts w:hint="default" w:ascii="Times New Roman" w:hAnsi="Times New Roman" w:eastAsia="仿宋_GB2312" w:cs="Times New Roman"/>
          <w:kern w:val="2"/>
          <w:sz w:val="32"/>
          <w:szCs w:val="32"/>
        </w:rPr>
        <w:t>；</w:t>
      </w:r>
      <w:r>
        <w:rPr>
          <w:rFonts w:hint="default" w:ascii="Times New Roman" w:hAnsi="Times New Roman" w:eastAsia="仿宋_GB2312" w:cs="Times New Roman"/>
          <w:kern w:val="2"/>
          <w:sz w:val="32"/>
          <w:szCs w:val="32"/>
          <w:highlight w:val="none"/>
        </w:rPr>
        <w:t>主要原因是202</w:t>
      </w:r>
      <w:r>
        <w:rPr>
          <w:rFonts w:hint="eastAsia" w:ascii="Times New Roman" w:hAnsi="Times New Roman" w:eastAsia="仿宋_GB2312" w:cs="Times New Roman"/>
          <w:kern w:val="2"/>
          <w:sz w:val="32"/>
          <w:szCs w:val="32"/>
          <w:highlight w:val="none"/>
          <w:lang w:val="en-US" w:eastAsia="zh-CN"/>
        </w:rPr>
        <w:t>3</w:t>
      </w:r>
      <w:r>
        <w:rPr>
          <w:rFonts w:hint="default" w:ascii="Times New Roman" w:hAnsi="Times New Roman" w:eastAsia="仿宋_GB2312" w:cs="Times New Roman"/>
          <w:kern w:val="2"/>
          <w:sz w:val="32"/>
          <w:szCs w:val="32"/>
          <w:highlight w:val="none"/>
        </w:rPr>
        <w:t>年</w:t>
      </w:r>
      <w:r>
        <w:rPr>
          <w:rFonts w:hint="eastAsia" w:ascii="Times New Roman" w:hAnsi="Times New Roman" w:eastAsia="仿宋_GB2312" w:cs="Times New Roman"/>
          <w:kern w:val="2"/>
          <w:sz w:val="32"/>
          <w:szCs w:val="32"/>
          <w:highlight w:val="none"/>
          <w:lang w:eastAsia="zh-CN"/>
        </w:rPr>
        <w:t>城区建设鹿城一号</w:t>
      </w:r>
      <w:r>
        <w:rPr>
          <w:rFonts w:hint="default" w:ascii="Times New Roman" w:hAnsi="Times New Roman" w:eastAsia="仿宋_GB2312" w:cs="Times New Roman"/>
          <w:kern w:val="2"/>
          <w:sz w:val="32"/>
          <w:szCs w:val="32"/>
          <w:highlight w:val="none"/>
        </w:rPr>
        <w:t>项目</w:t>
      </w:r>
      <w:r>
        <w:rPr>
          <w:rFonts w:hint="eastAsia" w:ascii="Times New Roman" w:hAnsi="Times New Roman" w:eastAsia="仿宋_GB2312" w:cs="Times New Roman"/>
          <w:kern w:val="2"/>
          <w:sz w:val="32"/>
          <w:szCs w:val="32"/>
          <w:highlight w:val="none"/>
          <w:lang w:eastAsia="zh-CN"/>
        </w:rPr>
        <w:t>补助</w:t>
      </w:r>
      <w:r>
        <w:rPr>
          <w:rFonts w:hint="default" w:ascii="Times New Roman" w:hAnsi="Times New Roman" w:eastAsia="仿宋_GB2312" w:cs="Times New Roman"/>
          <w:kern w:val="2"/>
          <w:sz w:val="32"/>
          <w:szCs w:val="32"/>
          <w:highlight w:val="none"/>
        </w:rPr>
        <w:t>增加</w:t>
      </w:r>
      <w:r>
        <w:rPr>
          <w:rFonts w:hint="eastAsia" w:ascii="Times New Roman" w:hAnsi="Times New Roman" w:eastAsia="仿宋_GB2312" w:cs="Times New Roman"/>
          <w:kern w:val="2"/>
          <w:sz w:val="32"/>
          <w:szCs w:val="32"/>
          <w:highlight w:val="none"/>
          <w:lang w:eastAsia="zh-CN"/>
        </w:rPr>
        <w:t>了</w:t>
      </w:r>
      <w:r>
        <w:rPr>
          <w:rFonts w:hint="eastAsia" w:ascii="Times New Roman" w:hAnsi="Times New Roman" w:eastAsia="仿宋_GB2312" w:cs="Times New Roman"/>
          <w:kern w:val="2"/>
          <w:sz w:val="32"/>
          <w:szCs w:val="32"/>
          <w:highlight w:val="none"/>
          <w:lang w:val="en-US" w:eastAsia="zh-CN"/>
        </w:rPr>
        <w:t>442</w:t>
      </w:r>
      <w:r>
        <w:rPr>
          <w:rFonts w:hint="default" w:ascii="Times New Roman" w:hAnsi="Times New Roman" w:eastAsia="仿宋_GB2312" w:cs="Times New Roman"/>
          <w:kern w:val="2"/>
          <w:sz w:val="32"/>
          <w:szCs w:val="32"/>
          <w:highlight w:val="none"/>
        </w:rPr>
        <w:t>万元、</w:t>
      </w:r>
      <w:r>
        <w:rPr>
          <w:rFonts w:hint="eastAsia" w:ascii="Times New Roman" w:hAnsi="Times New Roman" w:eastAsia="仿宋_GB2312" w:cs="Times New Roman"/>
          <w:kern w:val="2"/>
          <w:sz w:val="32"/>
          <w:szCs w:val="32"/>
          <w:highlight w:val="none"/>
          <w:lang w:eastAsia="zh-CN"/>
        </w:rPr>
        <w:t>人道主要救助金减少了</w:t>
      </w:r>
      <w:r>
        <w:rPr>
          <w:rFonts w:hint="eastAsia" w:ascii="Times New Roman" w:hAnsi="Times New Roman" w:eastAsia="仿宋_GB2312" w:cs="Times New Roman"/>
          <w:kern w:val="2"/>
          <w:sz w:val="32"/>
          <w:szCs w:val="32"/>
          <w:highlight w:val="none"/>
          <w:lang w:val="en-US" w:eastAsia="zh-CN"/>
        </w:rPr>
        <w:t>100万元</w:t>
      </w:r>
      <w:r>
        <w:rPr>
          <w:rFonts w:hint="eastAsia" w:ascii="Times New Roman" w:hAnsi="Times New Roman" w:eastAsia="仿宋_GB2312" w:cs="Times New Roman"/>
          <w:kern w:val="2"/>
          <w:sz w:val="32"/>
          <w:szCs w:val="32"/>
          <w:highlight w:val="none"/>
          <w:lang w:eastAsia="zh-CN"/>
        </w:rPr>
        <w:t>。</w:t>
      </w:r>
    </w:p>
    <w:p>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highlight w:val="none"/>
          <w:lang w:eastAsia="zh-CN"/>
        </w:rPr>
      </w:pPr>
    </w:p>
    <w:p>
      <w:pPr>
        <w:pStyle w:val="10"/>
        <w:widowControl/>
        <w:spacing w:beforeAutospacing="0" w:afterAutospacing="0"/>
        <w:jc w:val="both"/>
        <w:rPr>
          <w:rFonts w:ascii="Times New Roman" w:hAnsi="Times New Roman" w:eastAsia="宋体"/>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6,411.23</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w:t>
      </w:r>
      <w:r>
        <w:rPr>
          <w:rFonts w:hint="eastAsia" w:ascii="Times New Roman" w:hAnsi="Times New Roman" w:eastAsia="仿宋_GB2312" w:cs="Times New Roman"/>
          <w:kern w:val="2"/>
          <w:sz w:val="32"/>
          <w:szCs w:val="32"/>
          <w:lang w:val="zh-CN" w:eastAsia="zh-CN"/>
        </w:rPr>
        <w:t>一般公共预算</w:t>
      </w:r>
      <w:r>
        <w:rPr>
          <w:rFonts w:hint="default" w:ascii="Times New Roman" w:hAnsi="Times New Roman" w:eastAsia="仿宋_GB2312" w:cs="Times New Roman"/>
          <w:kern w:val="2"/>
          <w:sz w:val="32"/>
          <w:szCs w:val="32"/>
          <w:lang w:val="zh-CN"/>
        </w:rPr>
        <w:t>财政拨款收入</w:t>
      </w:r>
      <w:r>
        <w:rPr>
          <w:rFonts w:hint="default" w:ascii="Times New Roman" w:hAnsi="Times New Roman" w:eastAsia="仿宋_GB2312" w:cs="Times New Roman"/>
          <w:kern w:val="2"/>
          <w:sz w:val="32"/>
          <w:szCs w:val="32"/>
          <w:lang w:val="zh-CN" w:eastAsia="zh-CN"/>
        </w:rPr>
        <w:t>6,411.23</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adjustRightInd w:val="0"/>
        <w:snapToGrid w:val="0"/>
        <w:spacing w:line="580" w:lineRule="exact"/>
        <w:rPr>
          <w:rFonts w:hint="eastAsia" w:ascii="仿宋_GB2312" w:hAnsi="Times New Roman" w:eastAsia="仿宋_GB2312" w:cs="Wingdings"/>
          <w:sz w:val="32"/>
          <w:szCs w:val="32"/>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4445</wp:posOffset>
            </wp:positionH>
            <wp:positionV relativeFrom="paragraph">
              <wp:posOffset>2998470</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Pr>
          <w:rFonts w:hint="eastAsia" w:ascii="仿宋_GB2312" w:hAnsi="Times New Roman" w:eastAsia="仿宋_GB2312" w:cs="Wingdings"/>
          <w:sz w:val="32"/>
          <w:szCs w:val="32"/>
        </w:rPr>
        <w:t>按功能分类看：一般公共服务支出</w:t>
      </w:r>
      <w:r>
        <w:rPr>
          <w:rFonts w:hint="eastAsia" w:ascii="仿宋_GB2312" w:hAnsi="Times New Roman" w:eastAsia="仿宋_GB2312" w:cs="Wingdings"/>
          <w:sz w:val="32"/>
          <w:szCs w:val="32"/>
          <w:lang w:val="en-US" w:eastAsia="zh-CN"/>
        </w:rPr>
        <w:t>3074.04</w:t>
      </w:r>
      <w:r>
        <w:rPr>
          <w:rFonts w:hint="eastAsia" w:ascii="仿宋_GB2312" w:hAnsi="Times New Roman" w:eastAsia="仿宋_GB2312" w:cs="Wingdings"/>
          <w:sz w:val="32"/>
          <w:szCs w:val="32"/>
        </w:rPr>
        <w:t>万元，占总支出的</w:t>
      </w:r>
      <w:r>
        <w:rPr>
          <w:rFonts w:hint="eastAsia" w:ascii="仿宋_GB2312" w:hAnsi="Times New Roman" w:eastAsia="仿宋_GB2312" w:cs="Wingdings"/>
          <w:sz w:val="32"/>
          <w:szCs w:val="32"/>
          <w:lang w:val="en-US" w:eastAsia="zh-CN"/>
        </w:rPr>
        <w:t>47.95</w:t>
      </w:r>
      <w:r>
        <w:rPr>
          <w:rFonts w:hint="eastAsia" w:ascii="仿宋_GB2312" w:hAnsi="Times New Roman" w:eastAsia="仿宋_GB2312" w:cs="Wingdings"/>
          <w:sz w:val="32"/>
          <w:szCs w:val="32"/>
        </w:rPr>
        <w:t>%；公共安全支出</w:t>
      </w:r>
      <w:r>
        <w:rPr>
          <w:rFonts w:hint="eastAsia" w:ascii="仿宋_GB2312" w:hAnsi="Times New Roman" w:eastAsia="仿宋_GB2312" w:cs="Wingdings"/>
          <w:sz w:val="32"/>
          <w:szCs w:val="32"/>
          <w:lang w:val="en-US" w:eastAsia="zh-CN"/>
        </w:rPr>
        <w:t>279.58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4.36</w:t>
      </w:r>
      <w:r>
        <w:rPr>
          <w:rFonts w:hint="eastAsia" w:ascii="仿宋_GB2312" w:hAnsi="Times New Roman" w:eastAsia="仿宋_GB2312" w:cs="Wingdings"/>
          <w:sz w:val="32"/>
          <w:szCs w:val="32"/>
        </w:rPr>
        <w:t>%；教育支出</w:t>
      </w:r>
      <w:r>
        <w:rPr>
          <w:rFonts w:hint="eastAsia" w:ascii="仿宋_GB2312" w:hAnsi="Times New Roman" w:eastAsia="仿宋_GB2312" w:cs="Wingdings"/>
          <w:sz w:val="32"/>
          <w:szCs w:val="32"/>
          <w:lang w:val="en-US" w:eastAsia="zh-CN"/>
        </w:rPr>
        <w:t>345.76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5.39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文化旅游体育与传媒</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20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0.31</w:t>
      </w:r>
      <w:r>
        <w:rPr>
          <w:rFonts w:hint="eastAsia" w:ascii="仿宋_GB2312" w:hAnsi="Times New Roman" w:eastAsia="仿宋_GB2312" w:cs="Wingdings"/>
          <w:sz w:val="32"/>
          <w:szCs w:val="32"/>
        </w:rPr>
        <w:t>%；社会保障和就业支出</w:t>
      </w:r>
      <w:r>
        <w:rPr>
          <w:rFonts w:hint="eastAsia" w:ascii="仿宋_GB2312" w:hAnsi="Times New Roman" w:eastAsia="仿宋_GB2312" w:cs="Wingdings"/>
          <w:sz w:val="32"/>
          <w:szCs w:val="32"/>
          <w:lang w:val="en-US" w:eastAsia="zh-CN"/>
        </w:rPr>
        <w:t>464.48</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7.24</w:t>
      </w:r>
      <w:r>
        <w:rPr>
          <w:rFonts w:hint="eastAsia" w:ascii="仿宋_GB2312" w:hAnsi="Times New Roman" w:eastAsia="仿宋_GB2312" w:cs="Wingdings"/>
          <w:sz w:val="32"/>
          <w:szCs w:val="32"/>
        </w:rPr>
        <w:t>%；卫生健康支出</w:t>
      </w:r>
      <w:r>
        <w:rPr>
          <w:rFonts w:hint="eastAsia" w:ascii="仿宋_GB2312" w:hAnsi="Times New Roman" w:eastAsia="仿宋_GB2312" w:cs="Wingdings"/>
          <w:sz w:val="32"/>
          <w:szCs w:val="32"/>
          <w:lang w:val="en-US" w:eastAsia="zh-CN"/>
        </w:rPr>
        <w:t>206.75</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 xml:space="preserve"> 3.22</w:t>
      </w:r>
      <w:r>
        <w:rPr>
          <w:rFonts w:hint="eastAsia" w:ascii="仿宋_GB2312" w:hAnsi="Times New Roman" w:eastAsia="仿宋_GB2312" w:cs="Wingdings"/>
          <w:sz w:val="32"/>
          <w:szCs w:val="32"/>
        </w:rPr>
        <w:t>%；节能环保支出</w:t>
      </w:r>
      <w:r>
        <w:rPr>
          <w:rFonts w:hint="eastAsia" w:ascii="仿宋_GB2312" w:hAnsi="Times New Roman" w:eastAsia="仿宋_GB2312" w:cs="Wingdings"/>
          <w:sz w:val="32"/>
          <w:szCs w:val="32"/>
          <w:lang w:val="en-US" w:eastAsia="zh-CN"/>
        </w:rPr>
        <w:t>80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1.25</w:t>
      </w:r>
      <w:r>
        <w:rPr>
          <w:rFonts w:hint="eastAsia" w:ascii="仿宋_GB2312" w:hAnsi="Times New Roman" w:eastAsia="仿宋_GB2312" w:cs="Wingdings"/>
          <w:sz w:val="32"/>
          <w:szCs w:val="32"/>
        </w:rPr>
        <w:t>%；城乡社区支出</w:t>
      </w:r>
      <w:r>
        <w:rPr>
          <w:rFonts w:hint="eastAsia" w:ascii="仿宋_GB2312" w:hAnsi="Times New Roman" w:eastAsia="仿宋_GB2312" w:cs="Wingdings"/>
          <w:sz w:val="32"/>
          <w:szCs w:val="32"/>
          <w:lang w:val="en-US" w:eastAsia="zh-CN"/>
        </w:rPr>
        <w:t>1675.46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26.13</w:t>
      </w:r>
      <w:r>
        <w:rPr>
          <w:rFonts w:hint="eastAsia" w:ascii="仿宋_GB2312" w:hAnsi="Times New Roman" w:eastAsia="仿宋_GB2312" w:cs="Wingdings"/>
          <w:sz w:val="32"/>
          <w:szCs w:val="32"/>
        </w:rPr>
        <w:t>%；农林水支出</w:t>
      </w:r>
      <w:r>
        <w:rPr>
          <w:rFonts w:hint="eastAsia" w:ascii="仿宋_GB2312" w:hAnsi="Times New Roman" w:eastAsia="仿宋_GB2312" w:cs="Wingdings"/>
          <w:sz w:val="32"/>
          <w:szCs w:val="32"/>
          <w:lang w:val="en-US" w:eastAsia="zh-CN"/>
        </w:rPr>
        <w:t>96.77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1.51</w:t>
      </w:r>
      <w:r>
        <w:rPr>
          <w:rFonts w:hint="eastAsia" w:ascii="仿宋_GB2312" w:hAnsi="Times New Roman" w:eastAsia="仿宋_GB2312" w:cs="Wingdings"/>
          <w:sz w:val="32"/>
          <w:szCs w:val="32"/>
        </w:rPr>
        <w:t>%；住房保障支出</w:t>
      </w:r>
      <w:r>
        <w:rPr>
          <w:rFonts w:hint="eastAsia" w:ascii="仿宋_GB2312" w:hAnsi="Times New Roman" w:eastAsia="仿宋_GB2312" w:cs="Wingdings"/>
          <w:sz w:val="32"/>
          <w:szCs w:val="32"/>
          <w:lang w:val="en-US" w:eastAsia="zh-CN"/>
        </w:rPr>
        <w:t>168.39</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2.63</w:t>
      </w:r>
      <w:r>
        <w:rPr>
          <w:rFonts w:hint="eastAsia" w:ascii="仿宋_GB2312" w:hAnsi="Times New Roman" w:eastAsia="仿宋_GB2312" w:cs="Wingdings"/>
          <w:sz w:val="32"/>
          <w:szCs w:val="32"/>
        </w:rPr>
        <w:t>%。</w:t>
      </w: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三、支出决算情况说明</w:t>
      </w:r>
    </w:p>
    <w:p>
      <w:pPr>
        <w:autoSpaceDE w:val="0"/>
        <w:autoSpaceDN w:val="0"/>
        <w:adjustRightInd w:val="0"/>
        <w:spacing w:line="580" w:lineRule="exact"/>
        <w:ind w:firstLine="600"/>
        <w:jc w:val="left"/>
        <w:rPr>
          <w:rFonts w:hint="eastAsia"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本单位2023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6,411.23万元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2,490.87万元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占38.85%</w:t>
      </w:r>
      <w:r>
        <w:rPr>
          <w:rFonts w:hint="eastAsia" w:ascii="Times New Roman" w:hAnsi="Times New Roman" w:eastAsia="仿宋_GB2312" w:cs="Times New Roman"/>
          <w:kern w:val="2"/>
          <w:sz w:val="32"/>
          <w:szCs w:val="32"/>
          <w:lang w:val="zh-CN" w:eastAsia="zh-CN"/>
        </w:rPr>
        <w:t>，其中人员经费支出</w:t>
      </w:r>
      <w:r>
        <w:rPr>
          <w:rFonts w:hint="eastAsia" w:ascii="Times New Roman" w:hAnsi="Times New Roman" w:eastAsia="仿宋_GB2312" w:cs="Times New Roman"/>
          <w:kern w:val="2"/>
          <w:sz w:val="32"/>
          <w:szCs w:val="32"/>
          <w:lang w:val="en-US" w:eastAsia="zh-CN"/>
        </w:rPr>
        <w:t>1910.02万元，</w:t>
      </w:r>
      <w:r>
        <w:rPr>
          <w:rFonts w:hint="eastAsia" w:ascii="Times New Roman" w:hAnsi="Times New Roman" w:eastAsia="仿宋_GB2312" w:cs="Times New Roman"/>
          <w:color w:val="auto"/>
          <w:kern w:val="2"/>
          <w:sz w:val="32"/>
          <w:szCs w:val="32"/>
          <w:highlight w:val="none"/>
          <w:lang w:val="en-US" w:eastAsia="zh-CN"/>
        </w:rPr>
        <w:t>占76.68%</w:t>
      </w:r>
      <w:r>
        <w:rPr>
          <w:rFonts w:hint="eastAsia" w:ascii="Times New Roman" w:hAnsi="Times New Roman" w:eastAsia="仿宋_GB2312" w:cs="Times New Roman"/>
          <w:kern w:val="2"/>
          <w:sz w:val="32"/>
          <w:szCs w:val="32"/>
          <w:lang w:val="en-US" w:eastAsia="zh-CN"/>
        </w:rPr>
        <w:t>，公用经费支出580.84万元，占23.32%</w:t>
      </w:r>
      <w:r>
        <w:rPr>
          <w:rFonts w:hint="default"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3,920.36万元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占61.15%</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eastAsia="zh-CN"/>
        </w:rPr>
        <w:t>其中行政事业类项目</w:t>
      </w:r>
      <w:r>
        <w:rPr>
          <w:rFonts w:hint="eastAsia" w:ascii="Times New Roman" w:hAnsi="Times New Roman" w:eastAsia="仿宋_GB2312" w:cs="Times New Roman"/>
          <w:kern w:val="2"/>
          <w:sz w:val="32"/>
          <w:szCs w:val="32"/>
          <w:highlight w:val="none"/>
          <w:lang w:val="en-US" w:eastAsia="zh-CN"/>
        </w:rPr>
        <w:t>2148.13</w:t>
      </w:r>
      <w:r>
        <w:rPr>
          <w:rFonts w:hint="default" w:ascii="Times New Roman" w:hAnsi="Times New Roman" w:eastAsia="仿宋_GB2312" w:cs="Times New Roman"/>
          <w:kern w:val="2"/>
          <w:sz w:val="32"/>
          <w:szCs w:val="32"/>
          <w:lang w:val="zh-CN" w:eastAsia="zh-CN"/>
        </w:rPr>
        <w:t>万元，占</w:t>
      </w:r>
      <w:r>
        <w:rPr>
          <w:rFonts w:hint="eastAsia" w:ascii="Times New Roman" w:hAnsi="Times New Roman" w:eastAsia="仿宋_GB2312" w:cs="Times New Roman"/>
          <w:kern w:val="2"/>
          <w:sz w:val="32"/>
          <w:szCs w:val="32"/>
          <w:lang w:val="en-US" w:eastAsia="zh-CN"/>
        </w:rPr>
        <w:t>54.79%</w:t>
      </w:r>
      <w:r>
        <w:rPr>
          <w:rFonts w:hint="default" w:ascii="Times New Roman" w:hAnsi="Times New Roman" w:eastAsia="仿宋_GB2312" w:cs="Times New Roman"/>
          <w:kern w:val="2"/>
          <w:sz w:val="32"/>
          <w:szCs w:val="32"/>
          <w:lang w:val="zh-CN" w:eastAsia="zh-CN"/>
        </w:rPr>
        <w:t>，基本建设类项目</w:t>
      </w:r>
      <w:r>
        <w:rPr>
          <w:rFonts w:hint="eastAsia" w:ascii="Times New Roman" w:hAnsi="Times New Roman" w:eastAsia="仿宋_GB2312" w:cs="Times New Roman"/>
          <w:kern w:val="2"/>
          <w:sz w:val="32"/>
          <w:szCs w:val="32"/>
          <w:lang w:val="en-US" w:eastAsia="zh-CN"/>
        </w:rPr>
        <w:t>1772.23</w:t>
      </w:r>
      <w:r>
        <w:rPr>
          <w:rFonts w:hint="default" w:ascii="Times New Roman" w:hAnsi="Times New Roman" w:eastAsia="仿宋_GB2312" w:cs="Times New Roman"/>
          <w:kern w:val="2"/>
          <w:sz w:val="32"/>
          <w:szCs w:val="32"/>
          <w:lang w:val="zh-CN" w:eastAsia="zh-CN"/>
        </w:rPr>
        <w:t>万元，占</w:t>
      </w:r>
      <w:r>
        <w:rPr>
          <w:rFonts w:hint="eastAsia" w:ascii="Times New Roman" w:hAnsi="Times New Roman" w:eastAsia="仿宋_GB2312" w:cs="Times New Roman"/>
          <w:kern w:val="2"/>
          <w:sz w:val="32"/>
          <w:szCs w:val="32"/>
          <w:lang w:val="en-US" w:eastAsia="zh-CN"/>
        </w:rPr>
        <w:t>45.21%</w:t>
      </w:r>
      <w:r>
        <w:rPr>
          <w:rFonts w:hint="default"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ascii="Times New Roman" w:hAnsi="Times New Roman" w:eastAsia="仿宋_GB2312" w:cs="Times New Roman"/>
          <w:sz w:val="32"/>
          <w:szCs w:val="32"/>
          <w:highlight w:val="none"/>
        </w:rPr>
      </w:pPr>
    </w:p>
    <w:p>
      <w:pPr>
        <w:autoSpaceDE w:val="0"/>
        <w:autoSpaceDN w:val="0"/>
        <w:adjustRightInd w:val="0"/>
        <w:jc w:val="left"/>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10"/>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pPr>
        <w:pStyle w:val="10"/>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年度财政拨款本年收入6,411.23</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增加444.89万元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增长7.46%，</w:t>
      </w:r>
      <w:r>
        <w:rPr>
          <w:rFonts w:hint="default" w:ascii="Times New Roman" w:hAnsi="Times New Roman" w:eastAsia="仿宋_GB2312" w:cs="Times New Roman"/>
          <w:color w:val="auto"/>
          <w:kern w:val="2"/>
          <w:sz w:val="32"/>
          <w:szCs w:val="32"/>
          <w:lang w:val="zh-CN" w:eastAsia="zh-CN" w:bidi="ar-SA"/>
        </w:rPr>
        <w:t>主要</w:t>
      </w:r>
      <w:r>
        <w:rPr>
          <w:rFonts w:hint="default" w:ascii="Times New Roman" w:hAnsi="Times New Roman" w:eastAsia="仿宋_GB2312" w:cs="Times New Roman"/>
          <w:kern w:val="2"/>
          <w:sz w:val="32"/>
          <w:szCs w:val="32"/>
          <w:highlight w:val="none"/>
        </w:rPr>
        <w:t>是202</w:t>
      </w:r>
      <w:r>
        <w:rPr>
          <w:rFonts w:hint="eastAsia" w:ascii="Times New Roman" w:hAnsi="Times New Roman" w:eastAsia="仿宋_GB2312" w:cs="Times New Roman"/>
          <w:kern w:val="2"/>
          <w:sz w:val="32"/>
          <w:szCs w:val="32"/>
          <w:highlight w:val="none"/>
          <w:lang w:val="en-US" w:eastAsia="zh-CN"/>
        </w:rPr>
        <w:t>3</w:t>
      </w:r>
      <w:r>
        <w:rPr>
          <w:rFonts w:hint="default" w:ascii="Times New Roman" w:hAnsi="Times New Roman" w:eastAsia="仿宋_GB2312" w:cs="Times New Roman"/>
          <w:kern w:val="2"/>
          <w:sz w:val="32"/>
          <w:szCs w:val="32"/>
          <w:highlight w:val="none"/>
        </w:rPr>
        <w:t>年</w:t>
      </w:r>
      <w:r>
        <w:rPr>
          <w:rFonts w:hint="eastAsia" w:ascii="Times New Roman" w:hAnsi="Times New Roman" w:eastAsia="仿宋_GB2312" w:cs="Times New Roman"/>
          <w:kern w:val="2"/>
          <w:sz w:val="32"/>
          <w:szCs w:val="32"/>
          <w:highlight w:val="none"/>
          <w:lang w:eastAsia="zh-CN"/>
        </w:rPr>
        <w:t>城区建设鹿城一号</w:t>
      </w:r>
      <w:r>
        <w:rPr>
          <w:rFonts w:hint="default" w:ascii="Times New Roman" w:hAnsi="Times New Roman" w:eastAsia="仿宋_GB2312" w:cs="Times New Roman"/>
          <w:kern w:val="2"/>
          <w:sz w:val="32"/>
          <w:szCs w:val="32"/>
          <w:highlight w:val="none"/>
        </w:rPr>
        <w:t>项目</w:t>
      </w:r>
      <w:r>
        <w:rPr>
          <w:rFonts w:hint="eastAsia" w:ascii="Times New Roman" w:hAnsi="Times New Roman" w:eastAsia="仿宋_GB2312" w:cs="Times New Roman"/>
          <w:kern w:val="2"/>
          <w:sz w:val="32"/>
          <w:szCs w:val="32"/>
          <w:highlight w:val="none"/>
          <w:lang w:eastAsia="zh-CN"/>
        </w:rPr>
        <w:t>补助</w:t>
      </w:r>
      <w:r>
        <w:rPr>
          <w:rFonts w:hint="default" w:ascii="Times New Roman" w:hAnsi="Times New Roman" w:eastAsia="仿宋_GB2312" w:cs="Times New Roman"/>
          <w:kern w:val="2"/>
          <w:sz w:val="32"/>
          <w:szCs w:val="32"/>
          <w:highlight w:val="none"/>
        </w:rPr>
        <w:t>增加</w:t>
      </w:r>
      <w:r>
        <w:rPr>
          <w:rFonts w:hint="eastAsia" w:ascii="Times New Roman" w:hAnsi="Times New Roman" w:eastAsia="仿宋_GB2312" w:cs="Times New Roman"/>
          <w:kern w:val="2"/>
          <w:sz w:val="32"/>
          <w:szCs w:val="32"/>
          <w:highlight w:val="none"/>
          <w:lang w:eastAsia="zh-CN"/>
        </w:rPr>
        <w:t>了</w:t>
      </w:r>
      <w:r>
        <w:rPr>
          <w:rFonts w:hint="eastAsia" w:ascii="Times New Roman" w:hAnsi="Times New Roman" w:eastAsia="仿宋_GB2312" w:cs="Times New Roman"/>
          <w:kern w:val="2"/>
          <w:sz w:val="32"/>
          <w:szCs w:val="32"/>
          <w:highlight w:val="none"/>
          <w:lang w:val="en-US" w:eastAsia="zh-CN"/>
        </w:rPr>
        <w:t>442</w:t>
      </w:r>
      <w:r>
        <w:rPr>
          <w:rFonts w:hint="default" w:ascii="Times New Roman" w:hAnsi="Times New Roman" w:eastAsia="仿宋_GB2312" w:cs="Times New Roman"/>
          <w:kern w:val="2"/>
          <w:sz w:val="32"/>
          <w:szCs w:val="32"/>
          <w:highlight w:val="none"/>
        </w:rPr>
        <w:t>万元</w:t>
      </w:r>
      <w:r>
        <w:rPr>
          <w:rFonts w:hint="default" w:ascii="Times New Roman" w:hAnsi="Times New Roman" w:eastAsia="仿宋_GB2312" w:cs="Times New Roman"/>
          <w:color w:val="auto"/>
          <w:kern w:val="2"/>
          <w:sz w:val="32"/>
          <w:szCs w:val="32"/>
          <w:lang w:val="zh-CN" w:eastAsia="zh-CN" w:bidi="ar-SA"/>
        </w:rPr>
        <w:t>；本年支出 6,411.23元，比上年</w:t>
      </w:r>
      <w:r>
        <w:rPr>
          <w:rFonts w:hint="eastAsia" w:ascii="Times New Roman" w:hAnsi="Times New Roman" w:eastAsia="仿宋_GB2312" w:cs="Times New Roman"/>
          <w:sz w:val="30"/>
          <w:szCs w:val="30"/>
          <w:highlight w:val="none"/>
          <w:lang w:val="zh-CN"/>
        </w:rPr>
        <w:t>增加444.89万元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增长7.46%，</w:t>
      </w:r>
      <w:r>
        <w:rPr>
          <w:rFonts w:hint="default" w:ascii="Times New Roman" w:hAnsi="Times New Roman" w:eastAsia="仿宋_GB2312" w:cs="Times New Roman"/>
          <w:color w:val="auto"/>
          <w:kern w:val="2"/>
          <w:sz w:val="32"/>
          <w:szCs w:val="32"/>
          <w:lang w:val="zh-CN" w:eastAsia="zh-CN" w:bidi="ar-SA"/>
        </w:rPr>
        <w:t>主要</w:t>
      </w:r>
      <w:r>
        <w:rPr>
          <w:rFonts w:hint="default" w:ascii="Times New Roman" w:hAnsi="Times New Roman" w:eastAsia="仿宋_GB2312" w:cs="Times New Roman"/>
          <w:kern w:val="2"/>
          <w:sz w:val="32"/>
          <w:szCs w:val="32"/>
          <w:highlight w:val="none"/>
        </w:rPr>
        <w:t>是202</w:t>
      </w:r>
      <w:r>
        <w:rPr>
          <w:rFonts w:hint="eastAsia" w:ascii="Times New Roman" w:hAnsi="Times New Roman" w:eastAsia="仿宋_GB2312" w:cs="Times New Roman"/>
          <w:kern w:val="2"/>
          <w:sz w:val="32"/>
          <w:szCs w:val="32"/>
          <w:highlight w:val="none"/>
          <w:lang w:val="en-US" w:eastAsia="zh-CN"/>
        </w:rPr>
        <w:t>3</w:t>
      </w:r>
      <w:r>
        <w:rPr>
          <w:rFonts w:hint="default" w:ascii="Times New Roman" w:hAnsi="Times New Roman" w:eastAsia="仿宋_GB2312" w:cs="Times New Roman"/>
          <w:kern w:val="2"/>
          <w:sz w:val="32"/>
          <w:szCs w:val="32"/>
          <w:highlight w:val="none"/>
        </w:rPr>
        <w:t>年</w:t>
      </w:r>
      <w:r>
        <w:rPr>
          <w:rFonts w:hint="eastAsia" w:ascii="Times New Roman" w:hAnsi="Times New Roman" w:eastAsia="仿宋_GB2312" w:cs="Times New Roman"/>
          <w:kern w:val="2"/>
          <w:sz w:val="32"/>
          <w:szCs w:val="32"/>
          <w:highlight w:val="none"/>
          <w:lang w:eastAsia="zh-CN"/>
        </w:rPr>
        <w:t>城区建设鹿城一号</w:t>
      </w:r>
      <w:r>
        <w:rPr>
          <w:rFonts w:hint="default" w:ascii="Times New Roman" w:hAnsi="Times New Roman" w:eastAsia="仿宋_GB2312" w:cs="Times New Roman"/>
          <w:kern w:val="2"/>
          <w:sz w:val="32"/>
          <w:szCs w:val="32"/>
          <w:highlight w:val="none"/>
        </w:rPr>
        <w:t>项目</w:t>
      </w:r>
      <w:r>
        <w:rPr>
          <w:rFonts w:hint="eastAsia" w:ascii="Times New Roman" w:hAnsi="Times New Roman" w:eastAsia="仿宋_GB2312" w:cs="Times New Roman"/>
          <w:kern w:val="2"/>
          <w:sz w:val="32"/>
          <w:szCs w:val="32"/>
          <w:highlight w:val="none"/>
          <w:lang w:eastAsia="zh-CN"/>
        </w:rPr>
        <w:t>补助</w:t>
      </w:r>
      <w:r>
        <w:rPr>
          <w:rFonts w:hint="default" w:ascii="Times New Roman" w:hAnsi="Times New Roman" w:eastAsia="仿宋_GB2312" w:cs="Times New Roman"/>
          <w:kern w:val="2"/>
          <w:sz w:val="32"/>
          <w:szCs w:val="32"/>
          <w:highlight w:val="none"/>
        </w:rPr>
        <w:t>增加</w:t>
      </w:r>
      <w:r>
        <w:rPr>
          <w:rFonts w:hint="eastAsia" w:ascii="Times New Roman" w:hAnsi="Times New Roman" w:eastAsia="仿宋_GB2312" w:cs="Times New Roman"/>
          <w:kern w:val="2"/>
          <w:sz w:val="32"/>
          <w:szCs w:val="32"/>
          <w:highlight w:val="none"/>
          <w:lang w:eastAsia="zh-CN"/>
        </w:rPr>
        <w:t>了</w:t>
      </w:r>
      <w:r>
        <w:rPr>
          <w:rFonts w:hint="eastAsia" w:ascii="Times New Roman" w:hAnsi="Times New Roman" w:eastAsia="仿宋_GB2312" w:cs="Times New Roman"/>
          <w:kern w:val="2"/>
          <w:sz w:val="32"/>
          <w:szCs w:val="32"/>
          <w:highlight w:val="none"/>
          <w:lang w:val="en-US" w:eastAsia="zh-CN"/>
        </w:rPr>
        <w:t>442</w:t>
      </w:r>
      <w:r>
        <w:rPr>
          <w:rFonts w:hint="default" w:ascii="Times New Roman" w:hAnsi="Times New Roman" w:eastAsia="仿宋_GB2312" w:cs="Times New Roman"/>
          <w:kern w:val="2"/>
          <w:sz w:val="32"/>
          <w:szCs w:val="32"/>
          <w:highlight w:val="none"/>
        </w:rPr>
        <w:t>万元</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一般公共预算财政拨款本年收入6,411.23</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增加623.69万元，增长10.78%，</w:t>
      </w:r>
      <w:r>
        <w:rPr>
          <w:rFonts w:hint="default" w:ascii="Times New Roman" w:hAnsi="Times New Roman" w:eastAsia="仿宋_GB2312" w:cs="Times New Roman"/>
          <w:kern w:val="2"/>
          <w:sz w:val="32"/>
          <w:szCs w:val="32"/>
          <w:lang w:val="zh-CN"/>
        </w:rPr>
        <w:t>主要是</w:t>
      </w:r>
      <w:r>
        <w:rPr>
          <w:rFonts w:hint="default" w:ascii="Times New Roman" w:hAnsi="Times New Roman" w:eastAsia="仿宋_GB2312" w:cs="Times New Roman"/>
          <w:color w:val="auto"/>
          <w:kern w:val="2"/>
          <w:sz w:val="32"/>
          <w:szCs w:val="32"/>
          <w:lang w:val="zh-CN" w:eastAsia="zh-CN" w:bidi="ar-SA"/>
        </w:rPr>
        <w:t>主要</w:t>
      </w:r>
      <w:r>
        <w:rPr>
          <w:rFonts w:hint="default" w:ascii="Times New Roman" w:hAnsi="Times New Roman" w:eastAsia="仿宋_GB2312" w:cs="Times New Roman"/>
          <w:kern w:val="2"/>
          <w:sz w:val="32"/>
          <w:szCs w:val="32"/>
          <w:highlight w:val="none"/>
        </w:rPr>
        <w:t>是202</w:t>
      </w:r>
      <w:r>
        <w:rPr>
          <w:rFonts w:hint="eastAsia" w:ascii="Times New Roman" w:hAnsi="Times New Roman" w:eastAsia="仿宋_GB2312" w:cs="Times New Roman"/>
          <w:kern w:val="2"/>
          <w:sz w:val="32"/>
          <w:szCs w:val="32"/>
          <w:highlight w:val="none"/>
          <w:lang w:val="en-US" w:eastAsia="zh-CN"/>
        </w:rPr>
        <w:t>3</w:t>
      </w:r>
      <w:r>
        <w:rPr>
          <w:rFonts w:hint="default" w:ascii="Times New Roman" w:hAnsi="Times New Roman" w:eastAsia="仿宋_GB2312" w:cs="Times New Roman"/>
          <w:kern w:val="2"/>
          <w:sz w:val="32"/>
          <w:szCs w:val="32"/>
          <w:highlight w:val="none"/>
        </w:rPr>
        <w:t>年</w:t>
      </w:r>
      <w:r>
        <w:rPr>
          <w:rFonts w:hint="eastAsia" w:ascii="Times New Roman" w:hAnsi="Times New Roman" w:eastAsia="仿宋_GB2312" w:cs="Times New Roman"/>
          <w:kern w:val="2"/>
          <w:sz w:val="32"/>
          <w:szCs w:val="32"/>
          <w:highlight w:val="none"/>
          <w:lang w:eastAsia="zh-CN"/>
        </w:rPr>
        <w:t>城区建设鹿城一号</w:t>
      </w:r>
      <w:r>
        <w:rPr>
          <w:rFonts w:hint="default" w:ascii="Times New Roman" w:hAnsi="Times New Roman" w:eastAsia="仿宋_GB2312" w:cs="Times New Roman"/>
          <w:kern w:val="2"/>
          <w:sz w:val="32"/>
          <w:szCs w:val="32"/>
          <w:highlight w:val="none"/>
        </w:rPr>
        <w:t>项目</w:t>
      </w:r>
      <w:r>
        <w:rPr>
          <w:rFonts w:hint="eastAsia" w:ascii="Times New Roman" w:hAnsi="Times New Roman" w:eastAsia="仿宋_GB2312" w:cs="Times New Roman"/>
          <w:kern w:val="2"/>
          <w:sz w:val="32"/>
          <w:szCs w:val="32"/>
          <w:highlight w:val="none"/>
          <w:lang w:eastAsia="zh-CN"/>
        </w:rPr>
        <w:t>补助</w:t>
      </w:r>
      <w:r>
        <w:rPr>
          <w:rFonts w:hint="default" w:ascii="Times New Roman" w:hAnsi="Times New Roman" w:eastAsia="仿宋_GB2312" w:cs="Times New Roman"/>
          <w:kern w:val="2"/>
          <w:sz w:val="32"/>
          <w:szCs w:val="32"/>
          <w:highlight w:val="none"/>
        </w:rPr>
        <w:t>增加</w:t>
      </w:r>
      <w:r>
        <w:rPr>
          <w:rFonts w:hint="eastAsia" w:ascii="Times New Roman" w:hAnsi="Times New Roman" w:eastAsia="仿宋_GB2312" w:cs="Times New Roman"/>
          <w:kern w:val="2"/>
          <w:sz w:val="32"/>
          <w:szCs w:val="32"/>
          <w:highlight w:val="none"/>
          <w:lang w:eastAsia="zh-CN"/>
        </w:rPr>
        <w:t>了</w:t>
      </w:r>
      <w:r>
        <w:rPr>
          <w:rFonts w:hint="eastAsia" w:ascii="Times New Roman" w:hAnsi="Times New Roman" w:eastAsia="仿宋_GB2312" w:cs="Times New Roman"/>
          <w:kern w:val="2"/>
          <w:sz w:val="32"/>
          <w:szCs w:val="32"/>
          <w:highlight w:val="none"/>
          <w:lang w:val="en-US" w:eastAsia="zh-CN"/>
        </w:rPr>
        <w:t>442</w:t>
      </w:r>
      <w:r>
        <w:rPr>
          <w:rFonts w:hint="default" w:ascii="Times New Roman" w:hAnsi="Times New Roman" w:eastAsia="仿宋_GB2312" w:cs="Times New Roman"/>
          <w:kern w:val="2"/>
          <w:sz w:val="32"/>
          <w:szCs w:val="32"/>
          <w:highlight w:val="none"/>
        </w:rPr>
        <w:t>万元</w:t>
      </w:r>
      <w:r>
        <w:rPr>
          <w:rFonts w:hint="eastAsia" w:ascii="Times New Roman" w:hAnsi="Times New Roman" w:eastAsia="仿宋_GB2312" w:cs="Times New Roman"/>
          <w:kern w:val="2"/>
          <w:sz w:val="32"/>
          <w:szCs w:val="32"/>
          <w:highlight w:val="none"/>
          <w:lang w:eastAsia="zh-CN"/>
        </w:rPr>
        <w:t>，环境整治项目增加了</w:t>
      </w:r>
      <w:r>
        <w:rPr>
          <w:rFonts w:hint="eastAsia" w:ascii="Times New Roman" w:hAnsi="Times New Roman" w:eastAsia="仿宋_GB2312" w:cs="Times New Roman"/>
          <w:kern w:val="2"/>
          <w:sz w:val="32"/>
          <w:szCs w:val="32"/>
          <w:highlight w:val="none"/>
          <w:lang w:val="en-US" w:eastAsia="zh-CN"/>
        </w:rPr>
        <w:t>166万元，一事一议补偿项目15万元</w:t>
      </w:r>
      <w:r>
        <w:rPr>
          <w:rFonts w:hint="default" w:ascii="Times New Roman" w:hAnsi="Times New Roman" w:eastAsia="仿宋_GB2312" w:cs="Times New Roman"/>
          <w:kern w:val="2"/>
          <w:sz w:val="32"/>
          <w:szCs w:val="32"/>
          <w:lang w:val="zh-CN"/>
        </w:rPr>
        <w:t>；本年支出 6,411.23</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增加623.69万元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增长10.78%，</w:t>
      </w:r>
      <w:r>
        <w:rPr>
          <w:rFonts w:hint="default" w:ascii="Times New Roman" w:hAnsi="Times New Roman" w:eastAsia="仿宋_GB2312" w:cs="Times New Roman"/>
          <w:kern w:val="2"/>
          <w:sz w:val="32"/>
          <w:szCs w:val="32"/>
          <w:lang w:val="zh-CN"/>
        </w:rPr>
        <w:t>主要是主要是</w:t>
      </w:r>
      <w:r>
        <w:rPr>
          <w:rFonts w:hint="default" w:ascii="Times New Roman" w:hAnsi="Times New Roman" w:eastAsia="仿宋_GB2312" w:cs="Times New Roman"/>
          <w:color w:val="auto"/>
          <w:kern w:val="2"/>
          <w:sz w:val="32"/>
          <w:szCs w:val="32"/>
          <w:lang w:val="zh-CN" w:eastAsia="zh-CN" w:bidi="ar-SA"/>
        </w:rPr>
        <w:t>主要</w:t>
      </w:r>
      <w:r>
        <w:rPr>
          <w:rFonts w:hint="default" w:ascii="Times New Roman" w:hAnsi="Times New Roman" w:eastAsia="仿宋_GB2312" w:cs="Times New Roman"/>
          <w:kern w:val="2"/>
          <w:sz w:val="32"/>
          <w:szCs w:val="32"/>
          <w:highlight w:val="none"/>
        </w:rPr>
        <w:t>是202</w:t>
      </w:r>
      <w:r>
        <w:rPr>
          <w:rFonts w:hint="eastAsia" w:ascii="Times New Roman" w:hAnsi="Times New Roman" w:eastAsia="仿宋_GB2312" w:cs="Times New Roman"/>
          <w:kern w:val="2"/>
          <w:sz w:val="32"/>
          <w:szCs w:val="32"/>
          <w:highlight w:val="none"/>
          <w:lang w:val="en-US" w:eastAsia="zh-CN"/>
        </w:rPr>
        <w:t>3</w:t>
      </w:r>
      <w:r>
        <w:rPr>
          <w:rFonts w:hint="default" w:ascii="Times New Roman" w:hAnsi="Times New Roman" w:eastAsia="仿宋_GB2312" w:cs="Times New Roman"/>
          <w:kern w:val="2"/>
          <w:sz w:val="32"/>
          <w:szCs w:val="32"/>
          <w:highlight w:val="none"/>
        </w:rPr>
        <w:t>年</w:t>
      </w:r>
      <w:r>
        <w:rPr>
          <w:rFonts w:hint="eastAsia" w:ascii="Times New Roman" w:hAnsi="Times New Roman" w:eastAsia="仿宋_GB2312" w:cs="Times New Roman"/>
          <w:kern w:val="2"/>
          <w:sz w:val="32"/>
          <w:szCs w:val="32"/>
          <w:highlight w:val="none"/>
          <w:lang w:eastAsia="zh-CN"/>
        </w:rPr>
        <w:t>城区建设鹿城一号</w:t>
      </w:r>
      <w:r>
        <w:rPr>
          <w:rFonts w:hint="default" w:ascii="Times New Roman" w:hAnsi="Times New Roman" w:eastAsia="仿宋_GB2312" w:cs="Times New Roman"/>
          <w:kern w:val="2"/>
          <w:sz w:val="32"/>
          <w:szCs w:val="32"/>
          <w:highlight w:val="none"/>
        </w:rPr>
        <w:t>项目</w:t>
      </w:r>
      <w:r>
        <w:rPr>
          <w:rFonts w:hint="eastAsia" w:ascii="Times New Roman" w:hAnsi="Times New Roman" w:eastAsia="仿宋_GB2312" w:cs="Times New Roman"/>
          <w:kern w:val="2"/>
          <w:sz w:val="32"/>
          <w:szCs w:val="32"/>
          <w:highlight w:val="none"/>
          <w:lang w:eastAsia="zh-CN"/>
        </w:rPr>
        <w:t>补助</w:t>
      </w:r>
      <w:r>
        <w:rPr>
          <w:rFonts w:hint="default" w:ascii="Times New Roman" w:hAnsi="Times New Roman" w:eastAsia="仿宋_GB2312" w:cs="Times New Roman"/>
          <w:kern w:val="2"/>
          <w:sz w:val="32"/>
          <w:szCs w:val="32"/>
          <w:highlight w:val="none"/>
        </w:rPr>
        <w:t>增加</w:t>
      </w:r>
      <w:r>
        <w:rPr>
          <w:rFonts w:hint="eastAsia" w:ascii="Times New Roman" w:hAnsi="Times New Roman" w:eastAsia="仿宋_GB2312" w:cs="Times New Roman"/>
          <w:kern w:val="2"/>
          <w:sz w:val="32"/>
          <w:szCs w:val="32"/>
          <w:highlight w:val="none"/>
          <w:lang w:eastAsia="zh-CN"/>
        </w:rPr>
        <w:t>了</w:t>
      </w:r>
      <w:r>
        <w:rPr>
          <w:rFonts w:hint="eastAsia" w:ascii="Times New Roman" w:hAnsi="Times New Roman" w:eastAsia="仿宋_GB2312" w:cs="Times New Roman"/>
          <w:kern w:val="2"/>
          <w:sz w:val="32"/>
          <w:szCs w:val="32"/>
          <w:highlight w:val="none"/>
          <w:lang w:val="en-US" w:eastAsia="zh-CN"/>
        </w:rPr>
        <w:t>442</w:t>
      </w:r>
      <w:r>
        <w:rPr>
          <w:rFonts w:hint="default" w:ascii="Times New Roman" w:hAnsi="Times New Roman" w:eastAsia="仿宋_GB2312" w:cs="Times New Roman"/>
          <w:kern w:val="2"/>
          <w:sz w:val="32"/>
          <w:szCs w:val="32"/>
          <w:highlight w:val="none"/>
        </w:rPr>
        <w:t>万元</w:t>
      </w:r>
      <w:r>
        <w:rPr>
          <w:rFonts w:hint="eastAsia" w:ascii="Times New Roman" w:hAnsi="Times New Roman" w:eastAsia="仿宋_GB2312" w:cs="Times New Roman"/>
          <w:kern w:val="2"/>
          <w:sz w:val="32"/>
          <w:szCs w:val="32"/>
          <w:highlight w:val="none"/>
          <w:lang w:eastAsia="zh-CN"/>
        </w:rPr>
        <w:t>，环境整治项目增加了</w:t>
      </w:r>
      <w:r>
        <w:rPr>
          <w:rFonts w:hint="eastAsia" w:ascii="Times New Roman" w:hAnsi="Times New Roman" w:eastAsia="仿宋_GB2312" w:cs="Times New Roman"/>
          <w:kern w:val="2"/>
          <w:sz w:val="32"/>
          <w:szCs w:val="32"/>
          <w:highlight w:val="none"/>
          <w:lang w:val="en-US" w:eastAsia="zh-CN"/>
        </w:rPr>
        <w:t>166万元，一事一议补偿项目15万元</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减少178.8万元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降低100%，</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highlight w:val="none"/>
          <w:lang w:val="en-US" w:eastAsia="zh-CN"/>
        </w:rPr>
        <w:t>2023年度</w:t>
      </w:r>
      <w:r>
        <w:rPr>
          <w:rFonts w:hint="eastAsia" w:ascii="Times New Roman" w:hAnsi="Times New Roman" w:eastAsia="仿宋_GB2312" w:cs="Times New Roman"/>
          <w:kern w:val="2"/>
          <w:sz w:val="32"/>
          <w:szCs w:val="32"/>
          <w:highlight w:val="none"/>
          <w:lang w:val="zh-CN"/>
        </w:rPr>
        <w:t>财政</w:t>
      </w:r>
      <w:r>
        <w:rPr>
          <w:rFonts w:hint="eastAsia" w:ascii="Times New Roman" w:hAnsi="Times New Roman" w:eastAsia="仿宋_GB2312" w:cs="Times New Roman"/>
          <w:kern w:val="2"/>
          <w:sz w:val="32"/>
          <w:szCs w:val="32"/>
          <w:highlight w:val="none"/>
          <w:lang w:val="en-US" w:eastAsia="zh-CN"/>
        </w:rPr>
        <w:t>预算</w:t>
      </w:r>
      <w:r>
        <w:rPr>
          <w:rFonts w:hint="eastAsia" w:ascii="Times New Roman" w:hAnsi="Times New Roman" w:eastAsia="仿宋_GB2312" w:cs="Times New Roman"/>
          <w:kern w:val="2"/>
          <w:sz w:val="32"/>
          <w:szCs w:val="32"/>
          <w:highlight w:val="none"/>
          <w:lang w:val="zh-CN"/>
        </w:rPr>
        <w:t>没有安排基金预算补助资金</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减少178.8万元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降低100%，</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highlight w:val="none"/>
          <w:lang w:val="en-US" w:eastAsia="zh-CN"/>
        </w:rPr>
        <w:t>2023年度财政预算没有安排基金预算补助资金</w:t>
      </w:r>
      <w:r>
        <w:rPr>
          <w:rFonts w:hint="default" w:ascii="Times New Roman" w:hAnsi="Times New Roman" w:eastAsia="仿宋_GB2312" w:cs="Times New Roman"/>
          <w:kern w:val="2"/>
          <w:sz w:val="32"/>
          <w:szCs w:val="32"/>
          <w:highlight w:val="none"/>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highlight w:val="none"/>
          <w:lang w:val="en-US" w:eastAsia="zh-CN"/>
        </w:rPr>
        <w:t>2023年度财政预算没有安排预算补助资金</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highlight w:val="none"/>
          <w:lang w:val="en-US" w:eastAsia="zh-CN"/>
        </w:rPr>
        <w:t>2023年度财政预算没有安排预算补助资金</w:t>
      </w:r>
      <w:r>
        <w:rPr>
          <w:rFonts w:hint="default" w:ascii="Times New Roman" w:hAnsi="Times New Roman" w:eastAsia="仿宋_GB2312" w:cs="Times New Roman"/>
          <w:kern w:val="2"/>
          <w:sz w:val="32"/>
          <w:szCs w:val="32"/>
          <w:lang w:val="zh-CN"/>
        </w:rPr>
        <w:t>。</w:t>
      </w:r>
    </w:p>
    <w:p>
      <w:pPr>
        <w:pStyle w:val="10"/>
        <w:widowControl/>
        <w:spacing w:beforeAutospacing="0" w:afterAutospacing="0"/>
        <w:rPr>
          <w:rFonts w:ascii="Times New Roman" w:hAnsi="Times New Roman" w:eastAsia="仿宋_GB2312"/>
          <w:sz w:val="32"/>
          <w:szCs w:val="32"/>
        </w:rPr>
      </w:pPr>
    </w:p>
    <w:p>
      <w:pPr>
        <w:pStyle w:val="10"/>
        <w:widowControl/>
        <w:spacing w:beforeAutospacing="0" w:afterAutospacing="0"/>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年度财政拨款本年收入6,411.23万元，完成年初预算的100%，比年初预算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color w:val="auto"/>
          <w:kern w:val="2"/>
          <w:sz w:val="32"/>
          <w:szCs w:val="32"/>
          <w:lang w:val="zh-CN" w:eastAsia="zh-CN" w:bidi="ar-SA"/>
        </w:rPr>
        <w:t>；本年支出6,411.23万元，完成年初预算的100%，比年初预算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收入6,411.23万元，完成年初预算的 100%，比年初预算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；本年支出6,411.23万元，完成年初预算的100%，比年初预算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pStyle w:val="10"/>
        <w:widowControl/>
        <w:spacing w:beforeAutospacing="0" w:afterAutospacing="0"/>
        <w:ind w:firstLine="640" w:firstLineChars="200"/>
        <w:rPr>
          <w:rFonts w:ascii="Times New Roman" w:hAnsi="Times New Roman" w:eastAsia="Arial"/>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pStyle w:val="10"/>
        <w:widowControl/>
        <w:spacing w:beforeAutospacing="0" w:afterAutospacing="0"/>
        <w:rPr>
          <w:rFonts w:ascii="Times New Roman" w:hAnsi="Times New Roman" w:eastAsia="仿宋_GB2312"/>
          <w:sz w:val="32"/>
          <w:szCs w:val="32"/>
          <w:highlight w:val="none"/>
        </w:rPr>
      </w:pPr>
      <w:r>
        <w:rPr>
          <w:rFonts w:ascii="Times New Roman" w:hAnsi="Times New Roman" w:eastAsia="仿宋_GB2312"/>
          <w:sz w:val="32"/>
          <w:szCs w:val="32"/>
          <w:highlight w:val="none"/>
        </w:rPr>
        <w:drawing>
          <wp:inline distT="0" distB="0" distL="114300" distR="114300">
            <wp:extent cx="5256530" cy="2988310"/>
            <wp:effectExtent l="5080" t="4445" r="1524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40" w:firstLineChars="200"/>
        <w:jc w:val="left"/>
        <w:textAlignment w:val="auto"/>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年度财政拨款支出6,411.23万元，主要用于以下方面：</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一般公共服务（类）支出3,074.04万元，占47.95%</w:t>
      </w:r>
      <w:r>
        <w:rPr>
          <w:rFonts w:hint="eastAsia" w:ascii="Times New Roman" w:hAnsi="Times New Roman" w:eastAsia="仿宋_GB2312" w:cs="Times New Roman"/>
          <w:color w:val="auto"/>
          <w:kern w:val="2"/>
          <w:sz w:val="32"/>
          <w:szCs w:val="32"/>
          <w:lang w:val="en-US" w:eastAsia="zh-CN" w:bidi="ar-SA"/>
        </w:rPr>
        <w:t>,主要用于机关人员管理事务支出</w:t>
      </w:r>
      <w:r>
        <w:rPr>
          <w:rFonts w:hint="default"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en-US" w:eastAsia="zh-CN" w:bidi="ar-SA"/>
        </w:rPr>
        <w:t>外交</w:t>
      </w:r>
      <w:r>
        <w:rPr>
          <w:rFonts w:hint="default" w:ascii="Times New Roman" w:hAnsi="Times New Roman" w:eastAsia="仿宋_GB2312" w:cs="Times New Roman"/>
          <w:color w:val="auto"/>
          <w:kern w:val="2"/>
          <w:sz w:val="32"/>
          <w:szCs w:val="32"/>
          <w:lang w:val="zh-CN" w:eastAsia="zh-CN" w:bidi="ar-SA"/>
        </w:rPr>
        <w:t>（类）支出0万元，占0%；国防（类）支出0万元，占0%；公共安全类（类）支出279.58万元，占4.36%</w:t>
      </w:r>
      <w:r>
        <w:rPr>
          <w:rFonts w:hint="eastAsia" w:ascii="Times New Roman" w:hAnsi="Times New Roman" w:eastAsia="仿宋_GB2312" w:cs="Times New Roman"/>
          <w:color w:val="auto"/>
          <w:kern w:val="2"/>
          <w:sz w:val="32"/>
          <w:szCs w:val="32"/>
          <w:lang w:val="en-US" w:eastAsia="zh-CN" w:bidi="ar-SA"/>
        </w:rPr>
        <w:t>，主要用于公共安全维稳，信访、消防等安全保卫支出</w:t>
      </w:r>
      <w:r>
        <w:rPr>
          <w:rFonts w:hint="default" w:ascii="Times New Roman" w:hAnsi="Times New Roman" w:eastAsia="仿宋_GB2312" w:cs="Times New Roman"/>
          <w:color w:val="auto"/>
          <w:kern w:val="2"/>
          <w:sz w:val="32"/>
          <w:szCs w:val="32"/>
          <w:lang w:val="zh-CN" w:eastAsia="zh-CN" w:bidi="ar-SA"/>
        </w:rPr>
        <w:t>；教育（类）支出345.76万元，占5.39%</w:t>
      </w:r>
      <w:r>
        <w:rPr>
          <w:rFonts w:hint="eastAsia" w:ascii="仿宋_GB2312" w:hAnsi="仿宋_GB2312" w:eastAsia="仿宋_GB2312" w:cs="仿宋_GB2312"/>
          <w:color w:val="auto"/>
          <w:kern w:val="2"/>
          <w:sz w:val="32"/>
          <w:szCs w:val="32"/>
          <w:lang w:val="en-US" w:eastAsia="zh-CN" w:bidi="ar-SA"/>
        </w:rPr>
        <w:t>,</w:t>
      </w:r>
      <w:r>
        <w:rPr>
          <w:rFonts w:hint="eastAsia" w:ascii="Times New Roman" w:hAnsi="Times New Roman" w:eastAsia="仿宋_GB2312" w:cs="Times New Roman"/>
          <w:color w:val="auto"/>
          <w:kern w:val="2"/>
          <w:sz w:val="32"/>
          <w:szCs w:val="32"/>
          <w:lang w:val="en-US" w:eastAsia="zh-CN" w:bidi="ar-SA"/>
        </w:rPr>
        <w:t>主要用于教师工资和教育投入支出</w:t>
      </w:r>
      <w:r>
        <w:rPr>
          <w:rFonts w:hint="default" w:ascii="Times New Roman" w:hAnsi="Times New Roman" w:eastAsia="仿宋_GB2312" w:cs="Times New Roman"/>
          <w:color w:val="auto"/>
          <w:kern w:val="2"/>
          <w:sz w:val="32"/>
          <w:szCs w:val="32"/>
          <w:lang w:val="zh-CN" w:eastAsia="zh-CN" w:bidi="ar-SA"/>
        </w:rPr>
        <w:t>；科学技术（类）支出0万元，占0%；文化旅游体育与传媒（类）支出20万元，占0.31%</w:t>
      </w:r>
      <w:r>
        <w:rPr>
          <w:rFonts w:hint="eastAsia" w:ascii="仿宋_GB2312" w:hAnsi="仿宋_GB2312" w:eastAsia="仿宋_GB2312" w:cs="仿宋_GB2312"/>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zh-CN" w:eastAsia="zh-CN" w:bidi="ar-SA"/>
        </w:rPr>
        <w:t>主要用于镇级文化</w:t>
      </w:r>
      <w:r>
        <w:rPr>
          <w:rFonts w:hint="eastAsia" w:ascii="Times New Roman" w:hAnsi="Times New Roman" w:eastAsia="仿宋_GB2312" w:cs="Times New Roman"/>
          <w:color w:val="auto"/>
          <w:kern w:val="2"/>
          <w:sz w:val="32"/>
          <w:szCs w:val="32"/>
          <w:lang w:val="zh-CN" w:eastAsia="zh-CN" w:bidi="ar-SA"/>
        </w:rPr>
        <w:t>旅游</w:t>
      </w:r>
      <w:r>
        <w:rPr>
          <w:rFonts w:hint="default" w:ascii="Times New Roman" w:hAnsi="Times New Roman" w:eastAsia="仿宋_GB2312" w:cs="Times New Roman"/>
          <w:color w:val="auto"/>
          <w:kern w:val="2"/>
          <w:sz w:val="32"/>
          <w:szCs w:val="32"/>
          <w:lang w:val="zh-CN" w:eastAsia="zh-CN" w:bidi="ar-SA"/>
        </w:rPr>
        <w:t>宣传等支出；社会保障和就业 （类）支出464.48万元，占7.24%</w:t>
      </w:r>
      <w:r>
        <w:rPr>
          <w:rFonts w:hint="eastAsia" w:ascii="仿宋_GB2312" w:hAnsi="仿宋_GB2312" w:eastAsia="仿宋_GB2312" w:cs="仿宋_GB2312"/>
          <w:color w:val="auto"/>
          <w:kern w:val="2"/>
          <w:sz w:val="32"/>
          <w:szCs w:val="32"/>
          <w:lang w:val="en-US" w:eastAsia="zh-CN" w:bidi="ar-SA"/>
        </w:rPr>
        <w:t>,主要用于促进就业和社会基本保障支出</w:t>
      </w:r>
      <w:r>
        <w:rPr>
          <w:rFonts w:hint="default" w:ascii="Times New Roman" w:hAnsi="Times New Roman" w:eastAsia="仿宋_GB2312" w:cs="Times New Roman"/>
          <w:color w:val="auto"/>
          <w:kern w:val="2"/>
          <w:sz w:val="32"/>
          <w:szCs w:val="32"/>
          <w:lang w:val="zh-CN" w:eastAsia="zh-CN" w:bidi="ar-SA"/>
        </w:rPr>
        <w:t>；卫生健康（类）支出206.75万元，占3.22%</w:t>
      </w:r>
      <w:r>
        <w:rPr>
          <w:rFonts w:hint="eastAsia" w:ascii="仿宋_GB2312" w:hAnsi="仿宋_GB2312" w:eastAsia="仿宋_GB2312" w:cs="仿宋_GB2312"/>
          <w:color w:val="auto"/>
          <w:kern w:val="2"/>
          <w:sz w:val="32"/>
          <w:szCs w:val="32"/>
          <w:lang w:val="en-US" w:eastAsia="zh-CN" w:bidi="ar-SA"/>
        </w:rPr>
        <w:t>,</w:t>
      </w:r>
      <w:r>
        <w:rPr>
          <w:rFonts w:hint="default" w:ascii="Times New Roman" w:hAnsi="Times New Roman" w:eastAsia="仿宋_GB2312" w:cs="Times New Roman"/>
          <w:color w:val="auto"/>
          <w:kern w:val="2"/>
          <w:sz w:val="32"/>
          <w:szCs w:val="32"/>
          <w:lang w:val="zh-CN" w:eastAsia="zh-CN" w:bidi="ar-SA"/>
        </w:rPr>
        <w:t>主要用于医疗卫生和计划生育独生子女父母补贴支出；节能环保（类）支出80万元，占1.25%</w:t>
      </w:r>
      <w:r>
        <w:rPr>
          <w:rFonts w:hint="eastAsia" w:ascii="仿宋_GB2312" w:hAnsi="仿宋_GB2312" w:eastAsia="仿宋_GB2312" w:cs="仿宋_GB2312"/>
          <w:color w:val="auto"/>
          <w:kern w:val="2"/>
          <w:sz w:val="32"/>
          <w:szCs w:val="32"/>
          <w:lang w:val="en-US" w:eastAsia="zh-CN" w:bidi="ar-SA"/>
        </w:rPr>
        <w:t>,主要用于大气污染防治洒水覆盖支出</w:t>
      </w:r>
      <w:r>
        <w:rPr>
          <w:rFonts w:hint="default" w:ascii="Times New Roman" w:hAnsi="Times New Roman" w:eastAsia="仿宋_GB2312" w:cs="Times New Roman"/>
          <w:color w:val="auto"/>
          <w:kern w:val="2"/>
          <w:sz w:val="32"/>
          <w:szCs w:val="32"/>
          <w:lang w:val="zh-CN" w:eastAsia="zh-CN" w:bidi="ar-SA"/>
        </w:rPr>
        <w:t>；城乡社区（类）支出1,675.46万元，占26.13%</w:t>
      </w:r>
      <w:r>
        <w:rPr>
          <w:rFonts w:hint="eastAsia" w:ascii="仿宋_GB2312" w:hAnsi="仿宋_GB2312" w:eastAsia="仿宋_GB2312" w:cs="仿宋_GB2312"/>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主要用于城乡社区建设、环境整治支出；农林水（类）支出96.77万元，占1.51%</w:t>
      </w:r>
      <w:r>
        <w:rPr>
          <w:rFonts w:hint="eastAsia" w:ascii="仿宋_GB2312" w:hAnsi="仿宋_GB2312" w:eastAsia="仿宋_GB2312" w:cs="仿宋_GB2312"/>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用于农村人居环境打造、农村公益事业支出；交通运输（类）支出0万元，占0%；资源勘探信息等（类）支出0万元，占0%；商业服务业等（类）支出0万元，占0%；金融（类）支出0万元，占0%；援助其他地区（类）支出0万元，占0%；自然资源海洋气象等（类）支出0万元，占0%；住房保障（类）支出168.39万元，占2.63%；粮油物资储备（类）支出0万元，占0%；国有资本经营预算支出0万元，占0%；害防治及应急管理（类）支出0万元，占0%；其他（类）支出0万元，占0%；债务</w:t>
      </w:r>
      <w:r>
        <w:rPr>
          <w:rFonts w:hint="default" w:ascii="Times New Roman" w:hAnsi="Times New Roman" w:eastAsia="仿宋_GB2312" w:cs="Times New Roman"/>
          <w:color w:val="auto"/>
          <w:kern w:val="2"/>
          <w:sz w:val="32"/>
          <w:szCs w:val="32"/>
          <w:lang w:val="en-US" w:eastAsia="zh-CN" w:bidi="ar-SA"/>
        </w:rPr>
        <w:t>还本</w:t>
      </w:r>
      <w:r>
        <w:rPr>
          <w:rFonts w:hint="default" w:ascii="Times New Roman" w:hAnsi="Times New Roman" w:eastAsia="仿宋_GB2312" w:cs="Times New Roman"/>
          <w:color w:val="auto"/>
          <w:kern w:val="2"/>
          <w:sz w:val="32"/>
          <w:szCs w:val="32"/>
          <w:lang w:val="zh-CN" w:eastAsia="zh-CN" w:bidi="ar-SA"/>
        </w:rPr>
        <w:t>（类）支出0万元，占0%；债务付息（类）支出0万元，占0%；抗疫特别国债安排的支出0万 元，占0%。</w:t>
      </w:r>
    </w:p>
    <w:p>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drawing>
          <wp:inline distT="0" distB="0" distL="114300" distR="114300">
            <wp:extent cx="5256530" cy="2988310"/>
            <wp:effectExtent l="0" t="0" r="1270" b="2540"/>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pStyle w:val="10"/>
        <w:widowControl/>
        <w:numPr>
          <w:ilvl w:val="0"/>
          <w:numId w:val="2"/>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2,490.87万元，其中：人员经费1,910.02万元，主要包括基本工资、津贴补贴、奖金、机关事业部门基本养老保险缴费、职工基本医疗保险缴费、公务员医疗补助缴费、住房公积金、其他社会保障缴费、其他工资福利支出</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 xml:space="preserve"> 退休费、生活补助</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其他对</w:t>
      </w:r>
      <w:r>
        <w:rPr>
          <w:rFonts w:hint="default" w:ascii="Times New Roman" w:hAnsi="Times New Roman" w:eastAsia="仿宋_GB2312" w:cs="Times New Roman"/>
          <w:i w:val="0"/>
          <w:iCs w:val="0"/>
          <w:caps w:val="0"/>
          <w:color w:val="333333"/>
          <w:spacing w:val="0"/>
          <w:sz w:val="33"/>
          <w:szCs w:val="33"/>
          <w:highlight w:val="none"/>
          <w:shd w:val="clear" w:fill="FFFFFF"/>
        </w:rPr>
        <w:t>个人和家庭</w:t>
      </w:r>
      <w:r>
        <w:rPr>
          <w:rFonts w:hint="default" w:ascii="Times New Roman" w:hAnsi="Times New Roman" w:eastAsia="仿宋_GB2312" w:cs="Times New Roman"/>
          <w:color w:val="auto"/>
          <w:kern w:val="2"/>
          <w:sz w:val="32"/>
          <w:szCs w:val="32"/>
          <w:lang w:val="zh-CN" w:eastAsia="zh-CN" w:bidi="ar-SA"/>
        </w:rPr>
        <w:t>的补助支出。</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ascii="Times New Roman" w:hAnsi="Times New Roman" w:eastAsia="仿宋_GB2312"/>
          <w:sz w:val="32"/>
          <w:szCs w:val="32"/>
          <w:highlight w:val="yellow"/>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公用经费580.84万元，主要包括办公费、水费、电费、邮电费、取暖费、培训费、劳务费、工会经费、福利费、公务用车运行维护费、其他交通费用、其他商品和服务支出</w:t>
      </w:r>
      <w:r>
        <w:rPr>
          <w:rFonts w:hint="eastAsia" w:ascii="Times New Roman" w:hAnsi="Times New Roman" w:eastAsia="仿宋_GB2312" w:cs="Times New Roman"/>
          <w:color w:val="auto"/>
          <w:kern w:val="2"/>
          <w:sz w:val="32"/>
          <w:szCs w:val="32"/>
          <w:lang w:val="zh-CN" w:eastAsia="zh-CN" w:bidi="ar-SA"/>
        </w:rPr>
        <w:t>。</w:t>
      </w:r>
    </w:p>
    <w:p>
      <w:pPr>
        <w:pStyle w:val="10"/>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pPr>
        <w:pStyle w:val="10"/>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pPr>
        <w:pStyle w:val="10"/>
        <w:widowControl/>
        <w:spacing w:beforeAutospacing="0" w:afterAutospacing="0"/>
        <w:rPr>
          <w:rFonts w:ascii="Times New Roman" w:hAnsi="Times New Roman" w:eastAsia="仿宋_GB2312"/>
          <w:kern w:val="2"/>
          <w:sz w:val="32"/>
          <w:szCs w:val="32"/>
          <w:highlight w:val="none"/>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年度“三公”经费财政拨款支出预算为9.1万元，支出决算为 8.07万元，完成预算的 88.64%，较预算</w:t>
      </w:r>
      <w:r>
        <w:rPr>
          <w:rFonts w:hint="eastAsia" w:ascii="Times New Roman" w:hAnsi="Times New Roman" w:eastAsia="仿宋_GB2312" w:cs="Times New Roman"/>
          <w:color w:val="auto"/>
          <w:kern w:val="2"/>
          <w:sz w:val="32"/>
          <w:szCs w:val="32"/>
          <w:lang w:val="zh-CN" w:eastAsia="zh-CN" w:bidi="ar-SA"/>
        </w:rPr>
        <w:t>减少1.03万元，减少11.36%，</w:t>
      </w:r>
      <w:r>
        <w:rPr>
          <w:rFonts w:hint="default" w:ascii="Times New Roman" w:hAnsi="Times New Roman" w:eastAsia="仿宋_GB2312" w:cs="Times New Roman"/>
          <w:color w:val="auto"/>
          <w:kern w:val="2"/>
          <w:sz w:val="32"/>
          <w:szCs w:val="32"/>
          <w:lang w:val="zh-CN" w:eastAsia="zh-CN" w:bidi="ar-SA"/>
        </w:rPr>
        <w:t>主要是</w:t>
      </w:r>
      <w:r>
        <w:rPr>
          <w:rFonts w:hint="default" w:ascii="Times New Roman" w:hAnsi="Times New Roman" w:eastAsia="仿宋_GB2312" w:cs="Times New Roman"/>
          <w:color w:val="auto"/>
          <w:kern w:val="2"/>
          <w:sz w:val="32"/>
          <w:szCs w:val="32"/>
          <w:highlight w:val="none"/>
          <w:lang w:val="zh-CN" w:eastAsia="zh-CN" w:bidi="ar-SA"/>
        </w:rPr>
        <w:t>一是本单位无公务出国（境）</w:t>
      </w:r>
      <w:r>
        <w:rPr>
          <w:rFonts w:hint="eastAsia" w:ascii="Times New Roman" w:hAnsi="Times New Roman" w:eastAsia="仿宋_GB2312" w:cs="Times New Roman"/>
          <w:color w:val="auto"/>
          <w:kern w:val="2"/>
          <w:sz w:val="32"/>
          <w:szCs w:val="32"/>
          <w:highlight w:val="none"/>
          <w:lang w:val="zh-CN" w:eastAsia="zh-CN" w:bidi="ar-SA"/>
        </w:rPr>
        <w:t>，</w:t>
      </w:r>
      <w:r>
        <w:rPr>
          <w:rFonts w:hint="default" w:ascii="Times New Roman" w:hAnsi="Times New Roman" w:eastAsia="仿宋_GB2312" w:cs="Times New Roman"/>
          <w:color w:val="auto"/>
          <w:kern w:val="2"/>
          <w:sz w:val="32"/>
          <w:szCs w:val="32"/>
          <w:highlight w:val="none"/>
          <w:lang w:val="zh-CN" w:eastAsia="zh-CN" w:bidi="ar-SA"/>
        </w:rPr>
        <w:t>未</w:t>
      </w:r>
      <w:r>
        <w:rPr>
          <w:rFonts w:hint="eastAsia" w:ascii="Times New Roman" w:hAnsi="Times New Roman" w:eastAsia="仿宋_GB2312" w:cs="Times New Roman"/>
          <w:color w:val="auto"/>
          <w:kern w:val="2"/>
          <w:sz w:val="32"/>
          <w:szCs w:val="32"/>
          <w:highlight w:val="none"/>
          <w:lang w:val="zh-CN" w:eastAsia="zh-CN" w:bidi="ar-SA"/>
        </w:rPr>
        <w:t>做</w:t>
      </w:r>
      <w:r>
        <w:rPr>
          <w:rFonts w:hint="default" w:ascii="Times New Roman" w:hAnsi="Times New Roman" w:eastAsia="仿宋_GB2312" w:cs="Times New Roman"/>
          <w:color w:val="auto"/>
          <w:kern w:val="2"/>
          <w:sz w:val="32"/>
          <w:szCs w:val="32"/>
          <w:highlight w:val="none"/>
          <w:lang w:val="zh-CN" w:eastAsia="zh-CN" w:bidi="ar-SA"/>
        </w:rPr>
        <w:t>支出预算；二是厉行节约，严控公务接待规模，本年我单位无公务接待费支出。；较2022年度决算</w:t>
      </w:r>
      <w:r>
        <w:rPr>
          <w:rFonts w:hint="eastAsia" w:ascii="Times New Roman" w:hAnsi="Times New Roman" w:eastAsia="仿宋_GB2312" w:cs="Times New Roman"/>
          <w:color w:val="auto"/>
          <w:kern w:val="2"/>
          <w:sz w:val="32"/>
          <w:szCs w:val="32"/>
          <w:highlight w:val="none"/>
          <w:lang w:val="zh-CN" w:eastAsia="zh-CN" w:bidi="ar-SA"/>
        </w:rPr>
        <w:t>减少0.03万元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highlight w:val="none"/>
          <w:lang w:val="zh-CN" w:eastAsia="zh-CN" w:bidi="ar-SA"/>
        </w:rPr>
        <w:t>减少0.36%，</w:t>
      </w:r>
      <w:r>
        <w:rPr>
          <w:rFonts w:hint="default" w:ascii="Times New Roman" w:hAnsi="Times New Roman" w:eastAsia="仿宋_GB2312" w:cs="Times New Roman"/>
          <w:color w:val="auto"/>
          <w:kern w:val="2"/>
          <w:sz w:val="32"/>
          <w:szCs w:val="32"/>
          <w:highlight w:val="none"/>
          <w:lang w:val="zh-CN" w:eastAsia="zh-CN" w:bidi="ar-SA"/>
        </w:rPr>
        <w:t>主要是</w:t>
      </w:r>
      <w:r>
        <w:rPr>
          <w:rFonts w:hint="eastAsia" w:ascii="Times New Roman" w:hAnsi="Times New Roman" w:eastAsia="仿宋_GB2312" w:cs="Times New Roman"/>
          <w:color w:val="auto"/>
          <w:kern w:val="2"/>
          <w:sz w:val="32"/>
          <w:szCs w:val="32"/>
          <w:highlight w:val="none"/>
          <w:lang w:val="zh-CN" w:eastAsia="zh-CN" w:bidi="ar-SA"/>
        </w:rPr>
        <w:t>公务用车费用略有减少</w:t>
      </w:r>
      <w:r>
        <w:rPr>
          <w:rFonts w:hint="default" w:ascii="Times New Roman" w:hAnsi="Times New Roman" w:eastAsia="仿宋_GB2312" w:cs="Times New Roman"/>
          <w:color w:val="auto"/>
          <w:kern w:val="2"/>
          <w:sz w:val="32"/>
          <w:szCs w:val="32"/>
          <w:highlight w:val="none"/>
          <w:lang w:val="zh-CN" w:eastAsia="zh-CN" w:bidi="ar-SA"/>
        </w:rPr>
        <w:t>。</w:t>
      </w:r>
    </w:p>
    <w:p>
      <w:pPr>
        <w:adjustRightInd w:val="0"/>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highlight w:val="none"/>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kern w:val="2"/>
          <w:sz w:val="32"/>
          <w:szCs w:val="32"/>
          <w:highlight w:val="none"/>
          <w:lang w:val="en-US" w:eastAsia="zh-CN" w:bidi="ar-SA"/>
        </w:rPr>
        <w:t>主要是本单位202</w:t>
      </w:r>
      <w:r>
        <w:rPr>
          <w:rFonts w:hint="eastAsia" w:ascii="Times New Roman" w:hAnsi="Times New Roman" w:eastAsia="仿宋_GB2312" w:cs="Times New Roman"/>
          <w:color w:val="auto"/>
          <w:kern w:val="2"/>
          <w:sz w:val="32"/>
          <w:szCs w:val="32"/>
          <w:highlight w:val="none"/>
          <w:lang w:val="en-US" w:eastAsia="zh-CN" w:bidi="ar-SA"/>
        </w:rPr>
        <w:t>3</w:t>
      </w:r>
      <w:r>
        <w:rPr>
          <w:rFonts w:hint="default" w:ascii="Times New Roman" w:hAnsi="Times New Roman" w:eastAsia="仿宋_GB2312" w:cs="Times New Roman"/>
          <w:color w:val="auto"/>
          <w:kern w:val="2"/>
          <w:sz w:val="32"/>
          <w:szCs w:val="32"/>
          <w:highlight w:val="none"/>
          <w:lang w:val="en-US" w:eastAsia="zh-CN" w:bidi="ar-SA"/>
        </w:rPr>
        <w:t>年度无因公出国（境）支出预算；较上年</w:t>
      </w:r>
      <w:r>
        <w:rPr>
          <w:rFonts w:hint="eastAsia" w:ascii="Times New Roman" w:hAnsi="Times New Roman" w:eastAsia="仿宋_GB2312" w:cs="Times New Roman"/>
          <w:color w:val="auto"/>
          <w:kern w:val="2"/>
          <w:sz w:val="32"/>
          <w:szCs w:val="32"/>
          <w:highlight w:val="none"/>
          <w:lang w:val="zh-CN" w:eastAsia="zh-CN" w:bidi="ar-SA"/>
        </w:rPr>
        <w:t>持平</w:t>
      </w:r>
      <w:r>
        <w:rPr>
          <w:rFonts w:hint="default" w:ascii="Times New Roman" w:hAnsi="Times New Roman" w:eastAsia="仿宋_GB2312" w:cs="Times New Roman"/>
          <w:color w:val="auto"/>
          <w:kern w:val="2"/>
          <w:sz w:val="32"/>
          <w:szCs w:val="32"/>
          <w:highlight w:val="none"/>
          <w:lang w:val="en-US" w:eastAsia="zh-CN" w:bidi="ar-SA"/>
        </w:rPr>
        <w:t>，主要是本单位202</w:t>
      </w:r>
      <w:r>
        <w:rPr>
          <w:rFonts w:hint="eastAsia" w:ascii="Times New Roman" w:hAnsi="Times New Roman" w:eastAsia="仿宋_GB2312" w:cs="Times New Roman"/>
          <w:color w:val="auto"/>
          <w:kern w:val="2"/>
          <w:sz w:val="32"/>
          <w:szCs w:val="32"/>
          <w:highlight w:val="none"/>
          <w:lang w:val="en-US" w:eastAsia="zh-CN" w:bidi="ar-SA"/>
        </w:rPr>
        <w:t>3</w:t>
      </w:r>
      <w:r>
        <w:rPr>
          <w:rFonts w:hint="default" w:ascii="Times New Roman" w:hAnsi="Times New Roman" w:eastAsia="仿宋_GB2312" w:cs="Times New Roman"/>
          <w:color w:val="auto"/>
          <w:kern w:val="2"/>
          <w:sz w:val="32"/>
          <w:szCs w:val="32"/>
          <w:highlight w:val="none"/>
          <w:lang w:val="en-US" w:eastAsia="zh-CN" w:bidi="ar-SA"/>
        </w:rPr>
        <w:t>年度无因公出国（境）支出预算。因公出国（境）团组0个、共0人、参加其他单位组织的因公出国（境）团组</w:t>
      </w:r>
      <w:r>
        <w:rPr>
          <w:rFonts w:hint="eastAsia" w:ascii="Times New Roman" w:hAnsi="Times New Roman" w:eastAsia="仿宋_GB2312" w:cs="Times New Roman"/>
          <w:color w:val="auto"/>
          <w:kern w:val="2"/>
          <w:sz w:val="32"/>
          <w:szCs w:val="32"/>
          <w:highlight w:val="none"/>
          <w:lang w:val="en-US" w:eastAsia="zh-CN" w:bidi="ar-SA"/>
        </w:rPr>
        <w:t>0</w:t>
      </w:r>
      <w:r>
        <w:rPr>
          <w:rFonts w:hint="default" w:ascii="Times New Roman" w:hAnsi="Times New Roman" w:eastAsia="仿宋_GB2312" w:cs="Times New Roman"/>
          <w:color w:val="auto"/>
          <w:kern w:val="2"/>
          <w:sz w:val="32"/>
          <w:szCs w:val="32"/>
          <w:highlight w:val="none"/>
          <w:lang w:val="en-US" w:eastAsia="zh-CN" w:bidi="ar-SA"/>
        </w:rPr>
        <w:t>个、共</w:t>
      </w:r>
      <w:r>
        <w:rPr>
          <w:rFonts w:hint="eastAsia" w:ascii="Times New Roman" w:hAnsi="Times New Roman" w:eastAsia="仿宋_GB2312" w:cs="Times New Roman"/>
          <w:color w:val="auto"/>
          <w:kern w:val="2"/>
          <w:sz w:val="32"/>
          <w:szCs w:val="32"/>
          <w:highlight w:val="none"/>
          <w:lang w:val="en-US" w:eastAsia="zh-CN" w:bidi="ar-SA"/>
        </w:rPr>
        <w:t>0</w:t>
      </w:r>
      <w:r>
        <w:rPr>
          <w:rFonts w:hint="default" w:ascii="Times New Roman" w:hAnsi="Times New Roman" w:eastAsia="仿宋_GB2312" w:cs="Times New Roman"/>
          <w:color w:val="auto"/>
          <w:kern w:val="2"/>
          <w:sz w:val="32"/>
          <w:szCs w:val="32"/>
          <w:highlight w:val="none"/>
          <w:lang w:val="en-US" w:eastAsia="zh-CN" w:bidi="ar-SA"/>
        </w:rPr>
        <w:t>人</w:t>
      </w:r>
      <w:r>
        <w:rPr>
          <w:rFonts w:hint="eastAsia" w:ascii="Times New Roman" w:hAnsi="Times New Roman" w:eastAsia="仿宋_GB2312" w:cs="Times New Roman"/>
          <w:color w:val="auto"/>
          <w:kern w:val="2"/>
          <w:sz w:val="32"/>
          <w:szCs w:val="32"/>
          <w:highlight w:val="none"/>
          <w:lang w:val="en-US" w:eastAsia="zh-CN" w:bidi="ar-SA"/>
        </w:rPr>
        <w:t>，</w:t>
      </w:r>
      <w:r>
        <w:rPr>
          <w:rFonts w:hint="default" w:ascii="Times New Roman" w:hAnsi="Times New Roman" w:eastAsia="仿宋_GB2312" w:cs="Times New Roman"/>
          <w:color w:val="auto"/>
          <w:kern w:val="2"/>
          <w:sz w:val="32"/>
          <w:szCs w:val="32"/>
          <w:highlight w:val="none"/>
          <w:lang w:val="en-US" w:eastAsia="zh-CN" w:bidi="ar-SA"/>
        </w:rPr>
        <w:t>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Arial" w:cs="Times New Roman"/>
          <w:highlight w:val="none"/>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年度公务用车购置及运行维护费预算为8.1万元，支出决算 8.07万元，完成预算的99.59%,较预算</w:t>
      </w:r>
      <w:r>
        <w:rPr>
          <w:rFonts w:hint="eastAsia" w:ascii="Times New Roman" w:hAnsi="Times New Roman" w:eastAsia="仿宋_GB2312" w:cs="Times New Roman"/>
          <w:color w:val="auto"/>
          <w:kern w:val="2"/>
          <w:sz w:val="32"/>
          <w:szCs w:val="32"/>
          <w:lang w:val="zh-CN" w:eastAsia="zh-CN" w:bidi="ar-SA"/>
        </w:rPr>
        <w:t>减少0.03万元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减少0.41%，</w:t>
      </w:r>
      <w:r>
        <w:rPr>
          <w:rFonts w:hint="default" w:ascii="Times New Roman" w:hAnsi="Times New Roman" w:eastAsia="仿宋_GB2312" w:cs="Times New Roman"/>
          <w:color w:val="auto"/>
          <w:kern w:val="2"/>
          <w:sz w:val="32"/>
          <w:szCs w:val="32"/>
          <w:lang w:val="zh-CN" w:eastAsia="zh-CN" w:bidi="ar-SA"/>
        </w:rPr>
        <w:t>主要是</w:t>
      </w:r>
      <w:r>
        <w:rPr>
          <w:rFonts w:hint="default" w:ascii="Times New Roman" w:hAnsi="Times New Roman" w:eastAsia="仿宋_GB2312" w:cs="Times New Roman"/>
          <w:color w:val="auto"/>
          <w:kern w:val="2"/>
          <w:sz w:val="32"/>
          <w:szCs w:val="32"/>
          <w:highlight w:val="none"/>
          <w:lang w:val="zh-CN" w:eastAsia="zh-CN" w:bidi="ar-SA"/>
        </w:rPr>
        <w:t>本单位202</w:t>
      </w:r>
      <w:r>
        <w:rPr>
          <w:rFonts w:hint="eastAsia" w:ascii="Times New Roman" w:hAnsi="Times New Roman" w:eastAsia="仿宋_GB2312" w:cs="Times New Roman"/>
          <w:color w:val="auto"/>
          <w:kern w:val="2"/>
          <w:sz w:val="32"/>
          <w:szCs w:val="32"/>
          <w:highlight w:val="none"/>
          <w:lang w:val="en-US" w:eastAsia="zh-CN" w:bidi="ar-SA"/>
        </w:rPr>
        <w:t>3</w:t>
      </w:r>
      <w:r>
        <w:rPr>
          <w:rFonts w:hint="default" w:ascii="Times New Roman" w:hAnsi="Times New Roman" w:eastAsia="仿宋_GB2312" w:cs="Times New Roman"/>
          <w:color w:val="auto"/>
          <w:kern w:val="2"/>
          <w:sz w:val="32"/>
          <w:szCs w:val="32"/>
          <w:highlight w:val="none"/>
          <w:lang w:val="zh-CN" w:eastAsia="zh-CN" w:bidi="ar-SA"/>
        </w:rPr>
        <w:t>厉行节约，公车维护略有减少。与上年比持平；较上年</w:t>
      </w:r>
      <w:r>
        <w:rPr>
          <w:rFonts w:hint="eastAsia" w:ascii="Times New Roman" w:hAnsi="Times New Roman" w:eastAsia="仿宋_GB2312" w:cs="Times New Roman"/>
          <w:color w:val="auto"/>
          <w:kern w:val="2"/>
          <w:sz w:val="32"/>
          <w:szCs w:val="32"/>
          <w:highlight w:val="none"/>
          <w:lang w:val="zh-CN" w:eastAsia="zh-CN" w:bidi="ar-SA"/>
        </w:rPr>
        <w:t>减少0.03万元</w:t>
      </w:r>
      <w:r>
        <w:rPr>
          <w:rFonts w:hint="default" w:ascii="Times New Roman" w:hAnsi="Times New Roman" w:eastAsia="仿宋_GB2312" w:cs="Times New Roman"/>
          <w:color w:val="auto"/>
          <w:kern w:val="2"/>
          <w:sz w:val="32"/>
          <w:szCs w:val="32"/>
          <w:highlight w:val="none"/>
          <w:lang w:val="zh-CN" w:eastAsia="zh-CN" w:bidi="ar-SA"/>
        </w:rPr>
        <w:t>，</w:t>
      </w:r>
      <w:r>
        <w:rPr>
          <w:rFonts w:hint="eastAsia" w:ascii="Times New Roman" w:hAnsi="Times New Roman" w:eastAsia="仿宋_GB2312" w:cs="Times New Roman"/>
          <w:color w:val="auto"/>
          <w:kern w:val="2"/>
          <w:sz w:val="32"/>
          <w:szCs w:val="32"/>
          <w:highlight w:val="none"/>
          <w:lang w:val="zh-CN" w:eastAsia="zh-CN" w:bidi="ar-SA"/>
        </w:rPr>
        <w:t>减少0.36%，</w:t>
      </w:r>
      <w:r>
        <w:rPr>
          <w:rFonts w:hint="default" w:ascii="Times New Roman" w:hAnsi="Times New Roman" w:eastAsia="仿宋_GB2312" w:cs="Times New Roman"/>
          <w:color w:val="auto"/>
          <w:kern w:val="2"/>
          <w:sz w:val="32"/>
          <w:szCs w:val="32"/>
          <w:highlight w:val="none"/>
          <w:lang w:val="zh-CN" w:eastAsia="zh-CN" w:bidi="ar-SA"/>
        </w:rPr>
        <w:t>主要是公车维护略有减少。其中：</w:t>
      </w:r>
    </w:p>
    <w:p>
      <w:pPr>
        <w:adjustRightInd w:val="0"/>
        <w:snapToGrid w:val="0"/>
        <w:spacing w:line="580" w:lineRule="exact"/>
        <w:ind w:firstLine="643" w:firstLineChars="200"/>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w:t>
      </w:r>
      <w:r>
        <w:rPr>
          <w:rFonts w:hint="default" w:ascii="Times New Roman" w:hAnsi="Times New Roman" w:eastAsia="仿宋_GB2312" w:cs="Times New Roman"/>
          <w:color w:val="auto"/>
          <w:kern w:val="0"/>
          <w:sz w:val="32"/>
          <w:szCs w:val="32"/>
          <w:highlight w:val="none"/>
          <w:lang w:val="en-US" w:eastAsia="zh-CN" w:bidi="ar-SA"/>
        </w:rPr>
        <w:t>未发生</w:t>
      </w:r>
      <w:r>
        <w:rPr>
          <w:rFonts w:hint="eastAsia" w:ascii="Times New Roman" w:hAnsi="Times New Roman" w:eastAsia="仿宋_GB2312" w:cs="Times New Roman"/>
          <w:color w:val="auto"/>
          <w:kern w:val="0"/>
          <w:sz w:val="32"/>
          <w:szCs w:val="32"/>
          <w:highlight w:val="none"/>
          <w:lang w:val="en-US" w:eastAsia="zh-CN" w:bidi="ar-SA"/>
        </w:rPr>
        <w:t>“</w:t>
      </w:r>
      <w:r>
        <w:rPr>
          <w:rFonts w:hint="default" w:ascii="Times New Roman" w:hAnsi="Times New Roman" w:eastAsia="仿宋_GB2312" w:cs="Times New Roman"/>
          <w:color w:val="auto"/>
          <w:kern w:val="0"/>
          <w:sz w:val="32"/>
          <w:szCs w:val="32"/>
          <w:highlight w:val="none"/>
          <w:lang w:val="en-US" w:eastAsia="zh-CN" w:bidi="ar-SA"/>
        </w:rPr>
        <w:t>公务用车购置</w:t>
      </w:r>
      <w:r>
        <w:rPr>
          <w:rFonts w:hint="eastAsia" w:ascii="Times New Roman" w:hAnsi="Times New Roman" w:eastAsia="仿宋_GB2312" w:cs="Times New Roman"/>
          <w:color w:val="auto"/>
          <w:kern w:val="0"/>
          <w:sz w:val="32"/>
          <w:szCs w:val="32"/>
          <w:highlight w:val="none"/>
          <w:lang w:val="en-US" w:eastAsia="zh-CN" w:bidi="ar-SA"/>
        </w:rPr>
        <w:t>”</w:t>
      </w:r>
      <w:r>
        <w:rPr>
          <w:rFonts w:hint="default" w:ascii="Times New Roman" w:hAnsi="Times New Roman" w:eastAsia="仿宋_GB2312" w:cs="Times New Roman"/>
          <w:color w:val="auto"/>
          <w:kern w:val="0"/>
          <w:sz w:val="32"/>
          <w:szCs w:val="32"/>
          <w:highlight w:val="none"/>
          <w:lang w:val="en-US" w:eastAsia="zh-CN" w:bidi="ar-SA"/>
        </w:rPr>
        <w:t>经费支出</w:t>
      </w:r>
      <w:r>
        <w:rPr>
          <w:rFonts w:hint="eastAsia" w:ascii="Times New Roman" w:hAnsi="Times New Roman" w:eastAsia="仿宋_GB2312" w:cs="Times New Roman"/>
          <w:color w:val="auto"/>
          <w:kern w:val="0"/>
          <w:sz w:val="32"/>
          <w:szCs w:val="32"/>
          <w:highlight w:val="none"/>
          <w:lang w:val="en-US" w:eastAsia="zh-CN" w:bidi="ar-SA"/>
        </w:rPr>
        <w:t>，</w:t>
      </w:r>
      <w:r>
        <w:rPr>
          <w:rFonts w:hint="default" w:ascii="Times New Roman" w:hAnsi="Times New Roman" w:eastAsia="仿宋_GB2312" w:cs="Times New Roman"/>
          <w:color w:val="auto"/>
          <w:kern w:val="2"/>
          <w:sz w:val="32"/>
          <w:szCs w:val="32"/>
          <w:lang w:val="zh-CN" w:eastAsia="zh-CN" w:bidi="ar-SA"/>
        </w:rPr>
        <w:t>公务用车购置费支出</w:t>
      </w:r>
      <w:r>
        <w:rPr>
          <w:rFonts w:hint="eastAsia" w:ascii="Times New Roman" w:hAnsi="Times New Roman" w:eastAsia="仿宋_GB2312" w:cs="Times New Roman"/>
          <w:color w:val="auto"/>
          <w:kern w:val="2"/>
          <w:sz w:val="32"/>
          <w:szCs w:val="32"/>
          <w:lang w:val="zh-CN" w:eastAsia="zh-CN" w:bidi="ar-SA"/>
        </w:rPr>
        <w:t>与</w:t>
      </w:r>
      <w:r>
        <w:rPr>
          <w:rFonts w:hint="default" w:ascii="Times New Roman" w:hAnsi="Times New Roman" w:eastAsia="仿宋_GB2312" w:cs="Times New Roman"/>
          <w:color w:val="auto"/>
          <w:kern w:val="2"/>
          <w:sz w:val="32"/>
          <w:szCs w:val="32"/>
          <w:lang w:val="zh-CN" w:eastAsia="zh-CN" w:bidi="ar-SA"/>
        </w:rPr>
        <w:t>预算</w:t>
      </w:r>
      <w:r>
        <w:rPr>
          <w:rFonts w:hint="eastAsia" w:ascii="Times New Roman" w:hAnsi="Times New Roman" w:eastAsia="仿宋_GB2312" w:cs="Times New Roman"/>
          <w:color w:val="auto"/>
          <w:kern w:val="2"/>
          <w:sz w:val="32"/>
          <w:szCs w:val="32"/>
          <w:lang w:val="zh-CN" w:eastAsia="zh-CN" w:bidi="ar-SA"/>
        </w:rPr>
        <w:t>持平，与</w:t>
      </w:r>
      <w:r>
        <w:rPr>
          <w:rFonts w:hint="eastAsia" w:ascii="Times New Roman" w:hAnsi="Times New Roman" w:eastAsia="仿宋_GB2312" w:cs="Times New Roman"/>
          <w:color w:val="auto"/>
          <w:kern w:val="2"/>
          <w:sz w:val="32"/>
          <w:szCs w:val="32"/>
          <w:lang w:val="en-US" w:eastAsia="zh-CN" w:bidi="ar-SA"/>
        </w:rPr>
        <w:t>2022年度决算支出</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eastAsia"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8.07</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w:t>
      </w:r>
      <w:r>
        <w:rPr>
          <w:rFonts w:hint="eastAsia" w:ascii="Times New Roman" w:hAnsi="Times New Roman" w:eastAsia="仿宋_GB2312" w:cs="Times New Roman"/>
          <w:color w:val="auto"/>
          <w:kern w:val="2"/>
          <w:sz w:val="32"/>
          <w:szCs w:val="32"/>
          <w:lang w:val="en-US" w:eastAsia="zh-CN" w:bidi="ar-SA"/>
        </w:rPr>
        <w:t>3</w:t>
      </w:r>
      <w:bookmarkStart w:id="0" w:name="_GoBack"/>
      <w:bookmarkEnd w:id="0"/>
      <w:r>
        <w:rPr>
          <w:rFonts w:hint="default" w:ascii="Times New Roman" w:hAnsi="Times New Roman" w:eastAsia="仿宋_GB2312" w:cs="Times New Roman"/>
          <w:color w:val="auto"/>
          <w:kern w:val="2"/>
          <w:sz w:val="32"/>
          <w:szCs w:val="32"/>
          <w:lang w:val="zh-CN" w:eastAsia="zh-CN" w:bidi="ar-SA"/>
        </w:rPr>
        <w:t>辆，发生运行维护费支出8.07万元。公车运行维护费支出较预算</w:t>
      </w:r>
      <w:r>
        <w:rPr>
          <w:rFonts w:hint="eastAsia" w:ascii="Times New Roman" w:hAnsi="Times New Roman" w:eastAsia="仿宋_GB2312" w:cs="Times New Roman"/>
          <w:color w:val="auto"/>
          <w:kern w:val="2"/>
          <w:sz w:val="32"/>
          <w:szCs w:val="32"/>
          <w:lang w:val="zh-CN" w:eastAsia="zh-CN" w:bidi="ar-SA"/>
        </w:rPr>
        <w:t>减少0.03万元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减少0.41%，</w:t>
      </w:r>
      <w:r>
        <w:rPr>
          <w:rFonts w:hint="default" w:ascii="Times New Roman" w:hAnsi="Times New Roman" w:eastAsia="仿宋_GB2312" w:cs="Times New Roman"/>
          <w:color w:val="auto"/>
          <w:kern w:val="2"/>
          <w:sz w:val="32"/>
          <w:szCs w:val="32"/>
          <w:lang w:val="zh-CN" w:eastAsia="zh-CN" w:bidi="ar-SA"/>
        </w:rPr>
        <w:t>主要是本单位202</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年度厉行节约，公车维护费略有减少；较上年</w:t>
      </w:r>
      <w:r>
        <w:rPr>
          <w:rFonts w:hint="eastAsia" w:ascii="Times New Roman" w:hAnsi="Times New Roman" w:eastAsia="仿宋_GB2312" w:cs="Times New Roman"/>
          <w:color w:val="auto"/>
          <w:kern w:val="2"/>
          <w:sz w:val="32"/>
          <w:szCs w:val="32"/>
          <w:lang w:val="zh-CN" w:eastAsia="zh-CN" w:bidi="ar-SA"/>
        </w:rPr>
        <w:t>减少0.03万元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减少0.36%，</w:t>
      </w:r>
      <w:r>
        <w:rPr>
          <w:rFonts w:hint="default" w:ascii="Times New Roman" w:hAnsi="Times New Roman" w:eastAsia="仿宋_GB2312" w:cs="Times New Roman"/>
          <w:color w:val="auto"/>
          <w:kern w:val="2"/>
          <w:sz w:val="32"/>
          <w:szCs w:val="32"/>
          <w:lang w:val="zh-CN" w:eastAsia="zh-CN" w:bidi="ar-SA"/>
        </w:rPr>
        <w:t>主要是公车维护费略有减少</w:t>
      </w:r>
      <w:r>
        <w:rPr>
          <w:rFonts w:hint="eastAsia"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年度公务接待费支出预算为1万元，支出决算0万元，完成预算的0%。公务接待费支出较预算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减少1万元，减少100%，</w:t>
      </w:r>
      <w:r>
        <w:rPr>
          <w:rFonts w:hint="default" w:ascii="Times New Roman" w:hAnsi="Times New Roman" w:eastAsia="仿宋_GB2312" w:cs="Times New Roman"/>
          <w:color w:val="auto"/>
          <w:kern w:val="2"/>
          <w:sz w:val="32"/>
          <w:szCs w:val="32"/>
          <w:lang w:val="zh-CN" w:eastAsia="zh-CN" w:bidi="ar-SA"/>
        </w:rPr>
        <w:t>主要是</w:t>
      </w:r>
      <w:r>
        <w:rPr>
          <w:rFonts w:hint="default" w:ascii="Times New Roman" w:hAnsi="Times New Roman" w:eastAsia="仿宋_GB2312" w:cs="Times New Roman"/>
          <w:color w:val="auto"/>
          <w:kern w:val="2"/>
          <w:sz w:val="32"/>
          <w:szCs w:val="32"/>
          <w:highlight w:val="none"/>
          <w:lang w:val="zh-CN" w:eastAsia="zh-CN" w:bidi="ar-SA"/>
        </w:rPr>
        <w:t>。主要是厉行节约，严格规范公务接待行为和经费支出</w:t>
      </w:r>
      <w:r>
        <w:rPr>
          <w:rFonts w:hint="eastAsia" w:ascii="Times New Roman" w:hAnsi="Times New Roman" w:eastAsia="仿宋_GB2312" w:cs="Times New Roman"/>
          <w:color w:val="auto"/>
          <w:kern w:val="2"/>
          <w:sz w:val="32"/>
          <w:szCs w:val="32"/>
          <w:highlight w:val="none"/>
          <w:lang w:val="zh-CN" w:eastAsia="zh-CN" w:bidi="ar-SA"/>
        </w:rPr>
        <w:t>，本年未发生公务接待支出</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万元，增加0%，</w:t>
      </w:r>
      <w:r>
        <w:rPr>
          <w:rFonts w:hint="default" w:ascii="Times New Roman" w:hAnsi="Times New Roman" w:eastAsia="仿宋_GB2312" w:cs="Times New Roman"/>
          <w:color w:val="auto"/>
          <w:kern w:val="2"/>
          <w:sz w:val="32"/>
          <w:szCs w:val="32"/>
          <w:lang w:val="zh-CN" w:eastAsia="zh-CN" w:bidi="ar-SA"/>
        </w:rPr>
        <w:t>主要是</w:t>
      </w:r>
      <w:r>
        <w:rPr>
          <w:rFonts w:hint="default" w:ascii="Times New Roman" w:hAnsi="Times New Roman" w:eastAsia="仿宋_GB2312" w:cs="Times New Roman"/>
          <w:color w:val="auto"/>
          <w:kern w:val="2"/>
          <w:sz w:val="32"/>
          <w:szCs w:val="32"/>
          <w:highlight w:val="none"/>
          <w:lang w:val="zh-CN" w:eastAsia="zh-CN" w:bidi="ar-SA"/>
        </w:rPr>
        <w:t>202</w:t>
      </w:r>
      <w:r>
        <w:rPr>
          <w:rFonts w:hint="eastAsia" w:ascii="Times New Roman" w:hAnsi="Times New Roman" w:eastAsia="仿宋_GB2312" w:cs="Times New Roman"/>
          <w:color w:val="auto"/>
          <w:kern w:val="2"/>
          <w:sz w:val="32"/>
          <w:szCs w:val="32"/>
          <w:highlight w:val="none"/>
          <w:lang w:val="en-US" w:eastAsia="zh-CN" w:bidi="ar-SA"/>
        </w:rPr>
        <w:t>3</w:t>
      </w:r>
      <w:r>
        <w:rPr>
          <w:rFonts w:hint="default" w:ascii="Times New Roman" w:hAnsi="Times New Roman" w:eastAsia="仿宋_GB2312" w:cs="Times New Roman"/>
          <w:color w:val="auto"/>
          <w:kern w:val="2"/>
          <w:sz w:val="32"/>
          <w:szCs w:val="32"/>
          <w:highlight w:val="none"/>
          <w:lang w:val="zh-CN" w:eastAsia="zh-CN" w:bidi="ar-SA"/>
        </w:rPr>
        <w:t>年度我单位无公务接待支出</w:t>
      </w:r>
      <w:r>
        <w:rPr>
          <w:rFonts w:hint="eastAsia" w:ascii="Times New Roman" w:hAnsi="Times New Roman" w:eastAsia="仿宋_GB2312" w:cs="Times New Roman"/>
          <w:color w:val="auto"/>
          <w:kern w:val="2"/>
          <w:sz w:val="32"/>
          <w:szCs w:val="32"/>
          <w:highlight w:val="none"/>
          <w:lang w:val="zh-CN" w:eastAsia="zh-CN" w:bidi="ar-SA"/>
        </w:rPr>
        <w:t>，</w:t>
      </w:r>
      <w:r>
        <w:rPr>
          <w:rFonts w:hint="default" w:ascii="Times New Roman" w:hAnsi="Times New Roman" w:eastAsia="仿宋_GB2312" w:cs="Times New Roman"/>
          <w:color w:val="auto"/>
          <w:kern w:val="2"/>
          <w:sz w:val="32"/>
          <w:szCs w:val="32"/>
          <w:highlight w:val="none"/>
          <w:lang w:val="zh-CN" w:eastAsia="zh-CN" w:bidi="ar-SA"/>
        </w:rPr>
        <w:t>与上年相同。本年</w:t>
      </w:r>
      <w:r>
        <w:rPr>
          <w:rFonts w:hint="default" w:ascii="Times New Roman" w:hAnsi="Times New Roman" w:eastAsia="仿宋_GB2312" w:cs="Times New Roman"/>
          <w:color w:val="auto"/>
          <w:kern w:val="2"/>
          <w:sz w:val="32"/>
          <w:szCs w:val="32"/>
          <w:lang w:val="zh-CN" w:eastAsia="zh-CN" w:bidi="ar-SA"/>
        </w:rPr>
        <w:t>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0"/>
        <w:widowControl/>
        <w:spacing w:beforeAutospacing="0" w:afterAutospacing="0"/>
        <w:ind w:firstLine="660" w:firstLineChars="200"/>
        <w:jc w:val="both"/>
        <w:outlineLvl w:val="1"/>
        <w:rPr>
          <w:rFonts w:ascii="Times New Roman" w:hAnsi="Times New Roman" w:eastAsia="仿宋_GB2312"/>
          <w:sz w:val="32"/>
          <w:szCs w:val="32"/>
          <w:highlight w:val="yellow"/>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pPr>
        <w:pStyle w:val="10"/>
        <w:widowControl/>
        <w:spacing w:beforeAutospacing="0" w:afterAutospacing="0"/>
        <w:rPr>
          <w:rFonts w:ascii="Times New Roman" w:hAnsi="Times New Roman" w:eastAsia="仿宋_GB2312"/>
          <w:sz w:val="32"/>
          <w:szCs w:val="32"/>
          <w:highlight w:val="none"/>
        </w:rPr>
      </w:pPr>
      <w:r>
        <w:rPr>
          <w:rFonts w:ascii="Times New Roman" w:hAnsi="Times New Roman" w:eastAsia="仿宋_GB2312"/>
          <w:color w:val="333333"/>
          <w:sz w:val="33"/>
          <w:szCs w:val="33"/>
          <w:shd w:val="clear" w:color="auto" w:fill="FFFFFF"/>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年度机关运行经费支出580.84万元，较2022年度</w:t>
      </w:r>
      <w:r>
        <w:rPr>
          <w:rFonts w:hint="eastAsia" w:ascii="Times New Roman" w:hAnsi="Times New Roman" w:eastAsia="仿宋_GB2312" w:cs="Times New Roman"/>
          <w:color w:val="auto"/>
          <w:kern w:val="2"/>
          <w:sz w:val="32"/>
          <w:szCs w:val="32"/>
          <w:lang w:val="zh-CN" w:eastAsia="zh-CN" w:bidi="ar-SA"/>
        </w:rPr>
        <w:t>减少353.95万元，减少37.86%，</w:t>
      </w:r>
      <w:r>
        <w:rPr>
          <w:rFonts w:hint="default" w:ascii="Times New Roman" w:hAnsi="Times New Roman" w:eastAsia="仿宋_GB2312" w:cs="Times New Roman"/>
          <w:color w:val="auto"/>
          <w:kern w:val="2"/>
          <w:sz w:val="32"/>
          <w:szCs w:val="32"/>
          <w:lang w:val="zh-CN" w:eastAsia="zh-CN" w:bidi="ar-SA"/>
        </w:rPr>
        <w:t>主要原因是</w:t>
      </w:r>
      <w:r>
        <w:rPr>
          <w:rFonts w:hint="default" w:ascii="Times New Roman" w:hAnsi="Times New Roman" w:eastAsia="仿宋_GB2312" w:cs="Times New Roman"/>
          <w:color w:val="auto"/>
          <w:kern w:val="2"/>
          <w:sz w:val="32"/>
          <w:szCs w:val="32"/>
          <w:highlight w:val="none"/>
          <w:lang w:val="zh-CN" w:eastAsia="zh-CN" w:bidi="ar-SA"/>
        </w:rPr>
        <w:t>临聘人员劳务费本年在公用经费商品和服务支出中填报。</w:t>
      </w:r>
    </w:p>
    <w:p>
      <w:pPr>
        <w:adjustRightInd w:val="0"/>
        <w:snapToGrid w:val="0"/>
        <w:spacing w:line="580" w:lineRule="exact"/>
        <w:ind w:firstLine="660" w:firstLineChars="200"/>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pPr>
        <w:pStyle w:val="10"/>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本单位2023</w:t>
      </w:r>
      <w:r>
        <w:rPr>
          <w:rFonts w:ascii="Times New Roman" w:hAnsi="Times New Roman" w:eastAsia="仿宋_GB2312"/>
          <w:kern w:val="2"/>
          <w:sz w:val="32"/>
          <w:szCs w:val="32"/>
          <w:lang w:val="zh-CN"/>
        </w:rPr>
        <w:t>年度政府采购支出总额</w:t>
      </w:r>
      <w:r>
        <w:rPr>
          <w:rFonts w:ascii="Times New Roman" w:hAnsi="Times New Roman" w:eastAsia="仿宋_GB2312"/>
          <w:kern w:val="2"/>
          <w:sz w:val="32"/>
          <w:szCs w:val="32"/>
        </w:rPr>
        <w:t>33.31</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从采购类型来看</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政府采购货物支出</w:t>
      </w:r>
      <w:r>
        <w:rPr>
          <w:rFonts w:ascii="Times New Roman" w:hAnsi="Times New Roman" w:eastAsia="仿宋_GB2312"/>
          <w:kern w:val="2"/>
          <w:sz w:val="32"/>
          <w:szCs w:val="32"/>
        </w:rPr>
        <w:t>21.01</w:t>
      </w:r>
      <w:r>
        <w:rPr>
          <w:rFonts w:ascii="Times New Roman" w:hAnsi="Times New Roman" w:eastAsia="仿宋_GB2312"/>
          <w:kern w:val="2"/>
          <w:sz w:val="32"/>
          <w:szCs w:val="32"/>
          <w:lang w:val="zh-CN"/>
        </w:rPr>
        <w:t>万元、政府采购工程支出</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万元、政府采购服务支出</w:t>
      </w:r>
      <w:r>
        <w:rPr>
          <w:rFonts w:ascii="Times New Roman" w:hAnsi="Times New Roman" w:eastAsia="仿宋_GB2312"/>
          <w:kern w:val="2"/>
          <w:sz w:val="32"/>
          <w:szCs w:val="32"/>
        </w:rPr>
        <w:t>12.3</w:t>
      </w:r>
      <w:r>
        <w:rPr>
          <w:rFonts w:ascii="Times New Roman" w:hAnsi="Times New Roman" w:eastAsia="仿宋_GB2312"/>
          <w:kern w:val="2"/>
          <w:sz w:val="32"/>
          <w:szCs w:val="32"/>
          <w:lang w:val="zh-CN"/>
        </w:rPr>
        <w:t>万元。授予中小企业</w:t>
      </w:r>
      <w:r>
        <w:rPr>
          <w:rFonts w:ascii="Times New Roman" w:hAnsi="Times New Roman" w:eastAsia="仿宋_GB2312"/>
          <w:kern w:val="2"/>
          <w:sz w:val="32"/>
          <w:szCs w:val="32"/>
        </w:rPr>
        <w:t>合同金额</w:t>
      </w:r>
      <w:r>
        <w:rPr>
          <w:rFonts w:ascii="Times New Roman" w:hAnsi="Times New Roman" w:eastAsia="仿宋_GB2312"/>
          <w:kern w:val="2"/>
          <w:sz w:val="32"/>
          <w:szCs w:val="32"/>
          <w:lang w:val="zh-CN"/>
        </w:rPr>
        <w:t>33.31万元，占政府采购支出总额的100%，其中授予小微企业合同金额32.11万元，占政府采购支出总额的96.4%。</w:t>
      </w:r>
    </w:p>
    <w:p>
      <w:pPr>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年12月31日，4共有车辆本单位辆，比上年</w:t>
      </w:r>
      <w:r>
        <w:rPr>
          <w:rFonts w:hint="eastAsia" w:ascii="Times New Roman" w:hAnsi="Times New Roman" w:eastAsia="仿宋_GB2312" w:cs="Times New Roman"/>
          <w:color w:val="auto"/>
          <w:kern w:val="2"/>
          <w:sz w:val="32"/>
          <w:szCs w:val="32"/>
          <w:lang w:val="zh-CN" w:eastAsia="zh-CN" w:bidi="ar-SA"/>
        </w:rPr>
        <w:t>增加1</w:t>
      </w:r>
      <w:r>
        <w:rPr>
          <w:rFonts w:hint="default" w:ascii="Times New Roman" w:hAnsi="Times New Roman" w:eastAsia="仿宋_GB2312" w:cs="Times New Roman"/>
          <w:color w:val="auto"/>
          <w:kern w:val="2"/>
          <w:sz w:val="32"/>
          <w:szCs w:val="32"/>
          <w:lang w:val="zh-CN" w:eastAsia="zh-CN" w:bidi="ar-SA"/>
        </w:rPr>
        <w:t>辆</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增加了</w:t>
      </w:r>
      <w:r>
        <w:rPr>
          <w:rFonts w:hint="eastAsia" w:ascii="Times New Roman" w:hAnsi="Times New Roman" w:eastAsia="仿宋_GB2312" w:cs="Times New Roman"/>
          <w:color w:val="auto"/>
          <w:kern w:val="2"/>
          <w:sz w:val="32"/>
          <w:szCs w:val="32"/>
          <w:lang w:val="en-US" w:eastAsia="zh-CN" w:bidi="ar-SA"/>
        </w:rPr>
        <w:t>1辆捐赠的洒水扫地车</w:t>
      </w:r>
      <w:r>
        <w:rPr>
          <w:rFonts w:hint="default" w:ascii="Times New Roman" w:hAnsi="Times New Roman" w:eastAsia="仿宋_GB2312" w:cs="Times New Roman"/>
          <w:color w:val="auto"/>
          <w:kern w:val="2"/>
          <w:sz w:val="32"/>
          <w:szCs w:val="32"/>
          <w:lang w:val="zh-CN" w:eastAsia="zh-CN" w:bidi="ar-SA"/>
        </w:rPr>
        <w:t>。其中，副部（省）级及以上领导用车0辆，主要</w:t>
      </w:r>
      <w:r>
        <w:rPr>
          <w:rFonts w:hint="default" w:ascii="Times New Roman" w:hAnsi="Times New Roman" w:eastAsia="仿宋_GB2312" w:cs="Times New Roman"/>
          <w:color w:val="auto"/>
          <w:kern w:val="2"/>
          <w:sz w:val="32"/>
          <w:szCs w:val="32"/>
          <w:lang w:val="en-US" w:eastAsia="zh-CN" w:bidi="ar-SA"/>
        </w:rPr>
        <w:t>负责人</w:t>
      </w:r>
      <w:r>
        <w:rPr>
          <w:rFonts w:hint="default" w:ascii="Times New Roman" w:hAnsi="Times New Roman" w:eastAsia="仿宋_GB2312" w:cs="Times New Roman"/>
          <w:color w:val="auto"/>
          <w:kern w:val="2"/>
          <w:sz w:val="32"/>
          <w:szCs w:val="32"/>
          <w:lang w:val="zh-CN" w:eastAsia="zh-CN" w:bidi="ar-SA"/>
        </w:rPr>
        <w:t>用车0辆，机要通信用车1辆，应急保障用车0辆，执法执勤用车0辆，特种专业技术用车1辆，离退休干部用车1辆，其他用车1辆，其他用车 主要是</w:t>
      </w:r>
      <w:r>
        <w:rPr>
          <w:rFonts w:hint="eastAsia" w:ascii="Times New Roman" w:hAnsi="Times New Roman" w:eastAsia="仿宋_GB2312" w:cs="Times New Roman"/>
          <w:color w:val="auto"/>
          <w:kern w:val="2"/>
          <w:sz w:val="32"/>
          <w:szCs w:val="32"/>
          <w:lang w:val="zh-CN" w:eastAsia="zh-CN" w:bidi="ar-SA"/>
        </w:rPr>
        <w:t>日常公共用车</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0"/>
        <w:widowControl/>
        <w:spacing w:beforeAutospacing="0" w:afterAutospacing="0"/>
        <w:ind w:firstLine="640" w:firstLineChars="200"/>
        <w:jc w:val="both"/>
        <w:outlineLvl w:val="1"/>
        <w:rPr>
          <w:rFonts w:ascii="Times New Roman" w:hAnsi="Times New Roman" w:eastAsia="黑体"/>
          <w:kern w:val="2"/>
          <w:sz w:val="32"/>
          <w:szCs w:val="40"/>
          <w:highlight w:val="none"/>
        </w:rPr>
      </w:pPr>
      <w:r>
        <w:rPr>
          <w:rFonts w:ascii="Times New Roman" w:hAnsi="Times New Roman" w:eastAsia="黑体"/>
          <w:kern w:val="2"/>
          <w:sz w:val="32"/>
          <w:szCs w:val="40"/>
          <w:highlight w:val="none"/>
        </w:rPr>
        <w:t>九、预算绩效情况说明</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（一）预算绩效管理工作开展情况</w:t>
      </w:r>
    </w:p>
    <w:p>
      <w:pPr>
        <w:pStyle w:val="10"/>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根据预算绩效管理要求</w:t>
      </w:r>
      <w:r>
        <w:rPr>
          <w:rFonts w:ascii="Times New Roman" w:hAnsi="Times New Roman" w:eastAsia="仿宋_GB2312"/>
          <w:kern w:val="2"/>
          <w:sz w:val="32"/>
          <w:szCs w:val="32"/>
        </w:rPr>
        <w:t>，本单位</w:t>
      </w:r>
      <w:r>
        <w:rPr>
          <w:rFonts w:ascii="Times New Roman" w:hAnsi="Times New Roman" w:eastAsia="仿宋_GB2312"/>
          <w:kern w:val="2"/>
          <w:sz w:val="32"/>
          <w:szCs w:val="32"/>
          <w:lang w:val="zh-CN"/>
        </w:rPr>
        <w:t>组织对</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年度一般公共预算项目支出全面开展绩效自评</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其中</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一级项目</w:t>
      </w:r>
      <w:r>
        <w:rPr>
          <w:rFonts w:hint="eastAsia" w:ascii="Times New Roman" w:hAnsi="Times New Roman" w:eastAsia="仿宋_GB2312"/>
          <w:kern w:val="2"/>
          <w:sz w:val="32"/>
          <w:szCs w:val="32"/>
          <w:lang w:val="en-US" w:eastAsia="zh-CN"/>
        </w:rPr>
        <w:t>11</w:t>
      </w:r>
      <w:r>
        <w:rPr>
          <w:rFonts w:ascii="Times New Roman" w:hAnsi="Times New Roman" w:eastAsia="仿宋_GB2312"/>
          <w:kern w:val="2"/>
          <w:sz w:val="32"/>
          <w:szCs w:val="32"/>
          <w:lang w:val="zh-CN"/>
        </w:rPr>
        <w:t>个</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二级项目</w:t>
      </w:r>
      <w:r>
        <w:rPr>
          <w:rFonts w:hint="eastAsia" w:ascii="Times New Roman" w:hAnsi="Times New Roman" w:eastAsia="仿宋_GB2312"/>
          <w:kern w:val="2"/>
          <w:sz w:val="32"/>
          <w:szCs w:val="32"/>
          <w:lang w:val="en-US" w:eastAsia="zh-CN"/>
        </w:rPr>
        <w:t>14</w:t>
      </w:r>
      <w:r>
        <w:rPr>
          <w:rFonts w:ascii="Times New Roman" w:hAnsi="Times New Roman" w:eastAsia="仿宋_GB2312"/>
          <w:kern w:val="2"/>
          <w:sz w:val="32"/>
          <w:szCs w:val="32"/>
          <w:lang w:val="zh-CN"/>
        </w:rPr>
        <w:t>个</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共涉及资金</w:t>
      </w:r>
      <w:r>
        <w:rPr>
          <w:rFonts w:hint="eastAsia" w:ascii="Times New Roman" w:hAnsi="Times New Roman" w:eastAsia="仿宋_GB2312"/>
          <w:kern w:val="2"/>
          <w:sz w:val="32"/>
          <w:szCs w:val="32"/>
          <w:lang w:val="en-US" w:eastAsia="zh-CN"/>
        </w:rPr>
        <w:t>4302</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占一般公共预算项目支出总额的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。组织对2023年度</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个政府性基金预算项目支出开展绩效自评，共涉及资金</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万元，占政府性基金预算项目支出总额的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%。组织对2023年度</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个国有资本经营预算项目支出开展绩效自评，共涉及资金</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万元，占国有资本经营预算项目支出总额的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w:t>
      </w:r>
    </w:p>
    <w:p>
      <w:pPr>
        <w:adjustRightInd w:val="0"/>
        <w:snapToGrid w:val="0"/>
        <w:spacing w:line="580" w:lineRule="exact"/>
        <w:ind w:firstLine="640" w:firstLineChars="200"/>
        <w:rPr>
          <w:rFonts w:ascii="Times New Roman" w:hAnsi="Times New Roman" w:eastAsia="仿宋_GB2312" w:cs="Times New Roman"/>
          <w:kern w:val="2"/>
          <w:sz w:val="32"/>
          <w:szCs w:val="32"/>
          <w:lang w:val="zh-CN" w:eastAsia="zh-CN" w:bidi="ar-SA"/>
        </w:rPr>
      </w:pPr>
      <w:r>
        <w:rPr>
          <w:rFonts w:hint="eastAsia" w:ascii="Times New Roman" w:hAnsi="Times New Roman" w:eastAsia="仿宋_GB2312" w:cs="Times New Roman"/>
          <w:kern w:val="2"/>
          <w:sz w:val="32"/>
          <w:szCs w:val="32"/>
          <w:lang w:val="zh-CN" w:eastAsia="zh-CN" w:bidi="ar-SA"/>
        </w:rPr>
        <w:t>组织对区级“啤酒厂占地补偿、获鹿北侧监测点周边绿化”等</w:t>
      </w:r>
      <w:r>
        <w:rPr>
          <w:rFonts w:hint="eastAsia" w:ascii="Times New Roman" w:hAnsi="Times New Roman" w:eastAsia="仿宋_GB2312" w:cs="Times New Roman"/>
          <w:kern w:val="2"/>
          <w:sz w:val="32"/>
          <w:szCs w:val="32"/>
          <w:lang w:val="en-US" w:eastAsia="zh-CN" w:bidi="ar-SA"/>
        </w:rPr>
        <w:t>25</w:t>
      </w:r>
      <w:r>
        <w:rPr>
          <w:rFonts w:hint="eastAsia" w:ascii="Times New Roman" w:hAnsi="Times New Roman" w:eastAsia="仿宋_GB2312" w:cs="Times New Roman"/>
          <w:kern w:val="2"/>
          <w:sz w:val="32"/>
          <w:szCs w:val="32"/>
          <w:lang w:val="zh-CN" w:eastAsia="zh-CN" w:bidi="ar-SA"/>
        </w:rPr>
        <w:t>个项目开展了部门评价，涉及一般公共预算支出</w:t>
      </w:r>
      <w:r>
        <w:rPr>
          <w:rFonts w:hint="eastAsia" w:ascii="Times New Roman" w:hAnsi="Times New Roman" w:eastAsia="仿宋_GB2312" w:cs="Times New Roman"/>
          <w:kern w:val="2"/>
          <w:sz w:val="32"/>
          <w:szCs w:val="32"/>
          <w:lang w:val="en-US" w:eastAsia="zh-CN" w:bidi="ar-SA"/>
        </w:rPr>
        <w:t>4302</w:t>
      </w:r>
      <w:r>
        <w:rPr>
          <w:rFonts w:hint="eastAsia" w:ascii="Times New Roman" w:hAnsi="Times New Roman" w:eastAsia="仿宋_GB2312" w:cs="Times New Roman"/>
          <w:kern w:val="2"/>
          <w:sz w:val="32"/>
          <w:szCs w:val="32"/>
          <w:lang w:val="zh-CN" w:eastAsia="zh-CN" w:bidi="ar-SA"/>
        </w:rPr>
        <w:t>万元；</w:t>
      </w:r>
      <w:r>
        <w:rPr>
          <w:rFonts w:ascii="Times New Roman" w:hAnsi="Times New Roman" w:eastAsia="仿宋_GB2312"/>
          <w:kern w:val="2"/>
          <w:sz w:val="32"/>
          <w:szCs w:val="32"/>
          <w:lang w:val="zh-CN"/>
        </w:rPr>
        <w:t>政府性基金预算支出</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万元，国有资本经营预算支出</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w:t>
      </w:r>
      <w:r>
        <w:rPr>
          <w:rFonts w:hint="eastAsia" w:ascii="Times New Roman" w:hAnsi="Times New Roman" w:eastAsia="仿宋_GB2312" w:cs="Times New Roman"/>
          <w:kern w:val="2"/>
          <w:sz w:val="32"/>
          <w:szCs w:val="32"/>
          <w:lang w:val="zh-CN" w:eastAsia="zh-CN" w:bidi="ar-SA"/>
        </w:rPr>
        <w:t>从评价情况来看区级项目资金及时到位，绩效评估为优，镇级项目绩效评估较差，主要原因是今年预算资金不足，项目进展缓慢。</w:t>
      </w:r>
    </w:p>
    <w:p>
      <w:pPr>
        <w:pStyle w:val="10"/>
        <w:widowControl/>
        <w:spacing w:beforeAutospacing="0" w:afterAutospacing="0"/>
        <w:rPr>
          <w:rFonts w:ascii="Times New Roman" w:hAnsi="Times New Roman" w:eastAsia="Arial"/>
        </w:rPr>
      </w:pP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（二）部门决算中项目绩效自评结果（如有）</w:t>
      </w:r>
    </w:p>
    <w:p>
      <w:pPr>
        <w:pStyle w:val="10"/>
        <w:widowControl/>
        <w:spacing w:beforeAutospacing="0" w:afterAutospacing="0"/>
        <w:ind w:firstLine="660" w:firstLineChars="20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w:t>
      </w:r>
      <w:r>
        <w:rPr>
          <w:rFonts w:ascii="Times New Roman" w:hAnsi="Times New Roman" w:eastAsia="仿宋_GB2312"/>
          <w:kern w:val="2"/>
          <w:sz w:val="32"/>
          <w:szCs w:val="32"/>
          <w:lang w:val="zh-CN"/>
        </w:rPr>
        <w:t>本单位在今年部门决算公开中</w:t>
      </w:r>
      <w:r>
        <w:rPr>
          <w:rFonts w:hint="eastAsia" w:ascii="仿宋_GB2312" w:hAnsi="仿宋_GB2312" w:eastAsia="仿宋_GB2312" w:cs="仿宋_GB2312"/>
          <w:sz w:val="32"/>
          <w:szCs w:val="32"/>
        </w:rPr>
        <w:t>反映“啤酒厂占地补偿、获中侧北监测点周边绿化”等区级资金项目及镇级“公共安全保卫维稳、节能环保管理”等</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个项目绩效自评结果</w:t>
      </w:r>
    </w:p>
    <w:p>
      <w:pPr>
        <w:numPr>
          <w:ilvl w:val="0"/>
          <w:numId w:val="3"/>
        </w:numPr>
        <w:adjustRightInd w:val="0"/>
        <w:snapToGrid w:val="0"/>
        <w:spacing w:line="600" w:lineRule="exact"/>
        <w:ind w:left="-10"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军人退役人员公益岗位工资项目自评综述：根据年初设定的绩效目标，该项目项目绩效自评得分为100分。全年预算数为</w:t>
      </w:r>
      <w:r>
        <w:rPr>
          <w:rFonts w:hint="eastAsia" w:ascii="仿宋_GB2312" w:hAnsi="仿宋_GB2312" w:eastAsia="仿宋_GB2312" w:cs="仿宋_GB2312"/>
          <w:sz w:val="32"/>
          <w:szCs w:val="32"/>
          <w:lang w:val="en-US" w:eastAsia="zh-CN"/>
        </w:rPr>
        <w:t>126.26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126.26</w:t>
      </w:r>
      <w:r>
        <w:rPr>
          <w:rFonts w:hint="eastAsia" w:ascii="仿宋_GB2312" w:hAnsi="仿宋_GB2312" w:eastAsia="仿宋_GB2312" w:cs="仿宋_GB2312"/>
          <w:sz w:val="32"/>
          <w:szCs w:val="32"/>
        </w:rPr>
        <w:t>万元，完成预算的100%。项目绩效目标完成情况：一是按时完成；二是高质量完成。该项目有效安置退役军人岗位</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个，使</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名退役军人得到相应补偿。下一步改进措施：一是健全考核机制；二是加强事后监督。</w:t>
      </w:r>
    </w:p>
    <w:p>
      <w:pPr>
        <w:numPr>
          <w:ilvl w:val="0"/>
          <w:numId w:val="3"/>
        </w:numPr>
        <w:adjustRightInd w:val="0"/>
        <w:snapToGrid w:val="0"/>
        <w:spacing w:line="600" w:lineRule="exact"/>
        <w:ind w:left="-10"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啤酒厂占地补偿、武装部占地补偿、排水泵站管护运行费、获中北侧监测点周边绿化租地、智慧广场花海租地等5个项目绩效自评综述：该5个项目都是区级资金支持项目。预算资金共计86.31万元，执行数86.31万元，预算数和执行数一致，预算完成率100%。项目目标都能按时高质量完成，补偿及时到位有效保障了人民的生活水平。</w:t>
      </w:r>
    </w:p>
    <w:p>
      <w:pPr>
        <w:numPr>
          <w:ilvl w:val="0"/>
          <w:numId w:val="3"/>
        </w:numPr>
        <w:adjustRightInd w:val="0"/>
        <w:snapToGrid w:val="0"/>
        <w:spacing w:line="600" w:lineRule="exact"/>
        <w:ind w:left="-10"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公共安全保卫维稳事务、节能环保管理事务、城乡人居环境打造项目、医疗卫生与计划生育事务、文化体育宣传事务</w:t>
      </w:r>
      <w:r>
        <w:rPr>
          <w:rFonts w:hint="eastAsia" w:ascii="仿宋_GB2312" w:hAnsi="仿宋_GB2312" w:eastAsia="仿宋_GB2312" w:cs="仿宋_GB2312"/>
          <w:sz w:val="32"/>
          <w:szCs w:val="32"/>
          <w:lang w:eastAsia="zh-CN"/>
        </w:rPr>
        <w:t>、垃圾分类项目和疫情防控补助及环境整治项目、村容村貌整治</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个项目都是保障我镇正常运行的自有资金项目。预算资金</w:t>
      </w:r>
      <w:r>
        <w:rPr>
          <w:rFonts w:hint="eastAsia" w:ascii="仿宋_GB2312" w:hAnsi="仿宋_GB2312" w:eastAsia="仿宋_GB2312" w:cs="仿宋_GB2312"/>
          <w:sz w:val="32"/>
          <w:szCs w:val="32"/>
          <w:lang w:val="en-US" w:eastAsia="zh-CN"/>
        </w:rPr>
        <w:t>1370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1370</w:t>
      </w:r>
      <w:r>
        <w:rPr>
          <w:rFonts w:hint="eastAsia" w:ascii="仿宋_GB2312" w:hAnsi="仿宋_GB2312" w:eastAsia="仿宋_GB2312" w:cs="仿宋_GB2312"/>
          <w:sz w:val="32"/>
          <w:szCs w:val="32"/>
        </w:rPr>
        <w:t>万元，预算执行率100%。上述项目目标都能较好完成，保障了我镇各项工作正常运行。</w:t>
      </w:r>
    </w:p>
    <w:p>
      <w:pPr>
        <w:numPr>
          <w:ilvl w:val="0"/>
          <w:numId w:val="3"/>
        </w:numPr>
        <w:adjustRightInd w:val="0"/>
        <w:snapToGrid w:val="0"/>
        <w:spacing w:line="600" w:lineRule="exact"/>
        <w:ind w:left="-10"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城乡社区基础设施建设项目、学校代课老师劳务费项目、机关社区辅助人员劳务费项目、社区管理服务提升4个项目，是我镇的民生投入项目，预算数1</w:t>
      </w:r>
      <w:r>
        <w:rPr>
          <w:rFonts w:hint="eastAsia" w:ascii="仿宋_GB2312" w:hAnsi="仿宋_GB2312" w:eastAsia="仿宋_GB2312" w:cs="仿宋_GB2312"/>
          <w:sz w:val="32"/>
          <w:szCs w:val="32"/>
          <w:lang w:val="en-US" w:eastAsia="zh-CN"/>
        </w:rPr>
        <w:t>680</w:t>
      </w:r>
      <w:r>
        <w:rPr>
          <w:rFonts w:hint="eastAsia" w:ascii="仿宋_GB2312" w:hAnsi="仿宋_GB2312" w:eastAsia="仿宋_GB2312" w:cs="仿宋_GB2312"/>
          <w:sz w:val="32"/>
          <w:szCs w:val="32"/>
        </w:rPr>
        <w:t>万元，执行数1</w:t>
      </w:r>
      <w:r>
        <w:rPr>
          <w:rFonts w:hint="eastAsia" w:ascii="仿宋_GB2312" w:hAnsi="仿宋_GB2312" w:eastAsia="仿宋_GB2312" w:cs="仿宋_GB2312"/>
          <w:sz w:val="32"/>
          <w:szCs w:val="32"/>
          <w:lang w:val="en-US" w:eastAsia="zh-CN"/>
        </w:rPr>
        <w:t>680</w:t>
      </w:r>
      <w:r>
        <w:rPr>
          <w:rFonts w:hint="eastAsia" w:ascii="仿宋_GB2312" w:hAnsi="仿宋_GB2312" w:eastAsia="仿宋_GB2312" w:cs="仿宋_GB2312"/>
          <w:sz w:val="32"/>
          <w:szCs w:val="32"/>
        </w:rPr>
        <w:t>万元，预算执行率100%。由于我镇上年财力不足，上述4个项目202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年度预算资金不足，资金支付需列入下年预算。</w:t>
      </w:r>
    </w:p>
    <w:p>
      <w:pPr>
        <w:numPr>
          <w:ilvl w:val="0"/>
          <w:numId w:val="3"/>
        </w:numPr>
        <w:adjustRightInd w:val="0"/>
        <w:snapToGrid w:val="0"/>
        <w:spacing w:line="600" w:lineRule="exact"/>
        <w:ind w:left="-10" w:firstLine="64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本年福康小区换热站</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社区办公场所租赁</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辅助人员劳务费</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鹿城一号契税缴纳项目、农村生活垃圾清理、纵六街电力敷设及第三实验小学引电工程</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个项目，预算数</w:t>
      </w:r>
      <w:r>
        <w:rPr>
          <w:rFonts w:hint="eastAsia" w:ascii="仿宋_GB2312" w:hAnsi="仿宋_GB2312" w:eastAsia="仿宋_GB2312" w:cs="仿宋_GB2312"/>
          <w:sz w:val="32"/>
          <w:szCs w:val="32"/>
          <w:lang w:val="en-US" w:eastAsia="zh-CN"/>
        </w:rPr>
        <w:t>1040.02</w:t>
      </w:r>
      <w:r>
        <w:rPr>
          <w:rFonts w:hint="eastAsia" w:ascii="仿宋_GB2312" w:hAnsi="仿宋_GB2312" w:eastAsia="仿宋_GB2312" w:cs="仿宋_GB2312"/>
          <w:sz w:val="32"/>
          <w:szCs w:val="32"/>
        </w:rPr>
        <w:t>万元，执行预算数</w:t>
      </w:r>
      <w:r>
        <w:rPr>
          <w:rFonts w:hint="eastAsia" w:ascii="仿宋_GB2312" w:hAnsi="仿宋_GB2312" w:eastAsia="仿宋_GB2312" w:cs="仿宋_GB2312"/>
          <w:sz w:val="32"/>
          <w:szCs w:val="32"/>
          <w:lang w:val="en-US" w:eastAsia="zh-CN"/>
        </w:rPr>
        <w:t>1040.02</w:t>
      </w:r>
      <w:r>
        <w:rPr>
          <w:rFonts w:hint="eastAsia" w:ascii="仿宋_GB2312" w:hAnsi="仿宋_GB2312" w:eastAsia="仿宋_GB2312" w:cs="仿宋_GB2312"/>
          <w:sz w:val="32"/>
          <w:szCs w:val="32"/>
        </w:rPr>
        <w:t>万元，预算执行率100%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个都是本年预算追加项目，均按时保质保量完成了预算目标。</w:t>
      </w:r>
    </w:p>
    <w:p>
      <w:pPr>
        <w:numPr>
          <w:ilvl w:val="0"/>
          <w:numId w:val="4"/>
        </w:numPr>
        <w:adjustRightInd w:val="0"/>
        <w:snapToGrid w:val="0"/>
        <w:spacing w:line="580" w:lineRule="exact"/>
        <w:ind w:left="480" w:leftChars="200" w:firstLine="321" w:firstLineChars="100"/>
        <w:rPr>
          <w:rFonts w:ascii="Times New Roman" w:hAnsi="Times New Roman" w:eastAsia="仿宋_GB2312" w:cs="Times New Roman"/>
          <w:b/>
          <w:bCs/>
          <w:sz w:val="32"/>
          <w:szCs w:val="32"/>
          <w:highlight w:val="none"/>
        </w:rPr>
      </w:pPr>
      <w:r>
        <w:rPr>
          <w:rFonts w:ascii="Times New Roman" w:hAnsi="Times New Roman" w:eastAsia="仿宋_GB2312" w:cs="Times New Roman"/>
          <w:b/>
          <w:bCs/>
          <w:sz w:val="32"/>
          <w:szCs w:val="32"/>
          <w:highlight w:val="none"/>
        </w:rPr>
        <w:t>部门评价项目绩效评价结果（如有）</w:t>
      </w:r>
    </w:p>
    <w:p>
      <w:pPr>
        <w:snapToGrid w:val="0"/>
        <w:spacing w:line="620" w:lineRule="exact"/>
        <w:ind w:firstLine="640" w:firstLineChars="200"/>
        <w:rPr>
          <w:rFonts w:ascii="仿宋_GB2312" w:hAnsi="宋体" w:eastAsia="仿宋_GB2312"/>
          <w:sz w:val="32"/>
          <w:szCs w:val="32"/>
          <w:highlight w:val="none"/>
        </w:rPr>
      </w:pPr>
      <w:r>
        <w:rPr>
          <w:rFonts w:hint="eastAsia" w:ascii="仿宋_GB2312" w:hAnsi="宋体" w:eastAsia="仿宋_GB2312"/>
          <w:sz w:val="32"/>
          <w:szCs w:val="32"/>
          <w:highlight w:val="none"/>
        </w:rPr>
        <w:t>202</w:t>
      </w:r>
      <w:r>
        <w:rPr>
          <w:rFonts w:hint="eastAsia" w:ascii="仿宋_GB2312" w:hAnsi="宋体" w:eastAsia="仿宋_GB2312"/>
          <w:sz w:val="32"/>
          <w:szCs w:val="32"/>
          <w:highlight w:val="none"/>
          <w:lang w:val="en-US" w:eastAsia="zh-CN"/>
        </w:rPr>
        <w:t>3</w:t>
      </w:r>
      <w:r>
        <w:rPr>
          <w:rFonts w:hint="eastAsia" w:ascii="仿宋_GB2312" w:hAnsi="宋体" w:eastAsia="仿宋_GB2312"/>
          <w:sz w:val="32"/>
          <w:szCs w:val="32"/>
          <w:highlight w:val="none"/>
        </w:rPr>
        <w:t>年本单位绩效自评项目共2</w:t>
      </w:r>
      <w:r>
        <w:rPr>
          <w:rFonts w:hint="eastAsia" w:ascii="仿宋_GB2312" w:hAnsi="宋体" w:eastAsia="仿宋_GB2312"/>
          <w:sz w:val="32"/>
          <w:szCs w:val="32"/>
          <w:highlight w:val="none"/>
          <w:lang w:val="en-US" w:eastAsia="zh-CN"/>
        </w:rPr>
        <w:t>5</w:t>
      </w:r>
      <w:r>
        <w:rPr>
          <w:rFonts w:hint="eastAsia" w:ascii="仿宋_GB2312" w:hAnsi="宋体" w:eastAsia="仿宋_GB2312"/>
          <w:sz w:val="32"/>
          <w:szCs w:val="32"/>
          <w:highlight w:val="none"/>
        </w:rPr>
        <w:t>个，其中</w:t>
      </w:r>
      <w:r>
        <w:rPr>
          <w:rFonts w:hint="eastAsia" w:ascii="仿宋_GB2312" w:hAnsi="仿宋" w:eastAsia="仿宋_GB2312"/>
          <w:sz w:val="32"/>
          <w:szCs w:val="32"/>
          <w:highlight w:val="none"/>
        </w:rPr>
        <w:t>评价等级为“优”项目</w:t>
      </w:r>
      <w:r>
        <w:rPr>
          <w:rFonts w:hint="eastAsia" w:ascii="仿宋_GB2312" w:hAnsi="仿宋" w:eastAsia="仿宋_GB2312"/>
          <w:sz w:val="32"/>
          <w:szCs w:val="32"/>
          <w:highlight w:val="none"/>
          <w:lang w:val="en-US" w:eastAsia="zh-CN"/>
        </w:rPr>
        <w:t>20</w:t>
      </w:r>
      <w:r>
        <w:rPr>
          <w:rFonts w:hint="eastAsia" w:ascii="仿宋_GB2312" w:hAnsi="仿宋" w:eastAsia="仿宋_GB2312"/>
          <w:sz w:val="32"/>
          <w:szCs w:val="32"/>
          <w:highlight w:val="none"/>
        </w:rPr>
        <w:t>个，评优率为</w:t>
      </w:r>
      <w:r>
        <w:rPr>
          <w:rFonts w:hint="eastAsia" w:ascii="仿宋_GB2312" w:hAnsi="仿宋" w:eastAsia="仿宋_GB2312"/>
          <w:sz w:val="32"/>
          <w:szCs w:val="32"/>
          <w:highlight w:val="none"/>
          <w:lang w:val="en-US" w:eastAsia="zh-CN"/>
        </w:rPr>
        <w:t>80</w:t>
      </w:r>
      <w:r>
        <w:rPr>
          <w:rFonts w:hint="eastAsia" w:ascii="仿宋_GB2312" w:hAnsi="仿宋" w:eastAsia="仿宋_GB2312"/>
          <w:sz w:val="32"/>
          <w:szCs w:val="32"/>
          <w:highlight w:val="none"/>
        </w:rPr>
        <w:t>%；评价等级为“良”的项目</w:t>
      </w:r>
      <w:r>
        <w:rPr>
          <w:rFonts w:hint="eastAsia" w:ascii="仿宋_GB2312" w:hAnsi="仿宋" w:eastAsia="仿宋_GB2312"/>
          <w:sz w:val="32"/>
          <w:szCs w:val="32"/>
          <w:highlight w:val="none"/>
          <w:lang w:val="en-US" w:eastAsia="zh-CN"/>
        </w:rPr>
        <w:t>5</w:t>
      </w:r>
      <w:r>
        <w:rPr>
          <w:rFonts w:hint="eastAsia" w:ascii="仿宋_GB2312" w:hAnsi="仿宋" w:eastAsia="仿宋_GB2312"/>
          <w:sz w:val="32"/>
          <w:szCs w:val="32"/>
          <w:highlight w:val="none"/>
        </w:rPr>
        <w:t>个，评良率为</w:t>
      </w:r>
      <w:r>
        <w:rPr>
          <w:rFonts w:hint="eastAsia" w:ascii="仿宋_GB2312" w:hAnsi="仿宋" w:eastAsia="仿宋_GB2312"/>
          <w:sz w:val="32"/>
          <w:szCs w:val="32"/>
          <w:highlight w:val="none"/>
          <w:lang w:val="en-US" w:eastAsia="zh-CN"/>
        </w:rPr>
        <w:t>20</w:t>
      </w:r>
      <w:r>
        <w:rPr>
          <w:rFonts w:hint="eastAsia" w:ascii="仿宋_GB2312" w:hAnsi="仿宋" w:eastAsia="仿宋_GB2312"/>
          <w:sz w:val="32"/>
          <w:szCs w:val="32"/>
          <w:highlight w:val="none"/>
        </w:rPr>
        <w:t>%。</w:t>
      </w:r>
      <w:r>
        <w:rPr>
          <w:rFonts w:hint="eastAsia" w:ascii="仿宋_GB2312" w:hAnsi="宋体" w:eastAsia="仿宋_GB2312"/>
          <w:sz w:val="32"/>
          <w:szCs w:val="32"/>
          <w:highlight w:val="none"/>
        </w:rPr>
        <w:t>详见下表。</w:t>
      </w:r>
    </w:p>
    <w:p>
      <w:pPr>
        <w:snapToGrid w:val="0"/>
        <w:spacing w:line="360" w:lineRule="auto"/>
        <w:ind w:left="-120" w:leftChars="-50" w:right="-120" w:rightChars="-50"/>
        <w:jc w:val="center"/>
        <w:rPr>
          <w:rFonts w:ascii="仿宋_GB2312" w:hAnsi="宋体" w:eastAsia="仿宋_GB2312"/>
          <w:b/>
          <w:sz w:val="32"/>
          <w:szCs w:val="32"/>
          <w:highlight w:val="none"/>
        </w:rPr>
      </w:pPr>
      <w:r>
        <w:rPr>
          <w:rFonts w:hint="eastAsia" w:ascii="仿宋_GB2312" w:hAnsi="宋体" w:eastAsia="仿宋_GB2312"/>
          <w:b/>
          <w:sz w:val="32"/>
          <w:szCs w:val="32"/>
          <w:highlight w:val="none"/>
        </w:rPr>
        <w:t>获鹿镇绩效自评结果统计表</w:t>
      </w:r>
    </w:p>
    <w:tbl>
      <w:tblPr>
        <w:tblStyle w:val="11"/>
        <w:tblW w:w="8238" w:type="dxa"/>
        <w:jc w:val="center"/>
        <w:tblLayout w:type="fixed"/>
        <w:tblCellMar>
          <w:top w:w="0" w:type="dxa"/>
          <w:left w:w="108" w:type="dxa"/>
          <w:bottom w:w="0" w:type="dxa"/>
          <w:right w:w="108" w:type="dxa"/>
        </w:tblCellMar>
      </w:tblPr>
      <w:tblGrid>
        <w:gridCol w:w="763"/>
        <w:gridCol w:w="5515"/>
        <w:gridCol w:w="1000"/>
        <w:gridCol w:w="960"/>
      </w:tblGrid>
      <w:tr>
        <w:tblPrEx>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黑体" w:hAnsi="黑体" w:eastAsia="黑体" w:cs="黑体"/>
                <w:kern w:val="0"/>
                <w:sz w:val="22"/>
                <w:szCs w:val="22"/>
              </w:rPr>
            </w:pPr>
            <w:r>
              <w:rPr>
                <w:rFonts w:hint="eastAsia" w:ascii="黑体" w:hAnsi="黑体" w:eastAsia="黑体" w:cs="黑体"/>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spacing w:line="360" w:lineRule="auto"/>
              <w:ind w:left="-120" w:leftChars="-50" w:right="-120" w:rightChars="-50"/>
              <w:jc w:val="center"/>
              <w:rPr>
                <w:rFonts w:ascii="黑体" w:hAnsi="黑体" w:eastAsia="黑体" w:cs="黑体"/>
                <w:kern w:val="0"/>
                <w:sz w:val="22"/>
                <w:szCs w:val="22"/>
              </w:rPr>
            </w:pPr>
            <w:r>
              <w:rPr>
                <w:rFonts w:hint="eastAsia" w:ascii="黑体" w:hAnsi="黑体" w:eastAsia="黑体" w:cs="黑体"/>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spacing w:line="360" w:lineRule="auto"/>
              <w:ind w:left="-120" w:leftChars="-50" w:right="-120" w:rightChars="-50"/>
              <w:jc w:val="center"/>
              <w:rPr>
                <w:rFonts w:ascii="黑体" w:hAnsi="黑体" w:eastAsia="黑体" w:cs="黑体"/>
                <w:kern w:val="0"/>
                <w:sz w:val="22"/>
                <w:szCs w:val="22"/>
              </w:rPr>
            </w:pPr>
            <w:r>
              <w:rPr>
                <w:rFonts w:hint="eastAsia" w:ascii="黑体" w:hAnsi="黑体" w:eastAsia="黑体" w:cs="黑体"/>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spacing w:line="360" w:lineRule="auto"/>
              <w:ind w:left="-120" w:leftChars="-50" w:right="-120" w:rightChars="-50"/>
              <w:jc w:val="center"/>
              <w:rPr>
                <w:rFonts w:ascii="黑体" w:hAnsi="黑体" w:eastAsia="黑体" w:cs="黑体"/>
                <w:kern w:val="0"/>
                <w:sz w:val="22"/>
                <w:szCs w:val="22"/>
              </w:rPr>
            </w:pPr>
            <w:r>
              <w:rPr>
                <w:rFonts w:hint="eastAsia" w:ascii="黑体" w:hAnsi="黑体" w:eastAsia="黑体" w:cs="黑体"/>
                <w:kern w:val="0"/>
                <w:sz w:val="22"/>
                <w:szCs w:val="22"/>
              </w:rPr>
              <w:t>评价等级</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啤酒厂占地补偿</w:t>
            </w:r>
          </w:p>
        </w:tc>
        <w:tc>
          <w:tcPr>
            <w:tcW w:w="100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100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武装部占地补偿</w:t>
            </w:r>
          </w:p>
        </w:tc>
        <w:tc>
          <w:tcPr>
            <w:tcW w:w="100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100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排水泵站管护运行费</w:t>
            </w:r>
          </w:p>
        </w:tc>
        <w:tc>
          <w:tcPr>
            <w:tcW w:w="100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100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获中北侧监测点周边绿化租地款</w:t>
            </w:r>
          </w:p>
        </w:tc>
        <w:tc>
          <w:tcPr>
            <w:tcW w:w="100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100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军人退役人员公益岗位安置</w:t>
            </w:r>
          </w:p>
        </w:tc>
        <w:tc>
          <w:tcPr>
            <w:tcW w:w="100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100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智慧广场花海租地项目</w:t>
            </w:r>
          </w:p>
        </w:tc>
        <w:tc>
          <w:tcPr>
            <w:tcW w:w="1000" w:type="dxa"/>
            <w:tcBorders>
              <w:top w:val="nil"/>
              <w:left w:val="nil"/>
              <w:bottom w:val="single" w:color="auto" w:sz="4" w:space="0"/>
              <w:right w:val="single" w:color="auto" w:sz="4" w:space="0"/>
            </w:tcBorders>
            <w:vAlign w:val="center"/>
          </w:tcPr>
          <w:p>
            <w:pPr>
              <w:widowControl/>
              <w:tabs>
                <w:tab w:val="left" w:pos="426"/>
              </w:tabs>
              <w:spacing w:line="360" w:lineRule="auto"/>
              <w:ind w:left="-120" w:leftChars="-50" w:right="-120"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100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5515"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公共安全保卫维稳事务</w:t>
            </w:r>
          </w:p>
        </w:tc>
        <w:tc>
          <w:tcPr>
            <w:tcW w:w="1000" w:type="dxa"/>
            <w:tcBorders>
              <w:top w:val="nil"/>
              <w:left w:val="nil"/>
              <w:bottom w:val="single" w:color="auto" w:sz="4" w:space="0"/>
              <w:right w:val="single" w:color="auto" w:sz="4" w:space="0"/>
            </w:tcBorders>
            <w:vAlign w:val="center"/>
          </w:tcPr>
          <w:p>
            <w:pPr>
              <w:widowControl/>
              <w:tabs>
                <w:tab w:val="left" w:pos="426"/>
              </w:tabs>
              <w:spacing w:line="360" w:lineRule="auto"/>
              <w:ind w:left="-120" w:leftChars="-50" w:right="-120"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95</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5515"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节能环保管理事务</w:t>
            </w:r>
          </w:p>
        </w:tc>
        <w:tc>
          <w:tcPr>
            <w:tcW w:w="100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9</w:t>
            </w:r>
          </w:p>
        </w:tc>
        <w:tc>
          <w:tcPr>
            <w:tcW w:w="5515"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城乡社区基础设施建设项目</w:t>
            </w:r>
          </w:p>
        </w:tc>
        <w:tc>
          <w:tcPr>
            <w:tcW w:w="100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10</w:t>
            </w:r>
          </w:p>
        </w:tc>
        <w:tc>
          <w:tcPr>
            <w:tcW w:w="5515"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社区管理服务提升项目</w:t>
            </w:r>
          </w:p>
        </w:tc>
        <w:tc>
          <w:tcPr>
            <w:tcW w:w="100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80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hint="eastAsia" w:ascii="Times New Roman" w:hAnsi="Times New Roman" w:eastAsia="仿宋_GB2312" w:cs="Times New Roman"/>
                <w:kern w:val="0"/>
                <w:sz w:val="22"/>
                <w:szCs w:val="22"/>
                <w:lang w:eastAsia="zh-CN"/>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eastAsia="zh-CN"/>
              </w:rPr>
              <w:t>良</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11</w:t>
            </w:r>
          </w:p>
        </w:tc>
        <w:tc>
          <w:tcPr>
            <w:tcW w:w="5515" w:type="dxa"/>
            <w:tcBorders>
              <w:top w:val="nil"/>
              <w:left w:val="nil"/>
              <w:bottom w:val="single" w:color="auto" w:sz="4" w:space="0"/>
              <w:right w:val="single" w:color="auto" w:sz="4" w:space="0"/>
            </w:tcBorders>
            <w:vAlign w:val="center"/>
          </w:tcPr>
          <w:p>
            <w:pPr>
              <w:widowControl/>
              <w:tabs>
                <w:tab w:val="left" w:pos="826"/>
              </w:tabs>
              <w:spacing w:line="360" w:lineRule="auto"/>
              <w:ind w:right="-120" w:rightChars="-50"/>
              <w:rPr>
                <w:rFonts w:ascii="仿宋_GB2312" w:hAnsi="宋体" w:eastAsia="仿宋_GB2312" w:cs="宋体"/>
                <w:kern w:val="0"/>
                <w:sz w:val="22"/>
                <w:szCs w:val="22"/>
              </w:rPr>
            </w:pPr>
            <w:r>
              <w:rPr>
                <w:rFonts w:hint="eastAsia" w:ascii="仿宋_GB2312" w:hAnsi="宋体" w:eastAsia="仿宋_GB2312" w:cs="宋体"/>
                <w:kern w:val="0"/>
                <w:sz w:val="22"/>
                <w:szCs w:val="22"/>
              </w:rPr>
              <w:t>城乡人居环境打造项目</w:t>
            </w:r>
          </w:p>
        </w:tc>
        <w:tc>
          <w:tcPr>
            <w:tcW w:w="100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78</w:t>
            </w:r>
          </w:p>
        </w:tc>
        <w:tc>
          <w:tcPr>
            <w:tcW w:w="960" w:type="dxa"/>
            <w:tcBorders>
              <w:top w:val="nil"/>
              <w:left w:val="nil"/>
              <w:bottom w:val="single" w:color="auto" w:sz="4" w:space="0"/>
              <w:right w:val="single" w:color="auto" w:sz="4" w:space="0"/>
            </w:tcBorders>
            <w:vAlign w:val="center"/>
          </w:tcPr>
          <w:p>
            <w:pPr>
              <w:widowControl/>
              <w:tabs>
                <w:tab w:val="left" w:pos="296"/>
              </w:tabs>
              <w:spacing w:line="360" w:lineRule="auto"/>
              <w:ind w:left="-120" w:leftChars="-50" w:right="-120" w:rightChars="-50"/>
              <w:jc w:val="left"/>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ab/>
            </w:r>
            <w:r>
              <w:rPr>
                <w:rFonts w:hint="eastAsia" w:ascii="Times New Roman" w:hAnsi="Times New Roman" w:eastAsia="仿宋_GB2312" w:cs="Times New Roman"/>
                <w:kern w:val="0"/>
                <w:sz w:val="22"/>
                <w:szCs w:val="22"/>
              </w:rPr>
              <w:t>良</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12</w:t>
            </w:r>
          </w:p>
        </w:tc>
        <w:tc>
          <w:tcPr>
            <w:tcW w:w="5515" w:type="dxa"/>
            <w:tcBorders>
              <w:top w:val="nil"/>
              <w:left w:val="nil"/>
              <w:bottom w:val="single" w:color="auto" w:sz="4" w:space="0"/>
              <w:right w:val="single" w:color="auto" w:sz="4" w:space="0"/>
            </w:tcBorders>
            <w:vAlign w:val="center"/>
          </w:tcPr>
          <w:p>
            <w:pPr>
              <w:widowControl/>
              <w:spacing w:line="360" w:lineRule="auto"/>
              <w:ind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医疗卫生与计划生育事务</w:t>
            </w:r>
          </w:p>
        </w:tc>
        <w:tc>
          <w:tcPr>
            <w:tcW w:w="1000" w:type="dxa"/>
            <w:tcBorders>
              <w:top w:val="nil"/>
              <w:left w:val="nil"/>
              <w:bottom w:val="single" w:color="auto" w:sz="4" w:space="0"/>
              <w:right w:val="single" w:color="auto" w:sz="4" w:space="0"/>
            </w:tcBorders>
            <w:vAlign w:val="center"/>
          </w:tcPr>
          <w:p>
            <w:pPr>
              <w:widowControl/>
              <w:tabs>
                <w:tab w:val="left" w:pos="261"/>
              </w:tabs>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95</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13</w:t>
            </w:r>
          </w:p>
        </w:tc>
        <w:tc>
          <w:tcPr>
            <w:tcW w:w="5515" w:type="dxa"/>
            <w:tcBorders>
              <w:top w:val="nil"/>
              <w:left w:val="nil"/>
              <w:bottom w:val="single" w:color="auto" w:sz="4" w:space="0"/>
              <w:right w:val="single" w:color="auto" w:sz="4" w:space="0"/>
            </w:tcBorders>
            <w:vAlign w:val="center"/>
          </w:tcPr>
          <w:p>
            <w:pPr>
              <w:widowControl/>
              <w:spacing w:line="360" w:lineRule="auto"/>
              <w:ind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机关社区辅助人员劳务费项目</w:t>
            </w:r>
          </w:p>
        </w:tc>
        <w:tc>
          <w:tcPr>
            <w:tcW w:w="1000" w:type="dxa"/>
            <w:tcBorders>
              <w:top w:val="nil"/>
              <w:left w:val="nil"/>
              <w:bottom w:val="single" w:color="auto" w:sz="4" w:space="0"/>
              <w:right w:val="single" w:color="auto" w:sz="4" w:space="0"/>
            </w:tcBorders>
            <w:vAlign w:val="center"/>
          </w:tcPr>
          <w:p>
            <w:pPr>
              <w:widowControl/>
              <w:tabs>
                <w:tab w:val="left" w:pos="366"/>
              </w:tabs>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80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hint="eastAsia" w:ascii="Times New Roman" w:hAnsi="Times New Roman" w:eastAsia="仿宋_GB2312" w:cs="Times New Roman"/>
                <w:kern w:val="0"/>
                <w:sz w:val="22"/>
                <w:szCs w:val="22"/>
                <w:lang w:eastAsia="zh-CN"/>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eastAsia="zh-CN"/>
              </w:rPr>
              <w:t>良</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14</w:t>
            </w:r>
          </w:p>
        </w:tc>
        <w:tc>
          <w:tcPr>
            <w:tcW w:w="5515" w:type="dxa"/>
            <w:tcBorders>
              <w:top w:val="nil"/>
              <w:left w:val="nil"/>
              <w:bottom w:val="single" w:color="auto" w:sz="4" w:space="0"/>
              <w:right w:val="single" w:color="auto" w:sz="4" w:space="0"/>
            </w:tcBorders>
            <w:vAlign w:val="center"/>
          </w:tcPr>
          <w:p>
            <w:pPr>
              <w:widowControl/>
              <w:spacing w:line="360" w:lineRule="auto"/>
              <w:ind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学校代课教师劳务费项目</w:t>
            </w:r>
          </w:p>
        </w:tc>
        <w:tc>
          <w:tcPr>
            <w:tcW w:w="1000" w:type="dxa"/>
            <w:tcBorders>
              <w:top w:val="nil"/>
              <w:left w:val="nil"/>
              <w:bottom w:val="single" w:color="auto" w:sz="4" w:space="0"/>
              <w:right w:val="single" w:color="auto" w:sz="4" w:space="0"/>
            </w:tcBorders>
            <w:vAlign w:val="center"/>
          </w:tcPr>
          <w:p>
            <w:pPr>
              <w:widowControl/>
              <w:tabs>
                <w:tab w:val="left" w:pos="201"/>
              </w:tabs>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85</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eastAsia="zh-CN"/>
              </w:rPr>
              <w:t>良</w:t>
            </w:r>
            <w:r>
              <w:rPr>
                <w:rFonts w:ascii="Times New Roman" w:hAnsi="Times New Roman" w:eastAsia="仿宋_GB2312" w:cs="Times New Roman"/>
                <w:kern w:val="0"/>
                <w:sz w:val="22"/>
                <w:szCs w:val="22"/>
              </w:rPr>
              <w:t xml:space="preserve">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15</w:t>
            </w:r>
          </w:p>
        </w:tc>
        <w:tc>
          <w:tcPr>
            <w:tcW w:w="5515" w:type="dxa"/>
            <w:tcBorders>
              <w:top w:val="nil"/>
              <w:left w:val="nil"/>
              <w:bottom w:val="single" w:color="auto" w:sz="4" w:space="0"/>
              <w:right w:val="single" w:color="auto" w:sz="4" w:space="0"/>
            </w:tcBorders>
            <w:vAlign w:val="center"/>
          </w:tcPr>
          <w:p>
            <w:pPr>
              <w:widowControl/>
              <w:spacing w:line="360" w:lineRule="auto"/>
              <w:ind w:right="-120" w:rightChars="-50"/>
              <w:jc w:val="left"/>
              <w:rPr>
                <w:rFonts w:ascii="仿宋_GB2312" w:hAnsi="宋体" w:eastAsia="仿宋_GB2312" w:cs="宋体"/>
                <w:kern w:val="0"/>
                <w:sz w:val="22"/>
                <w:szCs w:val="22"/>
              </w:rPr>
            </w:pPr>
            <w:r>
              <w:rPr>
                <w:rFonts w:hint="eastAsia" w:ascii="仿宋_GB2312" w:hAnsi="宋体" w:eastAsia="仿宋_GB2312" w:cs="宋体"/>
                <w:kern w:val="0"/>
                <w:sz w:val="22"/>
                <w:szCs w:val="22"/>
              </w:rPr>
              <w:t>文化体育宣传事务</w:t>
            </w:r>
          </w:p>
        </w:tc>
        <w:tc>
          <w:tcPr>
            <w:tcW w:w="1000" w:type="dxa"/>
            <w:tcBorders>
              <w:top w:val="nil"/>
              <w:left w:val="nil"/>
              <w:bottom w:val="single" w:color="auto" w:sz="4" w:space="0"/>
              <w:right w:val="single" w:color="auto" w:sz="4" w:space="0"/>
            </w:tcBorders>
            <w:vAlign w:val="center"/>
          </w:tcPr>
          <w:p>
            <w:pPr>
              <w:widowControl/>
              <w:tabs>
                <w:tab w:val="left" w:pos="201"/>
              </w:tabs>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16</w:t>
            </w:r>
          </w:p>
        </w:tc>
        <w:tc>
          <w:tcPr>
            <w:tcW w:w="5515" w:type="dxa"/>
            <w:tcBorders>
              <w:top w:val="nil"/>
              <w:left w:val="nil"/>
              <w:bottom w:val="single" w:color="auto" w:sz="4" w:space="0"/>
              <w:right w:val="single" w:color="auto" w:sz="4" w:space="0"/>
            </w:tcBorders>
            <w:vAlign w:val="center"/>
          </w:tcPr>
          <w:p>
            <w:pPr>
              <w:widowControl/>
              <w:spacing w:line="360" w:lineRule="auto"/>
              <w:ind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垃圾分类项目</w:t>
            </w:r>
          </w:p>
        </w:tc>
        <w:tc>
          <w:tcPr>
            <w:tcW w:w="1000" w:type="dxa"/>
            <w:tcBorders>
              <w:top w:val="nil"/>
              <w:left w:val="nil"/>
              <w:bottom w:val="single" w:color="auto" w:sz="4" w:space="0"/>
              <w:right w:val="single" w:color="auto" w:sz="4" w:space="0"/>
            </w:tcBorders>
            <w:vAlign w:val="center"/>
          </w:tcPr>
          <w:p>
            <w:pPr>
              <w:widowControl/>
              <w:tabs>
                <w:tab w:val="left" w:pos="276"/>
              </w:tabs>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rPr>
              <w:t>优</w:t>
            </w:r>
          </w:p>
        </w:tc>
      </w:tr>
      <w:tr>
        <w:tblPrEx>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17</w:t>
            </w:r>
          </w:p>
        </w:tc>
        <w:tc>
          <w:tcPr>
            <w:tcW w:w="5515" w:type="dxa"/>
            <w:tcBorders>
              <w:top w:val="nil"/>
              <w:left w:val="nil"/>
              <w:bottom w:val="single" w:color="auto" w:sz="4" w:space="0"/>
              <w:right w:val="single" w:color="auto" w:sz="4" w:space="0"/>
            </w:tcBorders>
            <w:vAlign w:val="center"/>
          </w:tcPr>
          <w:p>
            <w:pPr>
              <w:widowControl/>
              <w:spacing w:line="360" w:lineRule="auto"/>
              <w:ind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追加福康小区换热站项目</w:t>
            </w:r>
          </w:p>
        </w:tc>
        <w:tc>
          <w:tcPr>
            <w:tcW w:w="1000" w:type="dxa"/>
            <w:tcBorders>
              <w:top w:val="nil"/>
              <w:left w:val="nil"/>
              <w:bottom w:val="single" w:color="auto" w:sz="4" w:space="0"/>
              <w:right w:val="single" w:color="auto" w:sz="4" w:space="0"/>
            </w:tcBorders>
            <w:vAlign w:val="center"/>
          </w:tcPr>
          <w:p>
            <w:pPr>
              <w:widowControl/>
              <w:tabs>
                <w:tab w:val="left" w:pos="381"/>
              </w:tabs>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18</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疫情防控补环境整治项目</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95</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ascii="Times New Roman" w:hAnsi="Times New Roman" w:eastAsia="仿宋_GB2312" w:cs="Times New Roman"/>
                <w:kern w:val="0"/>
                <w:sz w:val="22"/>
                <w:szCs w:val="22"/>
              </w:rPr>
              <w:t xml:space="preserve"> 优 </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19</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村容村貌整治项目</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tabs>
                <w:tab w:val="left" w:pos="486"/>
              </w:tabs>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90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优</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20</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办公场所租赁补助项目</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85</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rPr>
              <w:t>良</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21</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城乡社区保洁劳务费项目</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firstLine="217"/>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优</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22</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追加辅助人员劳务费项目</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firstLine="217"/>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优</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23</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追加鹿城一号契税缴纳项目</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firstLine="217"/>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优</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24</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农村生活垃圾清理</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tabs>
                <w:tab w:val="left" w:pos="475"/>
              </w:tabs>
              <w:spacing w:line="360" w:lineRule="auto"/>
              <w:ind w:left="-120" w:leftChars="-50" w:right="-120" w:rightChars="-50" w:firstLine="217"/>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优</w:t>
            </w:r>
          </w:p>
        </w:tc>
      </w:tr>
      <w:tr>
        <w:tblPrEx>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25</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right="-120" w:rightChars="-50"/>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纵六街电力线敷设及第三实验小学引电工程</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firstLine="217"/>
              <w:jc w:val="center"/>
              <w:rPr>
                <w:rFonts w:hint="default"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spacing w:line="360" w:lineRule="auto"/>
              <w:ind w:left="-120" w:leftChars="-50" w:right="-120" w:rightChars="-50"/>
              <w:jc w:val="center"/>
              <w:rPr>
                <w:rFonts w:hint="eastAsia" w:ascii="Times New Roman" w:hAnsi="Times New Roman" w:eastAsia="仿宋_GB2312" w:cs="Times New Roman"/>
                <w:kern w:val="0"/>
                <w:sz w:val="22"/>
                <w:szCs w:val="22"/>
                <w:lang w:eastAsia="zh-CN"/>
              </w:rPr>
            </w:pPr>
            <w:r>
              <w:rPr>
                <w:rFonts w:hint="eastAsia" w:ascii="Times New Roman" w:hAnsi="Times New Roman" w:eastAsia="仿宋_GB2312" w:cs="Times New Roman"/>
                <w:kern w:val="0"/>
                <w:sz w:val="22"/>
                <w:szCs w:val="22"/>
                <w:lang w:eastAsia="zh-CN"/>
              </w:rPr>
              <w:t>优</w:t>
            </w:r>
          </w:p>
        </w:tc>
      </w:tr>
    </w:tbl>
    <w:p>
      <w:pPr>
        <w:numPr>
          <w:ilvl w:val="0"/>
          <w:numId w:val="0"/>
        </w:numPr>
        <w:adjustRightInd w:val="0"/>
        <w:snapToGrid w:val="0"/>
        <w:spacing w:line="580" w:lineRule="exact"/>
        <w:ind w:leftChars="300"/>
        <w:rPr>
          <w:rFonts w:ascii="Times New Roman" w:hAnsi="Times New Roman" w:eastAsia="仿宋_GB2312" w:cs="Times New Roman"/>
          <w:b/>
          <w:bCs/>
          <w:sz w:val="32"/>
          <w:szCs w:val="32"/>
        </w:rPr>
      </w:pPr>
    </w:p>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本部门2023年度未发生政府性基金预算财政拨款</w:t>
      </w:r>
      <w:r>
        <w:rPr>
          <w:rFonts w:hint="eastAsia" w:ascii="Times New Roman" w:hAnsi="Times New Roman" w:eastAsia="仿宋_GB2312" w:cs="Times New Roman"/>
          <w:sz w:val="32"/>
          <w:szCs w:val="32"/>
          <w:lang w:eastAsia="zh-CN"/>
        </w:rPr>
        <w:t>收支及结转结余和</w:t>
      </w:r>
      <w:r>
        <w:rPr>
          <w:rFonts w:hint="default" w:ascii="Times New Roman" w:hAnsi="Times New Roman" w:eastAsia="仿宋_GB2312" w:cs="Times New Roman"/>
          <w:sz w:val="32"/>
          <w:szCs w:val="32"/>
        </w:rPr>
        <w:t>国有资金经营预算收支及结转结余情况，故政府性基金预算财政拨款收入支出决算表</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07表）和</w:t>
      </w:r>
      <w:r>
        <w:rPr>
          <w:rFonts w:hint="default" w:ascii="Times New Roman" w:hAnsi="Times New Roman" w:eastAsia="仿宋_GB2312" w:cs="Times New Roman"/>
          <w:sz w:val="32"/>
          <w:szCs w:val="32"/>
        </w:rPr>
        <w:t>国有资金经营预算支出表（0</w:t>
      </w:r>
      <w:r>
        <w:rPr>
          <w:rFonts w:hint="eastAsia"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rPr>
        <w:t>表）以空表列示。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adjustRightInd w:val="0"/>
        <w:snapToGrid w:val="0"/>
        <w:spacing w:line="580" w:lineRule="exact"/>
        <w:ind w:firstLine="640" w:firstLineChars="200"/>
        <w:rPr>
          <w:rFonts w:ascii="Times New Roman" w:hAnsi="Times New Roman" w:eastAsia="仿宋_GB2312" w:cs="Times New Roman"/>
          <w:sz w:val="32"/>
          <w:szCs w:val="32"/>
        </w:rPr>
      </w:pPr>
    </w:p>
    <w:p>
      <w:pPr>
        <w:widowControl/>
        <w:spacing w:line="580" w:lineRule="exact"/>
        <w:ind w:firstLine="883" w:firstLineChars="200"/>
        <w:jc w:val="left"/>
        <w:rPr>
          <w:rFonts w:ascii="Times New Roman" w:hAnsi="Times New Roman" w:eastAsia="宋体" w:cs="Times New Roman"/>
          <w:b/>
          <w:bCs/>
          <w:sz w:val="44"/>
          <w:szCs w:val="44"/>
        </w:rPr>
      </w:pPr>
    </w:p>
    <w:p>
      <w:pPr>
        <w:rPr>
          <w:rFonts w:ascii="Times New Roman" w:hAnsi="Times New Roman" w:eastAsia="仿宋_GB2312" w:cs="Times New Roman"/>
          <w:sz w:val="32"/>
          <w:szCs w:val="32"/>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Times New Roman" w:hAnsi="Times New Roman" w:eastAsia="仿宋_GB2312" w:cs="Times New Roman"/>
          <w:sz w:val="32"/>
          <w:szCs w:val="32"/>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指单位从同级财政部门取得的财政预算资金。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指事业单位开展专业业务活动及辅助活动取得的收入。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指事业单位在专业业务活动及其辅助活动之外开展非独立核算经营活动取得的收入。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指单位取得的除上述收入以外的各项收</w:t>
      </w:r>
    </w:p>
    <w:p>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入。主要是事业单位固定资产出租收入、存款利息收入等。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指事业单位按照预算管理要求使用非财政拨款结余弥补收支差额的金额，以及使用专用结余安排支出的金额。</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指单位以前年度尚未完成、结转到本年仍按原规定用途继续使用的资金，或项目已完成等产生的结余资金。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指事业单位按照会计制度规定缴纳的所得税、提取的专用结余以及转入非财政拨款结余的金额等。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指单位按有关规定结转到下年或以后年度继续使用的资金，或项目已完成等产生的结余资金。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指事业单位在专业业务活动及其辅助活动之外开展非独立核算经营活动发生的支出。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填列单位公务用车车辆购置支出（含车辆购置税、牌照费）。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填列单位除公务用车外的其他各类交通工具（如船舶、飞机等）购置支出（含车辆购置税、牌照费）。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p>
    <w:p>
      <w:pPr>
        <w:rPr>
          <w:rFonts w:ascii="Times New Roman" w:hAnsi="Times New Roman" w:cs="Times New Roman"/>
        </w:rPr>
      </w:pPr>
    </w:p>
    <w:p>
      <w:pPr>
        <w:pStyle w:val="10"/>
        <w:widowControl/>
        <w:spacing w:beforeAutospacing="0" w:afterAutospacing="0"/>
        <w:rPr>
          <w:rFonts w:ascii="Times New Roman" w:hAnsi="Times New Roman" w:eastAsia="仿宋_GB2312"/>
          <w:color w:val="333333"/>
          <w:sz w:val="33"/>
          <w:szCs w:val="33"/>
          <w:shd w:val="clear" w:color="auto" w:fill="FFFFFF"/>
        </w:rPr>
      </w:pPr>
    </w:p>
    <w:p>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08DF572F-1A5C-45C1-8C1F-99FD9CBC4055}"/>
  </w:font>
  <w:font w:name="Arial">
    <w:panose1 w:val="020B0604020202020204"/>
    <w:charset w:val="01"/>
    <w:family w:val="swiss"/>
    <w:pitch w:val="default"/>
    <w:sig w:usb0="E0002AFF" w:usb1="C0007843" w:usb2="00000009" w:usb3="00000000" w:csb0="400001FF" w:csb1="FFFF0000"/>
    <w:embedRegular r:id="rId2" w:fontKey="{BE5BD7B7-5C69-4167-BC25-358221B0E735}"/>
  </w:font>
  <w:font w:name="黑体">
    <w:panose1 w:val="02010609060101010101"/>
    <w:charset w:val="86"/>
    <w:family w:val="auto"/>
    <w:pitch w:val="default"/>
    <w:sig w:usb0="800002BF" w:usb1="38CF7CFA" w:usb2="00000016" w:usb3="00000000" w:csb0="00040001" w:csb1="00000000"/>
    <w:embedRegular r:id="rId3" w:fontKey="{14FB95AB-64B4-4ECA-88DF-1924B335D0B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4" w:fontKey="{AE17963E-B551-40A7-9F99-9AE37B34EF06}"/>
  </w:font>
  <w:font w:name="仿宋">
    <w:panose1 w:val="02010609060101010101"/>
    <w:charset w:val="86"/>
    <w:family w:val="modern"/>
    <w:pitch w:val="default"/>
    <w:sig w:usb0="800002BF" w:usb1="38CF7CFA" w:usb2="00000016" w:usb3="00000000" w:csb0="00040001" w:csb1="00000000"/>
    <w:embedRegular r:id="rId5" w:fontKey="{DD87446E-4C2D-417D-BECF-6F9C476F0C12}"/>
  </w:font>
  <w:font w:name="Calibri Light">
    <w:panose1 w:val="020F0302020204030204"/>
    <w:charset w:val="00"/>
    <w:family w:val="swiss"/>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10" w:usb3="00000000" w:csb0="0004009F" w:csb1="00000000"/>
  </w:font>
  <w:font w:name="方正魏碑简体">
    <w:altName w:val="微软雅黑"/>
    <w:panose1 w:val="00000000000000000000"/>
    <w:charset w:val="86"/>
    <w:family w:val="auto"/>
    <w:pitch w:val="default"/>
    <w:sig w:usb0="00000000" w:usb1="00000000" w:usb2="00000010" w:usb3="00000000" w:csb0="00040000" w:csb1="00000000"/>
    <w:embedRegular r:id="rId6" w:fontKey="{C3A9AD62-C007-48AE-8AD6-D7E8105236EF}"/>
  </w:font>
  <w:font w:name="思源黑体 CN Heavy">
    <w:altName w:val="黑体"/>
    <w:panose1 w:val="00000000000000000000"/>
    <w:charset w:val="86"/>
    <w:family w:val="swiss"/>
    <w:pitch w:val="default"/>
    <w:sig w:usb0="00000000" w:usb1="00000000" w:usb2="00000016" w:usb3="00000000" w:csb0="00060107" w:csb1="00000000"/>
    <w:embedRegular r:id="rId7" w:fontKey="{8B83465D-CFB1-4A41-B755-750361E191EE}"/>
  </w:font>
  <w:font w:name="楷体_GB2312">
    <w:panose1 w:val="02010609030101010101"/>
    <w:charset w:val="86"/>
    <w:family w:val="auto"/>
    <w:pitch w:val="default"/>
    <w:sig w:usb0="00000001" w:usb1="080E0000" w:usb2="00000000" w:usb3="00000000" w:csb0="00040000" w:csb1="00000000"/>
    <w:embedRegular r:id="rId8" w:fontKey="{1AB0F810-B663-4914-B530-01B257329982}"/>
  </w:font>
  <w:font w:name="仿宋_GB2312">
    <w:panose1 w:val="02010609030101010101"/>
    <w:charset w:val="86"/>
    <w:family w:val="auto"/>
    <w:pitch w:val="default"/>
    <w:sig w:usb0="00000001" w:usb1="080E0000" w:usb2="00000000" w:usb3="00000000" w:csb0="00040000" w:csb1="00000000"/>
    <w:embedRegular r:id="rId9" w:fontKey="{2469BA91-074B-4B61-A2D5-141A18835288}"/>
  </w:font>
  <w:font w:name="方正仿宋_GB2312">
    <w:panose1 w:val="02000000000000000000"/>
    <w:charset w:val="86"/>
    <w:family w:val="auto"/>
    <w:pitch w:val="default"/>
    <w:sig w:usb0="00000000" w:usb1="00000000" w:usb2="00000000" w:usb3="00000000" w:csb0="00000000" w:csb1="00000000"/>
    <w:embedRegular r:id="rId10" w:fontKey="{1AAF54D6-F4D9-44D5-B2E2-55EF9DF2708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FAEC75E9"/>
    <w:multiLevelType w:val="singleLevel"/>
    <w:tmpl w:val="FAEC75E9"/>
    <w:lvl w:ilvl="0" w:tentative="0">
      <w:start w:val="3"/>
      <w:numFmt w:val="chineseCounting"/>
      <w:suff w:val="nothing"/>
      <w:lvlText w:val="（%1）"/>
      <w:lvlJc w:val="left"/>
      <w:rPr>
        <w:rFonts w:hint="eastAsia"/>
      </w:rPr>
    </w:lvl>
  </w:abstractNum>
  <w:abstractNum w:abstractNumId="2">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3">
    <w:nsid w:val="5F222FFA"/>
    <w:multiLevelType w:val="singleLevel"/>
    <w:tmpl w:val="5F222FFA"/>
    <w:lvl w:ilvl="0" w:tentative="0">
      <w:start w:val="1"/>
      <w:numFmt w:val="decimal"/>
      <w:suff w:val="nothing"/>
      <w:lvlText w:val="（%1）"/>
      <w:lvlJc w:val="left"/>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QsImhkaWQiOiJiMzk2N2EzZjUyYWViODRjZjJhMDZjM2YyYjk4MTExMiIsInVzZXJDb3VudCI6Mjd9"/>
  </w:docVars>
  <w:rsids>
    <w:rsidRoot w:val="00144C07"/>
    <w:rsid w:val="00086151"/>
    <w:rsid w:val="00144C07"/>
    <w:rsid w:val="00236F8C"/>
    <w:rsid w:val="0064383A"/>
    <w:rsid w:val="007F638C"/>
    <w:rsid w:val="008B271F"/>
    <w:rsid w:val="008E6AAF"/>
    <w:rsid w:val="00AD3588"/>
    <w:rsid w:val="00B151A5"/>
    <w:rsid w:val="00C65689"/>
    <w:rsid w:val="00CA6AE0"/>
    <w:rsid w:val="00CC2C8E"/>
    <w:rsid w:val="016E52B5"/>
    <w:rsid w:val="01900E19"/>
    <w:rsid w:val="01A03C5A"/>
    <w:rsid w:val="01A5267D"/>
    <w:rsid w:val="02363AF1"/>
    <w:rsid w:val="024808A2"/>
    <w:rsid w:val="025C3821"/>
    <w:rsid w:val="02DA3B1B"/>
    <w:rsid w:val="02E57B4D"/>
    <w:rsid w:val="037B12D4"/>
    <w:rsid w:val="03804D63"/>
    <w:rsid w:val="03FB73B0"/>
    <w:rsid w:val="04BD008C"/>
    <w:rsid w:val="04C55939"/>
    <w:rsid w:val="04DA28BB"/>
    <w:rsid w:val="04F419D9"/>
    <w:rsid w:val="04F528BE"/>
    <w:rsid w:val="05991C82"/>
    <w:rsid w:val="061416A9"/>
    <w:rsid w:val="06236884"/>
    <w:rsid w:val="067E788A"/>
    <w:rsid w:val="06FC7C2A"/>
    <w:rsid w:val="07533AFE"/>
    <w:rsid w:val="07B3657A"/>
    <w:rsid w:val="07C703AC"/>
    <w:rsid w:val="07C857D0"/>
    <w:rsid w:val="08333D3D"/>
    <w:rsid w:val="08AB5AAF"/>
    <w:rsid w:val="09012C64"/>
    <w:rsid w:val="093B2E99"/>
    <w:rsid w:val="095D7943"/>
    <w:rsid w:val="09C006C6"/>
    <w:rsid w:val="0A10621F"/>
    <w:rsid w:val="0A464C4F"/>
    <w:rsid w:val="0A6729A3"/>
    <w:rsid w:val="0A694877"/>
    <w:rsid w:val="0AA954BE"/>
    <w:rsid w:val="0AE0030A"/>
    <w:rsid w:val="0AE70639"/>
    <w:rsid w:val="0B4F5E6D"/>
    <w:rsid w:val="0B753AE2"/>
    <w:rsid w:val="0BB67D0A"/>
    <w:rsid w:val="0BC56230"/>
    <w:rsid w:val="0BCF21BD"/>
    <w:rsid w:val="0C4E53E8"/>
    <w:rsid w:val="0C9F7900"/>
    <w:rsid w:val="0CB23317"/>
    <w:rsid w:val="0CBE297A"/>
    <w:rsid w:val="0D101068"/>
    <w:rsid w:val="0D49470D"/>
    <w:rsid w:val="0D7557DF"/>
    <w:rsid w:val="0D853E34"/>
    <w:rsid w:val="0D9C2A57"/>
    <w:rsid w:val="0DFA5D82"/>
    <w:rsid w:val="0E0B1B42"/>
    <w:rsid w:val="0E1E52CE"/>
    <w:rsid w:val="0E341BC0"/>
    <w:rsid w:val="0E866524"/>
    <w:rsid w:val="0E9268D3"/>
    <w:rsid w:val="0E957F1F"/>
    <w:rsid w:val="0F0E7284"/>
    <w:rsid w:val="0F28110F"/>
    <w:rsid w:val="0F360E40"/>
    <w:rsid w:val="0F37083F"/>
    <w:rsid w:val="0F891DB8"/>
    <w:rsid w:val="0FAA3B86"/>
    <w:rsid w:val="10191346"/>
    <w:rsid w:val="10754A6C"/>
    <w:rsid w:val="108B537D"/>
    <w:rsid w:val="10B11DB1"/>
    <w:rsid w:val="10C7485C"/>
    <w:rsid w:val="10E54095"/>
    <w:rsid w:val="11177F57"/>
    <w:rsid w:val="11217C97"/>
    <w:rsid w:val="11464C20"/>
    <w:rsid w:val="115E4926"/>
    <w:rsid w:val="118A1FFA"/>
    <w:rsid w:val="11E35B5A"/>
    <w:rsid w:val="11E42DD6"/>
    <w:rsid w:val="11F57951"/>
    <w:rsid w:val="125F5A1B"/>
    <w:rsid w:val="126979D6"/>
    <w:rsid w:val="129E45A7"/>
    <w:rsid w:val="13074404"/>
    <w:rsid w:val="136A5C00"/>
    <w:rsid w:val="138517F8"/>
    <w:rsid w:val="13C527AC"/>
    <w:rsid w:val="14711797"/>
    <w:rsid w:val="147B6F17"/>
    <w:rsid w:val="14D42061"/>
    <w:rsid w:val="15081C8B"/>
    <w:rsid w:val="15090D5C"/>
    <w:rsid w:val="15CF053D"/>
    <w:rsid w:val="15E0131A"/>
    <w:rsid w:val="16457D9F"/>
    <w:rsid w:val="17223EFF"/>
    <w:rsid w:val="17B713F6"/>
    <w:rsid w:val="184350A0"/>
    <w:rsid w:val="18541CC2"/>
    <w:rsid w:val="18935485"/>
    <w:rsid w:val="18946C52"/>
    <w:rsid w:val="18A34206"/>
    <w:rsid w:val="18DE3B2C"/>
    <w:rsid w:val="1906685D"/>
    <w:rsid w:val="19111683"/>
    <w:rsid w:val="19353916"/>
    <w:rsid w:val="19585ACD"/>
    <w:rsid w:val="19B07C1B"/>
    <w:rsid w:val="19C10AF1"/>
    <w:rsid w:val="1A077661"/>
    <w:rsid w:val="1A2672DE"/>
    <w:rsid w:val="1A450579"/>
    <w:rsid w:val="1AA81D42"/>
    <w:rsid w:val="1AB433D9"/>
    <w:rsid w:val="1B1B11EE"/>
    <w:rsid w:val="1B3719E0"/>
    <w:rsid w:val="1B6261C3"/>
    <w:rsid w:val="1B731730"/>
    <w:rsid w:val="1B882BB5"/>
    <w:rsid w:val="1B906310"/>
    <w:rsid w:val="1B9B33C7"/>
    <w:rsid w:val="1B9D7FEC"/>
    <w:rsid w:val="1BA55461"/>
    <w:rsid w:val="1BC872C4"/>
    <w:rsid w:val="1BE74496"/>
    <w:rsid w:val="1C35495A"/>
    <w:rsid w:val="1C3D67D1"/>
    <w:rsid w:val="1C40731A"/>
    <w:rsid w:val="1C560392"/>
    <w:rsid w:val="1C581532"/>
    <w:rsid w:val="1CA15E03"/>
    <w:rsid w:val="1CA24F0C"/>
    <w:rsid w:val="1CF8716C"/>
    <w:rsid w:val="1D230EBD"/>
    <w:rsid w:val="1D4B1F5B"/>
    <w:rsid w:val="1D6C5CA0"/>
    <w:rsid w:val="1D725586"/>
    <w:rsid w:val="1D745B4F"/>
    <w:rsid w:val="1D867987"/>
    <w:rsid w:val="1D944010"/>
    <w:rsid w:val="1DD70E85"/>
    <w:rsid w:val="1DE6414E"/>
    <w:rsid w:val="1DE74AD7"/>
    <w:rsid w:val="1DF60A19"/>
    <w:rsid w:val="1DFA6713"/>
    <w:rsid w:val="1E050843"/>
    <w:rsid w:val="1E20024F"/>
    <w:rsid w:val="1E2D3FB0"/>
    <w:rsid w:val="1E2E50F1"/>
    <w:rsid w:val="1E2F73C2"/>
    <w:rsid w:val="1E3B4E26"/>
    <w:rsid w:val="1E536033"/>
    <w:rsid w:val="1E97477F"/>
    <w:rsid w:val="1EDF707D"/>
    <w:rsid w:val="1F65664C"/>
    <w:rsid w:val="1F79478A"/>
    <w:rsid w:val="1F7C149A"/>
    <w:rsid w:val="1F84140D"/>
    <w:rsid w:val="1F863C54"/>
    <w:rsid w:val="1F9B7FFD"/>
    <w:rsid w:val="1F9C7614"/>
    <w:rsid w:val="1FBE1971"/>
    <w:rsid w:val="1FC36E8D"/>
    <w:rsid w:val="2008768D"/>
    <w:rsid w:val="204C2B10"/>
    <w:rsid w:val="207D30AD"/>
    <w:rsid w:val="209064B9"/>
    <w:rsid w:val="20970D81"/>
    <w:rsid w:val="20D165D5"/>
    <w:rsid w:val="210878E6"/>
    <w:rsid w:val="210E1408"/>
    <w:rsid w:val="211069AD"/>
    <w:rsid w:val="2154654F"/>
    <w:rsid w:val="21573FAB"/>
    <w:rsid w:val="2172069C"/>
    <w:rsid w:val="21987BC4"/>
    <w:rsid w:val="220451AB"/>
    <w:rsid w:val="2237486E"/>
    <w:rsid w:val="223D1378"/>
    <w:rsid w:val="22940650"/>
    <w:rsid w:val="22AD4B1E"/>
    <w:rsid w:val="22D31DF3"/>
    <w:rsid w:val="22FD3CF7"/>
    <w:rsid w:val="2356249E"/>
    <w:rsid w:val="236E713A"/>
    <w:rsid w:val="23700968"/>
    <w:rsid w:val="238761A6"/>
    <w:rsid w:val="23920578"/>
    <w:rsid w:val="23BB6F9A"/>
    <w:rsid w:val="23FC3864"/>
    <w:rsid w:val="24F25212"/>
    <w:rsid w:val="254B0AC6"/>
    <w:rsid w:val="25571AB6"/>
    <w:rsid w:val="25B40AD6"/>
    <w:rsid w:val="25BE7872"/>
    <w:rsid w:val="25BF702A"/>
    <w:rsid w:val="264D2D17"/>
    <w:rsid w:val="26625B7E"/>
    <w:rsid w:val="26D50E55"/>
    <w:rsid w:val="270763D6"/>
    <w:rsid w:val="271A539C"/>
    <w:rsid w:val="274972D4"/>
    <w:rsid w:val="2787204F"/>
    <w:rsid w:val="27AA3D97"/>
    <w:rsid w:val="289057C5"/>
    <w:rsid w:val="289724F8"/>
    <w:rsid w:val="28A67C7A"/>
    <w:rsid w:val="28D1057E"/>
    <w:rsid w:val="28D458A4"/>
    <w:rsid w:val="28D7372A"/>
    <w:rsid w:val="28EA3248"/>
    <w:rsid w:val="28F879DA"/>
    <w:rsid w:val="294630F8"/>
    <w:rsid w:val="294B7731"/>
    <w:rsid w:val="296A5FF1"/>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BD223E"/>
    <w:rsid w:val="2EC10AD1"/>
    <w:rsid w:val="2ECB6A5A"/>
    <w:rsid w:val="2EFC0112"/>
    <w:rsid w:val="2F2B730D"/>
    <w:rsid w:val="2F8169E4"/>
    <w:rsid w:val="2F9F3DC1"/>
    <w:rsid w:val="2FFC7AC2"/>
    <w:rsid w:val="301430AF"/>
    <w:rsid w:val="30630612"/>
    <w:rsid w:val="308E59B0"/>
    <w:rsid w:val="30B10568"/>
    <w:rsid w:val="30E55DD3"/>
    <w:rsid w:val="30E60399"/>
    <w:rsid w:val="31356AA5"/>
    <w:rsid w:val="313E22F0"/>
    <w:rsid w:val="31A37D5F"/>
    <w:rsid w:val="31B0194C"/>
    <w:rsid w:val="31CE17D1"/>
    <w:rsid w:val="31CE3CA3"/>
    <w:rsid w:val="32122745"/>
    <w:rsid w:val="323E4515"/>
    <w:rsid w:val="324E00CB"/>
    <w:rsid w:val="3286389B"/>
    <w:rsid w:val="32CE6A40"/>
    <w:rsid w:val="32CF5C94"/>
    <w:rsid w:val="32D337C7"/>
    <w:rsid w:val="32E200EC"/>
    <w:rsid w:val="32E5408B"/>
    <w:rsid w:val="32EB0D70"/>
    <w:rsid w:val="332868BB"/>
    <w:rsid w:val="333211F3"/>
    <w:rsid w:val="33504B41"/>
    <w:rsid w:val="335174BC"/>
    <w:rsid w:val="338B4A07"/>
    <w:rsid w:val="33944811"/>
    <w:rsid w:val="33CE0488"/>
    <w:rsid w:val="34005866"/>
    <w:rsid w:val="34182C85"/>
    <w:rsid w:val="34262463"/>
    <w:rsid w:val="34296F31"/>
    <w:rsid w:val="34340A27"/>
    <w:rsid w:val="34496D9C"/>
    <w:rsid w:val="346A2989"/>
    <w:rsid w:val="34714663"/>
    <w:rsid w:val="348865E9"/>
    <w:rsid w:val="348F70D5"/>
    <w:rsid w:val="349D2BAD"/>
    <w:rsid w:val="34B25886"/>
    <w:rsid w:val="35277FF8"/>
    <w:rsid w:val="3558300F"/>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A239AC"/>
    <w:rsid w:val="39A97DAF"/>
    <w:rsid w:val="39CD1330"/>
    <w:rsid w:val="39DD1AFF"/>
    <w:rsid w:val="3A2510B9"/>
    <w:rsid w:val="3A2B1DFC"/>
    <w:rsid w:val="3AA6422C"/>
    <w:rsid w:val="3AAF46D5"/>
    <w:rsid w:val="3B135A0E"/>
    <w:rsid w:val="3B272BBC"/>
    <w:rsid w:val="3B2C4F14"/>
    <w:rsid w:val="3B374FEE"/>
    <w:rsid w:val="3B3D2A8B"/>
    <w:rsid w:val="3B4410EE"/>
    <w:rsid w:val="3B56159C"/>
    <w:rsid w:val="3B7D732B"/>
    <w:rsid w:val="3BA7084C"/>
    <w:rsid w:val="3BD30423"/>
    <w:rsid w:val="3C3A1750"/>
    <w:rsid w:val="3C6147F2"/>
    <w:rsid w:val="3C6C0B58"/>
    <w:rsid w:val="3CBE41D5"/>
    <w:rsid w:val="3D446B0E"/>
    <w:rsid w:val="3D5B1926"/>
    <w:rsid w:val="3D953A6B"/>
    <w:rsid w:val="3DBB2CD5"/>
    <w:rsid w:val="3DBB5979"/>
    <w:rsid w:val="3E1057AF"/>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AC2D77"/>
    <w:rsid w:val="41E83F8C"/>
    <w:rsid w:val="422D1842"/>
    <w:rsid w:val="425B7C31"/>
    <w:rsid w:val="42737A55"/>
    <w:rsid w:val="427D66D0"/>
    <w:rsid w:val="42BC7E02"/>
    <w:rsid w:val="42C82575"/>
    <w:rsid w:val="43022EE1"/>
    <w:rsid w:val="431A5F8F"/>
    <w:rsid w:val="431F247A"/>
    <w:rsid w:val="43335E8F"/>
    <w:rsid w:val="433F2968"/>
    <w:rsid w:val="43676E20"/>
    <w:rsid w:val="43A31040"/>
    <w:rsid w:val="43BF774E"/>
    <w:rsid w:val="43CD062F"/>
    <w:rsid w:val="43E214F9"/>
    <w:rsid w:val="43F06264"/>
    <w:rsid w:val="44404C8E"/>
    <w:rsid w:val="447537F1"/>
    <w:rsid w:val="44870D07"/>
    <w:rsid w:val="44B52C11"/>
    <w:rsid w:val="45513D03"/>
    <w:rsid w:val="45541E1C"/>
    <w:rsid w:val="458931B6"/>
    <w:rsid w:val="45F657C2"/>
    <w:rsid w:val="46107AB9"/>
    <w:rsid w:val="461F0A8B"/>
    <w:rsid w:val="4648721E"/>
    <w:rsid w:val="46663E71"/>
    <w:rsid w:val="466A37AC"/>
    <w:rsid w:val="46CB071B"/>
    <w:rsid w:val="46DE140B"/>
    <w:rsid w:val="46E77334"/>
    <w:rsid w:val="46F22E29"/>
    <w:rsid w:val="46F7142F"/>
    <w:rsid w:val="47107AE3"/>
    <w:rsid w:val="473C62ED"/>
    <w:rsid w:val="47617242"/>
    <w:rsid w:val="47731896"/>
    <w:rsid w:val="4783216D"/>
    <w:rsid w:val="478C16C9"/>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5B28DC"/>
    <w:rsid w:val="4AA06B93"/>
    <w:rsid w:val="4ACC6C2B"/>
    <w:rsid w:val="4ADB18EB"/>
    <w:rsid w:val="4B0371D8"/>
    <w:rsid w:val="4B6D2F19"/>
    <w:rsid w:val="4B96118E"/>
    <w:rsid w:val="4BAE1B66"/>
    <w:rsid w:val="4BED4708"/>
    <w:rsid w:val="4BF133DC"/>
    <w:rsid w:val="4C507D4A"/>
    <w:rsid w:val="4CDF5563"/>
    <w:rsid w:val="4CFB2214"/>
    <w:rsid w:val="4D2C4D26"/>
    <w:rsid w:val="4D335E0E"/>
    <w:rsid w:val="4D4E4EA3"/>
    <w:rsid w:val="4D9A5B1B"/>
    <w:rsid w:val="4DA55D85"/>
    <w:rsid w:val="4DB74F29"/>
    <w:rsid w:val="4DBB20DB"/>
    <w:rsid w:val="4DDC3F22"/>
    <w:rsid w:val="4E1040C7"/>
    <w:rsid w:val="4E1760BF"/>
    <w:rsid w:val="4E4A7541"/>
    <w:rsid w:val="4E646AEA"/>
    <w:rsid w:val="4EBA03C3"/>
    <w:rsid w:val="4EBC5459"/>
    <w:rsid w:val="4ED94CB0"/>
    <w:rsid w:val="4EEC2ED3"/>
    <w:rsid w:val="4F037DB0"/>
    <w:rsid w:val="4F0B74A3"/>
    <w:rsid w:val="4F0E56EA"/>
    <w:rsid w:val="4F1863F5"/>
    <w:rsid w:val="4F2E11BC"/>
    <w:rsid w:val="4F3C4343"/>
    <w:rsid w:val="4F416688"/>
    <w:rsid w:val="4F5620B0"/>
    <w:rsid w:val="4F6654EE"/>
    <w:rsid w:val="4F7379C6"/>
    <w:rsid w:val="4F872183"/>
    <w:rsid w:val="4F872BDB"/>
    <w:rsid w:val="4F9111A0"/>
    <w:rsid w:val="4F9F566B"/>
    <w:rsid w:val="4FA033E9"/>
    <w:rsid w:val="4FA743DA"/>
    <w:rsid w:val="4FB3565A"/>
    <w:rsid w:val="4FCB76FB"/>
    <w:rsid w:val="4FED77BF"/>
    <w:rsid w:val="503D1C79"/>
    <w:rsid w:val="507A6406"/>
    <w:rsid w:val="50853863"/>
    <w:rsid w:val="508A4590"/>
    <w:rsid w:val="50F1461D"/>
    <w:rsid w:val="50FE5411"/>
    <w:rsid w:val="510B072E"/>
    <w:rsid w:val="511B0BF4"/>
    <w:rsid w:val="51264306"/>
    <w:rsid w:val="516123CE"/>
    <w:rsid w:val="51B177A9"/>
    <w:rsid w:val="51C4760A"/>
    <w:rsid w:val="51CF0D81"/>
    <w:rsid w:val="51E066EB"/>
    <w:rsid w:val="5267570A"/>
    <w:rsid w:val="52707792"/>
    <w:rsid w:val="52A12CDC"/>
    <w:rsid w:val="52DF0C92"/>
    <w:rsid w:val="52E1159C"/>
    <w:rsid w:val="52E34D6A"/>
    <w:rsid w:val="531E524E"/>
    <w:rsid w:val="534072EB"/>
    <w:rsid w:val="537F4776"/>
    <w:rsid w:val="538E2D0B"/>
    <w:rsid w:val="53922782"/>
    <w:rsid w:val="539C1424"/>
    <w:rsid w:val="53A639C0"/>
    <w:rsid w:val="53F00A24"/>
    <w:rsid w:val="53F63DBA"/>
    <w:rsid w:val="5448624E"/>
    <w:rsid w:val="546C44E0"/>
    <w:rsid w:val="546E2B1A"/>
    <w:rsid w:val="5482555F"/>
    <w:rsid w:val="55090D29"/>
    <w:rsid w:val="551452C2"/>
    <w:rsid w:val="55363E67"/>
    <w:rsid w:val="555C4981"/>
    <w:rsid w:val="556E6DF7"/>
    <w:rsid w:val="559D47CE"/>
    <w:rsid w:val="55BE1959"/>
    <w:rsid w:val="56232437"/>
    <w:rsid w:val="56541A75"/>
    <w:rsid w:val="568832FC"/>
    <w:rsid w:val="568C4181"/>
    <w:rsid w:val="56B73A15"/>
    <w:rsid w:val="570725A9"/>
    <w:rsid w:val="5714693E"/>
    <w:rsid w:val="571D0C9C"/>
    <w:rsid w:val="573A16CE"/>
    <w:rsid w:val="577961A6"/>
    <w:rsid w:val="579C7F80"/>
    <w:rsid w:val="57B30D7C"/>
    <w:rsid w:val="57D80EB0"/>
    <w:rsid w:val="58166B03"/>
    <w:rsid w:val="583E3C94"/>
    <w:rsid w:val="58721734"/>
    <w:rsid w:val="58900246"/>
    <w:rsid w:val="58977358"/>
    <w:rsid w:val="58D53944"/>
    <w:rsid w:val="58D65478"/>
    <w:rsid w:val="58F52487"/>
    <w:rsid w:val="58F778BC"/>
    <w:rsid w:val="590422E6"/>
    <w:rsid w:val="592257E5"/>
    <w:rsid w:val="59655E33"/>
    <w:rsid w:val="596655D3"/>
    <w:rsid w:val="59CF5BD9"/>
    <w:rsid w:val="59E20C3C"/>
    <w:rsid w:val="59FF7933"/>
    <w:rsid w:val="5A1D5B0A"/>
    <w:rsid w:val="5A3B4B4E"/>
    <w:rsid w:val="5A4804CA"/>
    <w:rsid w:val="5A594C85"/>
    <w:rsid w:val="5A7A11AE"/>
    <w:rsid w:val="5AC245EC"/>
    <w:rsid w:val="5AEB1E3C"/>
    <w:rsid w:val="5B2507CA"/>
    <w:rsid w:val="5B2A474A"/>
    <w:rsid w:val="5B830730"/>
    <w:rsid w:val="5B871C49"/>
    <w:rsid w:val="5BBB2DD6"/>
    <w:rsid w:val="5BE263B6"/>
    <w:rsid w:val="5C0B5402"/>
    <w:rsid w:val="5C8E5C5A"/>
    <w:rsid w:val="5C965E61"/>
    <w:rsid w:val="5D242A11"/>
    <w:rsid w:val="5D9217C2"/>
    <w:rsid w:val="5DAD06BF"/>
    <w:rsid w:val="5DE23CB3"/>
    <w:rsid w:val="5DE97EEC"/>
    <w:rsid w:val="5DF43138"/>
    <w:rsid w:val="5DFA5EB0"/>
    <w:rsid w:val="5E0B583E"/>
    <w:rsid w:val="5E201A7B"/>
    <w:rsid w:val="5EBD0484"/>
    <w:rsid w:val="5F04373C"/>
    <w:rsid w:val="5F2C5C7C"/>
    <w:rsid w:val="5FC5273F"/>
    <w:rsid w:val="60806DF2"/>
    <w:rsid w:val="61072DA5"/>
    <w:rsid w:val="611C0817"/>
    <w:rsid w:val="61224A52"/>
    <w:rsid w:val="61520CCB"/>
    <w:rsid w:val="61614E76"/>
    <w:rsid w:val="61851A29"/>
    <w:rsid w:val="621D350C"/>
    <w:rsid w:val="622D1522"/>
    <w:rsid w:val="622E0574"/>
    <w:rsid w:val="62683B6B"/>
    <w:rsid w:val="62AC5944"/>
    <w:rsid w:val="632731DA"/>
    <w:rsid w:val="637279B4"/>
    <w:rsid w:val="63817D2B"/>
    <w:rsid w:val="63BD1FA9"/>
    <w:rsid w:val="63D27965"/>
    <w:rsid w:val="64095516"/>
    <w:rsid w:val="641A2468"/>
    <w:rsid w:val="64372F20"/>
    <w:rsid w:val="64DC72D7"/>
    <w:rsid w:val="653619A6"/>
    <w:rsid w:val="65610A02"/>
    <w:rsid w:val="65A11EA3"/>
    <w:rsid w:val="65AC3D66"/>
    <w:rsid w:val="65BB5334"/>
    <w:rsid w:val="663E1DBA"/>
    <w:rsid w:val="665D0213"/>
    <w:rsid w:val="669E59F1"/>
    <w:rsid w:val="66A2024B"/>
    <w:rsid w:val="66EA4BA0"/>
    <w:rsid w:val="6704732B"/>
    <w:rsid w:val="670F6731"/>
    <w:rsid w:val="67127C7D"/>
    <w:rsid w:val="67280F62"/>
    <w:rsid w:val="67585CB0"/>
    <w:rsid w:val="67770F0C"/>
    <w:rsid w:val="67B03535"/>
    <w:rsid w:val="6801775B"/>
    <w:rsid w:val="68174F69"/>
    <w:rsid w:val="682C436A"/>
    <w:rsid w:val="68382778"/>
    <w:rsid w:val="68391F41"/>
    <w:rsid w:val="68436B8C"/>
    <w:rsid w:val="684C37A9"/>
    <w:rsid w:val="68797358"/>
    <w:rsid w:val="6884624F"/>
    <w:rsid w:val="68A519DF"/>
    <w:rsid w:val="68C4160B"/>
    <w:rsid w:val="68C41C30"/>
    <w:rsid w:val="68CF3BA4"/>
    <w:rsid w:val="69257FA7"/>
    <w:rsid w:val="693711B0"/>
    <w:rsid w:val="693B5419"/>
    <w:rsid w:val="693F26C7"/>
    <w:rsid w:val="697E12B2"/>
    <w:rsid w:val="69C8706D"/>
    <w:rsid w:val="6A0E3FB4"/>
    <w:rsid w:val="6A292754"/>
    <w:rsid w:val="6A5E3B28"/>
    <w:rsid w:val="6A6B1EBE"/>
    <w:rsid w:val="6A8F43F7"/>
    <w:rsid w:val="6ABF79B7"/>
    <w:rsid w:val="6AD625F3"/>
    <w:rsid w:val="6B750BA9"/>
    <w:rsid w:val="6BB93285"/>
    <w:rsid w:val="6C0C698C"/>
    <w:rsid w:val="6C222401"/>
    <w:rsid w:val="6C56267F"/>
    <w:rsid w:val="6C826EF9"/>
    <w:rsid w:val="6CAE4C93"/>
    <w:rsid w:val="6D0B1869"/>
    <w:rsid w:val="6D61214D"/>
    <w:rsid w:val="6D65402D"/>
    <w:rsid w:val="6D683822"/>
    <w:rsid w:val="6D7B170B"/>
    <w:rsid w:val="6D8D136C"/>
    <w:rsid w:val="6DBF2759"/>
    <w:rsid w:val="6DC96F36"/>
    <w:rsid w:val="6DE36C13"/>
    <w:rsid w:val="6DFA3EBF"/>
    <w:rsid w:val="6E030E49"/>
    <w:rsid w:val="6E3E63D2"/>
    <w:rsid w:val="6E5F7BE6"/>
    <w:rsid w:val="6E6918C6"/>
    <w:rsid w:val="6E8E495B"/>
    <w:rsid w:val="6EEB4AC4"/>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21708A"/>
    <w:rsid w:val="713C4ED8"/>
    <w:rsid w:val="71407642"/>
    <w:rsid w:val="71641210"/>
    <w:rsid w:val="71D95B7C"/>
    <w:rsid w:val="71EA6A50"/>
    <w:rsid w:val="71FE31A8"/>
    <w:rsid w:val="721F6113"/>
    <w:rsid w:val="7233782C"/>
    <w:rsid w:val="726211F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272BC6"/>
    <w:rsid w:val="76C23B43"/>
    <w:rsid w:val="76FD6F97"/>
    <w:rsid w:val="770218E8"/>
    <w:rsid w:val="77C875A5"/>
    <w:rsid w:val="78A27DF6"/>
    <w:rsid w:val="79285B3A"/>
    <w:rsid w:val="79625CA9"/>
    <w:rsid w:val="79A91196"/>
    <w:rsid w:val="79BC0EF8"/>
    <w:rsid w:val="7A0B32D3"/>
    <w:rsid w:val="7AC13CD3"/>
    <w:rsid w:val="7AE10264"/>
    <w:rsid w:val="7B086EDB"/>
    <w:rsid w:val="7B4A207F"/>
    <w:rsid w:val="7B936F45"/>
    <w:rsid w:val="7BA47419"/>
    <w:rsid w:val="7BB10D45"/>
    <w:rsid w:val="7BB44151"/>
    <w:rsid w:val="7BC522DB"/>
    <w:rsid w:val="7BEC320B"/>
    <w:rsid w:val="7BF82951"/>
    <w:rsid w:val="7C3307AB"/>
    <w:rsid w:val="7C656A39"/>
    <w:rsid w:val="7CB93996"/>
    <w:rsid w:val="7CBE0F99"/>
    <w:rsid w:val="7D4E45F1"/>
    <w:rsid w:val="7D733448"/>
    <w:rsid w:val="7DFB6D82"/>
    <w:rsid w:val="7E1D71D1"/>
    <w:rsid w:val="7E246254"/>
    <w:rsid w:val="7E6D090F"/>
    <w:rsid w:val="7ECC66B2"/>
    <w:rsid w:val="7EF015E4"/>
    <w:rsid w:val="7F087006"/>
    <w:rsid w:val="7FA837EF"/>
    <w:rsid w:val="7FC36955"/>
    <w:rsid w:val="7FE822EB"/>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字符"/>
    <w:link w:val="3"/>
    <w:qFormat/>
    <w:uiPriority w:val="0"/>
    <w:rPr>
      <w:rFonts w:ascii="Calibri Light" w:hAnsi="Calibri Light" w:eastAsia="宋体" w:cs="Times New Roman"/>
      <w:b/>
      <w:bCs/>
      <w:sz w:val="28"/>
      <w:szCs w:val="32"/>
    </w:rPr>
  </w:style>
  <w:style w:type="character" w:customStyle="1" w:styleId="16">
    <w:name w:val="页脚 字符"/>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字符"/>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字符"/>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chart" Target="charts/chart6.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1.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6084.88</c:v>
                </c:pt>
                <c:pt idx="1">
                  <c:v>6411.23</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layout>
                <c:manualLayout>
                  <c:x val="-0.312394298139647"/>
                  <c:y val="0.32256693582660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30732544092776"/>
                  <c:y val="0.24753463663659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23571858120656"/>
                  <c:y val="0.17061155971351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340908431988403"/>
                  <c:y val="0.10367573310933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320729644841749"/>
                  <c:y val="0.0365490862728432"/>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64112309.12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303272355924588"/>
                  <c:y val="0.31874203144921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277183841691567"/>
                  <c:y val="0.068189120274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99352500604011"/>
                  <c:y val="0.12645601359699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24908679.23</c:v>
                </c:pt>
                <c:pt idx="1">
                  <c:v>39203629.89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5966.35</c:v>
                </c:pt>
                <c:pt idx="1">
                  <c:v>5966.35</c:v>
                </c:pt>
                <c:pt idx="2">
                  <c:v>5787.55</c:v>
                </c:pt>
                <c:pt idx="3">
                  <c:v>5787.55</c:v>
                </c:pt>
                <c:pt idx="4">
                  <c:v>178.8</c:v>
                </c:pt>
                <c:pt idx="5">
                  <c:v>178.8</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dLbl>
              <c:idx val="0"/>
              <c:layout>
                <c:manualLayout>
                  <c:x val="-0.0457840057985021"/>
                  <c:y val="-0.0254993625159371"/>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333413868084078"/>
                  <c:y val="-0.018487037824054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205363614399613"/>
                  <c:y val="-0.0146621334466638"/>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54119352500604"/>
                  <c:y val="-0.010837229069273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6411.23</c:v>
                </c:pt>
                <c:pt idx="1">
                  <c:v>6411.23</c:v>
                </c:pt>
                <c:pt idx="2">
                  <c:v>6411.23</c:v>
                </c:pt>
                <c:pt idx="3">
                  <c:v>6411.23</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manualLayout>
          <c:xMode val="edge"/>
          <c:yMode val="edge"/>
          <c:x val="0.511657405170331"/>
          <c:y val="0.0291117722056949"/>
        </c:manualLayout>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6411.23</c:v>
                </c:pt>
                <c:pt idx="1">
                  <c:v>6411.23</c:v>
                </c:pt>
                <c:pt idx="2">
                  <c:v>6411.23</c:v>
                </c:pt>
                <c:pt idx="3">
                  <c:v>6411.23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dLbl>
              <c:idx val="0"/>
              <c:layout>
                <c:manualLayout>
                  <c:x val="-0.0292341145204156"/>
                  <c:y val="-0.0733106672333192"/>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166706934042039"/>
                  <c:y val="-0.0841478963025924"/>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061609084319884"/>
                  <c:y val="-0.087972800679983"/>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604010630587098"/>
                  <c:y val="0.0401614959626009"/>
                </c:manualLayout>
              </c:layout>
              <c:dLblPos val="outEnd"/>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6411.23</c:v>
                </c:pt>
                <c:pt idx="1">
                  <c:v>6411.23</c:v>
                </c:pt>
                <c:pt idx="2">
                  <c:v>6411.23</c:v>
                </c:pt>
                <c:pt idx="3">
                  <c:v>6411.23</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manualLayout>
          <c:xMode val="edge"/>
          <c:yMode val="edge"/>
          <c:x val="0.111500362406378"/>
          <c:y val="0.0514237144071398"/>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3074.04</c:v>
                </c:pt>
                <c:pt idx="1">
                  <c:v>0</c:v>
                </c:pt>
                <c:pt idx="2">
                  <c:v>279.58</c:v>
                </c:pt>
                <c:pt idx="3">
                  <c:v>345.76</c:v>
                </c:pt>
                <c:pt idx="4">
                  <c:v>0</c:v>
                </c:pt>
                <c:pt idx="5">
                  <c:v>20</c:v>
                </c:pt>
                <c:pt idx="6">
                  <c:v>464.48</c:v>
                </c:pt>
                <c:pt idx="7">
                  <c:v>206.75</c:v>
                </c:pt>
                <c:pt idx="8">
                  <c:v>80</c:v>
                </c:pt>
                <c:pt idx="9">
                  <c:v>1675.46</c:v>
                </c:pt>
                <c:pt idx="10">
                  <c:v>96.77</c:v>
                </c:pt>
                <c:pt idx="11">
                  <c:v>0</c:v>
                </c:pt>
                <c:pt idx="12">
                  <c:v>0</c:v>
                </c:pt>
                <c:pt idx="13">
                  <c:v>0</c:v>
                </c:pt>
                <c:pt idx="14">
                  <c:v>0</c:v>
                </c:pt>
                <c:pt idx="15">
                  <c:v>0</c:v>
                </c:pt>
                <c:pt idx="16">
                  <c:v>168.39</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62</Pages>
  <Words>5505</Words>
  <Characters>31383</Characters>
  <Lines>261</Lines>
  <Paragraphs>73</Paragraphs>
  <TotalTime>10</TotalTime>
  <ScaleCrop>false</ScaleCrop>
  <LinksUpToDate>false</LinksUpToDate>
  <CharactersWithSpaces>36815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2024-09-27T08:39:20Z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