
<file path=[Content_Types].xml><?xml version="1.0" encoding="utf-8"?>
<Types xmlns="http://schemas.openxmlformats.org/package/2006/content-types">
  <Default Extension="xml" ContentType="application/xml"/>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960" w:lineRule="exact"/>
        <w:jc w:val="center"/>
        <w:rPr>
          <w:rFonts w:hint="eastAsia" w:ascii="方正小标宋简体" w:hAnsi="方正小标宋简体" w:eastAsia="方正小标宋简体" w:cs="方正小标宋简体"/>
          <w:b w:val="0"/>
          <w:bCs w:val="0"/>
          <w:sz w:val="44"/>
          <w:szCs w:val="44"/>
        </w:rPr>
      </w:pPr>
    </w:p>
    <w:p>
      <w:pPr>
        <w:spacing w:line="960" w:lineRule="exact"/>
        <w:jc w:val="both"/>
        <w:rPr>
          <w:rFonts w:hint="eastAsia" w:ascii="方正小标宋简体" w:hAnsi="方正小标宋简体" w:eastAsia="方正小标宋简体" w:cs="方正小标宋简体"/>
          <w:b w:val="0"/>
          <w:bCs w:val="0"/>
          <w:sz w:val="44"/>
          <w:szCs w:val="44"/>
        </w:rPr>
      </w:pPr>
    </w:p>
    <w:p>
      <w:pPr>
        <w:spacing w:line="9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鹿泉区人居环境整治及污水资源化利用</w:t>
      </w:r>
    </w:p>
    <w:p>
      <w:pPr>
        <w:spacing w:line="9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项目（大河镇、获鹿镇）</w:t>
      </w:r>
    </w:p>
    <w:p>
      <w:pPr>
        <w:spacing w:line="9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重点绩效评价报告</w:t>
      </w:r>
    </w:p>
    <w:p/>
    <w:p/>
    <w:p/>
    <w:p/>
    <w:p/>
    <w:p/>
    <w:p/>
    <w:p/>
    <w:p/>
    <w:p>
      <w:pPr>
        <w:jc w:val="left"/>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rPr>
        <w:t>评价机构：上海闻政管理咨询有限公司河北分公司</w:t>
      </w:r>
    </w:p>
    <w:p>
      <w:pPr>
        <w:jc w:val="left"/>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rPr>
        <w:t>委托单位：鹿泉区财政局</w:t>
      </w:r>
    </w:p>
    <w:p>
      <w:pPr>
        <w:jc w:val="left"/>
        <w:rPr>
          <w:rFonts w:hint="eastAsia" w:ascii="方正小标宋简体" w:hAnsi="方正小标宋简体" w:eastAsia="方正小标宋简体" w:cs="方正小标宋简体"/>
          <w:b w:val="0"/>
          <w:bCs w:val="0"/>
        </w:rPr>
      </w:pPr>
      <w:r>
        <w:rPr>
          <w:rFonts w:hint="eastAsia" w:ascii="方正小标宋简体" w:hAnsi="方正小标宋简体" w:eastAsia="方正小标宋简体" w:cs="方正小标宋简体"/>
          <w:b w:val="0"/>
          <w:bCs w:val="0"/>
        </w:rPr>
        <w:t>被评价单位：石家庄市生态环境局鹿泉区分局</w:t>
      </w:r>
    </w:p>
    <w:p>
      <w:pPr>
        <w:jc w:val="left"/>
        <w:rPr>
          <w:rFonts w:hint="eastAsia" w:ascii="Times New Roman" w:hAnsi="Times New Roman" w:eastAsia="方正小标宋简体"/>
          <w:b/>
          <w:sz w:val="32"/>
          <w:lang w:val="en-US" w:eastAsia="zh-CN"/>
        </w:rPr>
      </w:pPr>
      <w:r>
        <w:rPr>
          <w:rFonts w:hint="eastAsia" w:ascii="方正小标宋简体" w:hAnsi="方正小标宋简体" w:eastAsia="方正小标宋简体" w:cs="方正小标宋简体"/>
          <w:b w:val="0"/>
          <w:bCs w:val="0"/>
        </w:rPr>
        <w:t>报告时间：2023年11</w:t>
      </w:r>
      <w:r>
        <w:rPr>
          <w:rFonts w:hint="eastAsia" w:ascii="方正小标宋简体" w:hAnsi="方正小标宋简体" w:eastAsia="方正小标宋简体" w:cs="方正小标宋简体"/>
          <w:b w:val="0"/>
          <w:bCs w:val="0"/>
          <w:lang w:val="en-US" w:eastAsia="zh-CN"/>
        </w:rPr>
        <w:t>月</w:t>
      </w:r>
    </w:p>
    <w:p>
      <w:pPr>
        <w:jc w:val="center"/>
        <w:rPr>
          <w:rFonts w:ascii="宋体" w:hAnsi="宋体" w:eastAsia="宋体"/>
          <w:sz w:val="21"/>
        </w:rPr>
      </w:pPr>
    </w:p>
    <w:p>
      <w:pPr>
        <w:jc w:val="center"/>
        <w:rPr>
          <w:rFonts w:ascii="宋体" w:hAnsi="宋体" w:eastAsia="宋体"/>
          <w:sz w:val="21"/>
        </w:rPr>
      </w:pPr>
    </w:p>
    <w:sdt>
      <w:sdtPr>
        <w:rPr>
          <w:rFonts w:ascii="宋体" w:hAnsi="宋体" w:eastAsia="宋体"/>
          <w:sz w:val="21"/>
        </w:rPr>
        <w:id w:val="147456272"/>
        <w15:color w:val="DBDBDB"/>
        <w:docPartObj>
          <w:docPartGallery w:val="Table of Contents"/>
          <w:docPartUnique/>
        </w:docPartObj>
      </w:sdtPr>
      <w:sdtEndPr>
        <w:rPr>
          <w:rFonts w:hint="eastAsia" w:ascii="Times New Roman" w:hAnsi="Times New Roman" w:eastAsia="仿宋_GB2312"/>
          <w:b/>
          <w:sz w:val="32"/>
        </w:rPr>
      </w:sdtEndPr>
      <w:sdtContent>
        <w:p>
          <w:pPr>
            <w:jc w:val="center"/>
            <w:rPr>
              <w:rFonts w:hint="eastAsia" w:ascii="仿宋_GB2312" w:hAnsi="仿宋_GB2312" w:eastAsia="仿宋_GB2312" w:cs="仿宋_GB2312"/>
              <w:b/>
              <w:bCs/>
            </w:rPr>
          </w:pPr>
          <w:bookmarkStart w:id="0" w:name="_Toc589"/>
          <w:bookmarkStart w:id="1" w:name="_Toc16424"/>
          <w:bookmarkStart w:id="2" w:name="_Toc1790"/>
          <w:bookmarkStart w:id="3" w:name="_Toc10258"/>
          <w:r>
            <w:rPr>
              <w:rFonts w:hint="eastAsia" w:ascii="仿宋_GB2312" w:hAnsi="仿宋_GB2312" w:eastAsia="仿宋_GB2312" w:cs="仿宋_GB2312"/>
              <w:b/>
              <w:bCs/>
              <w:sz w:val="36"/>
              <w:szCs w:val="36"/>
            </w:rPr>
            <w:t>目 录</w:t>
          </w:r>
        </w:p>
        <w:p>
          <w:pPr>
            <w:pStyle w:val="10"/>
            <w:tabs>
              <w:tab w:val="right" w:leader="dot" w:pos="8306"/>
            </w:tabs>
            <w:spacing w:line="360" w:lineRule="auto"/>
          </w:pPr>
          <w:r>
            <w:rPr>
              <w:rFonts w:hint="eastAsia"/>
            </w:rPr>
            <w:fldChar w:fldCharType="begin"/>
          </w:r>
          <w:r>
            <w:rPr>
              <w:rFonts w:hint="eastAsia"/>
            </w:rPr>
            <w:instrText xml:space="preserve">TOC \o "1-2" \h \u </w:instrText>
          </w:r>
          <w:r>
            <w:rPr>
              <w:rFonts w:hint="eastAsia"/>
            </w:rPr>
            <w:fldChar w:fldCharType="separate"/>
          </w:r>
          <w:r>
            <w:rPr>
              <w:rFonts w:hint="eastAsia"/>
            </w:rPr>
            <w:fldChar w:fldCharType="begin"/>
          </w:r>
          <w:r>
            <w:rPr>
              <w:rFonts w:hint="eastAsia"/>
            </w:rPr>
            <w:instrText xml:space="preserve"> HYPERLINK \l _Toc10258 </w:instrText>
          </w:r>
          <w:r>
            <w:rPr>
              <w:rFonts w:hint="eastAsia"/>
            </w:rPr>
            <w:fldChar w:fldCharType="separate"/>
          </w:r>
          <w:r>
            <w:rPr>
              <w:rFonts w:hint="eastAsia" w:ascii="Times New Roman" w:hAnsi="Times New Roman" w:eastAsia="仿宋_GB2312" w:cstheme="minorBidi"/>
              <w:kern w:val="2"/>
              <w:szCs w:val="24"/>
              <w:lang w:val="en-US" w:eastAsia="zh-CN" w:bidi="ar-SA"/>
            </w:rPr>
            <w:t>引 言</w:t>
          </w:r>
          <w:r>
            <w:tab/>
          </w:r>
          <w:r>
            <w:fldChar w:fldCharType="begin"/>
          </w:r>
          <w:r>
            <w:instrText xml:space="preserve"> PAGEREF _Toc10258 \h </w:instrText>
          </w:r>
          <w:r>
            <w:fldChar w:fldCharType="separate"/>
          </w:r>
          <w:r>
            <w:t>1</w:t>
          </w:r>
          <w:r>
            <w:fldChar w:fldCharType="end"/>
          </w:r>
          <w:r>
            <w:rPr>
              <w:rFonts w:hint="eastAsia"/>
            </w:rPr>
            <w:fldChar w:fldCharType="end"/>
          </w:r>
        </w:p>
        <w:p>
          <w:pPr>
            <w:pStyle w:val="10"/>
            <w:tabs>
              <w:tab w:val="right" w:leader="dot" w:pos="8306"/>
            </w:tabs>
            <w:spacing w:line="360" w:lineRule="auto"/>
          </w:pPr>
          <w:r>
            <w:rPr>
              <w:rFonts w:hint="eastAsia"/>
            </w:rPr>
            <w:fldChar w:fldCharType="begin"/>
          </w:r>
          <w:r>
            <w:rPr>
              <w:rFonts w:hint="eastAsia"/>
            </w:rPr>
            <w:instrText xml:space="preserve"> HYPERLINK \l _Toc12091 </w:instrText>
          </w:r>
          <w:r>
            <w:rPr>
              <w:rFonts w:hint="eastAsia"/>
            </w:rPr>
            <w:fldChar w:fldCharType="separate"/>
          </w:r>
          <w:r>
            <w:rPr>
              <w:rFonts w:hint="eastAsia" w:ascii="Times New Roman" w:hAnsi="Times New Roman"/>
            </w:rPr>
            <w:t>一、基本情况</w:t>
          </w:r>
          <w:r>
            <w:tab/>
          </w:r>
          <w:r>
            <w:fldChar w:fldCharType="begin"/>
          </w:r>
          <w:r>
            <w:instrText xml:space="preserve"> PAGEREF _Toc12091 \h </w:instrText>
          </w:r>
          <w:r>
            <w:fldChar w:fldCharType="separate"/>
          </w:r>
          <w:r>
            <w:t>1</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_Toc29237 </w:instrText>
          </w:r>
          <w:r>
            <w:rPr>
              <w:rFonts w:hint="eastAsia"/>
            </w:rPr>
            <w:fldChar w:fldCharType="separate"/>
          </w:r>
          <w:r>
            <w:rPr>
              <w:rFonts w:hint="eastAsia" w:ascii="Times New Roman" w:hAnsi="Times New Roman"/>
            </w:rPr>
            <w:t>（一）项目概况</w:t>
          </w:r>
          <w:r>
            <w:tab/>
          </w:r>
          <w:r>
            <w:fldChar w:fldCharType="begin"/>
          </w:r>
          <w:r>
            <w:instrText xml:space="preserve"> PAGEREF _Toc29237 \h </w:instrText>
          </w:r>
          <w:r>
            <w:fldChar w:fldCharType="separate"/>
          </w:r>
          <w:r>
            <w:t>1</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_Toc27994 </w:instrText>
          </w:r>
          <w:r>
            <w:rPr>
              <w:rFonts w:hint="eastAsia"/>
            </w:rPr>
            <w:fldChar w:fldCharType="separate"/>
          </w:r>
          <w:r>
            <w:rPr>
              <w:rFonts w:hint="eastAsia" w:ascii="Times New Roman" w:hAnsi="Times New Roman"/>
            </w:rPr>
            <w:t>（二）项目绩效目标</w:t>
          </w:r>
          <w:r>
            <w:tab/>
          </w:r>
          <w:r>
            <w:fldChar w:fldCharType="begin"/>
          </w:r>
          <w:r>
            <w:instrText xml:space="preserve"> PAGEREF _Toc27994 \h </w:instrText>
          </w:r>
          <w:r>
            <w:fldChar w:fldCharType="separate"/>
          </w:r>
          <w:r>
            <w:t>4</w:t>
          </w:r>
          <w:r>
            <w:fldChar w:fldCharType="end"/>
          </w:r>
          <w:r>
            <w:rPr>
              <w:rFonts w:hint="eastAsia"/>
            </w:rPr>
            <w:fldChar w:fldCharType="end"/>
          </w:r>
        </w:p>
        <w:p>
          <w:pPr>
            <w:pStyle w:val="10"/>
            <w:tabs>
              <w:tab w:val="right" w:leader="dot" w:pos="8306"/>
            </w:tabs>
            <w:spacing w:line="360" w:lineRule="auto"/>
          </w:pPr>
          <w:r>
            <w:rPr>
              <w:rFonts w:hint="eastAsia"/>
            </w:rPr>
            <w:fldChar w:fldCharType="begin"/>
          </w:r>
          <w:r>
            <w:rPr>
              <w:rFonts w:hint="eastAsia"/>
            </w:rPr>
            <w:instrText xml:space="preserve"> HYPERLINK \l _Toc1892 </w:instrText>
          </w:r>
          <w:r>
            <w:rPr>
              <w:rFonts w:hint="eastAsia"/>
            </w:rPr>
            <w:fldChar w:fldCharType="separate"/>
          </w:r>
          <w:r>
            <w:rPr>
              <w:rFonts w:hint="eastAsia" w:ascii="Times New Roman" w:hAnsi="Times New Roman"/>
            </w:rPr>
            <w:t>二、绩效评价工作开展情况</w:t>
          </w:r>
          <w:r>
            <w:tab/>
          </w:r>
          <w:r>
            <w:fldChar w:fldCharType="begin"/>
          </w:r>
          <w:r>
            <w:instrText xml:space="preserve"> PAGEREF _Toc1892 \h </w:instrText>
          </w:r>
          <w:r>
            <w:fldChar w:fldCharType="separate"/>
          </w:r>
          <w:r>
            <w:t>5</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_Toc20426 </w:instrText>
          </w:r>
          <w:r>
            <w:rPr>
              <w:rFonts w:hint="eastAsia"/>
            </w:rPr>
            <w:fldChar w:fldCharType="separate"/>
          </w:r>
          <w:r>
            <w:rPr>
              <w:rFonts w:hint="eastAsia" w:ascii="Times New Roman" w:hAnsi="Times New Roman"/>
            </w:rPr>
            <w:t>（一）绩效评价目的、对象和范围</w:t>
          </w:r>
          <w:r>
            <w:tab/>
          </w:r>
          <w:r>
            <w:fldChar w:fldCharType="begin"/>
          </w:r>
          <w:r>
            <w:instrText xml:space="preserve"> PAGEREF _Toc20426 \h </w:instrText>
          </w:r>
          <w:r>
            <w:fldChar w:fldCharType="separate"/>
          </w:r>
          <w:r>
            <w:t>5</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_Toc18493 </w:instrText>
          </w:r>
          <w:r>
            <w:rPr>
              <w:rFonts w:hint="eastAsia"/>
            </w:rPr>
            <w:fldChar w:fldCharType="separate"/>
          </w:r>
          <w:r>
            <w:rPr>
              <w:rFonts w:hint="eastAsia" w:ascii="Times New Roman" w:hAnsi="Times New Roman"/>
            </w:rPr>
            <w:t>（二）绩效评价</w:t>
          </w:r>
          <w:r>
            <w:rPr>
              <w:rFonts w:hint="eastAsia" w:ascii="Times New Roman" w:hAnsi="Times New Roman"/>
              <w:lang w:val="en-US" w:eastAsia="zh-CN"/>
            </w:rPr>
            <w:t>指标设计</w:t>
          </w:r>
          <w:r>
            <w:rPr>
              <w:rFonts w:hint="eastAsia" w:ascii="Times New Roman" w:hAnsi="Times New Roman"/>
            </w:rPr>
            <w:t>原则、评价指标体系、评价方法、</w:t>
          </w:r>
          <w:r>
            <w:rPr>
              <w:rFonts w:hint="eastAsia" w:ascii="Times New Roman" w:hAnsi="Times New Roman"/>
              <w:lang w:val="en-US" w:eastAsia="zh-CN"/>
            </w:rPr>
            <w:t>评价原则、</w:t>
          </w:r>
          <w:r>
            <w:rPr>
              <w:rFonts w:hint="eastAsia" w:ascii="Times New Roman" w:hAnsi="Times New Roman"/>
            </w:rPr>
            <w:t>评价标准</w:t>
          </w:r>
          <w:r>
            <w:tab/>
          </w:r>
          <w:r>
            <w:fldChar w:fldCharType="begin"/>
          </w:r>
          <w:r>
            <w:instrText xml:space="preserve"> PAGEREF _Toc18493 \h </w:instrText>
          </w:r>
          <w:r>
            <w:fldChar w:fldCharType="separate"/>
          </w:r>
          <w:r>
            <w:t>5</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_Toc27235 </w:instrText>
          </w:r>
          <w:r>
            <w:rPr>
              <w:rFonts w:hint="eastAsia"/>
            </w:rPr>
            <w:fldChar w:fldCharType="separate"/>
          </w:r>
          <w:r>
            <w:rPr>
              <w:rFonts w:hint="eastAsia" w:ascii="Times New Roman" w:hAnsi="Times New Roman"/>
            </w:rPr>
            <w:t>（三）绩效评价工作过程</w:t>
          </w:r>
          <w:r>
            <w:tab/>
          </w:r>
          <w:r>
            <w:fldChar w:fldCharType="begin"/>
          </w:r>
          <w:r>
            <w:instrText xml:space="preserve"> PAGEREF _Toc27235 \h </w:instrText>
          </w:r>
          <w:r>
            <w:fldChar w:fldCharType="separate"/>
          </w:r>
          <w:r>
            <w:t>9</w:t>
          </w:r>
          <w:r>
            <w:fldChar w:fldCharType="end"/>
          </w:r>
          <w:r>
            <w:rPr>
              <w:rFonts w:hint="eastAsia"/>
            </w:rPr>
            <w:fldChar w:fldCharType="end"/>
          </w:r>
        </w:p>
        <w:p>
          <w:pPr>
            <w:pStyle w:val="10"/>
            <w:tabs>
              <w:tab w:val="right" w:leader="dot" w:pos="8306"/>
            </w:tabs>
            <w:spacing w:line="360" w:lineRule="auto"/>
          </w:pPr>
          <w:r>
            <w:rPr>
              <w:rFonts w:hint="eastAsia"/>
            </w:rPr>
            <w:fldChar w:fldCharType="begin"/>
          </w:r>
          <w:r>
            <w:rPr>
              <w:rFonts w:hint="eastAsia"/>
            </w:rPr>
            <w:instrText xml:space="preserve"> HYPERLINK \l _Toc8224 </w:instrText>
          </w:r>
          <w:r>
            <w:rPr>
              <w:rFonts w:hint="eastAsia"/>
            </w:rPr>
            <w:fldChar w:fldCharType="separate"/>
          </w:r>
          <w:r>
            <w:rPr>
              <w:rFonts w:hint="eastAsia" w:ascii="Times New Roman" w:hAnsi="Times New Roman"/>
            </w:rPr>
            <w:t>三、综合评价情况及评价结论</w:t>
          </w:r>
          <w:r>
            <w:tab/>
          </w:r>
          <w:r>
            <w:fldChar w:fldCharType="begin"/>
          </w:r>
          <w:r>
            <w:instrText xml:space="preserve"> PAGEREF _Toc8224 \h </w:instrText>
          </w:r>
          <w:r>
            <w:fldChar w:fldCharType="separate"/>
          </w:r>
          <w:r>
            <w:t>11</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_Toc11849 </w:instrText>
          </w:r>
          <w:r>
            <w:rPr>
              <w:rFonts w:hint="eastAsia"/>
            </w:rPr>
            <w:fldChar w:fldCharType="separate"/>
          </w:r>
          <w:r>
            <w:rPr>
              <w:rFonts w:hint="eastAsia" w:ascii="Times New Roman" w:hAnsi="Times New Roman"/>
            </w:rPr>
            <w:t>（一）总评价得分及评价等级</w:t>
          </w:r>
          <w:r>
            <w:tab/>
          </w:r>
          <w:r>
            <w:fldChar w:fldCharType="begin"/>
          </w:r>
          <w:r>
            <w:instrText xml:space="preserve"> PAGEREF _Toc11849 \h </w:instrText>
          </w:r>
          <w:r>
            <w:fldChar w:fldCharType="separate"/>
          </w:r>
          <w:r>
            <w:t>11</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_Toc10721 </w:instrText>
          </w:r>
          <w:r>
            <w:rPr>
              <w:rFonts w:hint="eastAsia"/>
            </w:rPr>
            <w:fldChar w:fldCharType="separate"/>
          </w:r>
          <w:r>
            <w:rPr>
              <w:rFonts w:hint="eastAsia" w:ascii="Times New Roman" w:hAnsi="Times New Roman"/>
            </w:rPr>
            <w:t>（二）评价结论</w:t>
          </w:r>
          <w:r>
            <w:tab/>
          </w:r>
          <w:r>
            <w:fldChar w:fldCharType="begin"/>
          </w:r>
          <w:r>
            <w:instrText xml:space="preserve"> PAGEREF _Toc10721 \h </w:instrText>
          </w:r>
          <w:r>
            <w:fldChar w:fldCharType="separate"/>
          </w:r>
          <w:r>
            <w:t>11</w:t>
          </w:r>
          <w:r>
            <w:fldChar w:fldCharType="end"/>
          </w:r>
          <w:r>
            <w:rPr>
              <w:rFonts w:hint="eastAsia"/>
            </w:rPr>
            <w:fldChar w:fldCharType="end"/>
          </w:r>
        </w:p>
        <w:p>
          <w:pPr>
            <w:pStyle w:val="10"/>
            <w:tabs>
              <w:tab w:val="right" w:leader="dot" w:pos="8306"/>
            </w:tabs>
            <w:spacing w:line="360" w:lineRule="auto"/>
          </w:pPr>
          <w:r>
            <w:rPr>
              <w:rFonts w:hint="eastAsia"/>
            </w:rPr>
            <w:fldChar w:fldCharType="begin"/>
          </w:r>
          <w:r>
            <w:rPr>
              <w:rFonts w:hint="eastAsia"/>
            </w:rPr>
            <w:instrText xml:space="preserve"> HYPERLINK \l _Toc26707 </w:instrText>
          </w:r>
          <w:r>
            <w:rPr>
              <w:rFonts w:hint="eastAsia"/>
            </w:rPr>
            <w:fldChar w:fldCharType="separate"/>
          </w:r>
          <w:r>
            <w:rPr>
              <w:rFonts w:hint="eastAsia" w:ascii="Times New Roman" w:hAnsi="Times New Roman"/>
            </w:rPr>
            <w:t>四、绩效评价指标分析</w:t>
          </w:r>
          <w:r>
            <w:tab/>
          </w:r>
          <w:r>
            <w:fldChar w:fldCharType="begin"/>
          </w:r>
          <w:r>
            <w:instrText xml:space="preserve"> PAGEREF _Toc26707 \h </w:instrText>
          </w:r>
          <w:r>
            <w:fldChar w:fldCharType="separate"/>
          </w:r>
          <w:r>
            <w:t>12</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_Toc28415 </w:instrText>
          </w:r>
          <w:r>
            <w:rPr>
              <w:rFonts w:hint="eastAsia"/>
            </w:rPr>
            <w:fldChar w:fldCharType="separate"/>
          </w:r>
          <w:r>
            <w:rPr>
              <w:rFonts w:hint="eastAsia" w:ascii="Times New Roman" w:hAnsi="Times New Roman"/>
            </w:rPr>
            <w:t>（一）项目决策情况</w:t>
          </w:r>
          <w:r>
            <w:tab/>
          </w:r>
          <w:r>
            <w:fldChar w:fldCharType="begin"/>
          </w:r>
          <w:r>
            <w:instrText xml:space="preserve"> PAGEREF _Toc28415 \h </w:instrText>
          </w:r>
          <w:r>
            <w:fldChar w:fldCharType="separate"/>
          </w:r>
          <w:r>
            <w:t>12</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_Toc21474 </w:instrText>
          </w:r>
          <w:r>
            <w:rPr>
              <w:rFonts w:hint="eastAsia"/>
            </w:rPr>
            <w:fldChar w:fldCharType="separate"/>
          </w:r>
          <w:r>
            <w:rPr>
              <w:rFonts w:hint="eastAsia" w:ascii="Times New Roman" w:hAnsi="Times New Roman"/>
            </w:rPr>
            <w:t>（二）项目过程情况</w:t>
          </w:r>
          <w:r>
            <w:tab/>
          </w:r>
          <w:r>
            <w:fldChar w:fldCharType="begin"/>
          </w:r>
          <w:r>
            <w:instrText xml:space="preserve"> PAGEREF _Toc21474 \h </w:instrText>
          </w:r>
          <w:r>
            <w:fldChar w:fldCharType="separate"/>
          </w:r>
          <w:r>
            <w:t>15</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_Toc15796 </w:instrText>
          </w:r>
          <w:r>
            <w:rPr>
              <w:rFonts w:hint="eastAsia"/>
            </w:rPr>
            <w:fldChar w:fldCharType="separate"/>
          </w:r>
          <w:r>
            <w:rPr>
              <w:rFonts w:hint="eastAsia" w:ascii="Times New Roman" w:hAnsi="Times New Roman"/>
            </w:rPr>
            <w:t>（三）项目产出情况</w:t>
          </w:r>
          <w:r>
            <w:tab/>
          </w:r>
          <w:r>
            <w:fldChar w:fldCharType="begin"/>
          </w:r>
          <w:r>
            <w:instrText xml:space="preserve"> PAGEREF _Toc15796 \h </w:instrText>
          </w:r>
          <w:r>
            <w:fldChar w:fldCharType="separate"/>
          </w:r>
          <w:r>
            <w:t>18</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_Toc27964 </w:instrText>
          </w:r>
          <w:r>
            <w:rPr>
              <w:rFonts w:hint="eastAsia"/>
            </w:rPr>
            <w:fldChar w:fldCharType="separate"/>
          </w:r>
          <w:r>
            <w:rPr>
              <w:rFonts w:hint="eastAsia" w:ascii="Times New Roman" w:hAnsi="Times New Roman"/>
            </w:rPr>
            <w:t>（四）项目效益情况</w:t>
          </w:r>
          <w:r>
            <w:tab/>
          </w:r>
          <w:r>
            <w:fldChar w:fldCharType="begin"/>
          </w:r>
          <w:r>
            <w:instrText xml:space="preserve"> PAGEREF _Toc27964 \h </w:instrText>
          </w:r>
          <w:r>
            <w:fldChar w:fldCharType="separate"/>
          </w:r>
          <w:r>
            <w:t>20</w:t>
          </w:r>
          <w:r>
            <w:fldChar w:fldCharType="end"/>
          </w:r>
          <w:r>
            <w:rPr>
              <w:rFonts w:hint="eastAsia"/>
            </w:rPr>
            <w:fldChar w:fldCharType="end"/>
          </w:r>
        </w:p>
        <w:p>
          <w:pPr>
            <w:pStyle w:val="10"/>
            <w:tabs>
              <w:tab w:val="right" w:leader="dot" w:pos="8306"/>
            </w:tabs>
            <w:spacing w:line="360" w:lineRule="auto"/>
          </w:pPr>
          <w:r>
            <w:rPr>
              <w:rFonts w:hint="eastAsia"/>
            </w:rPr>
            <w:fldChar w:fldCharType="begin"/>
          </w:r>
          <w:r>
            <w:rPr>
              <w:rFonts w:hint="eastAsia"/>
            </w:rPr>
            <w:instrText xml:space="preserve"> HYPERLINK \l _Toc13398 </w:instrText>
          </w:r>
          <w:r>
            <w:rPr>
              <w:rFonts w:hint="eastAsia"/>
            </w:rPr>
            <w:fldChar w:fldCharType="separate"/>
          </w:r>
          <w:r>
            <w:rPr>
              <w:rFonts w:hint="eastAsia" w:ascii="Times New Roman" w:hAnsi="Times New Roman"/>
            </w:rPr>
            <w:t>五、主要经验及做法、存在的问题及原因分析</w:t>
          </w:r>
          <w:r>
            <w:tab/>
          </w:r>
          <w:r>
            <w:fldChar w:fldCharType="begin"/>
          </w:r>
          <w:r>
            <w:instrText xml:space="preserve"> PAGEREF _Toc13398 \h </w:instrText>
          </w:r>
          <w:r>
            <w:fldChar w:fldCharType="separate"/>
          </w:r>
          <w:r>
            <w:t>23</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_Toc18403 </w:instrText>
          </w:r>
          <w:r>
            <w:rPr>
              <w:rFonts w:hint="eastAsia"/>
            </w:rPr>
            <w:fldChar w:fldCharType="separate"/>
          </w:r>
          <w:r>
            <w:rPr>
              <w:rFonts w:hint="eastAsia" w:ascii="Times New Roman" w:hAnsi="Times New Roman"/>
            </w:rPr>
            <w:t>（一）主要经验及做法</w:t>
          </w:r>
          <w:r>
            <w:tab/>
          </w:r>
          <w:r>
            <w:fldChar w:fldCharType="begin"/>
          </w:r>
          <w:r>
            <w:instrText xml:space="preserve"> PAGEREF _Toc18403 \h </w:instrText>
          </w:r>
          <w:r>
            <w:fldChar w:fldCharType="separate"/>
          </w:r>
          <w:r>
            <w:t>23</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_Toc21724 </w:instrText>
          </w:r>
          <w:r>
            <w:rPr>
              <w:rFonts w:hint="eastAsia"/>
            </w:rPr>
            <w:fldChar w:fldCharType="separate"/>
          </w:r>
          <w:r>
            <w:rPr>
              <w:rFonts w:hint="eastAsia" w:ascii="Times New Roman" w:hAnsi="Times New Roman"/>
              <w:lang w:eastAsia="zh-CN"/>
            </w:rPr>
            <w:t>（</w:t>
          </w:r>
          <w:r>
            <w:rPr>
              <w:rFonts w:hint="eastAsia" w:ascii="Times New Roman" w:hAnsi="Times New Roman"/>
              <w:lang w:val="en-US" w:eastAsia="zh-CN"/>
            </w:rPr>
            <w:t>二</w:t>
          </w:r>
          <w:r>
            <w:rPr>
              <w:rFonts w:hint="eastAsia" w:ascii="Times New Roman" w:hAnsi="Times New Roman"/>
              <w:lang w:eastAsia="zh-CN"/>
            </w:rPr>
            <w:t>）</w:t>
          </w:r>
          <w:r>
            <w:rPr>
              <w:rFonts w:hint="eastAsia" w:ascii="Times New Roman" w:hAnsi="Times New Roman"/>
            </w:rPr>
            <w:t>存在的问题及原因分析</w:t>
          </w:r>
          <w:r>
            <w:tab/>
          </w:r>
          <w:r>
            <w:fldChar w:fldCharType="begin"/>
          </w:r>
          <w:r>
            <w:instrText xml:space="preserve"> PAGEREF _Toc21724 \h </w:instrText>
          </w:r>
          <w:r>
            <w:fldChar w:fldCharType="separate"/>
          </w:r>
          <w:r>
            <w:t>24</w:t>
          </w:r>
          <w:r>
            <w:fldChar w:fldCharType="end"/>
          </w:r>
          <w:r>
            <w:rPr>
              <w:rFonts w:hint="eastAsia"/>
            </w:rPr>
            <w:fldChar w:fldCharType="end"/>
          </w:r>
        </w:p>
        <w:p>
          <w:pPr>
            <w:pStyle w:val="10"/>
            <w:tabs>
              <w:tab w:val="right" w:leader="dot" w:pos="8306"/>
            </w:tabs>
            <w:spacing w:line="360" w:lineRule="auto"/>
          </w:pPr>
          <w:r>
            <w:rPr>
              <w:rFonts w:hint="eastAsia"/>
            </w:rPr>
            <w:fldChar w:fldCharType="begin"/>
          </w:r>
          <w:r>
            <w:rPr>
              <w:rFonts w:hint="eastAsia"/>
            </w:rPr>
            <w:instrText xml:space="preserve"> HYPERLINK \l _Toc4226 </w:instrText>
          </w:r>
          <w:r>
            <w:rPr>
              <w:rFonts w:hint="eastAsia"/>
            </w:rPr>
            <w:fldChar w:fldCharType="separate"/>
          </w:r>
          <w:r>
            <w:rPr>
              <w:rFonts w:hint="eastAsia" w:ascii="Times New Roman" w:hAnsi="Times New Roman"/>
            </w:rPr>
            <w:t>六、有关建议</w:t>
          </w:r>
          <w:r>
            <w:tab/>
          </w:r>
          <w:r>
            <w:fldChar w:fldCharType="begin"/>
          </w:r>
          <w:r>
            <w:instrText xml:space="preserve"> PAGEREF _Toc4226 \h </w:instrText>
          </w:r>
          <w:r>
            <w:fldChar w:fldCharType="separate"/>
          </w:r>
          <w:r>
            <w:t>25</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_Toc18830 </w:instrText>
          </w:r>
          <w:r>
            <w:rPr>
              <w:rFonts w:hint="eastAsia"/>
            </w:rPr>
            <w:fldChar w:fldCharType="separate"/>
          </w:r>
          <w:r>
            <w:rPr>
              <w:rFonts w:hint="eastAsia" w:ascii="Times New Roman" w:hAnsi="Times New Roman"/>
            </w:rPr>
            <w:t>（</w:t>
          </w:r>
          <w:r>
            <w:rPr>
              <w:rFonts w:hint="eastAsia" w:ascii="Times New Roman" w:hAnsi="Times New Roman"/>
              <w:lang w:val="en-US" w:eastAsia="zh-CN"/>
            </w:rPr>
            <w:t>一</w:t>
          </w:r>
          <w:r>
            <w:rPr>
              <w:rFonts w:hint="eastAsia" w:ascii="Times New Roman" w:hAnsi="Times New Roman"/>
            </w:rPr>
            <w:t>）</w:t>
          </w:r>
          <w:r>
            <w:rPr>
              <w:rFonts w:hint="eastAsia" w:ascii="Times New Roman" w:hAnsi="Times New Roman"/>
              <w:lang w:val="en-US" w:eastAsia="zh-CN"/>
            </w:rPr>
            <w:t>加强项目前期勘测，</w:t>
          </w:r>
          <w:r>
            <w:rPr>
              <w:rFonts w:hint="eastAsia" w:ascii="Times New Roman" w:hAnsi="Times New Roman"/>
            </w:rPr>
            <w:t>提高项目工程量测算精准度</w:t>
          </w:r>
          <w:r>
            <w:tab/>
          </w:r>
          <w:r>
            <w:fldChar w:fldCharType="begin"/>
          </w:r>
          <w:r>
            <w:instrText xml:space="preserve"> PAGEREF _Toc18830 \h </w:instrText>
          </w:r>
          <w:r>
            <w:fldChar w:fldCharType="separate"/>
          </w:r>
          <w:r>
            <w:t>25</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_Toc24420 </w:instrText>
          </w:r>
          <w:r>
            <w:rPr>
              <w:rFonts w:hint="eastAsia"/>
            </w:rPr>
            <w:fldChar w:fldCharType="separate"/>
          </w:r>
          <w:r>
            <w:rPr>
              <w:rFonts w:hint="eastAsia" w:ascii="Times New Roman" w:hAnsi="Times New Roman"/>
            </w:rPr>
            <w:t>（</w:t>
          </w:r>
          <w:r>
            <w:rPr>
              <w:rFonts w:hint="eastAsia" w:ascii="Times New Roman" w:hAnsi="Times New Roman"/>
              <w:lang w:val="en-US" w:eastAsia="zh-CN"/>
            </w:rPr>
            <w:t>二</w:t>
          </w:r>
          <w:r>
            <w:rPr>
              <w:rFonts w:hint="eastAsia" w:ascii="Times New Roman" w:hAnsi="Times New Roman"/>
            </w:rPr>
            <w:t>）</w:t>
          </w:r>
          <w:r>
            <w:rPr>
              <w:rFonts w:hint="eastAsia" w:ascii="Times New Roman" w:hAnsi="Times New Roman"/>
              <w:lang w:val="en-US" w:eastAsia="zh-CN"/>
            </w:rPr>
            <w:t>做好项目监管，加快推进项目实施进度</w:t>
          </w:r>
          <w:r>
            <w:tab/>
          </w:r>
          <w:r>
            <w:fldChar w:fldCharType="begin"/>
          </w:r>
          <w:r>
            <w:instrText xml:space="preserve"> PAGEREF _Toc24420 \h </w:instrText>
          </w:r>
          <w:r>
            <w:fldChar w:fldCharType="separate"/>
          </w:r>
          <w:r>
            <w:t>25</w:t>
          </w:r>
          <w:r>
            <w:fldChar w:fldCharType="end"/>
          </w:r>
          <w:r>
            <w:rPr>
              <w:rFonts w:hint="eastAsia"/>
            </w:rPr>
            <w:fldChar w:fldCharType="end"/>
          </w:r>
        </w:p>
        <w:p>
          <w:pPr>
            <w:pStyle w:val="11"/>
            <w:tabs>
              <w:tab w:val="right" w:leader="dot" w:pos="8306"/>
            </w:tabs>
            <w:spacing w:line="360" w:lineRule="auto"/>
          </w:pPr>
          <w:r>
            <w:rPr>
              <w:rFonts w:hint="eastAsia"/>
            </w:rPr>
            <w:fldChar w:fldCharType="begin"/>
          </w:r>
          <w:r>
            <w:rPr>
              <w:rFonts w:hint="eastAsia"/>
            </w:rPr>
            <w:instrText xml:space="preserve"> HYPERLINK \l _Toc3105 </w:instrText>
          </w:r>
          <w:r>
            <w:rPr>
              <w:rFonts w:hint="eastAsia"/>
            </w:rPr>
            <w:fldChar w:fldCharType="separate"/>
          </w:r>
          <w:r>
            <w:rPr>
              <w:rFonts w:hint="eastAsia" w:ascii="Times New Roman" w:hAnsi="Times New Roman"/>
            </w:rPr>
            <w:t>（</w:t>
          </w:r>
          <w:r>
            <w:rPr>
              <w:rFonts w:hint="eastAsia" w:ascii="Times New Roman" w:hAnsi="Times New Roman"/>
              <w:lang w:val="en-US" w:eastAsia="zh-CN"/>
            </w:rPr>
            <w:t>三</w:t>
          </w:r>
          <w:r>
            <w:rPr>
              <w:rFonts w:hint="eastAsia" w:ascii="Times New Roman" w:hAnsi="Times New Roman"/>
            </w:rPr>
            <w:t>）加强项目的预算绩效管理</w:t>
          </w:r>
          <w:r>
            <w:tab/>
          </w:r>
          <w:r>
            <w:fldChar w:fldCharType="begin"/>
          </w:r>
          <w:r>
            <w:instrText xml:space="preserve"> PAGEREF _Toc3105 \h </w:instrText>
          </w:r>
          <w:r>
            <w:fldChar w:fldCharType="separate"/>
          </w:r>
          <w:r>
            <w:t>26</w:t>
          </w:r>
          <w:r>
            <w:fldChar w:fldCharType="end"/>
          </w:r>
          <w:r>
            <w:rPr>
              <w:rFonts w:hint="eastAsia"/>
            </w:rPr>
            <w:fldChar w:fldCharType="end"/>
          </w:r>
        </w:p>
        <w:p>
          <w:pPr>
            <w:pStyle w:val="10"/>
            <w:tabs>
              <w:tab w:val="right" w:leader="dot" w:pos="8306"/>
            </w:tabs>
            <w:spacing w:line="360" w:lineRule="auto"/>
          </w:pPr>
          <w:r>
            <w:rPr>
              <w:rFonts w:hint="eastAsia"/>
            </w:rPr>
            <w:fldChar w:fldCharType="begin"/>
          </w:r>
          <w:r>
            <w:rPr>
              <w:rFonts w:hint="eastAsia"/>
            </w:rPr>
            <w:instrText xml:space="preserve"> HYPERLINK \l _Toc26521 </w:instrText>
          </w:r>
          <w:r>
            <w:rPr>
              <w:rFonts w:hint="eastAsia"/>
            </w:rPr>
            <w:fldChar w:fldCharType="separate"/>
          </w:r>
          <w:r>
            <w:rPr>
              <w:rFonts w:hint="eastAsia" w:ascii="Times New Roman" w:hAnsi="Times New Roman"/>
            </w:rPr>
            <w:t>七、其他需要说明的问题</w:t>
          </w:r>
          <w:r>
            <w:tab/>
          </w:r>
          <w:r>
            <w:fldChar w:fldCharType="begin"/>
          </w:r>
          <w:r>
            <w:instrText xml:space="preserve"> PAGEREF _Toc26521 \h </w:instrText>
          </w:r>
          <w:r>
            <w:fldChar w:fldCharType="separate"/>
          </w:r>
          <w:r>
            <w:t>26</w:t>
          </w:r>
          <w:r>
            <w:fldChar w:fldCharType="end"/>
          </w:r>
          <w:r>
            <w:rPr>
              <w:rFonts w:hint="eastAsia"/>
            </w:rPr>
            <w:fldChar w:fldCharType="end"/>
          </w:r>
        </w:p>
        <w:p>
          <w:pPr>
            <w:pStyle w:val="10"/>
            <w:tabs>
              <w:tab w:val="right" w:leader="dot" w:pos="8306"/>
            </w:tabs>
            <w:spacing w:line="360" w:lineRule="auto"/>
          </w:pPr>
          <w:r>
            <w:rPr>
              <w:rFonts w:hint="eastAsia"/>
            </w:rPr>
            <w:fldChar w:fldCharType="begin"/>
          </w:r>
          <w:r>
            <w:rPr>
              <w:rFonts w:hint="eastAsia"/>
            </w:rPr>
            <w:instrText xml:space="preserve"> HYPERLINK \l _Toc27348 </w:instrText>
          </w:r>
          <w:r>
            <w:rPr>
              <w:rFonts w:hint="eastAsia"/>
            </w:rPr>
            <w:fldChar w:fldCharType="separate"/>
          </w:r>
          <w:r>
            <w:rPr>
              <w:rFonts w:hint="eastAsia"/>
            </w:rPr>
            <w:t>附件1 评价指标体系及得分表（后附表格）</w:t>
          </w:r>
          <w:r>
            <w:tab/>
          </w:r>
          <w:r>
            <w:fldChar w:fldCharType="begin"/>
          </w:r>
          <w:r>
            <w:instrText xml:space="preserve"> PAGEREF _Toc27348 \h </w:instrText>
          </w:r>
          <w:r>
            <w:fldChar w:fldCharType="separate"/>
          </w:r>
          <w:r>
            <w:t>28</w:t>
          </w:r>
          <w:r>
            <w:fldChar w:fldCharType="end"/>
          </w:r>
          <w:r>
            <w:rPr>
              <w:rFonts w:hint="eastAsia"/>
            </w:rPr>
            <w:fldChar w:fldCharType="end"/>
          </w:r>
        </w:p>
        <w:p>
          <w:pPr>
            <w:pStyle w:val="10"/>
            <w:tabs>
              <w:tab w:val="right" w:leader="dot" w:pos="8306"/>
            </w:tabs>
            <w:spacing w:line="360" w:lineRule="auto"/>
            <w:rPr>
              <w:rFonts w:hint="eastAsia" w:ascii="Times New Roman" w:hAnsi="Times New Roman" w:eastAsia="仿宋_GB2312" w:cstheme="minorBidi"/>
              <w:kern w:val="2"/>
              <w:sz w:val="28"/>
              <w:szCs w:val="24"/>
              <w:lang w:val="en-US" w:eastAsia="zh-CN" w:bidi="ar-SA"/>
            </w:rPr>
          </w:pPr>
          <w:r>
            <w:rPr>
              <w:rFonts w:hint="eastAsia" w:ascii="Times New Roman" w:hAnsi="Times New Roman" w:eastAsia="仿宋_GB2312" w:cstheme="minorBidi"/>
              <w:kern w:val="2"/>
              <w:sz w:val="28"/>
              <w:szCs w:val="24"/>
              <w:lang w:val="en-US" w:eastAsia="zh-CN" w:bidi="ar-SA"/>
            </w:rPr>
            <w:fldChar w:fldCharType="begin"/>
          </w:r>
          <w:r>
            <w:rPr>
              <w:rFonts w:hint="eastAsia" w:ascii="Times New Roman" w:hAnsi="Times New Roman" w:eastAsia="仿宋_GB2312" w:cstheme="minorBidi"/>
              <w:kern w:val="2"/>
              <w:sz w:val="28"/>
              <w:szCs w:val="24"/>
              <w:lang w:val="en-US" w:eastAsia="zh-CN" w:bidi="ar-SA"/>
            </w:rPr>
            <w:instrText xml:space="preserve"> HYPERLINK \l _Toc12331 </w:instrText>
          </w:r>
          <w:r>
            <w:rPr>
              <w:rFonts w:hint="eastAsia" w:ascii="Times New Roman" w:hAnsi="Times New Roman" w:eastAsia="仿宋_GB2312" w:cstheme="minorBidi"/>
              <w:kern w:val="2"/>
              <w:sz w:val="28"/>
              <w:szCs w:val="24"/>
              <w:lang w:val="en-US" w:eastAsia="zh-CN" w:bidi="ar-SA"/>
            </w:rPr>
            <w:fldChar w:fldCharType="separate"/>
          </w:r>
          <w:r>
            <w:rPr>
              <w:rFonts w:hint="eastAsia" w:ascii="Times New Roman" w:hAnsi="Times New Roman" w:eastAsia="仿宋_GB2312" w:cstheme="minorBidi"/>
              <w:kern w:val="2"/>
              <w:sz w:val="28"/>
              <w:szCs w:val="24"/>
              <w:lang w:val="en-US" w:eastAsia="zh-CN" w:bidi="ar-SA"/>
            </w:rPr>
            <w:t>附件2 满意度调查问卷分析报告</w:t>
          </w:r>
          <w:r>
            <w:rPr>
              <w:rFonts w:hint="eastAsia" w:ascii="Times New Roman" w:hAnsi="Times New Roman" w:eastAsia="仿宋_GB2312" w:cstheme="minorBidi"/>
              <w:kern w:val="2"/>
              <w:sz w:val="28"/>
              <w:szCs w:val="24"/>
              <w:lang w:val="en-US" w:eastAsia="zh-CN" w:bidi="ar-SA"/>
            </w:rPr>
            <w:tab/>
          </w:r>
          <w:r>
            <w:rPr>
              <w:rFonts w:hint="eastAsia" w:ascii="Times New Roman" w:hAnsi="Times New Roman" w:eastAsia="仿宋_GB2312" w:cstheme="minorBidi"/>
              <w:kern w:val="2"/>
              <w:sz w:val="28"/>
              <w:szCs w:val="24"/>
              <w:lang w:val="en-US" w:eastAsia="zh-CN" w:bidi="ar-SA"/>
            </w:rPr>
            <w:fldChar w:fldCharType="begin"/>
          </w:r>
          <w:r>
            <w:rPr>
              <w:rFonts w:hint="eastAsia" w:ascii="Times New Roman" w:hAnsi="Times New Roman" w:eastAsia="仿宋_GB2312" w:cstheme="minorBidi"/>
              <w:kern w:val="2"/>
              <w:sz w:val="28"/>
              <w:szCs w:val="24"/>
              <w:lang w:val="en-US" w:eastAsia="zh-CN" w:bidi="ar-SA"/>
            </w:rPr>
            <w:instrText xml:space="preserve"> PAGEREF _Toc12331 \h </w:instrText>
          </w:r>
          <w:r>
            <w:rPr>
              <w:rFonts w:hint="eastAsia" w:ascii="Times New Roman" w:hAnsi="Times New Roman" w:eastAsia="仿宋_GB2312" w:cstheme="minorBidi"/>
              <w:kern w:val="2"/>
              <w:sz w:val="28"/>
              <w:szCs w:val="24"/>
              <w:lang w:val="en-US" w:eastAsia="zh-CN" w:bidi="ar-SA"/>
            </w:rPr>
            <w:fldChar w:fldCharType="separate"/>
          </w:r>
          <w:r>
            <w:rPr>
              <w:rFonts w:hint="eastAsia" w:ascii="Times New Roman" w:hAnsi="Times New Roman" w:eastAsia="仿宋_GB2312" w:cstheme="minorBidi"/>
              <w:kern w:val="2"/>
              <w:sz w:val="28"/>
              <w:szCs w:val="24"/>
              <w:lang w:val="en-US" w:eastAsia="zh-CN" w:bidi="ar-SA"/>
            </w:rPr>
            <w:t>28</w:t>
          </w:r>
          <w:r>
            <w:rPr>
              <w:rFonts w:hint="eastAsia" w:ascii="Times New Roman" w:hAnsi="Times New Roman" w:eastAsia="仿宋_GB2312" w:cstheme="minorBidi"/>
              <w:kern w:val="2"/>
              <w:sz w:val="28"/>
              <w:szCs w:val="24"/>
              <w:lang w:val="en-US" w:eastAsia="zh-CN" w:bidi="ar-SA"/>
            </w:rPr>
            <w:fldChar w:fldCharType="end"/>
          </w:r>
          <w:r>
            <w:rPr>
              <w:rFonts w:hint="eastAsia" w:ascii="Times New Roman" w:hAnsi="Times New Roman" w:eastAsia="仿宋_GB2312" w:cstheme="minorBidi"/>
              <w:kern w:val="2"/>
              <w:sz w:val="28"/>
              <w:szCs w:val="24"/>
              <w:lang w:val="en-US" w:eastAsia="zh-CN" w:bidi="ar-SA"/>
            </w:rPr>
            <w:fldChar w:fldCharType="end"/>
          </w:r>
        </w:p>
        <w:p>
          <w:pPr>
            <w:pStyle w:val="10"/>
            <w:tabs>
              <w:tab w:val="right" w:leader="dot" w:pos="8306"/>
            </w:tabs>
            <w:spacing w:line="240" w:lineRule="auto"/>
            <w:rPr>
              <w:rFonts w:hint="eastAsia" w:ascii="Times New Roman" w:hAnsi="Times New Roman" w:eastAsia="仿宋_GB2312" w:cstheme="minorBidi"/>
              <w:kern w:val="2"/>
              <w:sz w:val="28"/>
              <w:szCs w:val="24"/>
              <w:lang w:val="en-US" w:eastAsia="zh-CN" w:bidi="ar-SA"/>
            </w:rPr>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p>
        <w:p>
          <w:pPr>
            <w:pStyle w:val="10"/>
            <w:tabs>
              <w:tab w:val="right" w:leader="dot" w:pos="8306"/>
            </w:tabs>
            <w:spacing w:line="240" w:lineRule="auto"/>
            <w:jc w:val="both"/>
            <w:outlineLvl w:val="0"/>
            <w:rPr>
              <w:rFonts w:hint="eastAsia"/>
              <w:lang w:val="en-US" w:eastAsia="zh-CN"/>
            </w:rPr>
          </w:pPr>
          <w:r>
            <w:rPr>
              <w:rFonts w:hint="eastAsia"/>
            </w:rPr>
            <w:fldChar w:fldCharType="end"/>
          </w:r>
        </w:p>
      </w:sdtContent>
    </w:sdt>
    <w:p>
      <w:pPr>
        <w:pStyle w:val="10"/>
        <w:tabs>
          <w:tab w:val="right" w:leader="dot" w:pos="8306"/>
        </w:tabs>
        <w:spacing w:line="240" w:lineRule="auto"/>
        <w:jc w:val="center"/>
        <w:outlineLvl w:val="0"/>
        <w:rPr>
          <w:rFonts w:hint="eastAsia" w:ascii="黑体" w:hAnsi="黑体" w:eastAsia="黑体" w:cs="黑体"/>
          <w:b/>
          <w:bCs/>
          <w:kern w:val="2"/>
          <w:sz w:val="32"/>
          <w:szCs w:val="24"/>
          <w:lang w:val="en-US" w:eastAsia="zh-CN" w:bidi="ar-SA"/>
        </w:rPr>
      </w:pPr>
      <w:r>
        <w:rPr>
          <w:rFonts w:hint="eastAsia" w:ascii="黑体" w:hAnsi="黑体" w:eastAsia="黑体" w:cs="黑体"/>
          <w:b/>
          <w:bCs/>
          <w:kern w:val="2"/>
          <w:sz w:val="32"/>
          <w:szCs w:val="24"/>
          <w:lang w:val="en-US" w:eastAsia="zh-CN" w:bidi="ar-SA"/>
        </w:rPr>
        <w:t>引 言</w:t>
      </w:r>
      <w:bookmarkEnd w:id="0"/>
      <w:bookmarkEnd w:id="1"/>
      <w:bookmarkEnd w:id="2"/>
      <w:bookmarkEnd w:id="3"/>
    </w:p>
    <w:p>
      <w:pPr>
        <w:widowControl/>
        <w:jc w:val="both"/>
        <w:rPr>
          <w:rFonts w:ascii="Times New Roman" w:hAnsi="Times New Roman"/>
        </w:rPr>
      </w:pPr>
      <w:r>
        <w:rPr>
          <w:rFonts w:hint="eastAsia" w:ascii="Times New Roman" w:hAnsi="Times New Roman"/>
        </w:rPr>
        <w:t xml:space="preserve">    为贯彻落实中共中央 国务院《关于全面实施预算绩效管理的意见》（中发〔2018〕34号）、</w:t>
      </w:r>
      <w:bookmarkStart w:id="100" w:name="_GoBack"/>
      <w:bookmarkEnd w:id="100"/>
      <w:r>
        <w:rPr>
          <w:rFonts w:hint="eastAsia"/>
          <w:lang w:eastAsia="zh-CN"/>
        </w:rPr>
        <w:t>省委省政府</w:t>
      </w:r>
      <w:r>
        <w:rPr>
          <w:rFonts w:hint="eastAsia" w:ascii="Times New Roman" w:hAnsi="Times New Roman"/>
        </w:rPr>
        <w:t>《关于全面实施预算绩效管理的实施意见》（冀发〔2018〕54号），进一步提高财政资金管理水平和使用效益，根据</w:t>
      </w:r>
      <w:r>
        <w:rPr>
          <w:rFonts w:hint="eastAsia" w:ascii="Times New Roman" w:hAnsi="Times New Roman" w:cs="仿宋_GB2312"/>
          <w:szCs w:val="32"/>
        </w:rPr>
        <w:t>《中共石家庄市鹿泉区委 石家庄市鹿泉区人民政府关于全面实施预算绩效管理的实施意见》（鹿发〔2019〕8号）、</w:t>
      </w:r>
      <w:r>
        <w:rPr>
          <w:rFonts w:hint="eastAsia" w:ascii="Times New Roman" w:hAnsi="Times New Roman"/>
        </w:rPr>
        <w:t>《石家庄市鹿泉区区级预算绩效重点评价管理办法》（</w:t>
      </w:r>
      <w:r>
        <w:rPr>
          <w:rFonts w:hint="eastAsia" w:ascii="Times New Roman" w:hAnsi="Times New Roman" w:cs="仿宋_GB2312"/>
          <w:szCs w:val="32"/>
        </w:rPr>
        <w:t>鹿财字〔2020〕17号</w:t>
      </w:r>
      <w:r>
        <w:rPr>
          <w:rFonts w:hint="eastAsia" w:ascii="Times New Roman" w:hAnsi="Times New Roman"/>
        </w:rPr>
        <w:t>）等文件的要求，受石家庄市鹿泉区财政局委托，上海闻政管理咨询有限公司河北分公司作为第三方绩效评价中介机构，承担鹿泉区人居环境整治及污水资源化利用项目（大河镇、获鹿镇）绩效评价工作。经过现场访谈、基础数据复核、资料复核、问卷调研，评价组根据核查结果对项目进行评分，并撰写绩效评价报告，完成了绩效评价工作，现将绩效评价情况及评价结果报告如下：</w:t>
      </w:r>
    </w:p>
    <w:p>
      <w:pPr>
        <w:pStyle w:val="2"/>
        <w:rPr>
          <w:rFonts w:ascii="Times New Roman" w:hAnsi="Times New Roman"/>
        </w:rPr>
      </w:pPr>
      <w:bookmarkStart w:id="4" w:name="_Toc4291"/>
      <w:bookmarkStart w:id="5" w:name="_Toc25628"/>
      <w:bookmarkStart w:id="6" w:name="_Toc4211"/>
      <w:bookmarkStart w:id="7" w:name="_Toc12091"/>
      <w:r>
        <w:rPr>
          <w:rFonts w:hint="eastAsia" w:ascii="Times New Roman" w:hAnsi="Times New Roman"/>
        </w:rPr>
        <w:t>一、基本情况</w:t>
      </w:r>
      <w:bookmarkEnd w:id="4"/>
      <w:bookmarkEnd w:id="5"/>
      <w:bookmarkEnd w:id="6"/>
      <w:bookmarkEnd w:id="7"/>
    </w:p>
    <w:p>
      <w:pPr>
        <w:pStyle w:val="3"/>
        <w:rPr>
          <w:rFonts w:ascii="Times New Roman" w:hAnsi="Times New Roman"/>
        </w:rPr>
      </w:pPr>
      <w:bookmarkStart w:id="8" w:name="_Toc29237"/>
      <w:bookmarkStart w:id="9" w:name="_Toc5515"/>
      <w:bookmarkStart w:id="10" w:name="_Toc24753"/>
      <w:bookmarkStart w:id="11" w:name="_Toc13327"/>
      <w:r>
        <w:rPr>
          <w:rFonts w:hint="eastAsia" w:ascii="Times New Roman" w:hAnsi="Times New Roman"/>
        </w:rPr>
        <w:t>（一）项目概况</w:t>
      </w:r>
      <w:bookmarkEnd w:id="8"/>
      <w:bookmarkEnd w:id="9"/>
      <w:bookmarkEnd w:id="10"/>
      <w:bookmarkEnd w:id="11"/>
    </w:p>
    <w:p>
      <w:pPr>
        <w:pStyle w:val="4"/>
        <w:rPr>
          <w:rFonts w:ascii="Times New Roman" w:hAnsi="Times New Roman"/>
        </w:rPr>
      </w:pPr>
      <w:r>
        <w:rPr>
          <w:rFonts w:hint="eastAsia" w:ascii="Times New Roman" w:hAnsi="Times New Roman"/>
        </w:rPr>
        <w:t>1.项目背景</w:t>
      </w:r>
    </w:p>
    <w:p>
      <w:pPr>
        <w:ind w:firstLine="640"/>
        <w:rPr>
          <w:rFonts w:hint="eastAsia" w:ascii="Times New Roman" w:hAnsi="Times New Roman"/>
        </w:rPr>
        <w:sectPr>
          <w:footerReference r:id="rId4" w:type="default"/>
          <w:pgSz w:w="11906" w:h="16838"/>
          <w:pgMar w:top="1440" w:right="1800" w:bottom="1440" w:left="1800"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r>
        <w:rPr>
          <w:rFonts w:hint="eastAsia" w:ascii="Times New Roman" w:hAnsi="Times New Roman"/>
        </w:rPr>
        <w:t>为有效改善农村生活环境，控制和减少农村水环境污染，《鹿泉区国民经济和社会发展第十四个五年规划和二〇三五年远景目标规划纲要（草案）》提出全面治理农业农村污</w:t>
      </w:r>
    </w:p>
    <w:p>
      <w:pPr>
        <w:rPr>
          <w:rFonts w:ascii="Times New Roman" w:hAnsi="Times New Roman"/>
        </w:rPr>
      </w:pPr>
      <w:r>
        <w:rPr>
          <w:rFonts w:hint="eastAsia" w:ascii="Times New Roman" w:hAnsi="Times New Roman"/>
        </w:rPr>
        <w:t>染，实施农村清洁工程，加强环境友好型农业生产技术的推广，实施农村环境提升工程。指出重点实施农村水处理设施及配套管网全覆盖工程，到</w:t>
      </w:r>
      <w:r>
        <w:rPr>
          <w:rFonts w:ascii="Times New Roman" w:hAnsi="Times New Roman"/>
        </w:rPr>
        <w:t>2025</w:t>
      </w:r>
      <w:r>
        <w:rPr>
          <w:rFonts w:hint="eastAsia" w:ascii="Times New Roman" w:hAnsi="Times New Roman"/>
        </w:rPr>
        <w:t>年，所有农村实现生活污水有效治理。</w:t>
      </w:r>
    </w:p>
    <w:p>
      <w:pPr>
        <w:ind w:firstLine="640"/>
        <w:rPr>
          <w:rFonts w:ascii="Times New Roman" w:hAnsi="Times New Roman"/>
          <w:szCs w:val="32"/>
        </w:rPr>
      </w:pPr>
      <w:r>
        <w:rPr>
          <w:rFonts w:hint="eastAsia" w:ascii="Times New Roman" w:hAnsi="Times New Roman"/>
        </w:rPr>
        <w:t>石家庄市生态环境局鹿泉区分局根据文件精神，</w:t>
      </w:r>
      <w:r>
        <w:rPr>
          <w:rFonts w:hint="eastAsia" w:ascii="Times New Roman" w:hAnsi="Times New Roman"/>
          <w:szCs w:val="32"/>
        </w:rPr>
        <w:t>申报了鹿泉区人居环境整治及污水资源化利用项目（大河镇、获鹿镇），经过财政部门审核入库，批复该项目预算，列入2022年度预算。</w:t>
      </w:r>
    </w:p>
    <w:p>
      <w:pPr>
        <w:pStyle w:val="22"/>
        <w:keepNext w:val="0"/>
        <w:keepLines w:val="0"/>
        <w:pageBreakBefore w:val="0"/>
        <w:widowControl w:val="0"/>
        <w:kinsoku/>
        <w:wordWrap/>
        <w:overflowPunct/>
        <w:topLinePunct w:val="0"/>
        <w:autoSpaceDE/>
        <w:autoSpaceDN/>
        <w:bidi w:val="0"/>
        <w:adjustRightInd/>
        <w:snapToGrid/>
        <w:spacing w:line="240" w:lineRule="auto"/>
        <w:ind w:firstLine="480"/>
        <w:textAlignment w:val="auto"/>
        <w:rPr>
          <w:rFonts w:hint="eastAsia" w:ascii="Times New Roman" w:hAnsi="Times New Roman" w:eastAsia="仿宋_GB2312" w:cstheme="minorBidi"/>
          <w:kern w:val="2"/>
          <w:sz w:val="32"/>
          <w:szCs w:val="24"/>
          <w:lang w:val="en-US" w:eastAsia="zh-CN" w:bidi="ar-SA"/>
        </w:rPr>
      </w:pPr>
      <w:r>
        <w:rPr>
          <w:rFonts w:hint="eastAsia" w:ascii="Times New Roman" w:hAnsi="Times New Roman" w:cstheme="minorBidi"/>
          <w:kern w:val="2"/>
          <w:sz w:val="32"/>
          <w:szCs w:val="24"/>
          <w:lang w:val="en-US" w:eastAsia="zh-CN" w:bidi="ar-SA"/>
        </w:rPr>
        <w:t>本</w:t>
      </w:r>
      <w:r>
        <w:rPr>
          <w:rFonts w:hint="eastAsia" w:ascii="Times New Roman" w:hAnsi="Times New Roman" w:eastAsia="仿宋_GB2312" w:cstheme="minorBidi"/>
          <w:kern w:val="2"/>
          <w:sz w:val="32"/>
          <w:szCs w:val="24"/>
          <w:lang w:val="en-US" w:eastAsia="zh-CN" w:bidi="ar-SA"/>
        </w:rPr>
        <w:t>项目</w:t>
      </w:r>
      <w:r>
        <w:rPr>
          <w:rFonts w:hint="eastAsia" w:ascii="Times New Roman" w:hAnsi="Times New Roman" w:cstheme="minorBidi"/>
          <w:kern w:val="2"/>
          <w:sz w:val="32"/>
          <w:szCs w:val="24"/>
          <w:lang w:val="en-US" w:eastAsia="zh-CN" w:bidi="ar-SA"/>
        </w:rPr>
        <w:t>实施地为大河镇的</w:t>
      </w:r>
      <w:r>
        <w:rPr>
          <w:rFonts w:hint="eastAsia" w:ascii="Times New Roman" w:hAnsi="Times New Roman" w:eastAsia="仿宋_GB2312" w:cstheme="minorBidi"/>
          <w:kern w:val="2"/>
          <w:sz w:val="32"/>
          <w:szCs w:val="24"/>
          <w:lang w:val="en-US" w:eastAsia="zh-CN" w:bidi="ar-SA"/>
        </w:rPr>
        <w:t>徐家庄、双庙、孟同、双合、北高庄、西邵营、东邵营、城东桥东队、城东桥西队、霍寨、石柏村</w:t>
      </w:r>
      <w:r>
        <w:rPr>
          <w:rFonts w:hint="eastAsia" w:ascii="Times New Roman" w:hAnsi="Times New Roman" w:cstheme="minorBidi"/>
          <w:kern w:val="2"/>
          <w:sz w:val="32"/>
          <w:szCs w:val="24"/>
          <w:lang w:val="en-US" w:eastAsia="zh-CN" w:bidi="ar-SA"/>
        </w:rPr>
        <w:t>，获鹿镇的</w:t>
      </w:r>
      <w:r>
        <w:rPr>
          <w:rFonts w:hint="eastAsia" w:ascii="Times New Roman" w:hAnsi="Times New Roman" w:eastAsia="仿宋_GB2312" w:cstheme="minorBidi"/>
          <w:kern w:val="2"/>
          <w:sz w:val="32"/>
          <w:szCs w:val="24"/>
          <w:lang w:val="en-US" w:eastAsia="zh-CN" w:bidi="ar-SA"/>
        </w:rPr>
        <w:t>张家庄、大李庄村，</w:t>
      </w:r>
      <w:r>
        <w:rPr>
          <w:rFonts w:hint="eastAsia" w:ascii="Times New Roman" w:hAnsi="Times New Roman" w:cstheme="minorBidi"/>
          <w:kern w:val="2"/>
          <w:sz w:val="32"/>
          <w:szCs w:val="24"/>
          <w:lang w:val="en-US" w:eastAsia="zh-CN" w:bidi="ar-SA"/>
        </w:rPr>
        <w:t>这些村庄</w:t>
      </w:r>
      <w:r>
        <w:rPr>
          <w:rFonts w:hint="eastAsia" w:ascii="Times New Roman" w:hAnsi="Times New Roman" w:eastAsia="仿宋_GB2312" w:cstheme="minorBidi"/>
          <w:kern w:val="2"/>
          <w:sz w:val="32"/>
          <w:szCs w:val="24"/>
          <w:lang w:val="en-US" w:eastAsia="zh-CN" w:bidi="ar-SA"/>
        </w:rPr>
        <w:t>由于缺少生活污水统一收集、处理设施，导致村内产生的生活污水随意排放</w:t>
      </w:r>
      <w:r>
        <w:rPr>
          <w:rFonts w:hint="eastAsia" w:ascii="Times New Roman" w:hAnsi="Times New Roman" w:cstheme="minorBidi"/>
          <w:kern w:val="2"/>
          <w:sz w:val="32"/>
          <w:szCs w:val="24"/>
          <w:lang w:val="en-US" w:eastAsia="zh-CN" w:bidi="ar-SA"/>
        </w:rPr>
        <w:t>。</w:t>
      </w:r>
      <w:r>
        <w:rPr>
          <w:rFonts w:hint="eastAsia" w:ascii="Times New Roman" w:hAnsi="Times New Roman" w:eastAsia="仿宋_GB2312" w:cstheme="minorBidi"/>
          <w:kern w:val="2"/>
          <w:sz w:val="32"/>
          <w:szCs w:val="24"/>
          <w:lang w:val="en-US" w:eastAsia="zh-CN" w:bidi="ar-SA"/>
        </w:rPr>
        <w:t>同时村内</w:t>
      </w:r>
      <w:r>
        <w:rPr>
          <w:rFonts w:hint="eastAsia" w:ascii="Times New Roman" w:hAnsi="Times New Roman" w:cstheme="minorBidi"/>
          <w:kern w:val="2"/>
          <w:sz w:val="32"/>
          <w:szCs w:val="24"/>
          <w:lang w:val="en-US" w:eastAsia="zh-CN" w:bidi="ar-SA"/>
        </w:rPr>
        <w:t>也</w:t>
      </w:r>
      <w:r>
        <w:rPr>
          <w:rFonts w:hint="eastAsia" w:ascii="Times New Roman" w:hAnsi="Times New Roman" w:eastAsia="仿宋_GB2312" w:cstheme="minorBidi"/>
          <w:kern w:val="2"/>
          <w:sz w:val="32"/>
          <w:szCs w:val="24"/>
          <w:lang w:val="en-US" w:eastAsia="zh-CN" w:bidi="ar-SA"/>
        </w:rPr>
        <w:t>未建设雨污分流系统，一到雨季</w:t>
      </w:r>
      <w:r>
        <w:rPr>
          <w:rFonts w:hint="eastAsia" w:ascii="Times New Roman" w:hAnsi="Times New Roman" w:cstheme="minorBidi"/>
          <w:kern w:val="2"/>
          <w:sz w:val="32"/>
          <w:szCs w:val="24"/>
          <w:lang w:val="en-US" w:eastAsia="zh-CN" w:bidi="ar-SA"/>
        </w:rPr>
        <w:t>污水连同雨水导致</w:t>
      </w:r>
      <w:r>
        <w:rPr>
          <w:rFonts w:hint="eastAsia" w:ascii="Times New Roman" w:hAnsi="Times New Roman" w:eastAsia="仿宋_GB2312" w:cstheme="minorBidi"/>
          <w:kern w:val="2"/>
          <w:sz w:val="32"/>
          <w:szCs w:val="24"/>
          <w:lang w:val="en-US" w:eastAsia="zh-CN" w:bidi="ar-SA"/>
        </w:rPr>
        <w:t>村内污水横流，气味难闻，大量蚊虫滋生，影响村民出行、乡村卫生和村容村貌</w:t>
      </w:r>
    </w:p>
    <w:p>
      <w:pPr>
        <w:ind w:firstLine="640"/>
        <w:rPr>
          <w:rFonts w:ascii="Times New Roman" w:hAnsi="Times New Roman"/>
          <w:szCs w:val="32"/>
        </w:rPr>
      </w:pPr>
      <w:r>
        <w:rPr>
          <w:rFonts w:hint="eastAsia" w:ascii="Times New Roman" w:hAnsi="Times New Roman"/>
          <w:szCs w:val="32"/>
        </w:rPr>
        <w:t>本项目主要回收13个村的农村生活污水，包括洗浴洗涤污水、厨房清洗污水、冲厕污水等。并通过采用节能环保新设备、新工艺、新技术实现余热回收为居民生活区、建筑物供热、供冷，提高污水的资源化使用，一方面既可提升农村居民生产生活环境，另一方面又能形成一定的经济效益，同时为鹿泉区碳中和、碳达峰</w:t>
      </w:r>
      <w:r>
        <w:rPr>
          <w:rFonts w:hint="eastAsia"/>
          <w:szCs w:val="32"/>
          <w:lang w:eastAsia="zh-CN"/>
        </w:rPr>
        <w:t>作出贡献</w:t>
      </w:r>
      <w:r>
        <w:rPr>
          <w:rFonts w:hint="eastAsia" w:ascii="Times New Roman" w:hAnsi="Times New Roman"/>
          <w:szCs w:val="32"/>
        </w:rPr>
        <w:t>。</w:t>
      </w:r>
    </w:p>
    <w:p>
      <w:pPr>
        <w:pStyle w:val="4"/>
        <w:rPr>
          <w:rFonts w:ascii="Times New Roman" w:hAnsi="Times New Roman"/>
        </w:rPr>
      </w:pPr>
      <w:r>
        <w:rPr>
          <w:rFonts w:ascii="Times New Roman" w:hAnsi="Times New Roman"/>
        </w:rPr>
        <w:t>2.</w:t>
      </w:r>
      <w:r>
        <w:rPr>
          <w:rFonts w:hint="eastAsia" w:ascii="Times New Roman" w:hAnsi="Times New Roman"/>
        </w:rPr>
        <w:t>主要内容及实施情况</w:t>
      </w:r>
    </w:p>
    <w:p>
      <w:pPr>
        <w:pStyle w:val="5"/>
        <w:rPr>
          <w:rFonts w:ascii="Times New Roman" w:hAnsi="Times New Roman"/>
        </w:rPr>
      </w:pPr>
      <w:r>
        <w:rPr>
          <w:rFonts w:hint="eastAsia" w:ascii="Times New Roman" w:hAnsi="Times New Roman"/>
        </w:rPr>
        <w:t>（1）主要内容</w:t>
      </w:r>
    </w:p>
    <w:p>
      <w:pPr>
        <w:ind w:firstLine="640" w:firstLineChars="200"/>
        <w:rPr>
          <w:rFonts w:ascii="Times New Roman" w:hAnsi="Times New Roman"/>
        </w:rPr>
      </w:pPr>
      <w:r>
        <w:rPr>
          <w:rFonts w:hint="eastAsia" w:ascii="Times New Roman" w:hAnsi="Times New Roman"/>
          <w:szCs w:val="32"/>
        </w:rPr>
        <w:t>鹿泉区人居环境整治及污水资源化利用项目（大河镇、获鹿镇）内容包括</w:t>
      </w:r>
      <w:r>
        <w:rPr>
          <w:rFonts w:hint="eastAsia" w:ascii="Times New Roman" w:hAnsi="Times New Roman"/>
        </w:rPr>
        <w:t>建设污水管网148258米，其中次管网15920 米、村内污水管网132338米;设置污水检查井2671个；新建污水热源泵机房一处，道路破除及恢复工程56000平方米。</w:t>
      </w:r>
    </w:p>
    <w:p>
      <w:pPr>
        <w:pStyle w:val="5"/>
        <w:rPr>
          <w:rFonts w:ascii="Times New Roman" w:hAnsi="Times New Roman"/>
        </w:rPr>
      </w:pPr>
      <w:r>
        <w:rPr>
          <w:rFonts w:hint="eastAsia" w:ascii="Times New Roman" w:hAnsi="Times New Roman"/>
        </w:rPr>
        <w:t>（2）实施情况</w:t>
      </w:r>
    </w:p>
    <w:p>
      <w:pPr>
        <w:rPr>
          <w:rFonts w:ascii="Times New Roman" w:hAnsi="Times New Roman"/>
        </w:rPr>
      </w:pPr>
      <w:r>
        <w:rPr>
          <w:rFonts w:hint="eastAsia" w:ascii="Times New Roman" w:hAnsi="Times New Roman"/>
        </w:rPr>
        <w:t xml:space="preserve">    石家庄市生态环境局鹿泉区分局通过政府采购程序，确定河北建工集团有限责任公司为中标施工单位，2022年5月27日签订施工合同。2022年6月6日进场开工，2022年11月完工，目前污水管网建设已基本完工，正在准备</w:t>
      </w:r>
      <w:r>
        <w:rPr>
          <w:rFonts w:hint="eastAsia" w:ascii="Times New Roman" w:hAnsi="Times New Roman"/>
          <w:lang w:val="en-US" w:eastAsia="zh-CN"/>
        </w:rPr>
        <w:t>结</w:t>
      </w:r>
      <w:r>
        <w:rPr>
          <w:rFonts w:hint="eastAsia" w:ascii="Times New Roman" w:hAnsi="Times New Roman"/>
        </w:rPr>
        <w:t>算审计及相关验收工作。</w:t>
      </w:r>
    </w:p>
    <w:p>
      <w:pPr>
        <w:ind w:firstLine="640" w:firstLineChars="200"/>
        <w:rPr>
          <w:rFonts w:ascii="Times New Roman" w:hAnsi="Times New Roman"/>
        </w:rPr>
      </w:pPr>
      <w:r>
        <w:rPr>
          <w:rFonts w:hint="eastAsia" w:ascii="Times New Roman" w:hAnsi="Times New Roman"/>
        </w:rPr>
        <w:t>项目实际共建设13个农村污水收集管网114852米，检查井8032个、恢复路面积136594平方米。新建污水热源泵机房及其配套工程尚未完工。</w:t>
      </w:r>
    </w:p>
    <w:p>
      <w:pPr>
        <w:pStyle w:val="4"/>
        <w:rPr>
          <w:rFonts w:ascii="Times New Roman" w:hAnsi="Times New Roman"/>
        </w:rPr>
      </w:pPr>
      <w:r>
        <w:rPr>
          <w:rFonts w:hint="eastAsia" w:ascii="Times New Roman" w:hAnsi="Times New Roman"/>
        </w:rPr>
        <w:t>3.资金投入和使用情况</w:t>
      </w:r>
    </w:p>
    <w:p>
      <w:pPr>
        <w:pStyle w:val="5"/>
        <w:rPr>
          <w:rFonts w:ascii="Times New Roman" w:hAnsi="Times New Roman"/>
        </w:rPr>
      </w:pPr>
      <w:r>
        <w:rPr>
          <w:rFonts w:hint="eastAsia" w:ascii="Times New Roman" w:hAnsi="Times New Roman"/>
        </w:rPr>
        <w:t>（1）资金投入</w:t>
      </w:r>
    </w:p>
    <w:p>
      <w:pPr>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szCs w:val="32"/>
        </w:rPr>
        <w:t>鹿泉区人居环境整治及污水资源化利用项目（大河镇、获鹿镇）资金来源于鹿泉区政府专项债券资金</w:t>
      </w:r>
      <w:r>
        <w:rPr>
          <w:rFonts w:hint="eastAsia" w:ascii="Times New Roman" w:hAnsi="Times New Roman" w:eastAsia="仿宋_GB2312" w:cs="仿宋_GB2312"/>
          <w:sz w:val="32"/>
        </w:rPr>
        <w:t>。</w:t>
      </w:r>
    </w:p>
    <w:p>
      <w:pPr>
        <w:ind w:firstLine="640" w:firstLineChars="200"/>
        <w:rPr>
          <w:rFonts w:hint="eastAsia" w:ascii="Times New Roman" w:hAnsi="Times New Roman" w:eastAsia="仿宋_GB2312" w:cs="仿宋_GB2312"/>
          <w:sz w:val="32"/>
        </w:rPr>
      </w:pPr>
      <w:r>
        <w:rPr>
          <w:rFonts w:hint="eastAsia" w:ascii="Times New Roman" w:hAnsi="Times New Roman" w:eastAsia="仿宋_GB2312" w:cs="仿宋_GB2312"/>
          <w:sz w:val="32"/>
        </w:rPr>
        <w:t>根据石家庄市财政局《关于下达2022年第二批新增政府债券资金的通知》（石财债〔2022〕7号）内容，石家庄市财政局下达鹿泉区财政局资金2.67亿元（含本项目7200万元），后经调减400万元，最终项目批复资金为6800万元。</w:t>
      </w:r>
    </w:p>
    <w:p>
      <w:pPr>
        <w:pStyle w:val="5"/>
        <w:rPr>
          <w:rFonts w:ascii="Times New Roman" w:hAnsi="Times New Roman"/>
        </w:rPr>
      </w:pPr>
      <w:r>
        <w:rPr>
          <w:rFonts w:hint="eastAsia" w:ascii="Times New Roman" w:hAnsi="Times New Roman"/>
        </w:rPr>
        <w:t>（2）使用情况</w:t>
      </w:r>
    </w:p>
    <w:p>
      <w:pPr>
        <w:ind w:firstLine="640" w:firstLineChars="200"/>
        <w:rPr>
          <w:rFonts w:hint="default" w:ascii="Times New Roman" w:hAnsi="Times New Roman" w:eastAsia="仿宋_GB2312"/>
          <w:lang w:val="en-US" w:eastAsia="zh-CN"/>
        </w:rPr>
      </w:pPr>
      <w:r>
        <w:rPr>
          <w:rFonts w:hint="eastAsia" w:ascii="Times New Roman" w:hAnsi="Times New Roman"/>
        </w:rPr>
        <w:t>鹿泉区人居环境整治及污水资源化利用项目（大河镇、获鹿镇）支出金额4222.379989万元，全部为使用2022年第二批新增政府债券资金。</w:t>
      </w:r>
      <w:r>
        <w:rPr>
          <w:rFonts w:hint="eastAsia" w:ascii="Times New Roman" w:hAnsi="Times New Roman"/>
          <w:lang w:val="en-US" w:eastAsia="zh-CN"/>
        </w:rPr>
        <w:t>详见</w:t>
      </w:r>
      <w:r>
        <w:rPr>
          <w:rFonts w:hint="eastAsia" w:ascii="Times New Roman" w:hAnsi="Times New Roman"/>
          <w:b/>
          <w:bCs/>
          <w:lang w:val="en-US" w:eastAsia="zh-CN"/>
        </w:rPr>
        <w:t>表1</w:t>
      </w:r>
    </w:p>
    <w:p>
      <w:pPr>
        <w:jc w:val="center"/>
        <w:rPr>
          <w:rFonts w:ascii="Times New Roman" w:hAnsi="Times New Roman"/>
          <w:b/>
          <w:bCs/>
          <w:sz w:val="28"/>
          <w:szCs w:val="28"/>
        </w:rPr>
      </w:pPr>
      <w:r>
        <w:rPr>
          <w:rFonts w:hint="eastAsia" w:ascii="Times New Roman" w:hAnsi="Times New Roman"/>
          <w:b/>
          <w:bCs/>
          <w:sz w:val="28"/>
          <w:szCs w:val="28"/>
        </w:rPr>
        <w:t>表1 资金使用时间表</w:t>
      </w:r>
    </w:p>
    <w:tbl>
      <w:tblPr>
        <w:tblStyle w:val="16"/>
        <w:tblW w:w="88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9"/>
        <w:gridCol w:w="3653"/>
        <w:gridCol w:w="2317"/>
        <w:gridCol w:w="20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9"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序号</w:t>
            </w:r>
          </w:p>
        </w:tc>
        <w:tc>
          <w:tcPr>
            <w:tcW w:w="3653"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资金来源</w:t>
            </w:r>
          </w:p>
        </w:tc>
        <w:tc>
          <w:tcPr>
            <w:tcW w:w="2317"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支出时间</w:t>
            </w:r>
          </w:p>
        </w:tc>
        <w:tc>
          <w:tcPr>
            <w:tcW w:w="2048"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支出金额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789"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1</w:t>
            </w:r>
          </w:p>
        </w:tc>
        <w:tc>
          <w:tcPr>
            <w:tcW w:w="3653"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2022年第二批新增政府债券资金</w:t>
            </w:r>
          </w:p>
        </w:tc>
        <w:tc>
          <w:tcPr>
            <w:tcW w:w="2317"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2022年5月—10月</w:t>
            </w:r>
          </w:p>
        </w:tc>
        <w:tc>
          <w:tcPr>
            <w:tcW w:w="2048"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4222.379989万元</w:t>
            </w:r>
          </w:p>
        </w:tc>
      </w:tr>
    </w:tbl>
    <w:p>
      <w:pPr>
        <w:pStyle w:val="3"/>
        <w:rPr>
          <w:rFonts w:ascii="Times New Roman" w:hAnsi="Times New Roman"/>
        </w:rPr>
      </w:pPr>
      <w:bookmarkStart w:id="12" w:name="_Toc30554"/>
      <w:bookmarkStart w:id="13" w:name="_Toc27994"/>
      <w:bookmarkStart w:id="14" w:name="_Toc17605"/>
      <w:bookmarkStart w:id="15" w:name="_Toc11149"/>
      <w:r>
        <w:rPr>
          <w:rFonts w:hint="eastAsia" w:ascii="Times New Roman" w:hAnsi="Times New Roman"/>
        </w:rPr>
        <w:t>（二）项目绩效目标</w:t>
      </w:r>
      <w:bookmarkEnd w:id="12"/>
      <w:bookmarkEnd w:id="13"/>
      <w:bookmarkEnd w:id="14"/>
      <w:bookmarkEnd w:id="15"/>
    </w:p>
    <w:p>
      <w:pPr>
        <w:ind w:firstLine="643" w:firstLineChars="200"/>
        <w:rPr>
          <w:rFonts w:hint="eastAsia" w:ascii="Times New Roman" w:hAnsi="Times New Roman" w:eastAsia="仿宋_GB2312" w:cs="仿宋_GB2312"/>
          <w:sz w:val="32"/>
          <w:lang w:val="en-US" w:eastAsia="zh-CN"/>
        </w:rPr>
      </w:pPr>
      <w:r>
        <w:rPr>
          <w:rFonts w:hint="eastAsia" w:ascii="Times New Roman" w:hAnsi="Times New Roman" w:eastAsia="仿宋_GB2312" w:cs="仿宋_GB2312"/>
          <w:b/>
          <w:bCs/>
          <w:sz w:val="32"/>
          <w:lang w:val="en-US" w:eastAsia="zh-CN"/>
        </w:rPr>
        <w:t>总体绩效目标：</w:t>
      </w:r>
      <w:r>
        <w:rPr>
          <w:rFonts w:hint="eastAsia" w:ascii="Times New Roman" w:hAnsi="Times New Roman" w:eastAsia="仿宋_GB2312" w:cs="仿宋_GB2312"/>
          <w:sz w:val="32"/>
        </w:rPr>
        <w:t>鹿泉区人居环境整治及污水资源化利用项目（大河镇、获鹿镇）绩效目标是</w:t>
      </w:r>
      <w:r>
        <w:rPr>
          <w:rFonts w:hint="eastAsia" w:ascii="Times New Roman" w:hAnsi="Times New Roman" w:eastAsia="仿宋_GB2312" w:cs="仿宋_GB2312"/>
          <w:sz w:val="32"/>
          <w:lang w:val="en-US" w:eastAsia="zh-CN"/>
        </w:rPr>
        <w:t>根据鹿泉区实际情况，因地制宜的完善农村生活污水管网和生活污水资源化利用设施建设，进一步改善鹿泉区人居环境，提高农村环境质量和生活污水的回收利用水平。</w:t>
      </w:r>
    </w:p>
    <w:p>
      <w:pPr>
        <w:ind w:firstLine="643" w:firstLineChars="200"/>
        <w:rPr>
          <w:rFonts w:hint="eastAsia" w:ascii="Times New Roman" w:hAnsi="Times New Roman"/>
        </w:rPr>
      </w:pPr>
      <w:r>
        <w:rPr>
          <w:rFonts w:hint="eastAsia" w:ascii="Times New Roman" w:hAnsi="Times New Roman" w:eastAsia="仿宋_GB2312" w:cs="仿宋_GB2312"/>
          <w:b/>
          <w:bCs/>
          <w:sz w:val="32"/>
          <w:lang w:val="en-US" w:eastAsia="zh-CN"/>
        </w:rPr>
        <w:t>年度绩效目标：</w:t>
      </w:r>
      <w:r>
        <w:rPr>
          <w:rFonts w:hint="eastAsia" w:ascii="Times New Roman" w:hAnsi="Times New Roman" w:eastAsia="仿宋_GB2312" w:cs="仿宋_GB2312"/>
          <w:sz w:val="32"/>
        </w:rPr>
        <w:t>2022年度目标完成13个村的村内污水管网建设，</w:t>
      </w:r>
      <w:r>
        <w:rPr>
          <w:rFonts w:hint="eastAsia" w:ascii="Times New Roman" w:hAnsi="Times New Roman" w:eastAsia="仿宋_GB2312" w:cs="仿宋_GB2312"/>
          <w:sz w:val="32"/>
          <w:szCs w:val="32"/>
        </w:rPr>
        <w:t>包括</w:t>
      </w:r>
      <w:r>
        <w:rPr>
          <w:rFonts w:hint="eastAsia" w:ascii="Times New Roman" w:hAnsi="Times New Roman" w:eastAsia="仿宋_GB2312" w:cs="仿宋_GB2312"/>
          <w:sz w:val="32"/>
        </w:rPr>
        <w:t>建设污水管网148258米，其中次管网15920米、村内污水管网132338米;设置污水检查井2671个；新建污水热源泵机房一处，道路破除及恢复工程56000平方米。</w:t>
      </w:r>
      <w:bookmarkStart w:id="16" w:name="_Toc12007"/>
      <w:bookmarkStart w:id="17" w:name="_Toc31990"/>
      <w:bookmarkStart w:id="18" w:name="_Toc7314"/>
      <w:bookmarkStart w:id="19" w:name="_Toc1892"/>
    </w:p>
    <w:p>
      <w:pPr>
        <w:pStyle w:val="2"/>
        <w:bidi w:val="0"/>
      </w:pPr>
      <w:r>
        <w:rPr>
          <w:rFonts w:hint="eastAsia"/>
          <w:lang w:val="en-US" w:eastAsia="zh-CN"/>
        </w:rPr>
        <w:t>二、绩效评价工作开展情况</w:t>
      </w:r>
      <w:bookmarkEnd w:id="16"/>
      <w:bookmarkEnd w:id="17"/>
      <w:bookmarkEnd w:id="18"/>
      <w:bookmarkEnd w:id="19"/>
    </w:p>
    <w:p>
      <w:pPr>
        <w:pStyle w:val="3"/>
        <w:rPr>
          <w:rFonts w:ascii="Times New Roman" w:hAnsi="Times New Roman"/>
        </w:rPr>
      </w:pPr>
      <w:bookmarkStart w:id="20" w:name="_Toc1935"/>
      <w:bookmarkStart w:id="21" w:name="_Toc14473"/>
      <w:bookmarkStart w:id="22" w:name="_Toc20426"/>
      <w:bookmarkStart w:id="23" w:name="_Toc484"/>
      <w:r>
        <w:rPr>
          <w:rFonts w:hint="eastAsia" w:ascii="Times New Roman" w:hAnsi="Times New Roman"/>
        </w:rPr>
        <w:t>（一）绩效评价目的、对象和范围</w:t>
      </w:r>
      <w:bookmarkEnd w:id="20"/>
      <w:bookmarkEnd w:id="21"/>
      <w:bookmarkEnd w:id="22"/>
      <w:bookmarkEnd w:id="23"/>
    </w:p>
    <w:p>
      <w:pPr>
        <w:pStyle w:val="4"/>
        <w:rPr>
          <w:rFonts w:ascii="Times New Roman" w:hAnsi="Times New Roman"/>
        </w:rPr>
      </w:pPr>
      <w:r>
        <w:rPr>
          <w:rFonts w:hint="eastAsia" w:ascii="Times New Roman" w:hAnsi="Times New Roman"/>
        </w:rPr>
        <w:t>1.评价目的</w:t>
      </w:r>
    </w:p>
    <w:p>
      <w:pPr>
        <w:ind w:firstLine="640" w:firstLineChars="200"/>
        <w:rPr>
          <w:rFonts w:ascii="Times New Roman" w:hAnsi="Times New Roman"/>
        </w:rPr>
      </w:pPr>
      <w:r>
        <w:rPr>
          <w:rFonts w:hint="eastAsia" w:ascii="Times New Roman" w:hAnsi="Times New Roman"/>
        </w:rPr>
        <w:t>通过对鹿泉区人居环境整治及污水资源化利用项目（大河镇、获鹿镇）开展绩效评价，了解此项目在政府债券资金投入、使用情况，分析存在的问题和原因，提出建设性意见和建议，并将绩效评价结果作为以后年度资金安排和分配的依据，促进提高资金配置效率和使用效益。</w:t>
      </w:r>
    </w:p>
    <w:p>
      <w:pPr>
        <w:pStyle w:val="4"/>
        <w:rPr>
          <w:rFonts w:ascii="Times New Roman" w:hAnsi="Times New Roman"/>
        </w:rPr>
      </w:pPr>
      <w:r>
        <w:rPr>
          <w:rFonts w:hint="eastAsia" w:ascii="Times New Roman" w:hAnsi="Times New Roman"/>
        </w:rPr>
        <w:t>2.评价对象</w:t>
      </w:r>
    </w:p>
    <w:p>
      <w:pPr>
        <w:ind w:firstLine="640" w:firstLineChars="200"/>
        <w:rPr>
          <w:rFonts w:ascii="Times New Roman" w:hAnsi="Times New Roman"/>
        </w:rPr>
      </w:pPr>
      <w:r>
        <w:rPr>
          <w:rFonts w:hint="eastAsia" w:ascii="Times New Roman" w:hAnsi="Times New Roman"/>
        </w:rPr>
        <w:t>本次绩效评价的对象为鹿泉区人居环境整治及污水资源化利用项目（大河镇、获鹿镇）使用2022年政府债券资金6800万元。</w:t>
      </w:r>
    </w:p>
    <w:p>
      <w:pPr>
        <w:pStyle w:val="4"/>
        <w:rPr>
          <w:rFonts w:ascii="Times New Roman" w:hAnsi="Times New Roman"/>
        </w:rPr>
      </w:pPr>
      <w:r>
        <w:rPr>
          <w:rFonts w:hint="eastAsia" w:ascii="Times New Roman" w:hAnsi="Times New Roman"/>
        </w:rPr>
        <w:t>3.评价范围</w:t>
      </w:r>
    </w:p>
    <w:p>
      <w:pPr>
        <w:rPr>
          <w:rFonts w:ascii="Times New Roman" w:hAnsi="Times New Roman"/>
        </w:rPr>
      </w:pPr>
      <w:r>
        <w:rPr>
          <w:rFonts w:hint="eastAsia" w:ascii="Times New Roman" w:hAnsi="Times New Roman"/>
        </w:rPr>
        <w:t xml:space="preserve">    项目决策情况、项目过程情况、实现的产出情况、取得的效益情况、绩效目标指标完成情况和其他相关内容。</w:t>
      </w:r>
    </w:p>
    <w:p>
      <w:pPr>
        <w:pStyle w:val="3"/>
        <w:rPr>
          <w:rFonts w:ascii="Times New Roman" w:hAnsi="Times New Roman"/>
        </w:rPr>
      </w:pPr>
      <w:bookmarkStart w:id="24" w:name="_Toc18493"/>
      <w:bookmarkStart w:id="25" w:name="_Toc25135"/>
      <w:bookmarkStart w:id="26" w:name="_Toc18149"/>
      <w:bookmarkStart w:id="27" w:name="_Toc25869"/>
      <w:r>
        <w:rPr>
          <w:rFonts w:hint="eastAsia" w:ascii="Times New Roman" w:hAnsi="Times New Roman"/>
        </w:rPr>
        <w:t>（二）绩效评价</w:t>
      </w:r>
      <w:r>
        <w:rPr>
          <w:rFonts w:hint="eastAsia" w:ascii="Times New Roman" w:hAnsi="Times New Roman"/>
          <w:lang w:val="en-US" w:eastAsia="zh-CN"/>
        </w:rPr>
        <w:t>指标设计</w:t>
      </w:r>
      <w:r>
        <w:rPr>
          <w:rFonts w:hint="eastAsia" w:ascii="Times New Roman" w:hAnsi="Times New Roman"/>
        </w:rPr>
        <w:t>原则、评价指标体系、评价方法、</w:t>
      </w:r>
      <w:r>
        <w:rPr>
          <w:rFonts w:hint="eastAsia" w:ascii="Times New Roman" w:hAnsi="Times New Roman"/>
          <w:lang w:val="en-US" w:eastAsia="zh-CN"/>
        </w:rPr>
        <w:t>评价原则、</w:t>
      </w:r>
      <w:r>
        <w:rPr>
          <w:rFonts w:hint="eastAsia" w:ascii="Times New Roman" w:hAnsi="Times New Roman"/>
        </w:rPr>
        <w:t>评价标准</w:t>
      </w:r>
      <w:bookmarkEnd w:id="24"/>
      <w:bookmarkEnd w:id="25"/>
      <w:bookmarkEnd w:id="26"/>
      <w:bookmarkEnd w:id="27"/>
    </w:p>
    <w:p>
      <w:pPr>
        <w:pStyle w:val="4"/>
        <w:rPr>
          <w:rFonts w:ascii="Times New Roman" w:hAnsi="Times New Roman"/>
        </w:rPr>
      </w:pPr>
      <w:r>
        <w:rPr>
          <w:rFonts w:hint="eastAsia" w:ascii="Times New Roman" w:hAnsi="Times New Roman"/>
        </w:rPr>
        <w:t>1.绩效评价</w:t>
      </w:r>
      <w:r>
        <w:rPr>
          <w:rFonts w:hint="eastAsia" w:ascii="Times New Roman" w:hAnsi="Times New Roman"/>
          <w:lang w:val="en-US" w:eastAsia="zh-CN"/>
        </w:rPr>
        <w:t>指标设计</w:t>
      </w:r>
      <w:r>
        <w:rPr>
          <w:rFonts w:hint="eastAsia" w:ascii="Times New Roman" w:hAnsi="Times New Roman"/>
        </w:rPr>
        <w:t>原则</w:t>
      </w:r>
    </w:p>
    <w:p>
      <w:pPr>
        <w:ind w:firstLine="640" w:firstLineChars="200"/>
        <w:rPr>
          <w:rFonts w:ascii="Times New Roman" w:hAnsi="Times New Roman"/>
        </w:rPr>
      </w:pPr>
      <w:r>
        <w:rPr>
          <w:rFonts w:hint="eastAsia" w:ascii="Times New Roman" w:hAnsi="Times New Roman"/>
        </w:rPr>
        <w:t>绩效评价指标是衡量绩效目标实现程度的考核工具，在设计指标时主要遵从以下原则：</w:t>
      </w:r>
    </w:p>
    <w:p>
      <w:pPr>
        <w:pStyle w:val="5"/>
        <w:rPr>
          <w:rStyle w:val="21"/>
          <w:rFonts w:ascii="Times New Roman" w:hAnsi="Times New Roman"/>
        </w:rPr>
      </w:pPr>
      <w:r>
        <w:rPr>
          <w:rStyle w:val="21"/>
          <w:rFonts w:hint="eastAsia" w:ascii="Times New Roman" w:hAnsi="Times New Roman"/>
        </w:rPr>
        <w:t>（1）相关性原则</w:t>
      </w:r>
    </w:p>
    <w:p>
      <w:pPr>
        <w:ind w:firstLine="640" w:firstLineChars="200"/>
        <w:rPr>
          <w:rFonts w:ascii="Times New Roman" w:hAnsi="Times New Roman"/>
        </w:rPr>
      </w:pPr>
      <w:r>
        <w:rPr>
          <w:rFonts w:hint="eastAsia" w:ascii="Times New Roman" w:hAnsi="Times New Roman"/>
        </w:rPr>
        <w:t>设计指标体系时采用与绩效目标有直接联系，能够恰当反映目标实现程度的绩效评价指标。</w:t>
      </w:r>
    </w:p>
    <w:p>
      <w:pPr>
        <w:pStyle w:val="5"/>
        <w:rPr>
          <w:rStyle w:val="21"/>
          <w:rFonts w:ascii="Times New Roman" w:hAnsi="Times New Roman"/>
        </w:rPr>
      </w:pPr>
      <w:r>
        <w:rPr>
          <w:rStyle w:val="21"/>
          <w:rFonts w:hint="eastAsia" w:ascii="Times New Roman" w:hAnsi="Times New Roman"/>
        </w:rPr>
        <w:t>（2）重要性原则</w:t>
      </w:r>
    </w:p>
    <w:p>
      <w:pPr>
        <w:ind w:firstLine="640" w:firstLineChars="200"/>
        <w:rPr>
          <w:rFonts w:ascii="Times New Roman" w:hAnsi="Times New Roman"/>
        </w:rPr>
      </w:pPr>
      <w:r>
        <w:rPr>
          <w:rFonts w:hint="eastAsia" w:ascii="Times New Roman" w:hAnsi="Times New Roman"/>
        </w:rPr>
        <w:t>优先使用最具评价对象代表性、最能反映评价要求的核心指标。</w:t>
      </w:r>
    </w:p>
    <w:p>
      <w:pPr>
        <w:pStyle w:val="5"/>
        <w:rPr>
          <w:rFonts w:ascii="Times New Roman" w:hAnsi="Times New Roman"/>
        </w:rPr>
      </w:pPr>
      <w:r>
        <w:rPr>
          <w:rFonts w:hint="eastAsia" w:ascii="Times New Roman" w:hAnsi="Times New Roman"/>
        </w:rPr>
        <w:t>（3）可比性原则</w:t>
      </w:r>
    </w:p>
    <w:p>
      <w:pPr>
        <w:ind w:firstLine="640" w:firstLineChars="200"/>
        <w:rPr>
          <w:rFonts w:ascii="Times New Roman" w:hAnsi="Times New Roman"/>
        </w:rPr>
      </w:pPr>
      <w:r>
        <w:rPr>
          <w:rFonts w:hint="eastAsia" w:ascii="Times New Roman" w:hAnsi="Times New Roman"/>
        </w:rPr>
        <w:t>设定能够体现对比性的绩效评价指标，以便于项目实施前后可以相互比较。</w:t>
      </w:r>
    </w:p>
    <w:p>
      <w:pPr>
        <w:pStyle w:val="5"/>
        <w:rPr>
          <w:rFonts w:ascii="Times New Roman" w:hAnsi="Times New Roman"/>
        </w:rPr>
      </w:pPr>
      <w:r>
        <w:rPr>
          <w:rFonts w:hint="eastAsia" w:ascii="Times New Roman" w:hAnsi="Times New Roman"/>
        </w:rPr>
        <w:t>（4）系统性原则</w:t>
      </w:r>
    </w:p>
    <w:p>
      <w:pPr>
        <w:ind w:firstLine="640" w:firstLineChars="200"/>
        <w:rPr>
          <w:rFonts w:ascii="Times New Roman" w:hAnsi="Times New Roman"/>
        </w:rPr>
      </w:pPr>
      <w:r>
        <w:rPr>
          <w:rFonts w:hint="eastAsia" w:ascii="Times New Roman" w:hAnsi="Times New Roman"/>
        </w:rPr>
        <w:t>将定量指标与定性指标相结合，系统反映财政支出所产生的社会效益、生态效益和可持续影响等。</w:t>
      </w:r>
    </w:p>
    <w:p>
      <w:pPr>
        <w:pStyle w:val="5"/>
        <w:rPr>
          <w:rFonts w:ascii="Times New Roman" w:hAnsi="Times New Roman"/>
        </w:rPr>
      </w:pPr>
      <w:r>
        <w:rPr>
          <w:rFonts w:hint="eastAsia" w:ascii="Times New Roman" w:hAnsi="Times New Roman"/>
        </w:rPr>
        <w:t>（5）经济性原则</w:t>
      </w:r>
    </w:p>
    <w:p>
      <w:pPr>
        <w:ind w:firstLine="640" w:firstLineChars="200"/>
        <w:rPr>
          <w:rFonts w:ascii="Times New Roman" w:hAnsi="Times New Roman"/>
        </w:rPr>
      </w:pPr>
      <w:r>
        <w:rPr>
          <w:rFonts w:hint="eastAsia" w:ascii="Times New Roman" w:hAnsi="Times New Roman"/>
        </w:rPr>
        <w:t>指标通俗易懂、简便易行，考虑现实条件和可操作性，设计容易获得的数据作为评价指标，符合成本效益原则。</w:t>
      </w:r>
    </w:p>
    <w:p>
      <w:pPr>
        <w:pStyle w:val="4"/>
        <w:rPr>
          <w:rFonts w:ascii="Times New Roman" w:hAnsi="Times New Roman"/>
        </w:rPr>
      </w:pPr>
      <w:r>
        <w:rPr>
          <w:rFonts w:hint="eastAsia" w:ascii="Times New Roman" w:hAnsi="Times New Roman"/>
        </w:rPr>
        <w:t>2.评价指标体系</w:t>
      </w:r>
    </w:p>
    <w:p>
      <w:pPr>
        <w:rPr>
          <w:rFonts w:ascii="Times New Roman" w:hAnsi="Times New Roman"/>
        </w:rPr>
      </w:pPr>
      <w:r>
        <w:rPr>
          <w:rFonts w:hint="eastAsia" w:ascii="Times New Roman" w:hAnsi="Times New Roman"/>
        </w:rPr>
        <w:t xml:space="preserve">    本项目绩效评价指标体系依据中共石家庄市委、石家庄市人民政府《关于全面落实预算绩效管理的实施意见》（石发〔2019〕8号）《石家庄市鹿泉区区级部门预算绩效管理办法》（鹿财字</w:t>
      </w:r>
      <w:r>
        <w:rPr>
          <w:rFonts w:hint="eastAsia" w:ascii="Times New Roman" w:hAnsi="Times New Roman" w:eastAsia="仿宋" w:cs="仿宋"/>
        </w:rPr>
        <w:t>〔</w:t>
      </w:r>
      <w:r>
        <w:rPr>
          <w:rFonts w:hint="eastAsia" w:ascii="Times New Roman" w:hAnsi="Times New Roman"/>
        </w:rPr>
        <w:t>2019</w:t>
      </w:r>
      <w:r>
        <w:rPr>
          <w:rFonts w:hint="eastAsia" w:ascii="Times New Roman" w:hAnsi="Times New Roman" w:eastAsia="仿宋" w:cs="仿宋"/>
        </w:rPr>
        <w:t>〕</w:t>
      </w:r>
      <w:r>
        <w:rPr>
          <w:rFonts w:hint="eastAsia" w:ascii="Times New Roman" w:hAnsi="Times New Roman"/>
        </w:rPr>
        <w:t>65号）等文件，结合本项目实际情况进行指标细化和分值设定。绩效评价指标体系中一级指标设置为决策、过程、产出和效益4项，下设二、三级指标，总分值设定为100分。评价分为4个等级：85（含）-100分为优秀、75（含）-85分为良好、60（含）-75分为一般、60分以下为较差。具体指标、指标解释、评价标准、指标权重、指标得分、扣分原因等详见附件1。</w:t>
      </w:r>
    </w:p>
    <w:p>
      <w:pPr>
        <w:pStyle w:val="4"/>
        <w:rPr>
          <w:rFonts w:ascii="Times New Roman" w:hAnsi="Times New Roman"/>
        </w:rPr>
      </w:pPr>
      <w:r>
        <w:rPr>
          <w:rFonts w:hint="eastAsia" w:ascii="Times New Roman" w:hAnsi="Times New Roman"/>
        </w:rPr>
        <w:t>3.评价方法</w:t>
      </w:r>
    </w:p>
    <w:p>
      <w:pPr>
        <w:ind w:firstLine="640" w:firstLineChars="200"/>
        <w:rPr>
          <w:rFonts w:ascii="Times New Roman" w:hAnsi="Times New Roman"/>
        </w:rPr>
      </w:pPr>
      <w:r>
        <w:rPr>
          <w:rFonts w:hint="eastAsia" w:ascii="Times New Roman" w:hAnsi="Times New Roman"/>
        </w:rPr>
        <w:t>根据鹿泉区人居环境整治及污水资源化利用项目（大河镇、获鹿镇）特点，采用比较法、因素分析法和公众评判法进行评价。具体实施方式采用现场勘查、问卷调查、资料核查、访谈、座谈、组织专家综合评价等方法，将项目效益与绩效目标进行比较，综合分析绩效目标的实现程度，按照评价指标体系进行打分。</w:t>
      </w:r>
    </w:p>
    <w:p>
      <w:pPr>
        <w:pStyle w:val="5"/>
        <w:rPr>
          <w:rFonts w:ascii="Times New Roman" w:hAnsi="Times New Roman"/>
        </w:rPr>
      </w:pPr>
      <w:r>
        <w:rPr>
          <w:rFonts w:hint="eastAsia" w:ascii="Times New Roman" w:hAnsi="Times New Roman"/>
        </w:rPr>
        <w:t>（1）比较法</w:t>
      </w:r>
    </w:p>
    <w:p>
      <w:pPr>
        <w:ind w:firstLine="640" w:firstLineChars="200"/>
        <w:rPr>
          <w:rFonts w:ascii="Times New Roman" w:hAnsi="Times New Roman"/>
        </w:rPr>
      </w:pPr>
      <w:r>
        <w:rPr>
          <w:rFonts w:hint="eastAsia" w:ascii="Times New Roman" w:hAnsi="Times New Roman"/>
        </w:rPr>
        <w:t>是指通过对项目实际绩效与目标绩效的比较分析项目绩效目标的实现程度和效果。</w:t>
      </w:r>
    </w:p>
    <w:p>
      <w:pPr>
        <w:pStyle w:val="5"/>
        <w:rPr>
          <w:rFonts w:hint="eastAsia" w:ascii="Times New Roman" w:hAnsi="Times New Roman"/>
        </w:rPr>
      </w:pPr>
      <w:r>
        <w:rPr>
          <w:rFonts w:hint="eastAsia" w:ascii="Times New Roman" w:hAnsi="Times New Roman"/>
        </w:rPr>
        <w:t>（2）因素分析法</w:t>
      </w:r>
    </w:p>
    <w:p>
      <w:pPr>
        <w:ind w:firstLine="640" w:firstLineChars="200"/>
        <w:rPr>
          <w:rFonts w:ascii="Times New Roman" w:hAnsi="Times New Roman"/>
        </w:rPr>
      </w:pPr>
      <w:r>
        <w:rPr>
          <w:rFonts w:hint="eastAsia" w:ascii="Times New Roman" w:hAnsi="Times New Roman"/>
        </w:rPr>
        <w:t>是指通过综合分析影响绩效目标实施效果的内外因素，评价绩效目标实现程度。本次评价分别就项目立项、绩效目标设定、专项资金的监管使用、项目产出和效益等因素进行分析评价。</w:t>
      </w:r>
    </w:p>
    <w:p>
      <w:pPr>
        <w:pStyle w:val="5"/>
        <w:rPr>
          <w:rFonts w:ascii="Times New Roman" w:hAnsi="Times New Roman"/>
        </w:rPr>
      </w:pPr>
      <w:r>
        <w:rPr>
          <w:rFonts w:hint="eastAsia" w:ascii="Times New Roman" w:hAnsi="Times New Roman"/>
        </w:rPr>
        <w:t>（</w:t>
      </w:r>
      <w:r>
        <w:rPr>
          <w:rFonts w:hint="eastAsia" w:ascii="Times New Roman" w:hAnsi="Times New Roman"/>
          <w:lang w:val="en-US" w:eastAsia="zh-CN"/>
        </w:rPr>
        <w:t>3</w:t>
      </w:r>
      <w:r>
        <w:rPr>
          <w:rFonts w:hint="eastAsia" w:ascii="Times New Roman" w:hAnsi="Times New Roman"/>
        </w:rPr>
        <w:t>）公众评判法</w:t>
      </w:r>
    </w:p>
    <w:p>
      <w:pPr>
        <w:ind w:firstLine="640" w:firstLineChars="200"/>
        <w:rPr>
          <w:rFonts w:hint="eastAsia" w:ascii="Times New Roman" w:hAnsi="Times New Roman"/>
          <w:lang w:val="en-US" w:eastAsia="zh-CN"/>
        </w:rPr>
      </w:pPr>
      <w:r>
        <w:rPr>
          <w:rFonts w:hint="eastAsia" w:ascii="Times New Roman" w:hAnsi="Times New Roman"/>
        </w:rPr>
        <w:t>设计调查问卷，发给一定数量受益群体填写，最后汇总分析各方意见进行评价判断。</w:t>
      </w:r>
      <w:r>
        <w:rPr>
          <w:rFonts w:hint="eastAsia" w:ascii="Times New Roman" w:hAnsi="Times New Roman"/>
          <w:lang w:val="en-US" w:eastAsia="zh-CN"/>
        </w:rPr>
        <w:t xml:space="preserve"> </w:t>
      </w:r>
    </w:p>
    <w:p>
      <w:pPr>
        <w:pStyle w:val="4"/>
        <w:bidi w:val="0"/>
        <w:rPr>
          <w:rFonts w:hint="eastAsia" w:ascii="Times New Roman" w:hAnsi="Times New Roman"/>
          <w:lang w:val="en-US" w:eastAsia="zh-CN"/>
        </w:rPr>
      </w:pPr>
      <w:r>
        <w:rPr>
          <w:rFonts w:hint="eastAsia" w:ascii="Times New Roman" w:hAnsi="Times New Roman"/>
          <w:lang w:val="en-US" w:eastAsia="zh-CN"/>
        </w:rPr>
        <w:t>4.</w:t>
      </w:r>
      <w:r>
        <w:rPr>
          <w:rFonts w:hint="eastAsia" w:ascii="Times New Roman" w:hAnsi="Times New Roman"/>
        </w:rPr>
        <w:t>评价</w:t>
      </w:r>
      <w:r>
        <w:rPr>
          <w:rFonts w:hint="eastAsia" w:ascii="Times New Roman" w:hAnsi="Times New Roman"/>
          <w:lang w:val="en-US" w:eastAsia="zh-CN"/>
        </w:rPr>
        <w:t>原则</w:t>
      </w:r>
    </w:p>
    <w:p>
      <w:pPr>
        <w:pStyle w:val="4"/>
        <w:bidi w:val="0"/>
        <w:rPr>
          <w:rFonts w:hint="eastAsia" w:ascii="Times New Roman" w:hAnsi="Times New Roman"/>
          <w:lang w:val="en-US" w:eastAsia="zh-CN"/>
        </w:rPr>
      </w:pPr>
      <w:r>
        <w:rPr>
          <w:rFonts w:hint="eastAsia" w:ascii="Times New Roman" w:hAnsi="Times New Roman"/>
          <w:lang w:val="en-US" w:eastAsia="zh-CN"/>
        </w:rPr>
        <w:t>（1）科学规范</w:t>
      </w:r>
    </w:p>
    <w:p>
      <w:pPr>
        <w:ind w:firstLine="640" w:firstLineChars="200"/>
        <w:rPr>
          <w:rFonts w:hint="eastAsia" w:ascii="Times New Roman" w:hAnsi="Times New Roman"/>
          <w:lang w:val="en-US" w:eastAsia="zh-CN"/>
        </w:rPr>
      </w:pPr>
      <w:r>
        <w:rPr>
          <w:rFonts w:hint="eastAsia" w:ascii="Times New Roman" w:hAnsi="Times New Roman"/>
          <w:lang w:val="en-US" w:eastAsia="zh-CN"/>
        </w:rPr>
        <w:t>严格执行规定的流程步骤，做到指标合理、标准科学、方法适当、结果可信。</w:t>
      </w:r>
    </w:p>
    <w:p>
      <w:pPr>
        <w:pStyle w:val="4"/>
        <w:numPr>
          <w:ilvl w:val="0"/>
          <w:numId w:val="1"/>
        </w:numPr>
        <w:bidi w:val="0"/>
        <w:rPr>
          <w:rFonts w:hint="eastAsia" w:ascii="Times New Roman" w:hAnsi="Times New Roman"/>
          <w:lang w:val="en-US" w:eastAsia="zh-CN"/>
        </w:rPr>
      </w:pPr>
      <w:r>
        <w:rPr>
          <w:rFonts w:hint="eastAsia" w:ascii="Times New Roman" w:hAnsi="Times New Roman"/>
          <w:lang w:val="en-US" w:eastAsia="zh-CN"/>
        </w:rPr>
        <w:t>绩效相关</w:t>
      </w:r>
    </w:p>
    <w:p>
      <w:pPr>
        <w:numPr>
          <w:ilvl w:val="0"/>
          <w:numId w:val="0"/>
        </w:numPr>
        <w:ind w:firstLine="640" w:firstLineChars="200"/>
        <w:rPr>
          <w:rFonts w:hint="eastAsia" w:ascii="Times New Roman" w:hAnsi="Times New Roman"/>
          <w:lang w:val="en-US" w:eastAsia="zh-CN"/>
        </w:rPr>
      </w:pPr>
      <w:r>
        <w:rPr>
          <w:rFonts w:hint="eastAsia" w:ascii="Times New Roman" w:hAnsi="Times New Roman"/>
          <w:lang w:val="en-US" w:eastAsia="zh-CN"/>
        </w:rPr>
        <w:t>评价结果应当清晰反映绩效目标的实现情况以及预算支出和绩效之间的对应关系。</w:t>
      </w:r>
    </w:p>
    <w:p>
      <w:pPr>
        <w:pStyle w:val="4"/>
        <w:numPr>
          <w:ilvl w:val="0"/>
          <w:numId w:val="1"/>
        </w:numPr>
        <w:bidi w:val="0"/>
        <w:rPr>
          <w:rFonts w:hint="eastAsia" w:ascii="Times New Roman" w:hAnsi="Times New Roman"/>
          <w:lang w:val="en-US" w:eastAsia="zh-CN"/>
        </w:rPr>
      </w:pPr>
      <w:r>
        <w:rPr>
          <w:rFonts w:hint="eastAsia" w:ascii="Times New Roman" w:hAnsi="Times New Roman"/>
          <w:lang w:val="en-US" w:eastAsia="zh-CN"/>
        </w:rPr>
        <w:t>公开透明</w:t>
      </w:r>
    </w:p>
    <w:p>
      <w:pPr>
        <w:numPr>
          <w:ilvl w:val="0"/>
          <w:numId w:val="0"/>
        </w:numPr>
        <w:ind w:firstLine="640" w:firstLineChars="200"/>
        <w:rPr>
          <w:rFonts w:hint="eastAsia" w:ascii="Times New Roman" w:hAnsi="Times New Roman"/>
          <w:lang w:val="en-US" w:eastAsia="zh-CN"/>
        </w:rPr>
      </w:pPr>
      <w:r>
        <w:rPr>
          <w:rFonts w:hint="eastAsia" w:ascii="Times New Roman" w:hAnsi="Times New Roman"/>
          <w:lang w:val="en-US" w:eastAsia="zh-CN"/>
        </w:rPr>
        <w:t>评价结果应当符合真实、客观、公正的要求，依法依规公开并接受监督。</w:t>
      </w:r>
    </w:p>
    <w:p>
      <w:pPr>
        <w:pStyle w:val="4"/>
        <w:numPr>
          <w:ilvl w:val="0"/>
          <w:numId w:val="1"/>
        </w:numPr>
        <w:bidi w:val="0"/>
        <w:rPr>
          <w:rFonts w:hint="eastAsia" w:ascii="Times New Roman" w:hAnsi="Times New Roman"/>
          <w:lang w:val="en-US" w:eastAsia="zh-CN"/>
        </w:rPr>
      </w:pPr>
      <w:r>
        <w:rPr>
          <w:rFonts w:hint="eastAsia" w:ascii="Times New Roman" w:hAnsi="Times New Roman"/>
          <w:lang w:val="en-US" w:eastAsia="zh-CN"/>
        </w:rPr>
        <w:t>激励约束</w:t>
      </w:r>
    </w:p>
    <w:p>
      <w:pPr>
        <w:numPr>
          <w:ilvl w:val="0"/>
          <w:numId w:val="0"/>
        </w:numPr>
        <w:ind w:firstLine="640" w:firstLineChars="200"/>
        <w:rPr>
          <w:rFonts w:hint="eastAsia" w:ascii="Times New Roman" w:hAnsi="Times New Roman"/>
          <w:lang w:val="en-US" w:eastAsia="zh-CN"/>
        </w:rPr>
      </w:pPr>
      <w:r>
        <w:rPr>
          <w:rFonts w:hint="eastAsia" w:ascii="Times New Roman" w:hAnsi="Times New Roman"/>
          <w:lang w:val="en-US" w:eastAsia="zh-CN"/>
        </w:rPr>
        <w:t>评价结果与项目的设立、保留、整合、调整和退出相挂钩，作为完善政策、改进管理、安排预算的重要依据。</w:t>
      </w:r>
    </w:p>
    <w:p>
      <w:pPr>
        <w:pStyle w:val="4"/>
        <w:numPr>
          <w:ilvl w:val="0"/>
          <w:numId w:val="0"/>
        </w:numPr>
        <w:ind w:firstLine="640" w:firstLineChars="200"/>
        <w:rPr>
          <w:rFonts w:ascii="Times New Roman" w:hAnsi="Times New Roman"/>
        </w:rPr>
      </w:pPr>
      <w:r>
        <w:rPr>
          <w:rFonts w:hint="eastAsia" w:ascii="Times New Roman" w:hAnsi="Times New Roman"/>
          <w:lang w:val="en-US" w:eastAsia="zh-CN"/>
        </w:rPr>
        <w:t>5.评价</w:t>
      </w:r>
      <w:r>
        <w:rPr>
          <w:rFonts w:hint="eastAsia" w:ascii="Times New Roman" w:hAnsi="Times New Roman"/>
        </w:rPr>
        <w:t>标准</w:t>
      </w:r>
    </w:p>
    <w:p>
      <w:pPr>
        <w:ind w:firstLine="640" w:firstLineChars="200"/>
        <w:rPr>
          <w:rFonts w:ascii="Times New Roman" w:hAnsi="Times New Roman"/>
        </w:rPr>
      </w:pPr>
      <w:r>
        <w:rPr>
          <w:rFonts w:ascii="Times New Roman" w:hAnsi="Times New Roman"/>
        </w:rPr>
        <w:t>本次绩效评价标准包括计划标准、行业标准、历史标准等，用于比较分析项目绩效目标的达成情况。</w:t>
      </w:r>
    </w:p>
    <w:p>
      <w:pPr>
        <w:pStyle w:val="4"/>
        <w:bidi w:val="0"/>
        <w:rPr>
          <w:rFonts w:ascii="Times New Roman" w:hAnsi="Times New Roman"/>
        </w:rPr>
      </w:pPr>
      <w:r>
        <w:rPr>
          <w:rFonts w:hint="eastAsia" w:ascii="Times New Roman" w:hAnsi="Times New Roman"/>
        </w:rPr>
        <w:t>（1）</w:t>
      </w:r>
      <w:r>
        <w:rPr>
          <w:rFonts w:ascii="Times New Roman" w:hAnsi="Times New Roman"/>
        </w:rPr>
        <w:t>计划标准</w:t>
      </w:r>
    </w:p>
    <w:p>
      <w:pPr>
        <w:ind w:firstLine="640" w:firstLineChars="200"/>
        <w:rPr>
          <w:rFonts w:ascii="Times New Roman" w:hAnsi="Times New Roman"/>
        </w:rPr>
      </w:pPr>
      <w:r>
        <w:rPr>
          <w:rFonts w:ascii="Times New Roman" w:hAnsi="Times New Roman"/>
        </w:rPr>
        <w:t>指以预先制定的目标、计划、预算、定额等作为评价标准，如实施方案中的目标、计划等。</w:t>
      </w:r>
    </w:p>
    <w:p>
      <w:pPr>
        <w:pStyle w:val="4"/>
        <w:rPr>
          <w:rFonts w:ascii="Times New Roman" w:hAnsi="Times New Roman"/>
        </w:rPr>
      </w:pPr>
      <w:r>
        <w:rPr>
          <w:rFonts w:hint="eastAsia" w:ascii="Times New Roman" w:hAnsi="Times New Roman"/>
        </w:rPr>
        <w:t>（2）</w:t>
      </w:r>
      <w:r>
        <w:rPr>
          <w:rFonts w:ascii="Times New Roman" w:hAnsi="Times New Roman"/>
        </w:rPr>
        <w:t>行业标准</w:t>
      </w:r>
    </w:p>
    <w:p>
      <w:pPr>
        <w:ind w:firstLine="640" w:firstLineChars="200"/>
        <w:rPr>
          <w:rFonts w:ascii="Times New Roman" w:hAnsi="Times New Roman"/>
        </w:rPr>
      </w:pPr>
      <w:r>
        <w:rPr>
          <w:rFonts w:ascii="Times New Roman" w:hAnsi="Times New Roman"/>
        </w:rPr>
        <w:t>指参照国家公布的行业指标数据制定的评价标准，如行业统计年鉴、行业发展规划中要求的标准等。</w:t>
      </w:r>
    </w:p>
    <w:p>
      <w:pPr>
        <w:pStyle w:val="4"/>
        <w:rPr>
          <w:rFonts w:ascii="Times New Roman" w:hAnsi="Times New Roman"/>
        </w:rPr>
      </w:pPr>
      <w:r>
        <w:rPr>
          <w:rFonts w:hint="eastAsia" w:ascii="Times New Roman" w:hAnsi="Times New Roman"/>
        </w:rPr>
        <w:t>（3）</w:t>
      </w:r>
      <w:r>
        <w:rPr>
          <w:rFonts w:ascii="Times New Roman" w:hAnsi="Times New Roman"/>
        </w:rPr>
        <w:t>历史标准</w:t>
      </w:r>
    </w:p>
    <w:p>
      <w:pPr>
        <w:ind w:firstLine="640" w:firstLineChars="200"/>
        <w:rPr>
          <w:rFonts w:ascii="Times New Roman" w:hAnsi="Times New Roman"/>
        </w:rPr>
      </w:pPr>
      <w:r>
        <w:rPr>
          <w:rFonts w:ascii="Times New Roman" w:hAnsi="Times New Roman"/>
        </w:rPr>
        <w:t>指参照历史数据制定的评价标准，如根据历年项目实施情况制定的标准，为体现绩效改进的原则，在可实现的条件下应当确定相对较高的评价标准</w:t>
      </w:r>
      <w:r>
        <w:rPr>
          <w:rFonts w:hint="eastAsia" w:ascii="Times New Roman" w:hAnsi="Times New Roman"/>
        </w:rPr>
        <w:t>。</w:t>
      </w:r>
    </w:p>
    <w:p>
      <w:pPr>
        <w:pStyle w:val="3"/>
        <w:rPr>
          <w:rFonts w:ascii="Times New Roman" w:hAnsi="Times New Roman"/>
        </w:rPr>
      </w:pPr>
      <w:bookmarkStart w:id="28" w:name="_Toc19769"/>
      <w:bookmarkStart w:id="29" w:name="_Toc13434"/>
      <w:bookmarkStart w:id="30" w:name="_Toc6319"/>
      <w:bookmarkStart w:id="31" w:name="_Toc27235"/>
      <w:r>
        <w:rPr>
          <w:rFonts w:hint="eastAsia" w:ascii="Times New Roman" w:hAnsi="Times New Roman"/>
        </w:rPr>
        <w:t>（三）绩效评价工作过程</w:t>
      </w:r>
      <w:bookmarkEnd w:id="28"/>
      <w:bookmarkEnd w:id="29"/>
      <w:bookmarkEnd w:id="30"/>
      <w:bookmarkEnd w:id="31"/>
    </w:p>
    <w:p>
      <w:pPr>
        <w:ind w:firstLine="640" w:firstLineChars="200"/>
        <w:rPr>
          <w:rFonts w:ascii="Times New Roman" w:hAnsi="Times New Roman"/>
        </w:rPr>
      </w:pPr>
      <w:r>
        <w:rPr>
          <w:rFonts w:hint="eastAsia" w:ascii="Times New Roman" w:hAnsi="Times New Roman"/>
        </w:rPr>
        <w:t>绩效评价主要工作内容包括项目启动阶段、评价实施阶段、报告撰写阶段、归集档案阶段，具体如下：</w:t>
      </w:r>
    </w:p>
    <w:p>
      <w:pPr>
        <w:pStyle w:val="4"/>
        <w:rPr>
          <w:rFonts w:ascii="Times New Roman" w:hAnsi="Times New Roman"/>
        </w:rPr>
      </w:pPr>
      <w:r>
        <w:rPr>
          <w:rFonts w:hint="eastAsia" w:ascii="Times New Roman" w:hAnsi="Times New Roman"/>
        </w:rPr>
        <w:t>1.项目启动阶段</w:t>
      </w:r>
    </w:p>
    <w:p>
      <w:pPr>
        <w:ind w:firstLine="640" w:firstLineChars="200"/>
        <w:rPr>
          <w:rFonts w:ascii="Times New Roman" w:hAnsi="Times New Roman"/>
        </w:rPr>
      </w:pPr>
      <w:r>
        <w:rPr>
          <w:rFonts w:hint="eastAsia" w:ascii="Times New Roman" w:hAnsi="Times New Roman"/>
        </w:rPr>
        <w:t>与鹿泉区财政局就</w:t>
      </w:r>
      <w:r>
        <w:rPr>
          <w:rFonts w:ascii="Times New Roman" w:hAnsi="Times New Roman"/>
        </w:rPr>
        <w:t>其委托需求、绩效评价工作开展要求进行接洽，以便更好地开展本次评价工作</w:t>
      </w:r>
      <w:r>
        <w:rPr>
          <w:rFonts w:hint="eastAsia" w:ascii="Times New Roman" w:hAnsi="Times New Roman"/>
        </w:rPr>
        <w:t>。</w:t>
      </w:r>
      <w:r>
        <w:rPr>
          <w:rFonts w:ascii="Times New Roman" w:hAnsi="Times New Roman"/>
        </w:rPr>
        <w:t>同时，与</w:t>
      </w:r>
      <w:r>
        <w:rPr>
          <w:rFonts w:hint="eastAsia" w:ascii="Times New Roman" w:hAnsi="Times New Roman"/>
        </w:rPr>
        <w:t>预算单位</w:t>
      </w:r>
      <w:r>
        <w:rPr>
          <w:rFonts w:ascii="Times New Roman" w:hAnsi="Times New Roman"/>
        </w:rPr>
        <w:t>进行</w:t>
      </w:r>
      <w:r>
        <w:rPr>
          <w:rFonts w:hint="eastAsia" w:ascii="Times New Roman" w:hAnsi="Times New Roman"/>
        </w:rPr>
        <w:t>深入</w:t>
      </w:r>
      <w:r>
        <w:rPr>
          <w:rFonts w:ascii="Times New Roman" w:hAnsi="Times New Roman"/>
        </w:rPr>
        <w:t>沟通，了解项目基本情况及组织管理模式，获取项目相关资料。</w:t>
      </w:r>
      <w:r>
        <w:rPr>
          <w:rFonts w:hint="eastAsia" w:ascii="Times New Roman" w:hAnsi="Times New Roman"/>
        </w:rPr>
        <w:t>根据项目特点，安排相关专业人员成立评价组。</w:t>
      </w:r>
    </w:p>
    <w:p>
      <w:pPr>
        <w:pStyle w:val="4"/>
        <w:rPr>
          <w:rFonts w:ascii="Times New Roman" w:hAnsi="Times New Roman"/>
        </w:rPr>
      </w:pPr>
      <w:r>
        <w:rPr>
          <w:rFonts w:hint="eastAsia" w:ascii="Times New Roman" w:hAnsi="Times New Roman"/>
        </w:rPr>
        <w:t>2.评价实施阶段</w:t>
      </w:r>
    </w:p>
    <w:p>
      <w:pPr>
        <w:ind w:firstLine="640" w:firstLineChars="200"/>
        <w:rPr>
          <w:rFonts w:ascii="Times New Roman" w:hAnsi="Times New Roman"/>
        </w:rPr>
      </w:pPr>
      <w:r>
        <w:rPr>
          <w:rFonts w:hint="eastAsia" w:ascii="Times New Roman" w:hAnsi="Times New Roman"/>
        </w:rPr>
        <w:t>根据鹿泉区</w:t>
      </w:r>
      <w:r>
        <w:rPr>
          <w:rFonts w:ascii="Times New Roman" w:hAnsi="Times New Roman"/>
        </w:rPr>
        <w:t>财政局</w:t>
      </w:r>
      <w:r>
        <w:rPr>
          <w:rFonts w:hint="eastAsia" w:ascii="Times New Roman" w:hAnsi="Times New Roman"/>
        </w:rPr>
        <w:t>的</w:t>
      </w:r>
      <w:r>
        <w:rPr>
          <w:rFonts w:ascii="Times New Roman" w:hAnsi="Times New Roman"/>
        </w:rPr>
        <w:t>委托</w:t>
      </w:r>
      <w:r>
        <w:rPr>
          <w:rFonts w:hint="eastAsia" w:ascii="Times New Roman" w:hAnsi="Times New Roman"/>
        </w:rPr>
        <w:t>要求</w:t>
      </w:r>
      <w:r>
        <w:rPr>
          <w:rFonts w:ascii="Times New Roman" w:hAnsi="Times New Roman"/>
        </w:rPr>
        <w:t>，搜集并梳理项目资料，全面了解项目实施情况、组织管理情况等内容。在此基础上，根据绩效管理工作要求，设计评价指标体系、撰写</w:t>
      </w:r>
      <w:r>
        <w:rPr>
          <w:rFonts w:hint="eastAsia" w:ascii="Times New Roman" w:hAnsi="Times New Roman"/>
        </w:rPr>
        <w:t>访谈提纲和设计基础数据表</w:t>
      </w:r>
      <w:r>
        <w:rPr>
          <w:rFonts w:ascii="Times New Roman" w:hAnsi="Times New Roman"/>
        </w:rPr>
        <w:t>等。</w:t>
      </w:r>
    </w:p>
    <w:p>
      <w:pPr>
        <w:ind w:firstLine="640" w:firstLineChars="200"/>
        <w:rPr>
          <w:rFonts w:ascii="Times New Roman" w:hAnsi="Times New Roman"/>
        </w:rPr>
      </w:pPr>
      <w:r>
        <w:rPr>
          <w:rFonts w:ascii="Times New Roman" w:hAnsi="Times New Roman"/>
        </w:rPr>
        <w:t>评价组</w:t>
      </w:r>
      <w:r>
        <w:rPr>
          <w:rFonts w:hint="eastAsia" w:ascii="Times New Roman" w:hAnsi="Times New Roman"/>
        </w:rPr>
        <w:t>按照调研计划</w:t>
      </w:r>
      <w:r>
        <w:rPr>
          <w:rFonts w:ascii="Times New Roman" w:hAnsi="Times New Roman"/>
        </w:rPr>
        <w:t>，</w:t>
      </w:r>
      <w:r>
        <w:rPr>
          <w:rFonts w:hint="eastAsia" w:ascii="Times New Roman" w:hAnsi="Times New Roman"/>
        </w:rPr>
        <w:t>首先对预算单位开展访谈，了解项目进展、项目实施情况、项目资料归集和总结的经验建议等，给预算单位提出需要补充的资料清单和需要填报的基础数据表。评价组</w:t>
      </w:r>
      <w:r>
        <w:rPr>
          <w:rFonts w:ascii="Times New Roman" w:hAnsi="Times New Roman"/>
        </w:rPr>
        <w:t>根据实地调研</w:t>
      </w:r>
      <w:r>
        <w:rPr>
          <w:rFonts w:hint="eastAsia" w:ascii="Times New Roman" w:hAnsi="Times New Roman"/>
        </w:rPr>
        <w:t>计划</w:t>
      </w:r>
      <w:r>
        <w:rPr>
          <w:rFonts w:ascii="Times New Roman" w:hAnsi="Times New Roman"/>
        </w:rPr>
        <w:t>，</w:t>
      </w:r>
      <w:r>
        <w:rPr>
          <w:rFonts w:hint="eastAsia" w:ascii="Times New Roman" w:hAnsi="Times New Roman"/>
        </w:rPr>
        <w:t>实地到项目现场</w:t>
      </w:r>
      <w:r>
        <w:rPr>
          <w:rFonts w:ascii="Times New Roman" w:hAnsi="Times New Roman"/>
        </w:rPr>
        <w:t>开展现场调研工作，包括</w:t>
      </w:r>
      <w:r>
        <w:rPr>
          <w:rFonts w:hint="eastAsia" w:ascii="Times New Roman" w:hAnsi="Times New Roman"/>
        </w:rPr>
        <w:t>现场踏勘项目建设完成情况</w:t>
      </w:r>
      <w:r>
        <w:rPr>
          <w:rFonts w:ascii="Times New Roman" w:hAnsi="Times New Roman"/>
        </w:rPr>
        <w:t>、</w:t>
      </w:r>
      <w:r>
        <w:rPr>
          <w:rFonts w:hint="eastAsia" w:ascii="Times New Roman" w:hAnsi="Times New Roman"/>
        </w:rPr>
        <w:t>开展</w:t>
      </w:r>
      <w:r>
        <w:rPr>
          <w:rFonts w:ascii="Times New Roman" w:hAnsi="Times New Roman"/>
        </w:rPr>
        <w:t>问卷调查和访谈等。具体内容如下：</w:t>
      </w:r>
    </w:p>
    <w:p>
      <w:pPr>
        <w:pStyle w:val="4"/>
        <w:rPr>
          <w:rFonts w:ascii="Times New Roman" w:hAnsi="Times New Roman"/>
        </w:rPr>
      </w:pPr>
      <w:r>
        <w:rPr>
          <w:rFonts w:hint="eastAsia" w:ascii="Times New Roman" w:hAnsi="Times New Roman"/>
        </w:rPr>
        <w:t>（1）现场踏勘</w:t>
      </w:r>
    </w:p>
    <w:p>
      <w:pPr>
        <w:ind w:firstLine="640" w:firstLineChars="200"/>
        <w:rPr>
          <w:rFonts w:ascii="Times New Roman" w:hAnsi="Times New Roman"/>
        </w:rPr>
      </w:pPr>
      <w:r>
        <w:rPr>
          <w:rFonts w:hint="eastAsia" w:ascii="Times New Roman" w:hAnsi="Times New Roman"/>
        </w:rPr>
        <w:t>依据项目建设与产出资料，实地探勘了解项目产出和项目效益与目标计划的符合性</w:t>
      </w:r>
      <w:r>
        <w:rPr>
          <w:rFonts w:ascii="Times New Roman" w:hAnsi="Times New Roman"/>
        </w:rPr>
        <w:t>。</w:t>
      </w:r>
    </w:p>
    <w:p>
      <w:pPr>
        <w:pStyle w:val="4"/>
        <w:rPr>
          <w:rFonts w:ascii="Times New Roman" w:hAnsi="Times New Roman"/>
        </w:rPr>
      </w:pPr>
      <w:r>
        <w:rPr>
          <w:rFonts w:hint="eastAsia" w:ascii="Times New Roman" w:hAnsi="Times New Roman"/>
        </w:rPr>
        <w:t>（2）开展问卷调查</w:t>
      </w:r>
    </w:p>
    <w:p>
      <w:pPr>
        <w:ind w:firstLine="640" w:firstLineChars="200"/>
        <w:rPr>
          <w:rFonts w:ascii="Times New Roman" w:hAnsi="Times New Roman"/>
        </w:rPr>
      </w:pPr>
      <w:r>
        <w:rPr>
          <w:rFonts w:hint="eastAsia" w:ascii="Times New Roman" w:hAnsi="Times New Roman"/>
        </w:rPr>
        <w:t>对项目建设的受益群体开展问卷调查，对2个项目实施村村民代表发放满意度调查问卷，现场收集填写问卷；同时联合居委会向村民网格群在线发放问卷，统一汇总后整理满意度调查结果</w:t>
      </w:r>
      <w:r>
        <w:rPr>
          <w:rFonts w:ascii="Times New Roman" w:hAnsi="Times New Roman"/>
        </w:rPr>
        <w:t>。</w:t>
      </w:r>
    </w:p>
    <w:p>
      <w:pPr>
        <w:pStyle w:val="4"/>
        <w:rPr>
          <w:rFonts w:ascii="Times New Roman" w:hAnsi="Times New Roman"/>
        </w:rPr>
      </w:pPr>
      <w:r>
        <w:rPr>
          <w:rFonts w:hint="eastAsia" w:ascii="Times New Roman" w:hAnsi="Times New Roman"/>
        </w:rPr>
        <w:t>（3）现场访谈</w:t>
      </w:r>
    </w:p>
    <w:p>
      <w:pPr>
        <w:ind w:firstLine="640" w:firstLineChars="200"/>
        <w:rPr>
          <w:rFonts w:ascii="Times New Roman" w:hAnsi="Times New Roman"/>
        </w:rPr>
      </w:pPr>
      <w:r>
        <w:rPr>
          <w:rFonts w:hint="eastAsia" w:ascii="Times New Roman" w:hAnsi="Times New Roman" w:cs="Times New Roman"/>
        </w:rPr>
        <w:t>对项目实施地村集体和村民代表进行现场突击访谈，了解村民对项目建设的态度和意愿，了解项目建设过程中和建设完成后对村民生活产生的影响等</w:t>
      </w:r>
      <w:r>
        <w:rPr>
          <w:rFonts w:ascii="Times New Roman" w:hAnsi="Times New Roman" w:cs="Times New Roman"/>
        </w:rPr>
        <w:t>。</w:t>
      </w:r>
    </w:p>
    <w:p>
      <w:pPr>
        <w:pStyle w:val="4"/>
        <w:rPr>
          <w:rFonts w:ascii="Times New Roman" w:hAnsi="Times New Roman"/>
        </w:rPr>
      </w:pPr>
      <w:r>
        <w:rPr>
          <w:rFonts w:hint="eastAsia" w:ascii="Times New Roman" w:hAnsi="Times New Roman"/>
        </w:rPr>
        <w:t>3.报告撰写阶段</w:t>
      </w:r>
    </w:p>
    <w:p>
      <w:pPr>
        <w:ind w:firstLine="640" w:firstLineChars="200"/>
        <w:rPr>
          <w:rFonts w:ascii="Times New Roman" w:hAnsi="Times New Roman"/>
        </w:rPr>
      </w:pPr>
      <w:r>
        <w:rPr>
          <w:rFonts w:hint="eastAsia" w:ascii="Times New Roman" w:hAnsi="Times New Roman"/>
        </w:rPr>
        <w:t>评价组按照规定要求和文本格式撰写评价报告，全面阐述评价项目的基本情况，对照评价指标体系，客观分析绩效目标实现程度，对项目的决策、过程管理、产出效益等作出具体分析和评价，确保数据准确、内容完整、案例详实、依据充分、分析透彻、结论无误，所提建议应具有针对性、可行性和应用性。</w:t>
      </w:r>
    </w:p>
    <w:p>
      <w:pPr>
        <w:rPr>
          <w:rFonts w:ascii="Times New Roman" w:hAnsi="Times New Roman"/>
        </w:rPr>
      </w:pPr>
      <w:r>
        <w:rPr>
          <w:rFonts w:hint="eastAsia" w:ascii="Times New Roman" w:hAnsi="Times New Roman"/>
        </w:rPr>
        <w:t xml:space="preserve">    评价报告初稿撰写完成后，公司内部进行质控修改，然后报送委托方征求意见，根据意见修改完善形成终稿。</w:t>
      </w:r>
    </w:p>
    <w:p>
      <w:pPr>
        <w:pStyle w:val="4"/>
        <w:rPr>
          <w:rFonts w:ascii="Times New Roman" w:hAnsi="Times New Roman"/>
        </w:rPr>
      </w:pPr>
      <w:r>
        <w:rPr>
          <w:rFonts w:hint="eastAsia" w:ascii="Times New Roman" w:hAnsi="Times New Roman"/>
        </w:rPr>
        <w:t>4.归集档案阶段</w:t>
      </w:r>
    </w:p>
    <w:p>
      <w:pPr>
        <w:ind w:firstLine="640" w:firstLineChars="200"/>
        <w:rPr>
          <w:rFonts w:ascii="Times New Roman" w:hAnsi="Times New Roman"/>
        </w:rPr>
      </w:pPr>
      <w:r>
        <w:rPr>
          <w:rFonts w:hint="eastAsia" w:ascii="Times New Roman" w:hAnsi="Times New Roman"/>
        </w:rPr>
        <w:t>评价组严格执行绩效评价档案管理制度，对项目相关资料进行归集存档，主要存档资料包括但不限于以下：评价项目基本情况和相关文件、委托方评价协议（合同）、基础数据表、评价工作底稿及附件、访谈资料、现场踏勘资料、调查问卷、调查问卷统计结果、绩效评价指标体系及得分表、绩效评价报告等。</w:t>
      </w:r>
    </w:p>
    <w:p>
      <w:pPr>
        <w:pStyle w:val="2"/>
        <w:rPr>
          <w:rFonts w:ascii="Times New Roman" w:hAnsi="Times New Roman"/>
        </w:rPr>
      </w:pPr>
      <w:bookmarkStart w:id="32" w:name="_Toc8224"/>
      <w:bookmarkStart w:id="33" w:name="_Toc481"/>
      <w:bookmarkStart w:id="34" w:name="_Toc12087"/>
      <w:bookmarkStart w:id="35" w:name="_Toc24911"/>
      <w:r>
        <w:rPr>
          <w:rFonts w:hint="eastAsia" w:ascii="Times New Roman" w:hAnsi="Times New Roman"/>
        </w:rPr>
        <w:t>三、综合评价情况及评价结论</w:t>
      </w:r>
      <w:bookmarkEnd w:id="32"/>
      <w:bookmarkEnd w:id="33"/>
      <w:bookmarkEnd w:id="34"/>
      <w:bookmarkEnd w:id="35"/>
    </w:p>
    <w:p>
      <w:pPr>
        <w:pStyle w:val="3"/>
        <w:rPr>
          <w:rFonts w:ascii="Times New Roman" w:hAnsi="Times New Roman"/>
        </w:rPr>
      </w:pPr>
      <w:bookmarkStart w:id="36" w:name="_Toc3106"/>
      <w:bookmarkStart w:id="37" w:name="_Toc31393"/>
      <w:bookmarkStart w:id="38" w:name="_Toc11849"/>
      <w:bookmarkStart w:id="39" w:name="_Toc16587"/>
      <w:r>
        <w:rPr>
          <w:rFonts w:hint="eastAsia" w:ascii="Times New Roman" w:hAnsi="Times New Roman"/>
        </w:rPr>
        <w:t>（一）总评价得分及评价等级</w:t>
      </w:r>
      <w:bookmarkEnd w:id="36"/>
      <w:bookmarkEnd w:id="37"/>
      <w:bookmarkEnd w:id="38"/>
      <w:bookmarkEnd w:id="39"/>
    </w:p>
    <w:p>
      <w:pPr>
        <w:ind w:firstLine="640" w:firstLineChars="200"/>
        <w:rPr>
          <w:rFonts w:ascii="Times New Roman" w:hAnsi="Times New Roman"/>
        </w:rPr>
      </w:pPr>
      <w:r>
        <w:rPr>
          <w:rFonts w:hint="eastAsia" w:ascii="Times New Roman" w:hAnsi="Times New Roman"/>
        </w:rPr>
        <w:t>经综合评价，鹿泉区人居环境整治及污水资源化利用项目（大河镇、获鹿镇）绩效评价综合得分7</w:t>
      </w:r>
      <w:r>
        <w:rPr>
          <w:rFonts w:hint="eastAsia" w:ascii="Times New Roman" w:hAnsi="Times New Roman"/>
          <w:lang w:val="en-US" w:eastAsia="zh-CN"/>
        </w:rPr>
        <w:t>9</w:t>
      </w:r>
      <w:r>
        <w:rPr>
          <w:rFonts w:hint="eastAsia" w:ascii="Times New Roman" w:hAnsi="Times New Roman"/>
        </w:rPr>
        <w:t>.71分，评价等级为“良好”，项目绩效评价得分情况</w:t>
      </w:r>
      <w:r>
        <w:rPr>
          <w:rFonts w:hint="eastAsia" w:ascii="Times New Roman" w:hAnsi="Times New Roman"/>
          <w:lang w:val="en-US" w:eastAsia="zh-CN"/>
        </w:rPr>
        <w:t>见</w:t>
      </w:r>
      <w:r>
        <w:rPr>
          <w:rFonts w:hint="eastAsia" w:ascii="Times New Roman" w:hAnsi="Times New Roman"/>
          <w:b/>
          <w:bCs/>
          <w:lang w:val="en-US" w:eastAsia="zh-CN"/>
        </w:rPr>
        <w:t>表2</w:t>
      </w:r>
      <w:r>
        <w:rPr>
          <w:rFonts w:hint="eastAsia" w:ascii="Times New Roman" w:hAnsi="Times New Roman"/>
        </w:rPr>
        <w:t>：</w:t>
      </w:r>
    </w:p>
    <w:p>
      <w:pPr>
        <w:jc w:val="center"/>
        <w:rPr>
          <w:rFonts w:ascii="Times New Roman" w:hAnsi="Times New Roman"/>
          <w:b/>
          <w:bCs/>
          <w:sz w:val="28"/>
          <w:szCs w:val="28"/>
        </w:rPr>
      </w:pPr>
      <w:r>
        <w:rPr>
          <w:rFonts w:hint="eastAsia" w:ascii="Times New Roman" w:hAnsi="Times New Roman"/>
          <w:b/>
          <w:bCs/>
          <w:sz w:val="28"/>
          <w:szCs w:val="28"/>
        </w:rPr>
        <w:t>表2 综合评价得分表</w:t>
      </w:r>
    </w:p>
    <w:tbl>
      <w:tblPr>
        <w:tblStyle w:val="1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30"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评价内容</w:t>
            </w:r>
          </w:p>
        </w:tc>
        <w:tc>
          <w:tcPr>
            <w:tcW w:w="2130"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标准分值</w:t>
            </w:r>
          </w:p>
        </w:tc>
        <w:tc>
          <w:tcPr>
            <w:tcW w:w="2131"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评价得分</w:t>
            </w:r>
          </w:p>
        </w:tc>
        <w:tc>
          <w:tcPr>
            <w:tcW w:w="2131"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得分率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30"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决策</w:t>
            </w:r>
          </w:p>
        </w:tc>
        <w:tc>
          <w:tcPr>
            <w:tcW w:w="2130" w:type="dxa"/>
            <w:vAlign w:val="center"/>
          </w:tcPr>
          <w:p>
            <w:pPr>
              <w:keepNext w:val="0"/>
              <w:keepLines w:val="0"/>
              <w:widowControl/>
              <w:suppressLineNumbers w:val="0"/>
              <w:jc w:val="center"/>
              <w:textAlignment w:val="bottom"/>
              <w:rPr>
                <w:rFonts w:hint="eastAsia" w:ascii="Times New Roman" w:hAnsi="Times New Roman" w:eastAsia="仿宋_GB2312" w:cs="仿宋_GB2312"/>
                <w:sz w:val="24"/>
                <w:szCs w:val="24"/>
              </w:rPr>
            </w:pPr>
            <w:r>
              <w:rPr>
                <w:rFonts w:hint="eastAsia" w:ascii="Times New Roman" w:hAnsi="Times New Roman" w:eastAsia="仿宋_GB2312" w:cs="仿宋_GB2312"/>
                <w:i w:val="0"/>
                <w:iCs w:val="0"/>
                <w:color w:val="000000"/>
                <w:kern w:val="0"/>
                <w:sz w:val="24"/>
                <w:szCs w:val="24"/>
                <w:u w:val="none"/>
                <w:lang w:val="en-US" w:eastAsia="zh-CN" w:bidi="ar"/>
              </w:rPr>
              <w:t>20</w:t>
            </w:r>
          </w:p>
        </w:tc>
        <w:tc>
          <w:tcPr>
            <w:tcW w:w="2131" w:type="dxa"/>
            <w:vAlign w:val="center"/>
          </w:tcPr>
          <w:p>
            <w:pPr>
              <w:keepNext w:val="0"/>
              <w:keepLines w:val="0"/>
              <w:widowControl/>
              <w:suppressLineNumbers w:val="0"/>
              <w:jc w:val="center"/>
              <w:textAlignment w:val="bottom"/>
              <w:rPr>
                <w:rFonts w:hint="eastAsia" w:ascii="Times New Roman" w:hAnsi="Times New Roman" w:eastAsia="仿宋_GB2312" w:cs="仿宋_GB2312"/>
                <w:sz w:val="24"/>
                <w:szCs w:val="24"/>
              </w:rPr>
            </w:pPr>
            <w:r>
              <w:rPr>
                <w:rFonts w:hint="eastAsia" w:ascii="Times New Roman" w:hAnsi="Times New Roman" w:eastAsia="仿宋_GB2312" w:cs="仿宋_GB2312"/>
                <w:i w:val="0"/>
                <w:iCs w:val="0"/>
                <w:color w:val="000000"/>
                <w:kern w:val="0"/>
                <w:sz w:val="24"/>
                <w:szCs w:val="24"/>
                <w:u w:val="none"/>
                <w:lang w:val="en-US" w:eastAsia="zh-CN" w:bidi="ar"/>
              </w:rPr>
              <w:t>16.95</w:t>
            </w:r>
          </w:p>
        </w:tc>
        <w:tc>
          <w:tcPr>
            <w:tcW w:w="2131" w:type="dxa"/>
            <w:vAlign w:val="center"/>
          </w:tcPr>
          <w:p>
            <w:pPr>
              <w:keepNext w:val="0"/>
              <w:keepLines w:val="0"/>
              <w:widowControl/>
              <w:suppressLineNumbers w:val="0"/>
              <w:jc w:val="center"/>
              <w:textAlignment w:val="bottom"/>
              <w:rPr>
                <w:rFonts w:hint="eastAsia" w:ascii="Times New Roman" w:hAnsi="Times New Roman" w:eastAsia="仿宋_GB2312" w:cs="仿宋_GB2312"/>
                <w:sz w:val="24"/>
                <w:szCs w:val="24"/>
              </w:rPr>
            </w:pPr>
            <w:r>
              <w:rPr>
                <w:rFonts w:hint="eastAsia" w:ascii="Times New Roman" w:hAnsi="Times New Roman" w:eastAsia="仿宋_GB2312" w:cs="仿宋_GB2312"/>
                <w:i w:val="0"/>
                <w:iCs w:val="0"/>
                <w:color w:val="000000"/>
                <w:kern w:val="0"/>
                <w:sz w:val="24"/>
                <w:szCs w:val="24"/>
                <w:u w:val="none"/>
                <w:lang w:val="en-US" w:eastAsia="zh-CN" w:bidi="ar"/>
              </w:rPr>
              <w:t>84.75%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30"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过程</w:t>
            </w:r>
          </w:p>
        </w:tc>
        <w:tc>
          <w:tcPr>
            <w:tcW w:w="2130" w:type="dxa"/>
            <w:vAlign w:val="center"/>
          </w:tcPr>
          <w:p>
            <w:pPr>
              <w:keepNext w:val="0"/>
              <w:keepLines w:val="0"/>
              <w:widowControl/>
              <w:suppressLineNumbers w:val="0"/>
              <w:jc w:val="center"/>
              <w:textAlignment w:val="bottom"/>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i w:val="0"/>
                <w:iCs w:val="0"/>
                <w:color w:val="000000"/>
                <w:kern w:val="0"/>
                <w:sz w:val="24"/>
                <w:szCs w:val="24"/>
                <w:u w:val="none"/>
                <w:lang w:val="en-US" w:eastAsia="zh-CN" w:bidi="ar"/>
              </w:rPr>
              <w:t>20</w:t>
            </w:r>
          </w:p>
        </w:tc>
        <w:tc>
          <w:tcPr>
            <w:tcW w:w="2131" w:type="dxa"/>
            <w:vAlign w:val="center"/>
          </w:tcPr>
          <w:p>
            <w:pPr>
              <w:keepNext w:val="0"/>
              <w:keepLines w:val="0"/>
              <w:widowControl/>
              <w:suppressLineNumbers w:val="0"/>
              <w:jc w:val="center"/>
              <w:textAlignment w:val="bottom"/>
              <w:rPr>
                <w:rFonts w:hint="eastAsia" w:ascii="Times New Roman" w:hAnsi="Times New Roman" w:eastAsia="仿宋_GB2312" w:cs="仿宋_GB2312"/>
                <w:i w:val="0"/>
                <w:iCs w:val="0"/>
                <w:color w:val="000000"/>
                <w:kern w:val="2"/>
                <w:sz w:val="24"/>
                <w:szCs w:val="24"/>
                <w:u w:val="none"/>
                <w:lang w:val="en-US" w:eastAsia="zh-CN" w:bidi="ar-SA"/>
              </w:rPr>
            </w:pPr>
            <w:r>
              <w:rPr>
                <w:rFonts w:hint="eastAsia" w:ascii="Times New Roman" w:hAnsi="Times New Roman" w:eastAsia="仿宋_GB2312" w:cs="仿宋_GB2312"/>
                <w:i w:val="0"/>
                <w:iCs w:val="0"/>
                <w:color w:val="000000"/>
                <w:kern w:val="0"/>
                <w:sz w:val="24"/>
                <w:szCs w:val="24"/>
                <w:u w:val="none"/>
                <w:lang w:val="en-US" w:eastAsia="zh-CN" w:bidi="ar"/>
              </w:rPr>
              <w:t>18.65</w:t>
            </w:r>
          </w:p>
        </w:tc>
        <w:tc>
          <w:tcPr>
            <w:tcW w:w="2131" w:type="dxa"/>
            <w:vAlign w:val="center"/>
          </w:tcPr>
          <w:p>
            <w:pPr>
              <w:keepNext w:val="0"/>
              <w:keepLines w:val="0"/>
              <w:widowControl/>
              <w:suppressLineNumbers w:val="0"/>
              <w:jc w:val="center"/>
              <w:textAlignment w:val="bottom"/>
              <w:rPr>
                <w:rFonts w:hint="eastAsia" w:ascii="Times New Roman" w:hAnsi="Times New Roman" w:eastAsia="仿宋_GB2312" w:cs="仿宋_GB2312"/>
                <w:sz w:val="24"/>
                <w:szCs w:val="24"/>
              </w:rPr>
            </w:pPr>
            <w:r>
              <w:rPr>
                <w:rFonts w:hint="eastAsia" w:ascii="Times New Roman" w:hAnsi="Times New Roman" w:eastAsia="仿宋_GB2312" w:cs="仿宋_GB2312"/>
                <w:i w:val="0"/>
                <w:iCs w:val="0"/>
                <w:color w:val="000000"/>
                <w:kern w:val="0"/>
                <w:sz w:val="24"/>
                <w:szCs w:val="24"/>
                <w:u w:val="none"/>
                <w:lang w:val="en-US" w:eastAsia="zh-CN" w:bidi="ar"/>
              </w:rPr>
              <w:t>93.25%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30"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产出</w:t>
            </w:r>
          </w:p>
        </w:tc>
        <w:tc>
          <w:tcPr>
            <w:tcW w:w="2130" w:type="dxa"/>
            <w:vAlign w:val="center"/>
          </w:tcPr>
          <w:p>
            <w:pPr>
              <w:keepNext w:val="0"/>
              <w:keepLines w:val="0"/>
              <w:widowControl/>
              <w:suppressLineNumbers w:val="0"/>
              <w:jc w:val="center"/>
              <w:textAlignment w:val="bottom"/>
              <w:rPr>
                <w:rFonts w:hint="eastAsia" w:ascii="Times New Roman" w:hAnsi="Times New Roman" w:eastAsia="仿宋_GB2312" w:cs="仿宋_GB2312"/>
                <w:sz w:val="24"/>
                <w:szCs w:val="24"/>
                <w:lang w:val="en-US" w:eastAsia="zh-CN"/>
              </w:rPr>
            </w:pPr>
            <w:r>
              <w:rPr>
                <w:rFonts w:hint="eastAsia" w:ascii="Times New Roman" w:hAnsi="Times New Roman" w:eastAsia="仿宋_GB2312" w:cs="仿宋_GB2312"/>
                <w:i w:val="0"/>
                <w:iCs w:val="0"/>
                <w:color w:val="000000"/>
                <w:kern w:val="0"/>
                <w:sz w:val="24"/>
                <w:szCs w:val="24"/>
                <w:u w:val="none"/>
                <w:lang w:val="en-US" w:eastAsia="zh-CN" w:bidi="ar"/>
              </w:rPr>
              <w:t>25</w:t>
            </w:r>
          </w:p>
        </w:tc>
        <w:tc>
          <w:tcPr>
            <w:tcW w:w="2131" w:type="dxa"/>
            <w:vAlign w:val="center"/>
          </w:tcPr>
          <w:p>
            <w:pPr>
              <w:keepNext w:val="0"/>
              <w:keepLines w:val="0"/>
              <w:widowControl/>
              <w:suppressLineNumbers w:val="0"/>
              <w:jc w:val="center"/>
              <w:textAlignment w:val="bottom"/>
              <w:rPr>
                <w:rFonts w:hint="eastAsia" w:ascii="Times New Roman" w:hAnsi="Times New Roman" w:eastAsia="仿宋_GB2312" w:cs="仿宋_GB2312"/>
                <w:i w:val="0"/>
                <w:iCs w:val="0"/>
                <w:color w:val="000000"/>
                <w:kern w:val="2"/>
                <w:sz w:val="24"/>
                <w:szCs w:val="24"/>
                <w:u w:val="none"/>
                <w:lang w:val="en-US" w:eastAsia="zh-CN" w:bidi="ar-SA"/>
              </w:rPr>
            </w:pPr>
            <w:r>
              <w:rPr>
                <w:rFonts w:hint="eastAsia" w:ascii="Times New Roman" w:hAnsi="Times New Roman" w:eastAsia="仿宋_GB2312" w:cs="仿宋_GB2312"/>
                <w:i w:val="0"/>
                <w:iCs w:val="0"/>
                <w:color w:val="000000"/>
                <w:kern w:val="0"/>
                <w:sz w:val="24"/>
                <w:szCs w:val="24"/>
                <w:u w:val="none"/>
                <w:lang w:val="en-US" w:eastAsia="zh-CN" w:bidi="ar"/>
              </w:rPr>
              <w:t>15.11</w:t>
            </w:r>
          </w:p>
        </w:tc>
        <w:tc>
          <w:tcPr>
            <w:tcW w:w="2131" w:type="dxa"/>
            <w:vAlign w:val="center"/>
          </w:tcPr>
          <w:p>
            <w:pPr>
              <w:keepNext w:val="0"/>
              <w:keepLines w:val="0"/>
              <w:widowControl/>
              <w:suppressLineNumbers w:val="0"/>
              <w:jc w:val="center"/>
              <w:textAlignment w:val="bottom"/>
              <w:rPr>
                <w:rFonts w:hint="eastAsia" w:ascii="Times New Roman" w:hAnsi="Times New Roman" w:eastAsia="仿宋_GB2312" w:cs="仿宋_GB2312"/>
                <w:sz w:val="24"/>
                <w:szCs w:val="24"/>
              </w:rPr>
            </w:pPr>
            <w:r>
              <w:rPr>
                <w:rFonts w:hint="eastAsia" w:ascii="Times New Roman" w:hAnsi="Times New Roman" w:eastAsia="仿宋_GB2312" w:cs="仿宋_GB2312"/>
                <w:i w:val="0"/>
                <w:iCs w:val="0"/>
                <w:color w:val="000000"/>
                <w:kern w:val="0"/>
                <w:sz w:val="24"/>
                <w:szCs w:val="24"/>
                <w:u w:val="none"/>
                <w:lang w:val="en-US" w:eastAsia="zh-CN" w:bidi="ar"/>
              </w:rPr>
              <w:t>60.44%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30"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效益</w:t>
            </w:r>
          </w:p>
        </w:tc>
        <w:tc>
          <w:tcPr>
            <w:tcW w:w="2130" w:type="dxa"/>
            <w:vAlign w:val="center"/>
          </w:tcPr>
          <w:p>
            <w:pPr>
              <w:keepNext w:val="0"/>
              <w:keepLines w:val="0"/>
              <w:widowControl/>
              <w:suppressLineNumbers w:val="0"/>
              <w:jc w:val="center"/>
              <w:textAlignment w:val="bottom"/>
              <w:rPr>
                <w:rFonts w:hint="eastAsia" w:ascii="Times New Roman" w:hAnsi="Times New Roman" w:eastAsia="仿宋_GB2312" w:cs="仿宋_GB2312"/>
                <w:sz w:val="24"/>
                <w:szCs w:val="24"/>
                <w:lang w:val="en-US" w:eastAsia="zh-CN"/>
              </w:rPr>
            </w:pPr>
            <w:r>
              <w:rPr>
                <w:rFonts w:hint="eastAsia" w:ascii="Times New Roman" w:hAnsi="Times New Roman" w:eastAsia="仿宋_GB2312" w:cs="仿宋_GB2312"/>
                <w:i w:val="0"/>
                <w:iCs w:val="0"/>
                <w:color w:val="000000"/>
                <w:kern w:val="0"/>
                <w:sz w:val="24"/>
                <w:szCs w:val="24"/>
                <w:u w:val="none"/>
                <w:lang w:val="en-US" w:eastAsia="zh-CN" w:bidi="ar"/>
              </w:rPr>
              <w:t>35</w:t>
            </w:r>
          </w:p>
        </w:tc>
        <w:tc>
          <w:tcPr>
            <w:tcW w:w="2131" w:type="dxa"/>
            <w:vAlign w:val="center"/>
          </w:tcPr>
          <w:p>
            <w:pPr>
              <w:keepNext w:val="0"/>
              <w:keepLines w:val="0"/>
              <w:widowControl/>
              <w:suppressLineNumbers w:val="0"/>
              <w:jc w:val="center"/>
              <w:textAlignment w:val="bottom"/>
              <w:rPr>
                <w:rFonts w:hint="eastAsia" w:ascii="Times New Roman" w:hAnsi="Times New Roman" w:eastAsia="仿宋_GB2312" w:cs="仿宋_GB2312"/>
                <w:i w:val="0"/>
                <w:iCs w:val="0"/>
                <w:color w:val="000000"/>
                <w:kern w:val="2"/>
                <w:sz w:val="24"/>
                <w:szCs w:val="24"/>
                <w:u w:val="none"/>
                <w:lang w:val="en-US" w:eastAsia="zh-CN" w:bidi="ar-SA"/>
              </w:rPr>
            </w:pPr>
            <w:r>
              <w:rPr>
                <w:rFonts w:hint="eastAsia" w:ascii="Times New Roman" w:hAnsi="Times New Roman" w:eastAsia="仿宋_GB2312" w:cs="仿宋_GB2312"/>
                <w:i w:val="0"/>
                <w:iCs w:val="0"/>
                <w:color w:val="000000"/>
                <w:kern w:val="0"/>
                <w:sz w:val="24"/>
                <w:szCs w:val="24"/>
                <w:u w:val="none"/>
                <w:lang w:val="en-US" w:eastAsia="zh-CN" w:bidi="ar"/>
              </w:rPr>
              <w:t>29</w:t>
            </w:r>
          </w:p>
        </w:tc>
        <w:tc>
          <w:tcPr>
            <w:tcW w:w="2131" w:type="dxa"/>
            <w:vAlign w:val="center"/>
          </w:tcPr>
          <w:p>
            <w:pPr>
              <w:keepNext w:val="0"/>
              <w:keepLines w:val="0"/>
              <w:widowControl/>
              <w:suppressLineNumbers w:val="0"/>
              <w:jc w:val="center"/>
              <w:textAlignment w:val="bottom"/>
              <w:rPr>
                <w:rFonts w:hint="eastAsia" w:ascii="Times New Roman" w:hAnsi="Times New Roman" w:eastAsia="仿宋_GB2312" w:cs="仿宋_GB2312"/>
                <w:sz w:val="24"/>
                <w:szCs w:val="24"/>
              </w:rPr>
            </w:pPr>
            <w:r>
              <w:rPr>
                <w:rFonts w:hint="eastAsia" w:ascii="Times New Roman" w:hAnsi="Times New Roman" w:eastAsia="仿宋_GB2312" w:cs="仿宋_GB2312"/>
                <w:i w:val="0"/>
                <w:iCs w:val="0"/>
                <w:color w:val="000000"/>
                <w:kern w:val="0"/>
                <w:sz w:val="24"/>
                <w:szCs w:val="24"/>
                <w:u w:val="none"/>
                <w:lang w:val="en-US" w:eastAsia="zh-CN" w:bidi="ar"/>
              </w:rPr>
              <w:t>82.85%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30"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综合得分</w:t>
            </w:r>
          </w:p>
        </w:tc>
        <w:tc>
          <w:tcPr>
            <w:tcW w:w="2130" w:type="dxa"/>
            <w:vAlign w:val="center"/>
          </w:tcPr>
          <w:p>
            <w:pPr>
              <w:keepNext w:val="0"/>
              <w:keepLines w:val="0"/>
              <w:widowControl/>
              <w:suppressLineNumbers w:val="0"/>
              <w:jc w:val="center"/>
              <w:textAlignment w:val="bottom"/>
              <w:rPr>
                <w:rFonts w:hint="eastAsia" w:ascii="Times New Roman" w:hAnsi="Times New Roman" w:eastAsia="仿宋_GB2312" w:cs="仿宋_GB2312"/>
                <w:sz w:val="24"/>
                <w:szCs w:val="24"/>
              </w:rPr>
            </w:pPr>
            <w:r>
              <w:rPr>
                <w:rFonts w:hint="eastAsia" w:ascii="Times New Roman" w:hAnsi="Times New Roman" w:eastAsia="仿宋_GB2312" w:cs="仿宋_GB2312"/>
                <w:i w:val="0"/>
                <w:iCs w:val="0"/>
                <w:color w:val="000000"/>
                <w:kern w:val="0"/>
                <w:sz w:val="24"/>
                <w:szCs w:val="24"/>
                <w:u w:val="none"/>
                <w:lang w:val="en-US" w:eastAsia="zh-CN" w:bidi="ar"/>
              </w:rPr>
              <w:t>100</w:t>
            </w:r>
          </w:p>
        </w:tc>
        <w:tc>
          <w:tcPr>
            <w:tcW w:w="2131" w:type="dxa"/>
            <w:vAlign w:val="center"/>
          </w:tcPr>
          <w:p>
            <w:pPr>
              <w:keepNext w:val="0"/>
              <w:keepLines w:val="0"/>
              <w:widowControl/>
              <w:suppressLineNumbers w:val="0"/>
              <w:jc w:val="center"/>
              <w:textAlignment w:val="bottom"/>
              <w:rPr>
                <w:rFonts w:hint="eastAsia" w:ascii="Times New Roman" w:hAnsi="Times New Roman" w:eastAsia="仿宋_GB2312" w:cs="仿宋_GB2312"/>
                <w:i w:val="0"/>
                <w:iCs w:val="0"/>
                <w:color w:val="000000"/>
                <w:kern w:val="2"/>
                <w:sz w:val="24"/>
                <w:szCs w:val="24"/>
                <w:u w:val="none"/>
                <w:lang w:val="en-US" w:eastAsia="zh-CN" w:bidi="ar-SA"/>
              </w:rPr>
            </w:pPr>
            <w:r>
              <w:rPr>
                <w:rFonts w:hint="eastAsia" w:ascii="Times New Roman" w:hAnsi="Times New Roman" w:eastAsia="仿宋_GB2312" w:cs="仿宋_GB2312"/>
                <w:i w:val="0"/>
                <w:iCs w:val="0"/>
                <w:color w:val="000000"/>
                <w:kern w:val="0"/>
                <w:sz w:val="24"/>
                <w:szCs w:val="24"/>
                <w:u w:val="none"/>
                <w:lang w:val="en-US" w:eastAsia="zh-CN" w:bidi="ar"/>
              </w:rPr>
              <w:t>79.71</w:t>
            </w:r>
          </w:p>
        </w:tc>
        <w:tc>
          <w:tcPr>
            <w:tcW w:w="2131" w:type="dxa"/>
            <w:vAlign w:val="center"/>
          </w:tcPr>
          <w:p>
            <w:pPr>
              <w:keepNext w:val="0"/>
              <w:keepLines w:val="0"/>
              <w:widowControl/>
              <w:suppressLineNumbers w:val="0"/>
              <w:jc w:val="center"/>
              <w:textAlignment w:val="bottom"/>
              <w:rPr>
                <w:rFonts w:hint="eastAsia" w:ascii="Times New Roman" w:hAnsi="Times New Roman" w:eastAsia="仿宋_GB2312" w:cs="仿宋_GB2312"/>
                <w:sz w:val="24"/>
                <w:szCs w:val="24"/>
              </w:rPr>
            </w:pPr>
            <w:r>
              <w:rPr>
                <w:rFonts w:hint="eastAsia" w:ascii="Times New Roman" w:hAnsi="Times New Roman" w:eastAsia="仿宋_GB2312" w:cs="仿宋_GB2312"/>
                <w:i w:val="0"/>
                <w:iCs w:val="0"/>
                <w:color w:val="000000"/>
                <w:kern w:val="0"/>
                <w:sz w:val="24"/>
                <w:szCs w:val="24"/>
                <w:u w:val="none"/>
                <w:lang w:val="en-US" w:eastAsia="zh-CN" w:bidi="ar"/>
              </w:rPr>
              <w:t>79.71%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30" w:type="dxa"/>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评价等级</w:t>
            </w:r>
          </w:p>
        </w:tc>
        <w:tc>
          <w:tcPr>
            <w:tcW w:w="6392" w:type="dxa"/>
            <w:gridSpan w:val="3"/>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良好</w:t>
            </w:r>
          </w:p>
        </w:tc>
      </w:tr>
    </w:tbl>
    <w:p>
      <w:pPr>
        <w:pStyle w:val="3"/>
        <w:rPr>
          <w:rFonts w:ascii="Times New Roman" w:hAnsi="Times New Roman"/>
        </w:rPr>
      </w:pPr>
      <w:bookmarkStart w:id="40" w:name="_Toc10721"/>
      <w:bookmarkStart w:id="41" w:name="_Toc4602"/>
      <w:bookmarkStart w:id="42" w:name="_Toc28250"/>
      <w:bookmarkStart w:id="43" w:name="_Toc13672"/>
      <w:r>
        <w:rPr>
          <w:rFonts w:hint="eastAsia" w:ascii="Times New Roman" w:hAnsi="Times New Roman"/>
        </w:rPr>
        <w:t>（二）评价结论</w:t>
      </w:r>
      <w:bookmarkEnd w:id="40"/>
      <w:bookmarkEnd w:id="41"/>
      <w:bookmarkEnd w:id="42"/>
      <w:bookmarkEnd w:id="43"/>
    </w:p>
    <w:p>
      <w:pPr>
        <w:ind w:firstLine="640" w:firstLineChars="200"/>
        <w:rPr>
          <w:rFonts w:ascii="Times New Roman" w:hAnsi="Times New Roman"/>
        </w:rPr>
      </w:pPr>
      <w:r>
        <w:rPr>
          <w:rFonts w:hint="eastAsia" w:ascii="Times New Roman" w:hAnsi="Times New Roman"/>
        </w:rPr>
        <w:t>评价</w:t>
      </w:r>
      <w:r>
        <w:rPr>
          <w:rFonts w:hint="eastAsia" w:ascii="Times New Roman" w:hAnsi="Times New Roman"/>
          <w:lang w:val="en-US" w:eastAsia="zh-CN"/>
        </w:rPr>
        <w:t>组</w:t>
      </w:r>
      <w:r>
        <w:rPr>
          <w:rFonts w:hint="eastAsia" w:ascii="Times New Roman" w:hAnsi="Times New Roman"/>
        </w:rPr>
        <w:t>认为，项目符合据《石家庄市国民经济和社会发展第十四个五年规划和二〇三五年远景目标纲要》《鹿泉区国民经济和社会发展第十四个五年规划和二〇三五年远景目标规划纲要（草案）》《鹿泉区农村生活污水治理专项规划》等文件精神，在治理农业农村污染，改善和保障民生，保障水生态安全，推进生态文明建设等方面都起到重要作用。</w:t>
      </w:r>
    </w:p>
    <w:p>
      <w:pPr>
        <w:ind w:firstLine="640" w:firstLineChars="200"/>
        <w:jc w:val="both"/>
        <w:rPr>
          <w:rFonts w:hint="eastAsia" w:ascii="Times New Roman" w:hAnsi="Times New Roman"/>
          <w:lang w:val="en-US" w:eastAsia="zh-CN"/>
        </w:rPr>
      </w:pPr>
      <w:r>
        <w:rPr>
          <w:rFonts w:hint="eastAsia" w:ascii="Times New Roman" w:hAnsi="Times New Roman"/>
          <w:lang w:val="en-US" w:eastAsia="zh-CN"/>
        </w:rPr>
        <w:t>项目实施上，在</w:t>
      </w:r>
      <w:r>
        <w:rPr>
          <w:rFonts w:hint="eastAsia" w:ascii="Times New Roman" w:hAnsi="Times New Roman"/>
        </w:rPr>
        <w:t>决策</w:t>
      </w:r>
      <w:r>
        <w:rPr>
          <w:rFonts w:hint="eastAsia" w:ascii="Times New Roman" w:hAnsi="Times New Roman"/>
          <w:lang w:val="en-US" w:eastAsia="zh-CN"/>
        </w:rPr>
        <w:t>层面</w:t>
      </w:r>
      <w:r>
        <w:rPr>
          <w:rFonts w:hint="eastAsia" w:ascii="Times New Roman" w:hAnsi="Times New Roman"/>
          <w:lang w:eastAsia="zh-CN"/>
        </w:rPr>
        <w:t>上</w:t>
      </w:r>
      <w:r>
        <w:rPr>
          <w:rFonts w:hint="eastAsia" w:ascii="Times New Roman" w:hAnsi="Times New Roman"/>
          <w:lang w:val="en-US" w:eastAsia="zh-CN"/>
        </w:rPr>
        <w:t>优先确立了污水先行的立项原则，</w:t>
      </w:r>
      <w:r>
        <w:rPr>
          <w:rFonts w:hint="eastAsia" w:ascii="Times New Roman" w:hAnsi="Times New Roman"/>
        </w:rPr>
        <w:t>过程方面</w:t>
      </w:r>
      <w:r>
        <w:rPr>
          <w:rFonts w:hint="eastAsia" w:ascii="Times New Roman" w:hAnsi="Times New Roman"/>
          <w:lang w:val="en-US" w:eastAsia="zh-CN"/>
        </w:rPr>
        <w:t>加强资金和业务两条线的监管</w:t>
      </w:r>
      <w:r>
        <w:rPr>
          <w:rFonts w:hint="eastAsia" w:ascii="Times New Roman" w:hAnsi="Times New Roman"/>
        </w:rPr>
        <w:t>，</w:t>
      </w:r>
      <w:r>
        <w:rPr>
          <w:rFonts w:hint="eastAsia" w:ascii="Times New Roman" w:hAnsi="Times New Roman"/>
          <w:lang w:val="en-US" w:eastAsia="zh-CN"/>
        </w:rPr>
        <w:t>注重现场调度与协调推进施工进度，</w:t>
      </w:r>
      <w:r>
        <w:rPr>
          <w:rFonts w:hint="eastAsia" w:ascii="Times New Roman" w:hAnsi="Times New Roman"/>
        </w:rPr>
        <w:t>产出方面</w:t>
      </w:r>
      <w:r>
        <w:rPr>
          <w:rFonts w:hint="eastAsia" w:ascii="Times New Roman" w:hAnsi="Times New Roman"/>
          <w:lang w:eastAsia="zh-CN"/>
        </w:rPr>
        <w:t>在</w:t>
      </w:r>
      <w:r>
        <w:rPr>
          <w:rFonts w:hint="eastAsia" w:ascii="Times New Roman" w:hAnsi="Times New Roman"/>
          <w:lang w:val="en-US" w:eastAsia="zh-CN"/>
        </w:rPr>
        <w:t>保证村民切身利益的基础上增加了检查井和恢复路面面积两项指标的产出值，</w:t>
      </w:r>
      <w:r>
        <w:rPr>
          <w:rFonts w:hint="eastAsia" w:ascii="Times New Roman" w:hAnsi="Times New Roman"/>
        </w:rPr>
        <w:t>效果方面</w:t>
      </w:r>
      <w:r>
        <w:rPr>
          <w:rFonts w:hint="eastAsia" w:ascii="Times New Roman" w:hAnsi="Times New Roman"/>
          <w:lang w:val="en-US" w:eastAsia="zh-CN"/>
        </w:rPr>
        <w:t>最大程度的满足了群众的现实需求并有力规避了各类矛盾的发生。</w:t>
      </w:r>
    </w:p>
    <w:p>
      <w:pPr>
        <w:ind w:firstLine="640" w:firstLineChars="200"/>
        <w:jc w:val="both"/>
        <w:rPr>
          <w:rFonts w:ascii="Times New Roman" w:hAnsi="Times New Roman"/>
        </w:rPr>
      </w:pPr>
      <w:r>
        <w:rPr>
          <w:rFonts w:hint="eastAsia" w:ascii="Times New Roman" w:hAnsi="Times New Roman"/>
          <w:lang w:val="en-US" w:eastAsia="zh-CN"/>
        </w:rPr>
        <w:t>通过项目实施</w:t>
      </w:r>
      <w:r>
        <w:rPr>
          <w:rFonts w:hint="eastAsia" w:ascii="Times New Roman" w:hAnsi="Times New Roman"/>
        </w:rPr>
        <w:t>提高</w:t>
      </w:r>
      <w:r>
        <w:rPr>
          <w:rFonts w:hint="eastAsia" w:ascii="Times New Roman" w:hAnsi="Times New Roman"/>
          <w:lang w:eastAsia="zh-CN"/>
        </w:rPr>
        <w:t>了</w:t>
      </w:r>
      <w:r>
        <w:rPr>
          <w:rFonts w:hint="eastAsia" w:ascii="Times New Roman" w:hAnsi="Times New Roman"/>
        </w:rPr>
        <w:t>农村环境质量和生活污水的回收利用水平，原来困扰村民的生活污水横流、环境脏、乱、差，雨天积水影响出行的问题得到彻底解决，同时通过本项目建设也提升了13个实施村的村容村貌，村民的满意度也较高。但在绩效目标合理性、绩效指标明确性、</w:t>
      </w:r>
      <w:r>
        <w:rPr>
          <w:rFonts w:ascii="Times New Roman" w:hAnsi="Times New Roman"/>
        </w:rPr>
        <w:t>预算编制</w:t>
      </w:r>
      <w:r>
        <w:rPr>
          <w:rFonts w:hint="eastAsia" w:ascii="Times New Roman" w:hAnsi="Times New Roman"/>
        </w:rPr>
        <w:t>科学</w:t>
      </w:r>
      <w:r>
        <w:rPr>
          <w:rFonts w:ascii="Times New Roman" w:hAnsi="Times New Roman"/>
        </w:rPr>
        <w:t>性</w:t>
      </w:r>
      <w:r>
        <w:rPr>
          <w:rFonts w:hint="eastAsia" w:ascii="Times New Roman" w:hAnsi="Times New Roman"/>
        </w:rPr>
        <w:t>、</w:t>
      </w:r>
      <w:r>
        <w:rPr>
          <w:rFonts w:ascii="Times New Roman" w:hAnsi="Times New Roman"/>
        </w:rPr>
        <w:t>资金分配合理性</w:t>
      </w:r>
      <w:r>
        <w:rPr>
          <w:rFonts w:hint="eastAsia" w:ascii="Times New Roman" w:hAnsi="Times New Roman"/>
        </w:rPr>
        <w:t>、预算执行率、制度执行有效性、项目产出数量准确性方面还有待进一步改善。</w:t>
      </w:r>
    </w:p>
    <w:p>
      <w:pPr>
        <w:pStyle w:val="2"/>
        <w:rPr>
          <w:rFonts w:ascii="Times New Roman" w:hAnsi="Times New Roman"/>
        </w:rPr>
      </w:pPr>
      <w:bookmarkStart w:id="44" w:name="_Toc17204"/>
      <w:bookmarkStart w:id="45" w:name="_Toc26707"/>
      <w:bookmarkStart w:id="46" w:name="_Toc15443"/>
      <w:bookmarkStart w:id="47" w:name="_Toc21200"/>
      <w:r>
        <w:rPr>
          <w:rFonts w:hint="eastAsia" w:ascii="Times New Roman" w:hAnsi="Times New Roman"/>
        </w:rPr>
        <w:t>四、绩效评价指标分析</w:t>
      </w:r>
      <w:bookmarkEnd w:id="44"/>
      <w:bookmarkEnd w:id="45"/>
      <w:bookmarkEnd w:id="46"/>
      <w:bookmarkEnd w:id="47"/>
    </w:p>
    <w:p>
      <w:pPr>
        <w:pStyle w:val="3"/>
        <w:rPr>
          <w:rFonts w:ascii="Times New Roman" w:hAnsi="Times New Roman"/>
        </w:rPr>
      </w:pPr>
      <w:bookmarkStart w:id="48" w:name="_Toc10876"/>
      <w:bookmarkStart w:id="49" w:name="_Toc28415"/>
      <w:bookmarkStart w:id="50" w:name="_Toc24556"/>
      <w:bookmarkStart w:id="51" w:name="_Toc19592"/>
      <w:r>
        <w:rPr>
          <w:rFonts w:hint="eastAsia" w:ascii="Times New Roman" w:hAnsi="Times New Roman"/>
        </w:rPr>
        <w:t>（一）项目决策情况</w:t>
      </w:r>
      <w:bookmarkEnd w:id="48"/>
      <w:bookmarkEnd w:id="49"/>
      <w:bookmarkEnd w:id="50"/>
      <w:bookmarkEnd w:id="51"/>
    </w:p>
    <w:p>
      <w:pPr>
        <w:rPr>
          <w:rFonts w:hint="eastAsia" w:ascii="Times New Roman" w:hAnsi="Times New Roman"/>
        </w:rPr>
        <w:sectPr>
          <w:footerReference r:id="rId5"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eastAsia" w:ascii="Times New Roman" w:hAnsi="Times New Roman"/>
        </w:rPr>
        <w:t xml:space="preserve">    项目决策部分主要从项目立项、绩效目标、资金投入三个方面进行评价。各指标得分</w:t>
      </w:r>
      <w:r>
        <w:rPr>
          <w:rFonts w:hint="eastAsia" w:ascii="Times New Roman" w:hAnsi="Times New Roman"/>
          <w:lang w:val="en-US" w:eastAsia="zh-CN"/>
        </w:rPr>
        <w:t>见</w:t>
      </w:r>
      <w:r>
        <w:rPr>
          <w:rFonts w:hint="eastAsia" w:ascii="Times New Roman" w:hAnsi="Times New Roman"/>
          <w:b/>
          <w:bCs/>
          <w:lang w:val="en-US" w:eastAsia="zh-CN"/>
        </w:rPr>
        <w:t>表3</w:t>
      </w:r>
      <w:r>
        <w:rPr>
          <w:rFonts w:hint="eastAsia" w:ascii="Times New Roman" w:hAnsi="Times New Roman"/>
        </w:rPr>
        <w:t>：</w:t>
      </w:r>
    </w:p>
    <w:p>
      <w:pPr>
        <w:rPr>
          <w:rFonts w:hint="eastAsia" w:ascii="Times New Roman" w:hAnsi="Times New Roman"/>
        </w:rPr>
      </w:pPr>
    </w:p>
    <w:p>
      <w:pPr>
        <w:jc w:val="center"/>
        <w:rPr>
          <w:rFonts w:ascii="Times New Roman" w:hAnsi="Times New Roman"/>
          <w:b/>
          <w:bCs/>
          <w:sz w:val="28"/>
          <w:szCs w:val="28"/>
        </w:rPr>
      </w:pPr>
      <w:r>
        <w:rPr>
          <w:rFonts w:hint="eastAsia" w:ascii="Times New Roman" w:hAnsi="Times New Roman"/>
          <w:b/>
          <w:bCs/>
          <w:sz w:val="28"/>
          <w:szCs w:val="28"/>
        </w:rPr>
        <w:t>表3 项目决策情况</w:t>
      </w:r>
    </w:p>
    <w:tbl>
      <w:tblPr>
        <w:tblStyle w:val="1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1675"/>
        <w:gridCol w:w="2353"/>
        <w:gridCol w:w="946"/>
        <w:gridCol w:w="909"/>
        <w:gridCol w:w="12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20"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一级指标及分值</w:t>
            </w:r>
          </w:p>
        </w:tc>
        <w:tc>
          <w:tcPr>
            <w:tcW w:w="1675"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二级指标</w:t>
            </w:r>
          </w:p>
          <w:p>
            <w:pPr>
              <w:jc w:val="center"/>
              <w:rPr>
                <w:rFonts w:ascii="Times New Roman" w:hAnsi="Times New Roman"/>
                <w:b/>
                <w:bCs/>
                <w:sz w:val="24"/>
                <w:szCs w:val="24"/>
              </w:rPr>
            </w:pPr>
            <w:r>
              <w:rPr>
                <w:rFonts w:hint="eastAsia" w:ascii="Times New Roman" w:hAnsi="Times New Roman"/>
                <w:b/>
                <w:bCs/>
                <w:sz w:val="24"/>
                <w:szCs w:val="24"/>
              </w:rPr>
              <w:t>及分值</w:t>
            </w:r>
          </w:p>
        </w:tc>
        <w:tc>
          <w:tcPr>
            <w:tcW w:w="2353"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三级指标及分值</w:t>
            </w:r>
          </w:p>
        </w:tc>
        <w:tc>
          <w:tcPr>
            <w:tcW w:w="946"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分值</w:t>
            </w:r>
          </w:p>
        </w:tc>
        <w:tc>
          <w:tcPr>
            <w:tcW w:w="909"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得分</w:t>
            </w:r>
          </w:p>
        </w:tc>
        <w:tc>
          <w:tcPr>
            <w:tcW w:w="1219"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得分率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20" w:type="dxa"/>
            <w:vMerge w:val="restart"/>
            <w:vAlign w:val="center"/>
          </w:tcPr>
          <w:p>
            <w:pPr>
              <w:jc w:val="center"/>
              <w:rPr>
                <w:rFonts w:ascii="Times New Roman" w:hAnsi="Times New Roman"/>
                <w:sz w:val="24"/>
                <w:szCs w:val="24"/>
              </w:rPr>
            </w:pPr>
            <w:r>
              <w:rPr>
                <w:rFonts w:hint="eastAsia" w:ascii="Times New Roman" w:hAnsi="Times New Roman"/>
                <w:sz w:val="24"/>
                <w:szCs w:val="24"/>
                <w:lang w:val="en-US" w:eastAsia="zh-CN"/>
              </w:rPr>
              <w:t>项目</w:t>
            </w:r>
            <w:r>
              <w:rPr>
                <w:rFonts w:hint="eastAsia" w:ascii="Times New Roman" w:hAnsi="Times New Roman"/>
                <w:sz w:val="24"/>
                <w:szCs w:val="24"/>
              </w:rPr>
              <w:t>决策</w:t>
            </w:r>
          </w:p>
          <w:p>
            <w:pPr>
              <w:pStyle w:val="14"/>
              <w:ind w:left="0" w:leftChars="0"/>
              <w:jc w:val="center"/>
              <w:rPr>
                <w:rFonts w:ascii="Times New Roman" w:hAnsi="Times New Roman"/>
                <w:sz w:val="24"/>
                <w:szCs w:val="24"/>
              </w:rPr>
            </w:pPr>
            <w:r>
              <w:rPr>
                <w:rFonts w:hint="eastAsia" w:ascii="Times New Roman" w:hAnsi="Times New Roman"/>
                <w:sz w:val="24"/>
                <w:szCs w:val="24"/>
              </w:rPr>
              <w:t>（20）</w:t>
            </w:r>
          </w:p>
        </w:tc>
        <w:tc>
          <w:tcPr>
            <w:tcW w:w="1675" w:type="dxa"/>
            <w:vMerge w:val="restart"/>
            <w:vAlign w:val="center"/>
          </w:tcPr>
          <w:p>
            <w:pPr>
              <w:jc w:val="center"/>
              <w:rPr>
                <w:rFonts w:ascii="Times New Roman" w:hAnsi="Times New Roman" w:cs="Times New Roman"/>
                <w:sz w:val="24"/>
                <w:szCs w:val="24"/>
              </w:rPr>
            </w:pPr>
            <w:r>
              <w:rPr>
                <w:rFonts w:ascii="Times New Roman" w:hAnsi="Times New Roman" w:cs="Times New Roman"/>
                <w:sz w:val="24"/>
                <w:szCs w:val="24"/>
              </w:rPr>
              <w:t>项目立项</w:t>
            </w:r>
          </w:p>
          <w:p>
            <w:pPr>
              <w:jc w:val="center"/>
              <w:rPr>
                <w:rFonts w:ascii="Times New Roman" w:hAnsi="Times New Roman" w:cs="Times New Roman"/>
                <w:sz w:val="24"/>
                <w:szCs w:val="24"/>
              </w:rPr>
            </w:pPr>
            <w:r>
              <w:rPr>
                <w:rFonts w:ascii="Times New Roman" w:hAnsi="Times New Roman" w:cs="Times New Roman"/>
                <w:sz w:val="24"/>
                <w:szCs w:val="24"/>
              </w:rPr>
              <w:t>（</w:t>
            </w:r>
            <w:r>
              <w:rPr>
                <w:rFonts w:hint="eastAsia" w:ascii="Times New Roman" w:hAnsi="Times New Roman" w:cs="Times New Roman"/>
                <w:sz w:val="24"/>
                <w:szCs w:val="24"/>
              </w:rPr>
              <w:t>10</w:t>
            </w:r>
            <w:r>
              <w:rPr>
                <w:rFonts w:ascii="Times New Roman" w:hAnsi="Times New Roman" w:cs="Times New Roman"/>
                <w:sz w:val="24"/>
                <w:szCs w:val="24"/>
              </w:rPr>
              <w:t>）</w:t>
            </w:r>
          </w:p>
        </w:tc>
        <w:tc>
          <w:tcPr>
            <w:tcW w:w="2353" w:type="dxa"/>
            <w:vAlign w:val="center"/>
          </w:tcPr>
          <w:p>
            <w:pPr>
              <w:widowControl/>
              <w:jc w:val="center"/>
              <w:textAlignment w:val="center"/>
              <w:rPr>
                <w:rFonts w:ascii="Times New Roman" w:hAnsi="Times New Roman" w:cs="Times New Roman"/>
                <w:sz w:val="24"/>
                <w:szCs w:val="24"/>
              </w:rPr>
            </w:pPr>
            <w:r>
              <w:rPr>
                <w:rFonts w:ascii="Times New Roman" w:hAnsi="Times New Roman" w:cs="Times New Roman"/>
                <w:sz w:val="24"/>
                <w:szCs w:val="24"/>
              </w:rPr>
              <w:t>立项依据充分性</w:t>
            </w:r>
          </w:p>
        </w:tc>
        <w:tc>
          <w:tcPr>
            <w:tcW w:w="946"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5</w:t>
            </w:r>
          </w:p>
        </w:tc>
        <w:tc>
          <w:tcPr>
            <w:tcW w:w="909"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5</w:t>
            </w:r>
          </w:p>
        </w:tc>
        <w:tc>
          <w:tcPr>
            <w:tcW w:w="1219" w:type="dxa"/>
            <w:vAlign w:val="center"/>
          </w:tcPr>
          <w:p>
            <w:pPr>
              <w:jc w:val="center"/>
              <w:rPr>
                <w:rFonts w:ascii="Times New Roman" w:hAnsi="Times New Roman"/>
                <w:sz w:val="24"/>
                <w:szCs w:val="24"/>
              </w:rPr>
            </w:pPr>
            <w:r>
              <w:rPr>
                <w:rFonts w:hint="eastAsia" w:ascii="Times New Roman" w:hAnsi="Times New Roman"/>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20" w:type="dxa"/>
            <w:vMerge w:val="continue"/>
            <w:vAlign w:val="center"/>
          </w:tcPr>
          <w:p>
            <w:pPr>
              <w:jc w:val="center"/>
              <w:rPr>
                <w:rFonts w:ascii="Times New Roman" w:hAnsi="Times New Roman"/>
                <w:sz w:val="24"/>
                <w:szCs w:val="24"/>
              </w:rPr>
            </w:pPr>
          </w:p>
        </w:tc>
        <w:tc>
          <w:tcPr>
            <w:tcW w:w="1675" w:type="dxa"/>
            <w:vMerge w:val="continue"/>
            <w:vAlign w:val="center"/>
          </w:tcPr>
          <w:p>
            <w:pPr>
              <w:jc w:val="center"/>
              <w:rPr>
                <w:rFonts w:ascii="Times New Roman" w:hAnsi="Times New Roman" w:cs="Times New Roman"/>
                <w:sz w:val="24"/>
                <w:szCs w:val="24"/>
              </w:rPr>
            </w:pPr>
          </w:p>
        </w:tc>
        <w:tc>
          <w:tcPr>
            <w:tcW w:w="2353" w:type="dxa"/>
            <w:vAlign w:val="center"/>
          </w:tcPr>
          <w:p>
            <w:pPr>
              <w:widowControl/>
              <w:jc w:val="center"/>
              <w:textAlignment w:val="center"/>
              <w:rPr>
                <w:rFonts w:ascii="Times New Roman" w:hAnsi="Times New Roman" w:cs="Times New Roman"/>
                <w:sz w:val="24"/>
                <w:szCs w:val="24"/>
              </w:rPr>
            </w:pPr>
            <w:r>
              <w:rPr>
                <w:rFonts w:ascii="Times New Roman" w:hAnsi="Times New Roman" w:cs="Times New Roman"/>
                <w:sz w:val="24"/>
                <w:szCs w:val="24"/>
              </w:rPr>
              <w:t>立项程序规范性</w:t>
            </w:r>
          </w:p>
        </w:tc>
        <w:tc>
          <w:tcPr>
            <w:tcW w:w="946"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5</w:t>
            </w:r>
          </w:p>
        </w:tc>
        <w:tc>
          <w:tcPr>
            <w:tcW w:w="909"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5</w:t>
            </w:r>
          </w:p>
        </w:tc>
        <w:tc>
          <w:tcPr>
            <w:tcW w:w="1219" w:type="dxa"/>
            <w:vAlign w:val="center"/>
          </w:tcPr>
          <w:p>
            <w:pPr>
              <w:jc w:val="center"/>
              <w:rPr>
                <w:rFonts w:ascii="Times New Roman" w:hAnsi="Times New Roman"/>
                <w:sz w:val="24"/>
                <w:szCs w:val="24"/>
              </w:rPr>
            </w:pPr>
            <w:r>
              <w:rPr>
                <w:rFonts w:hint="eastAsia" w:ascii="Times New Roman" w:hAnsi="Times New Roman"/>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20" w:type="dxa"/>
            <w:vMerge w:val="continue"/>
            <w:vAlign w:val="center"/>
          </w:tcPr>
          <w:p>
            <w:pPr>
              <w:jc w:val="center"/>
              <w:rPr>
                <w:rFonts w:ascii="Times New Roman" w:hAnsi="Times New Roman"/>
                <w:sz w:val="24"/>
                <w:szCs w:val="24"/>
              </w:rPr>
            </w:pPr>
          </w:p>
        </w:tc>
        <w:tc>
          <w:tcPr>
            <w:tcW w:w="1675" w:type="dxa"/>
            <w:vMerge w:val="restart"/>
            <w:vAlign w:val="center"/>
          </w:tcPr>
          <w:p>
            <w:pPr>
              <w:jc w:val="center"/>
              <w:rPr>
                <w:rFonts w:ascii="Times New Roman" w:hAnsi="Times New Roman" w:cs="Times New Roman"/>
                <w:sz w:val="24"/>
                <w:szCs w:val="24"/>
              </w:rPr>
            </w:pPr>
            <w:r>
              <w:rPr>
                <w:rFonts w:ascii="Times New Roman" w:hAnsi="Times New Roman" w:cs="Times New Roman"/>
                <w:sz w:val="24"/>
                <w:szCs w:val="24"/>
              </w:rPr>
              <w:t>绩效目标</w:t>
            </w:r>
          </w:p>
          <w:p>
            <w:pPr>
              <w:jc w:val="center"/>
              <w:rPr>
                <w:rFonts w:ascii="Times New Roman" w:hAnsi="Times New Roman" w:cs="Times New Roman"/>
                <w:sz w:val="24"/>
                <w:szCs w:val="24"/>
              </w:rPr>
            </w:pPr>
            <w:r>
              <w:rPr>
                <w:rFonts w:ascii="Times New Roman" w:hAnsi="Times New Roman" w:cs="Times New Roman"/>
                <w:sz w:val="24"/>
                <w:szCs w:val="24"/>
              </w:rPr>
              <w:t>（</w:t>
            </w:r>
            <w:r>
              <w:rPr>
                <w:rFonts w:hint="eastAsia" w:ascii="Times New Roman" w:hAnsi="Times New Roman" w:cs="Times New Roman"/>
                <w:sz w:val="24"/>
                <w:szCs w:val="24"/>
              </w:rPr>
              <w:t>5</w:t>
            </w:r>
            <w:r>
              <w:rPr>
                <w:rFonts w:ascii="Times New Roman" w:hAnsi="Times New Roman" w:cs="Times New Roman"/>
                <w:sz w:val="24"/>
                <w:szCs w:val="24"/>
              </w:rPr>
              <w:t>）</w:t>
            </w:r>
          </w:p>
        </w:tc>
        <w:tc>
          <w:tcPr>
            <w:tcW w:w="2353" w:type="dxa"/>
            <w:vAlign w:val="center"/>
          </w:tcPr>
          <w:p>
            <w:pPr>
              <w:widowControl/>
              <w:jc w:val="center"/>
              <w:textAlignment w:val="center"/>
              <w:rPr>
                <w:rFonts w:ascii="Times New Roman" w:hAnsi="Times New Roman" w:cs="Times New Roman"/>
                <w:sz w:val="24"/>
                <w:szCs w:val="24"/>
              </w:rPr>
            </w:pPr>
            <w:r>
              <w:rPr>
                <w:rFonts w:ascii="Times New Roman" w:hAnsi="Times New Roman" w:cs="Times New Roman"/>
                <w:sz w:val="24"/>
                <w:szCs w:val="24"/>
              </w:rPr>
              <w:t>绩效目标合理性</w:t>
            </w:r>
          </w:p>
        </w:tc>
        <w:tc>
          <w:tcPr>
            <w:tcW w:w="946"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3</w:t>
            </w:r>
          </w:p>
        </w:tc>
        <w:tc>
          <w:tcPr>
            <w:tcW w:w="909"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1.8</w:t>
            </w:r>
          </w:p>
        </w:tc>
        <w:tc>
          <w:tcPr>
            <w:tcW w:w="1219" w:type="dxa"/>
            <w:vAlign w:val="center"/>
          </w:tcPr>
          <w:p>
            <w:pPr>
              <w:jc w:val="center"/>
              <w:rPr>
                <w:rFonts w:ascii="Times New Roman" w:hAnsi="Times New Roman"/>
                <w:sz w:val="24"/>
                <w:szCs w:val="24"/>
              </w:rPr>
            </w:pPr>
            <w:r>
              <w:rPr>
                <w:rFonts w:hint="eastAsia" w:ascii="Times New Roman" w:hAnsi="Times New Roman"/>
                <w:sz w:val="24"/>
                <w:szCs w:val="24"/>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20" w:type="dxa"/>
            <w:vMerge w:val="continue"/>
            <w:vAlign w:val="center"/>
          </w:tcPr>
          <w:p>
            <w:pPr>
              <w:jc w:val="center"/>
              <w:rPr>
                <w:rFonts w:ascii="Times New Roman" w:hAnsi="Times New Roman"/>
                <w:sz w:val="24"/>
                <w:szCs w:val="24"/>
              </w:rPr>
            </w:pPr>
          </w:p>
        </w:tc>
        <w:tc>
          <w:tcPr>
            <w:tcW w:w="1675" w:type="dxa"/>
            <w:vMerge w:val="continue"/>
            <w:vAlign w:val="center"/>
          </w:tcPr>
          <w:p>
            <w:pPr>
              <w:jc w:val="center"/>
              <w:rPr>
                <w:rFonts w:ascii="Times New Roman" w:hAnsi="Times New Roman" w:cs="Times New Roman"/>
                <w:sz w:val="24"/>
                <w:szCs w:val="24"/>
              </w:rPr>
            </w:pPr>
          </w:p>
        </w:tc>
        <w:tc>
          <w:tcPr>
            <w:tcW w:w="2353" w:type="dxa"/>
            <w:vAlign w:val="center"/>
          </w:tcPr>
          <w:p>
            <w:pPr>
              <w:widowControl/>
              <w:jc w:val="center"/>
              <w:textAlignment w:val="center"/>
              <w:rPr>
                <w:rFonts w:ascii="Times New Roman" w:hAnsi="Times New Roman" w:cs="Times New Roman"/>
                <w:sz w:val="24"/>
                <w:szCs w:val="24"/>
              </w:rPr>
            </w:pPr>
            <w:r>
              <w:rPr>
                <w:rFonts w:ascii="Times New Roman" w:hAnsi="Times New Roman" w:cs="Times New Roman"/>
                <w:color w:val="000000"/>
                <w:kern w:val="0"/>
                <w:sz w:val="24"/>
                <w:szCs w:val="24"/>
                <w:lang w:bidi="ar"/>
              </w:rPr>
              <w:t>绩效指标明确性</w:t>
            </w:r>
          </w:p>
        </w:tc>
        <w:tc>
          <w:tcPr>
            <w:tcW w:w="946"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2</w:t>
            </w:r>
          </w:p>
        </w:tc>
        <w:tc>
          <w:tcPr>
            <w:tcW w:w="909"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1.4</w:t>
            </w:r>
          </w:p>
        </w:tc>
        <w:tc>
          <w:tcPr>
            <w:tcW w:w="1219" w:type="dxa"/>
            <w:vAlign w:val="center"/>
          </w:tcPr>
          <w:p>
            <w:pPr>
              <w:jc w:val="center"/>
              <w:rPr>
                <w:rFonts w:ascii="Times New Roman" w:hAnsi="Times New Roman"/>
                <w:sz w:val="24"/>
                <w:szCs w:val="24"/>
              </w:rPr>
            </w:pPr>
            <w:r>
              <w:rPr>
                <w:rFonts w:hint="eastAsia" w:ascii="Times New Roman" w:hAnsi="Times New Roman"/>
                <w:sz w:val="24"/>
                <w:szCs w:val="24"/>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20" w:type="dxa"/>
            <w:vMerge w:val="continue"/>
            <w:vAlign w:val="center"/>
          </w:tcPr>
          <w:p>
            <w:pPr>
              <w:jc w:val="center"/>
              <w:rPr>
                <w:rFonts w:ascii="Times New Roman" w:hAnsi="Times New Roman"/>
                <w:sz w:val="24"/>
                <w:szCs w:val="24"/>
              </w:rPr>
            </w:pPr>
          </w:p>
        </w:tc>
        <w:tc>
          <w:tcPr>
            <w:tcW w:w="1675" w:type="dxa"/>
            <w:vMerge w:val="restart"/>
            <w:vAlign w:val="center"/>
          </w:tcPr>
          <w:p>
            <w:pPr>
              <w:jc w:val="center"/>
              <w:rPr>
                <w:rFonts w:ascii="Times New Roman" w:hAnsi="Times New Roman" w:cs="Times New Roman"/>
                <w:sz w:val="24"/>
                <w:szCs w:val="24"/>
              </w:rPr>
            </w:pPr>
            <w:r>
              <w:rPr>
                <w:rFonts w:ascii="Times New Roman" w:hAnsi="Times New Roman" w:cs="Times New Roman"/>
                <w:sz w:val="24"/>
                <w:szCs w:val="24"/>
              </w:rPr>
              <w:t>资金投入</w:t>
            </w:r>
          </w:p>
          <w:p>
            <w:pPr>
              <w:jc w:val="center"/>
              <w:rPr>
                <w:rFonts w:ascii="Times New Roman" w:hAnsi="Times New Roman" w:cs="Times New Roman"/>
                <w:sz w:val="24"/>
                <w:szCs w:val="24"/>
              </w:rPr>
            </w:pPr>
            <w:r>
              <w:rPr>
                <w:rFonts w:ascii="Times New Roman" w:hAnsi="Times New Roman" w:cs="Times New Roman"/>
                <w:sz w:val="24"/>
                <w:szCs w:val="24"/>
              </w:rPr>
              <w:t>（</w:t>
            </w:r>
            <w:r>
              <w:rPr>
                <w:rFonts w:hint="eastAsia" w:ascii="Times New Roman" w:hAnsi="Times New Roman" w:cs="Times New Roman"/>
                <w:sz w:val="24"/>
                <w:szCs w:val="24"/>
              </w:rPr>
              <w:t>5</w:t>
            </w:r>
            <w:r>
              <w:rPr>
                <w:rFonts w:ascii="Times New Roman" w:hAnsi="Times New Roman" w:cs="Times New Roman"/>
                <w:sz w:val="24"/>
                <w:szCs w:val="24"/>
              </w:rPr>
              <w:t>）</w:t>
            </w:r>
          </w:p>
        </w:tc>
        <w:tc>
          <w:tcPr>
            <w:tcW w:w="2353" w:type="dxa"/>
            <w:vAlign w:val="center"/>
          </w:tcPr>
          <w:p>
            <w:pPr>
              <w:widowControl/>
              <w:jc w:val="center"/>
              <w:textAlignment w:val="center"/>
              <w:rPr>
                <w:rFonts w:ascii="Times New Roman" w:hAnsi="Times New Roman" w:cs="Times New Roman"/>
                <w:sz w:val="24"/>
                <w:szCs w:val="24"/>
              </w:rPr>
            </w:pPr>
            <w:r>
              <w:rPr>
                <w:rFonts w:ascii="Times New Roman" w:hAnsi="Times New Roman" w:cs="Times New Roman"/>
                <w:color w:val="000000"/>
                <w:kern w:val="0"/>
                <w:sz w:val="24"/>
                <w:szCs w:val="24"/>
                <w:lang w:bidi="ar"/>
              </w:rPr>
              <w:t>预算编制</w:t>
            </w:r>
            <w:r>
              <w:rPr>
                <w:rFonts w:hint="eastAsia" w:ascii="Times New Roman" w:hAnsi="Times New Roman" w:cs="Times New Roman"/>
                <w:color w:val="000000"/>
                <w:kern w:val="0"/>
                <w:sz w:val="24"/>
                <w:szCs w:val="24"/>
                <w:lang w:bidi="ar"/>
              </w:rPr>
              <w:t>科学</w:t>
            </w:r>
            <w:r>
              <w:rPr>
                <w:rFonts w:ascii="Times New Roman" w:hAnsi="Times New Roman" w:cs="Times New Roman"/>
                <w:color w:val="000000"/>
                <w:kern w:val="0"/>
                <w:sz w:val="24"/>
                <w:szCs w:val="24"/>
                <w:lang w:bidi="ar"/>
              </w:rPr>
              <w:t>性</w:t>
            </w:r>
          </w:p>
        </w:tc>
        <w:tc>
          <w:tcPr>
            <w:tcW w:w="946"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2</w:t>
            </w:r>
          </w:p>
        </w:tc>
        <w:tc>
          <w:tcPr>
            <w:tcW w:w="909"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1.5</w:t>
            </w:r>
          </w:p>
        </w:tc>
        <w:tc>
          <w:tcPr>
            <w:tcW w:w="1219" w:type="dxa"/>
            <w:vAlign w:val="center"/>
          </w:tcPr>
          <w:p>
            <w:pPr>
              <w:jc w:val="center"/>
              <w:rPr>
                <w:rFonts w:ascii="Times New Roman" w:hAnsi="Times New Roman"/>
                <w:sz w:val="24"/>
                <w:szCs w:val="24"/>
              </w:rPr>
            </w:pPr>
            <w:r>
              <w:rPr>
                <w:rFonts w:hint="eastAsia" w:ascii="Times New Roman" w:hAnsi="Times New Roman"/>
                <w:sz w:val="24"/>
                <w:szCs w:val="24"/>
              </w:rPr>
              <w:t>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20" w:type="dxa"/>
            <w:vMerge w:val="continue"/>
            <w:vAlign w:val="center"/>
          </w:tcPr>
          <w:p>
            <w:pPr>
              <w:rPr>
                <w:rFonts w:ascii="Times New Roman" w:hAnsi="Times New Roman"/>
                <w:sz w:val="24"/>
                <w:szCs w:val="24"/>
              </w:rPr>
            </w:pPr>
          </w:p>
        </w:tc>
        <w:tc>
          <w:tcPr>
            <w:tcW w:w="1675" w:type="dxa"/>
            <w:vMerge w:val="continue"/>
            <w:vAlign w:val="center"/>
          </w:tcPr>
          <w:p>
            <w:pPr>
              <w:rPr>
                <w:rFonts w:ascii="Times New Roman" w:hAnsi="Times New Roman"/>
                <w:sz w:val="24"/>
                <w:szCs w:val="24"/>
              </w:rPr>
            </w:pPr>
          </w:p>
        </w:tc>
        <w:tc>
          <w:tcPr>
            <w:tcW w:w="2353" w:type="dxa"/>
            <w:vAlign w:val="center"/>
          </w:tcPr>
          <w:p>
            <w:pPr>
              <w:widowControl/>
              <w:jc w:val="center"/>
              <w:textAlignment w:val="center"/>
              <w:rPr>
                <w:rFonts w:ascii="Times New Roman" w:hAnsi="Times New Roman" w:cs="Times New Roman"/>
                <w:sz w:val="24"/>
                <w:szCs w:val="24"/>
              </w:rPr>
            </w:pPr>
            <w:r>
              <w:rPr>
                <w:rFonts w:ascii="Times New Roman" w:hAnsi="Times New Roman" w:cs="Times New Roman"/>
                <w:color w:val="000000"/>
                <w:kern w:val="0"/>
                <w:sz w:val="24"/>
                <w:szCs w:val="24"/>
                <w:lang w:bidi="ar"/>
              </w:rPr>
              <w:t>资金分配合理性</w:t>
            </w:r>
          </w:p>
        </w:tc>
        <w:tc>
          <w:tcPr>
            <w:tcW w:w="946"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3</w:t>
            </w:r>
          </w:p>
        </w:tc>
        <w:tc>
          <w:tcPr>
            <w:tcW w:w="909"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2.25</w:t>
            </w:r>
          </w:p>
        </w:tc>
        <w:tc>
          <w:tcPr>
            <w:tcW w:w="1219" w:type="dxa"/>
            <w:vAlign w:val="center"/>
          </w:tcPr>
          <w:p>
            <w:pPr>
              <w:jc w:val="center"/>
              <w:rPr>
                <w:rFonts w:ascii="Times New Roman" w:hAnsi="Times New Roman"/>
                <w:sz w:val="24"/>
                <w:szCs w:val="24"/>
              </w:rPr>
            </w:pPr>
            <w:r>
              <w:rPr>
                <w:rFonts w:hint="eastAsia" w:ascii="Times New Roman" w:hAnsi="Times New Roman"/>
                <w:sz w:val="24"/>
                <w:szCs w:val="24"/>
              </w:rPr>
              <w:t>75%</w:t>
            </w:r>
          </w:p>
        </w:tc>
      </w:tr>
    </w:tbl>
    <w:p>
      <w:pPr>
        <w:pStyle w:val="4"/>
        <w:rPr>
          <w:rFonts w:ascii="Times New Roman" w:hAnsi="Times New Roman"/>
        </w:rPr>
      </w:pPr>
      <w:r>
        <w:rPr>
          <w:rFonts w:hint="eastAsia" w:ascii="Times New Roman" w:hAnsi="Times New Roman"/>
        </w:rPr>
        <w:t>1.项目立项</w:t>
      </w:r>
    </w:p>
    <w:p>
      <w:pPr>
        <w:ind w:firstLine="640" w:firstLineChars="200"/>
        <w:rPr>
          <w:rFonts w:ascii="Times New Roman" w:hAnsi="Times New Roman"/>
        </w:rPr>
      </w:pPr>
      <w:r>
        <w:rPr>
          <w:rFonts w:hint="eastAsia" w:ascii="Times New Roman" w:hAnsi="Times New Roman"/>
        </w:rPr>
        <w:t>项目立项指标分值10分，得分10</w:t>
      </w:r>
      <w:r>
        <w:rPr>
          <w:rFonts w:hint="eastAsia" w:ascii="Times New Roman" w:hAnsi="Times New Roman"/>
        </w:rPr>
        <w:tab/>
      </w:r>
      <w:r>
        <w:rPr>
          <w:rFonts w:hint="eastAsia" w:ascii="Times New Roman" w:hAnsi="Times New Roman"/>
        </w:rPr>
        <w:t>分，得分率100%。</w:t>
      </w:r>
    </w:p>
    <w:p>
      <w:pPr>
        <w:pStyle w:val="5"/>
        <w:rPr>
          <w:rFonts w:ascii="Times New Roman" w:hAnsi="Times New Roman"/>
        </w:rPr>
      </w:pPr>
      <w:r>
        <w:rPr>
          <w:rFonts w:hint="eastAsia" w:ascii="Times New Roman" w:hAnsi="Times New Roman"/>
        </w:rPr>
        <w:t>（1）立项依据充分性（5分）</w:t>
      </w:r>
    </w:p>
    <w:p>
      <w:pPr>
        <w:ind w:firstLine="640" w:firstLineChars="200"/>
        <w:rPr>
          <w:rFonts w:ascii="Times New Roman" w:hAnsi="Times New Roman"/>
        </w:rPr>
      </w:pPr>
      <w:r>
        <w:rPr>
          <w:rFonts w:hint="eastAsia" w:ascii="Times New Roman" w:hAnsi="Times New Roman"/>
        </w:rPr>
        <w:t>根据相关管理办法、石家庄市生态环境局鹿泉区分局提供的相关文件等资料，项目立项符合国家、省、市相关规划要求；项目立项与石家庄市生态环境局鹿泉区分局职责范围相符，属于部门履职所需；同时项目属于公共财政支持范围，符合中央、地方事权支出责任划分原则。根据评分规则，该指标得100%权重分。</w:t>
      </w:r>
    </w:p>
    <w:p>
      <w:pPr>
        <w:pStyle w:val="5"/>
        <w:rPr>
          <w:rFonts w:ascii="Times New Roman" w:hAnsi="Times New Roman"/>
        </w:rPr>
      </w:pPr>
      <w:r>
        <w:rPr>
          <w:rFonts w:hint="eastAsia" w:ascii="Times New Roman" w:hAnsi="Times New Roman"/>
        </w:rPr>
        <w:t>（2）立项程序规范性（5分）</w:t>
      </w:r>
    </w:p>
    <w:p>
      <w:pPr>
        <w:ind w:firstLine="640" w:firstLineChars="200"/>
        <w:rPr>
          <w:rFonts w:ascii="Times New Roman" w:hAnsi="Times New Roman"/>
        </w:rPr>
      </w:pPr>
      <w:r>
        <w:rPr>
          <w:rFonts w:hint="eastAsia" w:ascii="Times New Roman" w:hAnsi="Times New Roman"/>
        </w:rPr>
        <w:t>根据获取的项目立项决策资料、会议纪要、相关批复等资料，本项目立项手续齐全，立项程序符合相关规定和要求，项目事前进行了必要的初步设计、可行性研究、财政评审报告，评价认为，立项程序规范性，根据评分规则，该指标得100%权重分。</w:t>
      </w:r>
    </w:p>
    <w:p>
      <w:pPr>
        <w:pStyle w:val="4"/>
        <w:rPr>
          <w:rFonts w:ascii="Times New Roman" w:hAnsi="Times New Roman"/>
        </w:rPr>
      </w:pPr>
      <w:r>
        <w:rPr>
          <w:rFonts w:hint="eastAsia" w:ascii="Times New Roman" w:hAnsi="Times New Roman"/>
        </w:rPr>
        <w:t>2.绩效目标</w:t>
      </w:r>
    </w:p>
    <w:p>
      <w:pPr>
        <w:ind w:firstLine="640" w:firstLineChars="200"/>
        <w:rPr>
          <w:rFonts w:ascii="Times New Roman" w:hAnsi="Times New Roman"/>
        </w:rPr>
      </w:pPr>
      <w:r>
        <w:rPr>
          <w:rFonts w:hint="eastAsia" w:ascii="Times New Roman" w:hAnsi="Times New Roman"/>
        </w:rPr>
        <w:t>绩效目标分值5分，得分3.2分，得分率64%。</w:t>
      </w:r>
    </w:p>
    <w:p>
      <w:pPr>
        <w:pStyle w:val="5"/>
        <w:rPr>
          <w:rFonts w:ascii="Times New Roman" w:hAnsi="Times New Roman"/>
        </w:rPr>
      </w:pPr>
      <w:r>
        <w:rPr>
          <w:rFonts w:hint="eastAsia" w:ascii="Times New Roman" w:hAnsi="Times New Roman"/>
        </w:rPr>
        <w:t>（1）绩效目标合理性（3分）</w:t>
      </w:r>
    </w:p>
    <w:p>
      <w:pPr>
        <w:ind w:firstLine="640" w:firstLineChars="200"/>
        <w:rPr>
          <w:rFonts w:ascii="Times New Roman" w:hAnsi="Times New Roman"/>
        </w:rPr>
      </w:pPr>
      <w:r>
        <w:rPr>
          <w:rFonts w:hint="eastAsia" w:ascii="Times New Roman" w:hAnsi="Times New Roman"/>
        </w:rPr>
        <w:t>根据项目基础数据表、2022年度预算项目绩效自评表等材料，项目绩效目标设置内容较笼统，不清晰明确，未围绕预期要达到的产出展开设置，项目绩效目标与实际工作内容具有相关性，但完成度较低。根据评分标准，该指标得60%权重分。</w:t>
      </w:r>
    </w:p>
    <w:p>
      <w:pPr>
        <w:pStyle w:val="5"/>
        <w:rPr>
          <w:rFonts w:ascii="Times New Roman" w:hAnsi="Times New Roman"/>
        </w:rPr>
      </w:pPr>
      <w:r>
        <w:rPr>
          <w:rFonts w:hint="eastAsia" w:ascii="Times New Roman" w:hAnsi="Times New Roman"/>
        </w:rPr>
        <w:t>（2）绩效指标明确性（2分）</w:t>
      </w:r>
    </w:p>
    <w:p>
      <w:pPr>
        <w:ind w:firstLine="640" w:firstLineChars="200"/>
        <w:rPr>
          <w:rFonts w:ascii="Times New Roman" w:hAnsi="Times New Roman"/>
        </w:rPr>
      </w:pPr>
      <w:r>
        <w:rPr>
          <w:rFonts w:hint="eastAsia" w:ascii="Times New Roman" w:hAnsi="Times New Roman"/>
        </w:rPr>
        <w:t>根据项目基础数据表、2022年度预算项目绩效自评表，项目绩效指标设置了具体量化数值，基本能对应绩效目标任务，已将项目目标细化分解为具体的绩效指标，设置产出指标（数量、质量、时效、成本）、效益（社会）与满意度、预算执行率指标。设置了具体量化数值，但未能对绩效目标进行对应，扣除30%权重分。 根据评分标准，该指标得70%权重分。</w:t>
      </w:r>
    </w:p>
    <w:p>
      <w:pPr>
        <w:pStyle w:val="4"/>
        <w:rPr>
          <w:rFonts w:ascii="Times New Roman" w:hAnsi="Times New Roman"/>
        </w:rPr>
      </w:pPr>
      <w:r>
        <w:rPr>
          <w:rFonts w:hint="eastAsia" w:ascii="Times New Roman" w:hAnsi="Times New Roman"/>
        </w:rPr>
        <w:t>3.资金投入</w:t>
      </w:r>
    </w:p>
    <w:p>
      <w:pPr>
        <w:ind w:firstLine="640" w:firstLineChars="200"/>
        <w:rPr>
          <w:rFonts w:ascii="Times New Roman" w:hAnsi="Times New Roman"/>
        </w:rPr>
      </w:pPr>
      <w:r>
        <w:rPr>
          <w:rFonts w:hint="eastAsia" w:ascii="Times New Roman" w:hAnsi="Times New Roman"/>
        </w:rPr>
        <w:t>资金投入指标分值5分，得分3.75分，得分率75%。</w:t>
      </w:r>
    </w:p>
    <w:p>
      <w:pPr>
        <w:pStyle w:val="5"/>
        <w:rPr>
          <w:rFonts w:ascii="Times New Roman" w:hAnsi="Times New Roman"/>
        </w:rPr>
      </w:pPr>
      <w:r>
        <w:rPr>
          <w:rFonts w:hint="eastAsia" w:ascii="Times New Roman" w:hAnsi="Times New Roman"/>
        </w:rPr>
        <w:t>（1）预算编制科学性（2分）</w:t>
      </w:r>
    </w:p>
    <w:p>
      <w:pPr>
        <w:ind w:firstLine="640" w:firstLineChars="200"/>
        <w:rPr>
          <w:rFonts w:ascii="Times New Roman" w:hAnsi="Times New Roman"/>
        </w:rPr>
      </w:pPr>
      <w:r>
        <w:rPr>
          <w:rFonts w:hint="eastAsia" w:ascii="Times New Roman" w:hAnsi="Times New Roman"/>
        </w:rPr>
        <w:t>根据项目招标控制价评审报告、概算批复等资料，预算编制经过论证；预算内容与项目实际内容匹配，预算额度调整符合相关程序，按照实际标准编制，但预算确定的项目资金量大于年度工作任务</w:t>
      </w:r>
      <w:r>
        <w:rPr>
          <w:rFonts w:hint="eastAsia" w:ascii="Times New Roman" w:hAnsi="Times New Roman"/>
          <w:lang w:eastAsia="zh-CN"/>
        </w:rPr>
        <w:t>（</w:t>
      </w:r>
      <w:r>
        <w:rPr>
          <w:rFonts w:hint="eastAsia" w:ascii="Times New Roman" w:hAnsi="Times New Roman"/>
          <w:lang w:val="en-US" w:eastAsia="zh-CN"/>
        </w:rPr>
        <w:t>超出2577.62万元</w:t>
      </w:r>
      <w:r>
        <w:rPr>
          <w:rFonts w:hint="eastAsia" w:ascii="Times New Roman" w:hAnsi="Times New Roman"/>
          <w:lang w:eastAsia="zh-CN"/>
        </w:rPr>
        <w:t>）</w:t>
      </w:r>
      <w:r>
        <w:rPr>
          <w:rFonts w:hint="eastAsia" w:ascii="Times New Roman" w:hAnsi="Times New Roman"/>
        </w:rPr>
        <w:t>，致使资金有闲置，扣除25%权重分。根据评分标准，该指标得75%权重分。</w:t>
      </w:r>
    </w:p>
    <w:p>
      <w:pPr>
        <w:pStyle w:val="5"/>
        <w:rPr>
          <w:rFonts w:ascii="Times New Roman" w:hAnsi="Times New Roman"/>
        </w:rPr>
      </w:pPr>
      <w:r>
        <w:rPr>
          <w:rFonts w:hint="eastAsia" w:ascii="Times New Roman" w:hAnsi="Times New Roman"/>
        </w:rPr>
        <w:t>（2）资金分配合理性（3分）</w:t>
      </w:r>
    </w:p>
    <w:p>
      <w:pPr>
        <w:ind w:firstLine="640" w:firstLineChars="200"/>
        <w:rPr>
          <w:rFonts w:ascii="Times New Roman" w:hAnsi="Times New Roman"/>
        </w:rPr>
      </w:pPr>
      <w:r>
        <w:rPr>
          <w:rFonts w:hint="eastAsia" w:ascii="Times New Roman" w:hAnsi="Times New Roman"/>
        </w:rPr>
        <w:t>根据招投标施工合同及工程量测算、项目实施方案等材料，项目预算资金分配依据充分，资金分配额度经过可研报告、初步设计评估报告等论证，但实际支出额度显著低于项目预算额度，存在与项目实际不相适应的情况，扣25%权重分。根据评分标准，该指标得75%权重分。</w:t>
      </w:r>
    </w:p>
    <w:p>
      <w:pPr>
        <w:pStyle w:val="3"/>
        <w:rPr>
          <w:rFonts w:ascii="Times New Roman" w:hAnsi="Times New Roman"/>
        </w:rPr>
      </w:pPr>
      <w:bookmarkStart w:id="52" w:name="_Toc29530"/>
      <w:bookmarkStart w:id="53" w:name="_Toc20127"/>
      <w:bookmarkStart w:id="54" w:name="_Toc21474"/>
      <w:bookmarkStart w:id="55" w:name="_Toc2171"/>
      <w:r>
        <w:rPr>
          <w:rFonts w:hint="eastAsia" w:ascii="Times New Roman" w:hAnsi="Times New Roman"/>
        </w:rPr>
        <w:t>（二）项目过程情况</w:t>
      </w:r>
      <w:bookmarkEnd w:id="52"/>
      <w:bookmarkEnd w:id="53"/>
      <w:bookmarkEnd w:id="54"/>
      <w:bookmarkEnd w:id="55"/>
    </w:p>
    <w:p>
      <w:pPr>
        <w:ind w:firstLine="640" w:firstLineChars="200"/>
        <w:rPr>
          <w:rFonts w:ascii="Times New Roman" w:hAnsi="Times New Roman"/>
        </w:rPr>
      </w:pPr>
      <w:r>
        <w:rPr>
          <w:rFonts w:hint="eastAsia" w:ascii="Times New Roman" w:hAnsi="Times New Roman"/>
        </w:rPr>
        <w:t>项目过程部分主要从资金管理和组织实施两个方面进行评价。各指标得分</w:t>
      </w:r>
      <w:r>
        <w:rPr>
          <w:rFonts w:hint="eastAsia" w:ascii="Times New Roman" w:hAnsi="Times New Roman"/>
          <w:lang w:val="en-US" w:eastAsia="zh-CN"/>
        </w:rPr>
        <w:t>见</w:t>
      </w:r>
      <w:r>
        <w:rPr>
          <w:rFonts w:hint="eastAsia" w:ascii="Times New Roman" w:hAnsi="Times New Roman"/>
          <w:b/>
          <w:bCs/>
          <w:lang w:val="en-US" w:eastAsia="zh-CN"/>
        </w:rPr>
        <w:t>表4</w:t>
      </w:r>
      <w:r>
        <w:rPr>
          <w:rFonts w:hint="eastAsia" w:ascii="Times New Roman" w:hAnsi="Times New Roman"/>
        </w:rPr>
        <w:t>：</w:t>
      </w:r>
    </w:p>
    <w:p>
      <w:pPr>
        <w:jc w:val="center"/>
        <w:rPr>
          <w:rFonts w:ascii="Times New Roman" w:hAnsi="Times New Roman"/>
          <w:b/>
          <w:bCs/>
          <w:sz w:val="28"/>
          <w:szCs w:val="28"/>
        </w:rPr>
      </w:pPr>
      <w:r>
        <w:rPr>
          <w:rFonts w:hint="eastAsia" w:ascii="Times New Roman" w:hAnsi="Times New Roman"/>
          <w:b/>
          <w:bCs/>
          <w:sz w:val="28"/>
          <w:szCs w:val="28"/>
        </w:rPr>
        <w:t>表4 项目过程情况</w:t>
      </w:r>
    </w:p>
    <w:tbl>
      <w:tblPr>
        <w:tblStyle w:val="16"/>
        <w:tblW w:w="86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5"/>
        <w:gridCol w:w="1510"/>
        <w:gridCol w:w="2863"/>
        <w:gridCol w:w="842"/>
        <w:gridCol w:w="917"/>
        <w:gridCol w:w="11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blHeader/>
        </w:trPr>
        <w:tc>
          <w:tcPr>
            <w:tcW w:w="1425"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一级指标及分值</w:t>
            </w:r>
          </w:p>
        </w:tc>
        <w:tc>
          <w:tcPr>
            <w:tcW w:w="1510"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二级指标及分值</w:t>
            </w:r>
          </w:p>
        </w:tc>
        <w:tc>
          <w:tcPr>
            <w:tcW w:w="2863"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三级指标及分值</w:t>
            </w:r>
          </w:p>
        </w:tc>
        <w:tc>
          <w:tcPr>
            <w:tcW w:w="842"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分值</w:t>
            </w:r>
          </w:p>
        </w:tc>
        <w:tc>
          <w:tcPr>
            <w:tcW w:w="917"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得分</w:t>
            </w:r>
          </w:p>
        </w:tc>
        <w:tc>
          <w:tcPr>
            <w:tcW w:w="1139"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得分率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blHeader/>
        </w:trPr>
        <w:tc>
          <w:tcPr>
            <w:tcW w:w="1425" w:type="dxa"/>
            <w:vMerge w:val="restart"/>
            <w:vAlign w:val="center"/>
          </w:tcPr>
          <w:p>
            <w:pPr>
              <w:pStyle w:val="14"/>
              <w:ind w:left="0" w:leftChars="0"/>
              <w:jc w:val="center"/>
              <w:rPr>
                <w:rFonts w:ascii="Times New Roman" w:hAnsi="Times New Roman"/>
                <w:sz w:val="24"/>
                <w:szCs w:val="24"/>
              </w:rPr>
            </w:pPr>
            <w:r>
              <w:rPr>
                <w:rFonts w:hint="eastAsia" w:ascii="Times New Roman" w:hAnsi="Times New Roman"/>
                <w:sz w:val="24"/>
                <w:szCs w:val="24"/>
                <w:lang w:val="en-US" w:eastAsia="zh-CN"/>
              </w:rPr>
              <w:t>项目</w:t>
            </w:r>
            <w:r>
              <w:rPr>
                <w:rFonts w:hint="eastAsia" w:ascii="Times New Roman" w:hAnsi="Times New Roman"/>
                <w:sz w:val="24"/>
                <w:szCs w:val="24"/>
              </w:rPr>
              <w:t>过程</w:t>
            </w:r>
          </w:p>
          <w:p>
            <w:pPr>
              <w:pStyle w:val="14"/>
              <w:ind w:left="0" w:leftChars="0"/>
              <w:jc w:val="center"/>
              <w:rPr>
                <w:rFonts w:ascii="Times New Roman" w:hAnsi="Times New Roman"/>
                <w:sz w:val="24"/>
                <w:szCs w:val="24"/>
              </w:rPr>
            </w:pPr>
            <w:r>
              <w:rPr>
                <w:rFonts w:hint="eastAsia" w:ascii="Times New Roman" w:hAnsi="Times New Roman"/>
                <w:sz w:val="24"/>
                <w:szCs w:val="24"/>
              </w:rPr>
              <w:t>（</w:t>
            </w:r>
            <w:r>
              <w:rPr>
                <w:rFonts w:hint="eastAsia" w:ascii="Times New Roman" w:hAnsi="Times New Roman"/>
                <w:sz w:val="24"/>
                <w:szCs w:val="24"/>
                <w:lang w:val="en-US" w:eastAsia="zh-CN"/>
              </w:rPr>
              <w:t>20</w:t>
            </w:r>
            <w:r>
              <w:rPr>
                <w:rFonts w:hint="eastAsia" w:ascii="Times New Roman" w:hAnsi="Times New Roman"/>
                <w:sz w:val="24"/>
                <w:szCs w:val="24"/>
              </w:rPr>
              <w:t>）</w:t>
            </w:r>
          </w:p>
        </w:tc>
        <w:tc>
          <w:tcPr>
            <w:tcW w:w="1510" w:type="dxa"/>
            <w:vMerge w:val="restart"/>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资金管理（</w:t>
            </w:r>
            <w:r>
              <w:rPr>
                <w:rFonts w:hint="eastAsia" w:ascii="Times New Roman" w:hAnsi="Times New Roman"/>
                <w:sz w:val="24"/>
                <w:szCs w:val="24"/>
                <w:lang w:val="en-US" w:eastAsia="zh-CN"/>
              </w:rPr>
              <w:t>15</w:t>
            </w:r>
            <w:r>
              <w:rPr>
                <w:rFonts w:hint="eastAsia" w:ascii="Times New Roman" w:hAnsi="Times New Roman"/>
                <w:sz w:val="24"/>
                <w:szCs w:val="24"/>
              </w:rPr>
              <w:t>）</w:t>
            </w:r>
          </w:p>
        </w:tc>
        <w:tc>
          <w:tcPr>
            <w:tcW w:w="2863" w:type="dxa"/>
            <w:vAlign w:val="center"/>
          </w:tcPr>
          <w:p>
            <w:pPr>
              <w:widowControl/>
              <w:jc w:val="center"/>
              <w:textAlignment w:val="center"/>
              <w:rPr>
                <w:rFonts w:ascii="Times New Roman" w:hAnsi="Times New Roman" w:cs="Times New Roman"/>
                <w:sz w:val="24"/>
                <w:szCs w:val="24"/>
              </w:rPr>
            </w:pPr>
            <w:r>
              <w:rPr>
                <w:rFonts w:hint="eastAsia" w:ascii="Times New Roman" w:hAnsi="Times New Roman" w:cs="Times New Roman"/>
                <w:color w:val="000000"/>
                <w:kern w:val="0"/>
                <w:sz w:val="24"/>
                <w:szCs w:val="24"/>
                <w:lang w:val="en-US" w:eastAsia="zh-CN" w:bidi="ar"/>
              </w:rPr>
              <w:t>专项债申请合规性</w:t>
            </w:r>
          </w:p>
        </w:tc>
        <w:tc>
          <w:tcPr>
            <w:tcW w:w="842" w:type="dxa"/>
            <w:vAlign w:val="center"/>
          </w:tcPr>
          <w:p>
            <w:pPr>
              <w:widowControl/>
              <w:jc w:val="center"/>
              <w:textAlignment w:val="center"/>
              <w:rPr>
                <w:rFonts w:hint="eastAsia" w:ascii="Times New Roman" w:hAnsi="Times New Roman" w:eastAsia="仿宋_GB2312"/>
                <w:sz w:val="24"/>
                <w:szCs w:val="24"/>
                <w:lang w:eastAsia="zh-CN"/>
              </w:rPr>
            </w:pPr>
            <w:r>
              <w:rPr>
                <w:rFonts w:hint="eastAsia" w:ascii="Times New Roman" w:hAnsi="Times New Roman"/>
                <w:sz w:val="24"/>
                <w:szCs w:val="24"/>
                <w:lang w:val="en-US" w:eastAsia="zh-CN"/>
              </w:rPr>
              <w:t>2</w:t>
            </w:r>
          </w:p>
        </w:tc>
        <w:tc>
          <w:tcPr>
            <w:tcW w:w="917" w:type="dxa"/>
            <w:vAlign w:val="center"/>
          </w:tcPr>
          <w:p>
            <w:pPr>
              <w:widowControl/>
              <w:jc w:val="center"/>
              <w:textAlignment w:val="center"/>
              <w:rPr>
                <w:rFonts w:hint="eastAsia" w:ascii="Times New Roman" w:hAnsi="Times New Roman" w:eastAsia="仿宋_GB2312"/>
                <w:sz w:val="24"/>
                <w:szCs w:val="24"/>
                <w:lang w:eastAsia="zh-CN"/>
              </w:rPr>
            </w:pPr>
            <w:r>
              <w:rPr>
                <w:rFonts w:hint="eastAsia" w:ascii="Times New Roman" w:hAnsi="Times New Roman"/>
                <w:sz w:val="24"/>
                <w:szCs w:val="24"/>
                <w:lang w:val="en-US" w:eastAsia="zh-CN"/>
              </w:rPr>
              <w:t>2</w:t>
            </w:r>
          </w:p>
        </w:tc>
        <w:tc>
          <w:tcPr>
            <w:tcW w:w="1139" w:type="dxa"/>
            <w:vAlign w:val="center"/>
          </w:tcPr>
          <w:p>
            <w:pPr>
              <w:jc w:val="center"/>
              <w:rPr>
                <w:rFonts w:ascii="Times New Roman" w:hAnsi="Times New Roman"/>
                <w:sz w:val="24"/>
                <w:szCs w:val="24"/>
              </w:rPr>
            </w:pPr>
            <w:r>
              <w:rPr>
                <w:rFonts w:hint="eastAsia" w:ascii="Times New Roman" w:hAnsi="Times New Roman"/>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blHeader/>
        </w:trPr>
        <w:tc>
          <w:tcPr>
            <w:tcW w:w="1425" w:type="dxa"/>
            <w:vMerge w:val="continue"/>
            <w:vAlign w:val="center"/>
          </w:tcPr>
          <w:p>
            <w:pPr>
              <w:pStyle w:val="14"/>
              <w:ind w:left="0" w:leftChars="0"/>
              <w:jc w:val="center"/>
              <w:rPr>
                <w:rFonts w:hint="eastAsia" w:ascii="Times New Roman" w:hAnsi="Times New Roman"/>
                <w:sz w:val="24"/>
                <w:szCs w:val="24"/>
              </w:rPr>
            </w:pPr>
          </w:p>
        </w:tc>
        <w:tc>
          <w:tcPr>
            <w:tcW w:w="1510" w:type="dxa"/>
            <w:vMerge w:val="continue"/>
            <w:vAlign w:val="center"/>
          </w:tcPr>
          <w:p>
            <w:pPr>
              <w:widowControl/>
              <w:jc w:val="center"/>
              <w:textAlignment w:val="center"/>
              <w:rPr>
                <w:rFonts w:hint="eastAsia" w:ascii="Times New Roman" w:hAnsi="Times New Roman"/>
                <w:sz w:val="24"/>
                <w:szCs w:val="24"/>
              </w:rPr>
            </w:pPr>
          </w:p>
        </w:tc>
        <w:tc>
          <w:tcPr>
            <w:tcW w:w="2863" w:type="dxa"/>
            <w:vAlign w:val="center"/>
          </w:tcPr>
          <w:p>
            <w:pPr>
              <w:widowControl/>
              <w:jc w:val="center"/>
              <w:textAlignment w:val="center"/>
              <w:rPr>
                <w:rFonts w:hint="eastAsia" w:ascii="Times New Roman" w:hAnsi="Times New Roman" w:eastAsia="仿宋_GB2312"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专项债资金到位率</w:t>
            </w:r>
          </w:p>
        </w:tc>
        <w:tc>
          <w:tcPr>
            <w:tcW w:w="842" w:type="dxa"/>
            <w:vAlign w:val="center"/>
          </w:tcPr>
          <w:p>
            <w:pPr>
              <w:widowControl/>
              <w:jc w:val="center"/>
              <w:textAlignment w:val="center"/>
              <w:rPr>
                <w:rFonts w:hint="eastAsia" w:ascii="Times New Roman" w:hAnsi="Times New Roman" w:eastAsia="仿宋_GB2312"/>
                <w:sz w:val="24"/>
                <w:szCs w:val="24"/>
                <w:lang w:val="en-US" w:eastAsia="zh-CN"/>
              </w:rPr>
            </w:pPr>
            <w:r>
              <w:rPr>
                <w:rFonts w:hint="eastAsia" w:ascii="Times New Roman" w:hAnsi="Times New Roman"/>
                <w:sz w:val="24"/>
                <w:szCs w:val="24"/>
                <w:lang w:val="en-US" w:eastAsia="zh-CN"/>
              </w:rPr>
              <w:t>2</w:t>
            </w:r>
          </w:p>
        </w:tc>
        <w:tc>
          <w:tcPr>
            <w:tcW w:w="917" w:type="dxa"/>
            <w:vAlign w:val="center"/>
          </w:tcPr>
          <w:p>
            <w:pPr>
              <w:widowControl/>
              <w:jc w:val="center"/>
              <w:textAlignment w:val="center"/>
              <w:rPr>
                <w:rFonts w:hint="eastAsia" w:ascii="Times New Roman" w:hAnsi="Times New Roman" w:eastAsia="仿宋_GB2312"/>
                <w:sz w:val="24"/>
                <w:szCs w:val="24"/>
                <w:lang w:val="en-US" w:eastAsia="zh-CN"/>
              </w:rPr>
            </w:pPr>
            <w:r>
              <w:rPr>
                <w:rFonts w:hint="eastAsia" w:ascii="Times New Roman" w:hAnsi="Times New Roman"/>
                <w:sz w:val="24"/>
                <w:szCs w:val="24"/>
                <w:lang w:val="en-US" w:eastAsia="zh-CN"/>
              </w:rPr>
              <w:t>2</w:t>
            </w:r>
          </w:p>
        </w:tc>
        <w:tc>
          <w:tcPr>
            <w:tcW w:w="1139" w:type="dxa"/>
            <w:vAlign w:val="center"/>
          </w:tcPr>
          <w:p>
            <w:pPr>
              <w:jc w:val="center"/>
              <w:rPr>
                <w:rFonts w:hint="eastAsia" w:ascii="Times New Roman" w:hAnsi="Times New Roman"/>
                <w:sz w:val="24"/>
                <w:szCs w:val="24"/>
              </w:rPr>
            </w:pPr>
            <w:r>
              <w:rPr>
                <w:rFonts w:hint="eastAsia" w:ascii="Times New Roman" w:hAnsi="Times New Roman"/>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blHeader/>
        </w:trPr>
        <w:tc>
          <w:tcPr>
            <w:tcW w:w="1425" w:type="dxa"/>
            <w:vMerge w:val="continue"/>
            <w:vAlign w:val="center"/>
          </w:tcPr>
          <w:p>
            <w:pPr>
              <w:jc w:val="center"/>
              <w:rPr>
                <w:rFonts w:ascii="Times New Roman" w:hAnsi="Times New Roman"/>
                <w:sz w:val="24"/>
                <w:szCs w:val="24"/>
              </w:rPr>
            </w:pPr>
          </w:p>
        </w:tc>
        <w:tc>
          <w:tcPr>
            <w:tcW w:w="1510" w:type="dxa"/>
            <w:vMerge w:val="continue"/>
            <w:vAlign w:val="center"/>
          </w:tcPr>
          <w:p>
            <w:pPr>
              <w:widowControl/>
              <w:jc w:val="center"/>
              <w:textAlignment w:val="center"/>
              <w:rPr>
                <w:rFonts w:ascii="Times New Roman" w:hAnsi="Times New Roman"/>
                <w:sz w:val="24"/>
                <w:szCs w:val="24"/>
              </w:rPr>
            </w:pPr>
          </w:p>
        </w:tc>
        <w:tc>
          <w:tcPr>
            <w:tcW w:w="2863" w:type="dxa"/>
            <w:vAlign w:val="center"/>
          </w:tcPr>
          <w:p>
            <w:pPr>
              <w:widowControl/>
              <w:jc w:val="center"/>
              <w:textAlignment w:val="center"/>
              <w:rPr>
                <w:rFonts w:ascii="Times New Roman" w:hAnsi="Times New Roman" w:cs="Times New Roman"/>
                <w:sz w:val="24"/>
                <w:szCs w:val="24"/>
              </w:rPr>
            </w:pPr>
            <w:r>
              <w:rPr>
                <w:rFonts w:hint="eastAsia" w:ascii="Times New Roman" w:hAnsi="Times New Roman" w:cs="Times New Roman"/>
                <w:color w:val="000000"/>
                <w:kern w:val="0"/>
                <w:sz w:val="24"/>
                <w:szCs w:val="24"/>
                <w:lang w:val="en-US" w:eastAsia="zh-CN" w:bidi="ar"/>
              </w:rPr>
              <w:t>专项债资金</w:t>
            </w:r>
            <w:r>
              <w:rPr>
                <w:rFonts w:ascii="Times New Roman" w:hAnsi="Times New Roman" w:cs="Times New Roman"/>
                <w:color w:val="000000"/>
                <w:kern w:val="0"/>
                <w:sz w:val="24"/>
                <w:szCs w:val="24"/>
                <w:lang w:bidi="ar"/>
              </w:rPr>
              <w:t>执行率</w:t>
            </w:r>
          </w:p>
        </w:tc>
        <w:tc>
          <w:tcPr>
            <w:tcW w:w="842"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10</w:t>
            </w:r>
          </w:p>
        </w:tc>
        <w:tc>
          <w:tcPr>
            <w:tcW w:w="917"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9.25</w:t>
            </w:r>
          </w:p>
        </w:tc>
        <w:tc>
          <w:tcPr>
            <w:tcW w:w="1139" w:type="dxa"/>
            <w:vAlign w:val="center"/>
          </w:tcPr>
          <w:p>
            <w:pPr>
              <w:jc w:val="center"/>
              <w:rPr>
                <w:rFonts w:ascii="Times New Roman" w:hAnsi="Times New Roman"/>
                <w:sz w:val="24"/>
                <w:szCs w:val="24"/>
              </w:rPr>
            </w:pPr>
            <w:r>
              <w:rPr>
                <w:rFonts w:hint="eastAsia" w:ascii="Times New Roman" w:hAnsi="Times New Roman"/>
                <w:sz w:val="24"/>
                <w:szCs w:val="24"/>
              </w:rPr>
              <w:t>92.5</w:t>
            </w:r>
            <w:r>
              <w:rPr>
                <w:rFonts w:hint="eastAsia" w:ascii="Times New Roman" w:hAnsi="Times New Roman"/>
                <w:sz w:val="24"/>
                <w:szCs w:val="24"/>
                <w:lang w:val="en-US" w:eastAsia="zh-CN"/>
              </w:rPr>
              <w:t>0</w:t>
            </w:r>
            <w:r>
              <w:rPr>
                <w:rFonts w:hint="eastAsia" w:ascii="Times New Roman" w:hAnsi="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blHeader/>
        </w:trPr>
        <w:tc>
          <w:tcPr>
            <w:tcW w:w="1425" w:type="dxa"/>
            <w:vMerge w:val="continue"/>
            <w:vAlign w:val="center"/>
          </w:tcPr>
          <w:p>
            <w:pPr>
              <w:jc w:val="center"/>
              <w:rPr>
                <w:rFonts w:ascii="Times New Roman" w:hAnsi="Times New Roman"/>
                <w:sz w:val="24"/>
                <w:szCs w:val="24"/>
              </w:rPr>
            </w:pPr>
          </w:p>
        </w:tc>
        <w:tc>
          <w:tcPr>
            <w:tcW w:w="1510" w:type="dxa"/>
            <w:vMerge w:val="continue"/>
            <w:vAlign w:val="center"/>
          </w:tcPr>
          <w:p>
            <w:pPr>
              <w:widowControl/>
              <w:jc w:val="center"/>
              <w:textAlignment w:val="center"/>
              <w:rPr>
                <w:rFonts w:ascii="Times New Roman" w:hAnsi="Times New Roman"/>
                <w:sz w:val="24"/>
                <w:szCs w:val="24"/>
              </w:rPr>
            </w:pPr>
          </w:p>
        </w:tc>
        <w:tc>
          <w:tcPr>
            <w:tcW w:w="2863" w:type="dxa"/>
            <w:vAlign w:val="center"/>
          </w:tcPr>
          <w:p>
            <w:pPr>
              <w:widowControl/>
              <w:jc w:val="center"/>
              <w:textAlignment w:val="center"/>
              <w:rPr>
                <w:rFonts w:ascii="Times New Roman" w:hAnsi="Times New Roman" w:cs="Times New Roman"/>
                <w:sz w:val="24"/>
                <w:szCs w:val="24"/>
              </w:rPr>
            </w:pPr>
            <w:r>
              <w:rPr>
                <w:rFonts w:hint="eastAsia" w:ascii="Times New Roman" w:hAnsi="Times New Roman" w:cs="Times New Roman"/>
                <w:color w:val="000000"/>
                <w:kern w:val="0"/>
                <w:sz w:val="24"/>
                <w:szCs w:val="24"/>
                <w:lang w:val="en-US" w:eastAsia="zh-CN" w:bidi="ar"/>
              </w:rPr>
              <w:t>专项债资金使用合规性</w:t>
            </w:r>
          </w:p>
        </w:tc>
        <w:tc>
          <w:tcPr>
            <w:tcW w:w="842" w:type="dxa"/>
            <w:vAlign w:val="center"/>
          </w:tcPr>
          <w:p>
            <w:pPr>
              <w:widowControl/>
              <w:jc w:val="center"/>
              <w:textAlignment w:val="center"/>
              <w:rPr>
                <w:rFonts w:hint="eastAsia" w:ascii="Times New Roman" w:hAnsi="Times New Roman" w:eastAsia="仿宋_GB2312"/>
                <w:sz w:val="24"/>
                <w:szCs w:val="24"/>
                <w:lang w:eastAsia="zh-CN"/>
              </w:rPr>
            </w:pPr>
            <w:r>
              <w:rPr>
                <w:rFonts w:hint="eastAsia" w:ascii="Times New Roman" w:hAnsi="Times New Roman"/>
                <w:sz w:val="24"/>
                <w:szCs w:val="24"/>
                <w:lang w:val="en-US" w:eastAsia="zh-CN"/>
              </w:rPr>
              <w:t>1</w:t>
            </w:r>
          </w:p>
        </w:tc>
        <w:tc>
          <w:tcPr>
            <w:tcW w:w="917" w:type="dxa"/>
            <w:vAlign w:val="center"/>
          </w:tcPr>
          <w:p>
            <w:pPr>
              <w:widowControl/>
              <w:jc w:val="center"/>
              <w:textAlignment w:val="center"/>
              <w:rPr>
                <w:rFonts w:hint="eastAsia" w:ascii="Times New Roman" w:hAnsi="Times New Roman" w:eastAsia="仿宋_GB2312"/>
                <w:sz w:val="24"/>
                <w:szCs w:val="24"/>
                <w:lang w:eastAsia="zh-CN"/>
              </w:rPr>
            </w:pPr>
            <w:r>
              <w:rPr>
                <w:rFonts w:hint="eastAsia" w:ascii="Times New Roman" w:hAnsi="Times New Roman"/>
                <w:sz w:val="24"/>
                <w:szCs w:val="24"/>
                <w:lang w:val="en-US" w:eastAsia="zh-CN"/>
              </w:rPr>
              <w:t>1</w:t>
            </w:r>
          </w:p>
        </w:tc>
        <w:tc>
          <w:tcPr>
            <w:tcW w:w="1139" w:type="dxa"/>
            <w:vAlign w:val="center"/>
          </w:tcPr>
          <w:p>
            <w:pPr>
              <w:jc w:val="center"/>
              <w:rPr>
                <w:rFonts w:ascii="Times New Roman" w:hAnsi="Times New Roman"/>
                <w:sz w:val="24"/>
                <w:szCs w:val="24"/>
              </w:rPr>
            </w:pPr>
            <w:r>
              <w:rPr>
                <w:rFonts w:hint="eastAsia" w:ascii="Times New Roman" w:hAnsi="Times New Roman"/>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blHeader/>
        </w:trPr>
        <w:tc>
          <w:tcPr>
            <w:tcW w:w="1425" w:type="dxa"/>
            <w:vMerge w:val="continue"/>
            <w:vAlign w:val="center"/>
          </w:tcPr>
          <w:p>
            <w:pPr>
              <w:jc w:val="center"/>
              <w:rPr>
                <w:rFonts w:ascii="Times New Roman" w:hAnsi="Times New Roman"/>
                <w:sz w:val="24"/>
                <w:szCs w:val="24"/>
              </w:rPr>
            </w:pPr>
          </w:p>
        </w:tc>
        <w:tc>
          <w:tcPr>
            <w:tcW w:w="1510" w:type="dxa"/>
            <w:vMerge w:val="restart"/>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组织实施（5）</w:t>
            </w:r>
          </w:p>
        </w:tc>
        <w:tc>
          <w:tcPr>
            <w:tcW w:w="2863" w:type="dxa"/>
            <w:vAlign w:val="center"/>
          </w:tcPr>
          <w:p>
            <w:pPr>
              <w:widowControl/>
              <w:jc w:val="center"/>
              <w:textAlignment w:val="center"/>
              <w:rPr>
                <w:rFonts w:ascii="Times New Roman" w:hAnsi="Times New Roman" w:cs="Times New Roman"/>
                <w:sz w:val="24"/>
                <w:szCs w:val="24"/>
              </w:rPr>
            </w:pPr>
            <w:r>
              <w:rPr>
                <w:rFonts w:ascii="Times New Roman" w:hAnsi="Times New Roman" w:cs="Times New Roman"/>
                <w:color w:val="000000"/>
                <w:kern w:val="0"/>
                <w:sz w:val="24"/>
                <w:szCs w:val="24"/>
                <w:lang w:bidi="ar"/>
              </w:rPr>
              <w:t>管理制度健全性</w:t>
            </w:r>
          </w:p>
        </w:tc>
        <w:tc>
          <w:tcPr>
            <w:tcW w:w="842"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2</w:t>
            </w:r>
          </w:p>
        </w:tc>
        <w:tc>
          <w:tcPr>
            <w:tcW w:w="917"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2</w:t>
            </w:r>
          </w:p>
        </w:tc>
        <w:tc>
          <w:tcPr>
            <w:tcW w:w="1139" w:type="dxa"/>
            <w:vAlign w:val="center"/>
          </w:tcPr>
          <w:p>
            <w:pPr>
              <w:jc w:val="center"/>
              <w:rPr>
                <w:rFonts w:ascii="Times New Roman" w:hAnsi="Times New Roman"/>
                <w:sz w:val="24"/>
                <w:szCs w:val="24"/>
              </w:rPr>
            </w:pPr>
            <w:r>
              <w:rPr>
                <w:rFonts w:hint="eastAsia" w:ascii="Times New Roman" w:hAnsi="Times New Roman"/>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blHeader/>
        </w:trPr>
        <w:tc>
          <w:tcPr>
            <w:tcW w:w="1425" w:type="dxa"/>
            <w:vMerge w:val="continue"/>
            <w:vAlign w:val="center"/>
          </w:tcPr>
          <w:p>
            <w:pPr>
              <w:jc w:val="center"/>
              <w:rPr>
                <w:rFonts w:ascii="Times New Roman" w:hAnsi="Times New Roman"/>
                <w:sz w:val="24"/>
                <w:szCs w:val="24"/>
              </w:rPr>
            </w:pPr>
          </w:p>
        </w:tc>
        <w:tc>
          <w:tcPr>
            <w:tcW w:w="1510" w:type="dxa"/>
            <w:vMerge w:val="continue"/>
            <w:vAlign w:val="center"/>
          </w:tcPr>
          <w:p>
            <w:pPr>
              <w:widowControl/>
              <w:jc w:val="center"/>
              <w:textAlignment w:val="center"/>
              <w:rPr>
                <w:rFonts w:ascii="Times New Roman" w:hAnsi="Times New Roman"/>
                <w:sz w:val="24"/>
                <w:szCs w:val="24"/>
              </w:rPr>
            </w:pPr>
          </w:p>
        </w:tc>
        <w:tc>
          <w:tcPr>
            <w:tcW w:w="2863" w:type="dxa"/>
            <w:vAlign w:val="center"/>
          </w:tcPr>
          <w:p>
            <w:pPr>
              <w:widowControl/>
              <w:jc w:val="center"/>
              <w:textAlignment w:val="center"/>
              <w:rPr>
                <w:rFonts w:ascii="Times New Roman" w:hAnsi="Times New Roman" w:cs="Times New Roman"/>
                <w:sz w:val="24"/>
                <w:szCs w:val="24"/>
              </w:rPr>
            </w:pPr>
            <w:r>
              <w:rPr>
                <w:rFonts w:ascii="Times New Roman" w:hAnsi="Times New Roman" w:cs="Times New Roman"/>
                <w:color w:val="000000"/>
                <w:kern w:val="0"/>
                <w:sz w:val="24"/>
                <w:szCs w:val="24"/>
                <w:lang w:bidi="ar"/>
              </w:rPr>
              <w:t>政府采购合规性</w:t>
            </w:r>
          </w:p>
        </w:tc>
        <w:tc>
          <w:tcPr>
            <w:tcW w:w="842"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1</w:t>
            </w:r>
          </w:p>
        </w:tc>
        <w:tc>
          <w:tcPr>
            <w:tcW w:w="917"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1</w:t>
            </w:r>
          </w:p>
        </w:tc>
        <w:tc>
          <w:tcPr>
            <w:tcW w:w="1139" w:type="dxa"/>
            <w:vAlign w:val="center"/>
          </w:tcPr>
          <w:p>
            <w:pPr>
              <w:jc w:val="center"/>
              <w:rPr>
                <w:rFonts w:ascii="Times New Roman" w:hAnsi="Times New Roman"/>
                <w:sz w:val="24"/>
                <w:szCs w:val="24"/>
              </w:rPr>
            </w:pPr>
            <w:r>
              <w:rPr>
                <w:rFonts w:hint="eastAsia" w:ascii="Times New Roman" w:hAnsi="Times New Roman"/>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blHeader/>
        </w:trPr>
        <w:tc>
          <w:tcPr>
            <w:tcW w:w="1425" w:type="dxa"/>
            <w:vMerge w:val="continue"/>
            <w:vAlign w:val="center"/>
          </w:tcPr>
          <w:p>
            <w:pPr>
              <w:rPr>
                <w:rFonts w:ascii="Times New Roman" w:hAnsi="Times New Roman"/>
                <w:sz w:val="24"/>
                <w:szCs w:val="24"/>
              </w:rPr>
            </w:pPr>
          </w:p>
        </w:tc>
        <w:tc>
          <w:tcPr>
            <w:tcW w:w="1510" w:type="dxa"/>
            <w:vMerge w:val="continue"/>
            <w:vAlign w:val="center"/>
          </w:tcPr>
          <w:p>
            <w:pPr>
              <w:widowControl/>
              <w:jc w:val="center"/>
              <w:textAlignment w:val="center"/>
              <w:rPr>
                <w:rFonts w:ascii="Times New Roman" w:hAnsi="Times New Roman"/>
                <w:sz w:val="24"/>
                <w:szCs w:val="24"/>
              </w:rPr>
            </w:pPr>
          </w:p>
        </w:tc>
        <w:tc>
          <w:tcPr>
            <w:tcW w:w="2863" w:type="dxa"/>
            <w:vAlign w:val="center"/>
          </w:tcPr>
          <w:p>
            <w:pPr>
              <w:widowControl/>
              <w:jc w:val="center"/>
              <w:textAlignment w:val="center"/>
              <w:rPr>
                <w:rFonts w:ascii="Times New Roman" w:hAnsi="Times New Roman" w:cs="Times New Roman"/>
                <w:sz w:val="24"/>
                <w:szCs w:val="24"/>
              </w:rPr>
            </w:pPr>
            <w:r>
              <w:rPr>
                <w:rFonts w:ascii="Times New Roman" w:hAnsi="Times New Roman" w:cs="Times New Roman"/>
                <w:color w:val="000000"/>
                <w:kern w:val="0"/>
                <w:sz w:val="24"/>
                <w:szCs w:val="24"/>
                <w:lang w:bidi="ar"/>
              </w:rPr>
              <w:t>制度执行有效性</w:t>
            </w:r>
          </w:p>
        </w:tc>
        <w:tc>
          <w:tcPr>
            <w:tcW w:w="842"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2</w:t>
            </w:r>
          </w:p>
        </w:tc>
        <w:tc>
          <w:tcPr>
            <w:tcW w:w="917"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1.4</w:t>
            </w:r>
          </w:p>
        </w:tc>
        <w:tc>
          <w:tcPr>
            <w:tcW w:w="1139" w:type="dxa"/>
            <w:vAlign w:val="center"/>
          </w:tcPr>
          <w:p>
            <w:pPr>
              <w:jc w:val="center"/>
              <w:rPr>
                <w:rFonts w:ascii="Times New Roman" w:hAnsi="Times New Roman"/>
                <w:sz w:val="24"/>
                <w:szCs w:val="24"/>
              </w:rPr>
            </w:pPr>
            <w:r>
              <w:rPr>
                <w:rFonts w:hint="eastAsia" w:ascii="Times New Roman" w:hAnsi="Times New Roman"/>
                <w:sz w:val="24"/>
                <w:szCs w:val="24"/>
              </w:rPr>
              <w:t>70%</w:t>
            </w:r>
          </w:p>
        </w:tc>
      </w:tr>
    </w:tbl>
    <w:p>
      <w:pPr>
        <w:pStyle w:val="4"/>
        <w:rPr>
          <w:rFonts w:ascii="Times New Roman" w:hAnsi="Times New Roman"/>
        </w:rPr>
      </w:pPr>
      <w:r>
        <w:rPr>
          <w:rFonts w:hint="eastAsia" w:ascii="Times New Roman" w:hAnsi="Times New Roman"/>
        </w:rPr>
        <w:t>1.资金管理</w:t>
      </w:r>
    </w:p>
    <w:p>
      <w:pPr>
        <w:bidi w:val="0"/>
        <w:ind w:firstLine="640" w:firstLineChars="200"/>
        <w:rPr>
          <w:rFonts w:hint="eastAsia" w:ascii="Times New Roman" w:hAnsi="Times New Roman"/>
          <w:lang w:eastAsia="zh-CN"/>
        </w:rPr>
      </w:pPr>
      <w:r>
        <w:rPr>
          <w:rFonts w:hint="eastAsia" w:ascii="Times New Roman" w:hAnsi="Times New Roman"/>
        </w:rPr>
        <w:t>资金管理指标分值</w:t>
      </w:r>
      <w:r>
        <w:rPr>
          <w:rFonts w:hint="eastAsia" w:ascii="Times New Roman" w:hAnsi="Times New Roman"/>
          <w:lang w:val="en-US" w:eastAsia="zh-CN"/>
        </w:rPr>
        <w:t>15</w:t>
      </w:r>
      <w:r>
        <w:rPr>
          <w:rFonts w:hint="eastAsia" w:ascii="Times New Roman" w:hAnsi="Times New Roman"/>
        </w:rPr>
        <w:t>分，得分</w:t>
      </w:r>
      <w:r>
        <w:rPr>
          <w:rFonts w:hint="eastAsia" w:ascii="Times New Roman" w:hAnsi="Times New Roman"/>
          <w:lang w:val="en-US" w:eastAsia="zh-CN"/>
        </w:rPr>
        <w:t>14</w:t>
      </w:r>
      <w:r>
        <w:rPr>
          <w:rFonts w:hint="eastAsia" w:ascii="Times New Roman" w:hAnsi="Times New Roman"/>
        </w:rPr>
        <w:t>.25分，得分率</w:t>
      </w:r>
      <w:r>
        <w:rPr>
          <w:rFonts w:hint="eastAsia" w:ascii="Times New Roman" w:hAnsi="Times New Roman"/>
          <w:lang w:val="en-US" w:eastAsia="zh-CN"/>
        </w:rPr>
        <w:t>95.00%</w:t>
      </w:r>
    </w:p>
    <w:p>
      <w:pPr>
        <w:pStyle w:val="5"/>
        <w:numPr>
          <w:ilvl w:val="-1"/>
          <w:numId w:val="0"/>
        </w:numPr>
        <w:ind w:firstLine="640" w:firstLineChars="200"/>
        <w:rPr>
          <w:rFonts w:hint="eastAsia" w:ascii="Times New Roman" w:hAnsi="Times New Roman"/>
        </w:rPr>
      </w:pPr>
      <w:r>
        <w:rPr>
          <w:rFonts w:hint="eastAsia" w:ascii="Times New Roman" w:hAnsi="Times New Roman"/>
          <w:lang w:eastAsia="zh-CN"/>
        </w:rPr>
        <w:t>（</w:t>
      </w:r>
      <w:r>
        <w:rPr>
          <w:rFonts w:hint="eastAsia" w:ascii="Times New Roman" w:hAnsi="Times New Roman"/>
          <w:lang w:val="en-US" w:eastAsia="zh-CN"/>
        </w:rPr>
        <w:t>1</w:t>
      </w:r>
      <w:r>
        <w:rPr>
          <w:rFonts w:hint="eastAsia" w:ascii="Times New Roman" w:hAnsi="Times New Roman"/>
          <w:lang w:eastAsia="zh-CN"/>
        </w:rPr>
        <w:t>）</w:t>
      </w:r>
      <w:r>
        <w:rPr>
          <w:rFonts w:hint="eastAsia" w:ascii="Times New Roman" w:hAnsi="Times New Roman"/>
        </w:rPr>
        <w:t>专项债资金申请合规性</w:t>
      </w:r>
      <w:r>
        <w:rPr>
          <w:rFonts w:hint="eastAsia" w:ascii="Times New Roman" w:hAnsi="Times New Roman"/>
          <w:lang w:eastAsia="zh-CN"/>
        </w:rPr>
        <w:t>（</w:t>
      </w:r>
      <w:r>
        <w:rPr>
          <w:rFonts w:hint="eastAsia" w:ascii="Times New Roman" w:hAnsi="Times New Roman"/>
          <w:lang w:val="en-US" w:eastAsia="zh-CN"/>
        </w:rPr>
        <w:t>2分</w:t>
      </w:r>
      <w:r>
        <w:rPr>
          <w:rFonts w:hint="eastAsia" w:ascii="Times New Roman" w:hAnsi="Times New Roman"/>
          <w:lang w:eastAsia="zh-CN"/>
        </w:rPr>
        <w:t>）</w:t>
      </w:r>
    </w:p>
    <w:p>
      <w:pPr>
        <w:ind w:firstLine="640" w:firstLineChars="200"/>
        <w:rPr>
          <w:rFonts w:hint="eastAsia" w:ascii="Times New Roman" w:hAnsi="Times New Roman"/>
        </w:rPr>
      </w:pPr>
      <w:r>
        <w:rPr>
          <w:rFonts w:hint="eastAsia" w:ascii="Times New Roman" w:hAnsi="Times New Roman"/>
        </w:rPr>
        <w:t>根据项目资金申请材料，本项目属于城镇基础设施领域供热方向，符合河北省专项债发行领域；项目年净收益约1150万元，为本息覆盖倍数的1.43倍，符合河北省专项债发行要求。根据评分规则，该指标得100%权重分。</w:t>
      </w:r>
    </w:p>
    <w:p>
      <w:pPr>
        <w:pStyle w:val="5"/>
        <w:rPr>
          <w:rFonts w:hint="eastAsia" w:ascii="Times New Roman" w:hAnsi="Times New Roman"/>
          <w:lang w:val="en-US" w:eastAsia="zh-CN"/>
        </w:rPr>
      </w:pPr>
      <w:r>
        <w:rPr>
          <w:rFonts w:hint="eastAsia" w:ascii="Times New Roman" w:hAnsi="Times New Roman"/>
          <w:lang w:val="en-US" w:eastAsia="zh-CN"/>
        </w:rPr>
        <w:t>（2）专项债资金到位率（2分）</w:t>
      </w:r>
    </w:p>
    <w:p>
      <w:pPr>
        <w:ind w:firstLine="640" w:firstLineChars="200"/>
        <w:rPr>
          <w:rFonts w:ascii="Times New Roman" w:hAnsi="Times New Roman"/>
        </w:rPr>
      </w:pPr>
      <w:r>
        <w:rPr>
          <w:rFonts w:hint="eastAsia" w:ascii="Times New Roman" w:hAnsi="Times New Roman"/>
        </w:rPr>
        <w:t>根据鹿泉区财政局资金筹措意向、资金下达手续，资金调整材料，鹿泉区人居环境整治及污水资源化利用项目（大河镇、获鹿镇）预算安排</w:t>
      </w:r>
      <w:r>
        <w:rPr>
          <w:rFonts w:hint="eastAsia" w:ascii="Times New Roman" w:hAnsi="Times New Roman"/>
          <w:lang w:val="en-US" w:eastAsia="zh-CN"/>
        </w:rPr>
        <w:t>政府专项债</w:t>
      </w:r>
      <w:r>
        <w:rPr>
          <w:rFonts w:hint="eastAsia" w:ascii="Times New Roman" w:hAnsi="Times New Roman"/>
        </w:rPr>
        <w:t>资金7200万元（后调减为6800万元），根据现场核实资金额度，实际到位资金6800万元，专项债资金到位率=（6800/6800）×100%=100%。根据评分规则，该指标得100%权重分。</w:t>
      </w:r>
    </w:p>
    <w:p>
      <w:pPr>
        <w:numPr>
          <w:ilvl w:val="0"/>
          <w:numId w:val="0"/>
        </w:numPr>
        <w:ind w:left="0" w:leftChars="0" w:firstLine="640" w:firstLineChars="200"/>
        <w:rPr>
          <w:rFonts w:hint="eastAsia" w:ascii="Times New Roman" w:hAnsi="Times New Roman"/>
        </w:rPr>
      </w:pPr>
      <w:r>
        <w:rPr>
          <w:rFonts w:hint="eastAsia" w:ascii="Times New Roman" w:hAnsi="Times New Roman" w:eastAsia="仿宋_GB2312" w:cstheme="minorBidi"/>
          <w:kern w:val="2"/>
          <w:sz w:val="32"/>
          <w:szCs w:val="24"/>
          <w:lang w:val="en-US" w:eastAsia="zh-CN" w:bidi="ar-SA"/>
        </w:rPr>
        <w:t>（</w:t>
      </w:r>
      <w:r>
        <w:rPr>
          <w:rFonts w:hint="eastAsia" w:ascii="Times New Roman" w:hAnsi="Times New Roman" w:cstheme="minorBidi"/>
          <w:kern w:val="2"/>
          <w:sz w:val="32"/>
          <w:szCs w:val="24"/>
          <w:lang w:val="en-US" w:eastAsia="zh-CN" w:bidi="ar-SA"/>
        </w:rPr>
        <w:t>3</w:t>
      </w:r>
      <w:r>
        <w:rPr>
          <w:rFonts w:hint="eastAsia" w:ascii="Times New Roman" w:hAnsi="Times New Roman" w:eastAsia="仿宋_GB2312" w:cstheme="minorBidi"/>
          <w:kern w:val="2"/>
          <w:sz w:val="32"/>
          <w:szCs w:val="24"/>
          <w:lang w:val="en-US" w:eastAsia="zh-CN" w:bidi="ar-SA"/>
        </w:rPr>
        <w:t>）</w:t>
      </w:r>
      <w:r>
        <w:rPr>
          <w:rFonts w:hint="eastAsia" w:ascii="Times New Roman" w:hAnsi="Times New Roman"/>
          <w:lang w:val="en-US" w:eastAsia="zh-CN"/>
        </w:rPr>
        <w:t>专项债资金</w:t>
      </w:r>
      <w:r>
        <w:rPr>
          <w:rFonts w:hint="eastAsia" w:ascii="Times New Roman" w:hAnsi="Times New Roman"/>
        </w:rPr>
        <w:t>执行率（10分）</w:t>
      </w:r>
    </w:p>
    <w:p>
      <w:pPr>
        <w:numPr>
          <w:ilvl w:val="0"/>
          <w:numId w:val="0"/>
        </w:numPr>
        <w:ind w:firstLine="640" w:firstLineChars="200"/>
        <w:rPr>
          <w:rFonts w:ascii="Times New Roman" w:hAnsi="Times New Roman"/>
        </w:rPr>
      </w:pPr>
      <w:r>
        <w:rPr>
          <w:rFonts w:hint="eastAsia" w:ascii="Times New Roman" w:hAnsi="Times New Roman"/>
        </w:rPr>
        <w:t>根据项目资金支出明细、财务支出手续、凭证等资料及现场调研，专项债资金执行率=（4222.379989/6800）×100%=62.09%，共下降37.91%，需扣除0.75分。根据评分规则，该指标得9.25分。</w:t>
      </w:r>
    </w:p>
    <w:p>
      <w:pPr>
        <w:pStyle w:val="5"/>
        <w:ind w:firstLine="640" w:firstLineChars="200"/>
        <w:rPr>
          <w:rFonts w:ascii="Times New Roman" w:hAnsi="Times New Roman"/>
        </w:rPr>
      </w:pPr>
      <w:r>
        <w:rPr>
          <w:rFonts w:hint="eastAsia" w:ascii="Times New Roman" w:hAnsi="Times New Roman"/>
        </w:rPr>
        <w:t>（</w:t>
      </w:r>
      <w:r>
        <w:rPr>
          <w:rFonts w:hint="eastAsia" w:ascii="Times New Roman" w:hAnsi="Times New Roman"/>
          <w:lang w:val="en-US" w:eastAsia="zh-CN"/>
        </w:rPr>
        <w:t>4</w:t>
      </w:r>
      <w:r>
        <w:rPr>
          <w:rFonts w:hint="eastAsia" w:ascii="Times New Roman" w:hAnsi="Times New Roman"/>
        </w:rPr>
        <w:t>）专项债资金使用合规性（</w:t>
      </w:r>
      <w:r>
        <w:rPr>
          <w:rFonts w:hint="eastAsia" w:ascii="Times New Roman" w:hAnsi="Times New Roman"/>
          <w:lang w:val="en-US" w:eastAsia="zh-CN"/>
        </w:rPr>
        <w:t>1</w:t>
      </w:r>
      <w:r>
        <w:rPr>
          <w:rFonts w:hint="eastAsia" w:ascii="Times New Roman" w:hAnsi="Times New Roman"/>
        </w:rPr>
        <w:t>分）</w:t>
      </w:r>
    </w:p>
    <w:p>
      <w:pPr>
        <w:ind w:firstLine="640" w:firstLineChars="200"/>
        <w:jc w:val="both"/>
        <w:rPr>
          <w:rFonts w:ascii="Times New Roman" w:hAnsi="Times New Roman"/>
        </w:rPr>
      </w:pPr>
      <w:r>
        <w:rPr>
          <w:rFonts w:hint="eastAsia" w:ascii="Times New Roman" w:hAnsi="Times New Roman"/>
        </w:rPr>
        <w:t>根据项目财务手续和财务管理制度、资金支出凭证等资料，项目资金的拨付使用符合国家财经法规和</w:t>
      </w:r>
      <w:r>
        <w:rPr>
          <w:rFonts w:hint="eastAsia" w:ascii="Times New Roman" w:hAnsi="Times New Roman"/>
          <w:lang w:val="en-US" w:eastAsia="zh-CN"/>
        </w:rPr>
        <w:t>专项债资金</w:t>
      </w:r>
      <w:r>
        <w:rPr>
          <w:rFonts w:hint="eastAsia" w:ascii="Times New Roman" w:hAnsi="Times New Roman"/>
        </w:rPr>
        <w:t>管理制度等规定，资金的拨付有完整的审批程序和手续，符合项目预算批复或合同规定的用途，不存在截留、挤占、挪用、虚列支出等情况。根据评分标准，该指标得100%权重分。</w:t>
      </w:r>
    </w:p>
    <w:p>
      <w:pPr>
        <w:pStyle w:val="4"/>
        <w:rPr>
          <w:rFonts w:ascii="Times New Roman" w:hAnsi="Times New Roman"/>
        </w:rPr>
      </w:pPr>
      <w:r>
        <w:rPr>
          <w:rFonts w:hint="eastAsia" w:ascii="Times New Roman" w:hAnsi="Times New Roman"/>
        </w:rPr>
        <w:t>2.组织实施</w:t>
      </w:r>
    </w:p>
    <w:p>
      <w:pPr>
        <w:ind w:firstLine="640" w:firstLineChars="200"/>
        <w:rPr>
          <w:rFonts w:ascii="Times New Roman" w:hAnsi="Times New Roman"/>
        </w:rPr>
      </w:pPr>
      <w:r>
        <w:rPr>
          <w:rFonts w:hint="eastAsia" w:ascii="Times New Roman" w:hAnsi="Times New Roman"/>
        </w:rPr>
        <w:t>组织实施指标分值5分，得分4.4分，得分率88%。</w:t>
      </w:r>
    </w:p>
    <w:p>
      <w:pPr>
        <w:pStyle w:val="5"/>
        <w:rPr>
          <w:rFonts w:ascii="Times New Roman" w:hAnsi="Times New Roman"/>
        </w:rPr>
      </w:pPr>
      <w:r>
        <w:rPr>
          <w:rFonts w:hint="eastAsia" w:ascii="Times New Roman" w:hAnsi="Times New Roman"/>
        </w:rPr>
        <w:t>（1）管理制度健全性（2分）</w:t>
      </w:r>
    </w:p>
    <w:p>
      <w:pPr>
        <w:ind w:firstLine="640" w:firstLineChars="200"/>
        <w:rPr>
          <w:rFonts w:ascii="Times New Roman" w:hAnsi="Times New Roman"/>
        </w:rPr>
      </w:pPr>
      <w:r>
        <w:rPr>
          <w:rFonts w:hint="eastAsia" w:ascii="Times New Roman" w:hAnsi="Times New Roman"/>
        </w:rPr>
        <w:t>根据获取</w:t>
      </w:r>
      <w:r>
        <w:rPr>
          <w:rFonts w:hint="eastAsia" w:ascii="Times New Roman" w:hAnsi="Times New Roman"/>
          <w:lang w:val="en-US" w:eastAsia="zh-CN"/>
        </w:rPr>
        <w:t>项目</w:t>
      </w:r>
      <w:r>
        <w:rPr>
          <w:rFonts w:hint="eastAsia" w:ascii="Times New Roman" w:hAnsi="Times New Roman"/>
        </w:rPr>
        <w:t>的制度文件及现场调研情况，该项目实施单位委托第三方公司进行项目的全权管理，局财务室负责项目的财务资金管理。经审核该管理公司相关材料：具有相应的财务和业务管理制度，财务和业务管理制度合法、合规、完整,发挥了对项目运营管理与财务规范的作用。根据评分规则，该指标得100%权重分。</w:t>
      </w:r>
    </w:p>
    <w:p>
      <w:pPr>
        <w:pStyle w:val="5"/>
        <w:rPr>
          <w:rFonts w:ascii="Times New Roman" w:hAnsi="Times New Roman"/>
        </w:rPr>
      </w:pPr>
      <w:r>
        <w:rPr>
          <w:rFonts w:hint="eastAsia" w:ascii="Times New Roman" w:hAnsi="Times New Roman"/>
        </w:rPr>
        <w:t>（2）政府采购合规性（1分）</w:t>
      </w:r>
    </w:p>
    <w:p>
      <w:pPr>
        <w:ind w:firstLine="640" w:firstLineChars="200"/>
        <w:rPr>
          <w:rFonts w:ascii="Times New Roman" w:hAnsi="Times New Roman"/>
        </w:rPr>
      </w:pPr>
      <w:r>
        <w:rPr>
          <w:rFonts w:hint="eastAsia" w:ascii="Times New Roman" w:hAnsi="Times New Roman"/>
        </w:rPr>
        <w:t>根据项目政府采购全过程资料，项目按照政府采购相关规定进行采购，采购流程符合规范，项目签订有合同，合同金额与中标金额一致，项目的相关采购文件（包括招标文件、投标文件、评审意见、中标通知书、合同等）齐全，归档完备。抽检项目符合“采购规范”。根据评分标准，本项得100%权重分。</w:t>
      </w:r>
    </w:p>
    <w:p>
      <w:pPr>
        <w:pStyle w:val="5"/>
        <w:rPr>
          <w:rFonts w:ascii="Times New Roman" w:hAnsi="Times New Roman"/>
        </w:rPr>
      </w:pPr>
      <w:r>
        <w:rPr>
          <w:rFonts w:hint="eastAsia" w:ascii="Times New Roman" w:hAnsi="Times New Roman"/>
        </w:rPr>
        <w:t>（3）制度执行有效性（2分）</w:t>
      </w:r>
    </w:p>
    <w:p>
      <w:pPr>
        <w:ind w:firstLine="640" w:firstLineChars="200"/>
        <w:rPr>
          <w:rFonts w:ascii="Times New Roman" w:hAnsi="Times New Roman"/>
        </w:rPr>
      </w:pPr>
      <w:r>
        <w:rPr>
          <w:rFonts w:hint="eastAsia" w:ascii="Times New Roman" w:hAnsi="Times New Roman"/>
        </w:rPr>
        <w:t>根据相关管理制度和项目过程资料，项目实施过程遵守相关法律法规和相关管理规定，项目实施、监管、会议纪要等过程资料较为完整，但缺少开工、验收证明材料；项目实施的人员条件、场地设备、信息支撑等内容落实到位。根据评分规则，该指标扣除30%权重分，得70%权重分。</w:t>
      </w:r>
    </w:p>
    <w:p>
      <w:pPr>
        <w:pStyle w:val="3"/>
        <w:rPr>
          <w:rFonts w:ascii="Times New Roman" w:hAnsi="Times New Roman"/>
        </w:rPr>
      </w:pPr>
      <w:bookmarkStart w:id="56" w:name="_Toc10496"/>
      <w:bookmarkStart w:id="57" w:name="_Toc15796"/>
      <w:bookmarkStart w:id="58" w:name="_Toc11875"/>
      <w:bookmarkStart w:id="59" w:name="_Toc8936"/>
      <w:r>
        <w:rPr>
          <w:rFonts w:hint="eastAsia" w:ascii="Times New Roman" w:hAnsi="Times New Roman"/>
        </w:rPr>
        <w:t>（三）项目产出情况</w:t>
      </w:r>
      <w:bookmarkEnd w:id="56"/>
      <w:bookmarkEnd w:id="57"/>
      <w:bookmarkEnd w:id="58"/>
      <w:bookmarkEnd w:id="59"/>
    </w:p>
    <w:p>
      <w:pPr>
        <w:ind w:firstLine="640" w:firstLineChars="200"/>
        <w:rPr>
          <w:rFonts w:ascii="Times New Roman" w:hAnsi="Times New Roman"/>
        </w:rPr>
      </w:pPr>
      <w:r>
        <w:rPr>
          <w:rFonts w:hint="eastAsia" w:ascii="Times New Roman" w:hAnsi="Times New Roman"/>
        </w:rPr>
        <w:t>项目过程部分主要从产出数量、质量、时效和成本四个方面进行评价。各指标得分</w:t>
      </w:r>
      <w:r>
        <w:rPr>
          <w:rFonts w:hint="eastAsia" w:ascii="Times New Roman" w:hAnsi="Times New Roman"/>
          <w:lang w:val="en-US" w:eastAsia="zh-CN"/>
        </w:rPr>
        <w:t>见</w:t>
      </w:r>
      <w:r>
        <w:rPr>
          <w:rFonts w:hint="eastAsia" w:ascii="Times New Roman" w:hAnsi="Times New Roman"/>
          <w:b/>
          <w:bCs/>
          <w:lang w:val="en-US" w:eastAsia="zh-CN"/>
        </w:rPr>
        <w:t>表5</w:t>
      </w:r>
      <w:r>
        <w:rPr>
          <w:rFonts w:hint="eastAsia" w:ascii="Times New Roman" w:hAnsi="Times New Roman"/>
        </w:rPr>
        <w:t>：</w:t>
      </w:r>
    </w:p>
    <w:p>
      <w:pPr>
        <w:jc w:val="center"/>
        <w:rPr>
          <w:rFonts w:ascii="Times New Roman" w:hAnsi="Times New Roman"/>
          <w:b/>
          <w:bCs/>
        </w:rPr>
      </w:pPr>
      <w:r>
        <w:rPr>
          <w:rFonts w:hint="eastAsia" w:ascii="Times New Roman" w:hAnsi="Times New Roman"/>
          <w:b/>
          <w:bCs/>
          <w:sz w:val="28"/>
          <w:szCs w:val="28"/>
        </w:rPr>
        <w:t>表5 项目产出情况</w:t>
      </w:r>
    </w:p>
    <w:tbl>
      <w:tblPr>
        <w:tblStyle w:val="16"/>
        <w:tblW w:w="93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6"/>
        <w:gridCol w:w="1706"/>
        <w:gridCol w:w="3513"/>
        <w:gridCol w:w="649"/>
        <w:gridCol w:w="685"/>
        <w:gridCol w:w="10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06"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一级指标及分值</w:t>
            </w:r>
          </w:p>
        </w:tc>
        <w:tc>
          <w:tcPr>
            <w:tcW w:w="1706"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二级指标及分值</w:t>
            </w:r>
          </w:p>
        </w:tc>
        <w:tc>
          <w:tcPr>
            <w:tcW w:w="3513"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三级指标及分值</w:t>
            </w:r>
          </w:p>
        </w:tc>
        <w:tc>
          <w:tcPr>
            <w:tcW w:w="649"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分值</w:t>
            </w:r>
          </w:p>
        </w:tc>
        <w:tc>
          <w:tcPr>
            <w:tcW w:w="685"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得分</w:t>
            </w:r>
          </w:p>
        </w:tc>
        <w:tc>
          <w:tcPr>
            <w:tcW w:w="1053" w:type="dxa"/>
            <w:shd w:val="clear" w:color="auto" w:fill="CFCECE" w:themeFill="background2" w:themeFillShade="E5"/>
            <w:vAlign w:val="center"/>
          </w:tcPr>
          <w:p>
            <w:pPr>
              <w:jc w:val="center"/>
              <w:rPr>
                <w:rFonts w:hint="eastAsia" w:ascii="Times New Roman" w:hAnsi="Times New Roman" w:eastAsia="仿宋_GB2312" w:cs="仿宋_GB2312"/>
                <w:b/>
                <w:bCs/>
                <w:sz w:val="24"/>
                <w:szCs w:val="24"/>
              </w:rPr>
            </w:pPr>
            <w:r>
              <w:rPr>
                <w:rFonts w:hint="eastAsia" w:ascii="Times New Roman" w:hAnsi="Times New Roman" w:eastAsia="仿宋_GB2312" w:cs="仿宋_GB2312"/>
                <w:b/>
                <w:bCs/>
                <w:sz w:val="24"/>
                <w:szCs w:val="24"/>
              </w:rPr>
              <w:t>得分率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06" w:type="dxa"/>
            <w:vMerge w:val="restart"/>
            <w:vAlign w:val="center"/>
          </w:tcPr>
          <w:p>
            <w:pPr>
              <w:pStyle w:val="14"/>
              <w:ind w:left="0" w:leftChars="0"/>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项目</w:t>
            </w:r>
            <w:r>
              <w:rPr>
                <w:rFonts w:hint="eastAsia" w:ascii="Times New Roman" w:hAnsi="Times New Roman" w:eastAsia="仿宋_GB2312" w:cs="仿宋_GB2312"/>
                <w:sz w:val="24"/>
                <w:szCs w:val="24"/>
              </w:rPr>
              <w:t>产出</w:t>
            </w:r>
          </w:p>
          <w:p>
            <w:pPr>
              <w:pStyle w:val="14"/>
              <w:ind w:left="0" w:leftChars="0"/>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w:t>
            </w:r>
            <w:r>
              <w:rPr>
                <w:rFonts w:hint="eastAsia" w:ascii="Times New Roman" w:hAnsi="Times New Roman" w:eastAsia="仿宋_GB2312" w:cs="仿宋_GB2312"/>
                <w:sz w:val="24"/>
                <w:szCs w:val="24"/>
                <w:lang w:val="en-US" w:eastAsia="zh-CN"/>
              </w:rPr>
              <w:t>25</w:t>
            </w:r>
            <w:r>
              <w:rPr>
                <w:rFonts w:hint="eastAsia" w:ascii="Times New Roman" w:hAnsi="Times New Roman" w:eastAsia="仿宋_GB2312" w:cs="仿宋_GB2312"/>
                <w:sz w:val="24"/>
                <w:szCs w:val="24"/>
              </w:rPr>
              <w:t>）</w:t>
            </w:r>
          </w:p>
        </w:tc>
        <w:tc>
          <w:tcPr>
            <w:tcW w:w="1706" w:type="dxa"/>
            <w:vMerge w:val="restart"/>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产出数量（16）</w:t>
            </w:r>
          </w:p>
        </w:tc>
        <w:tc>
          <w:tcPr>
            <w:tcW w:w="3513"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施工村庄个数计划完成率</w:t>
            </w:r>
          </w:p>
        </w:tc>
        <w:tc>
          <w:tcPr>
            <w:tcW w:w="649"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4</w:t>
            </w:r>
          </w:p>
        </w:tc>
        <w:tc>
          <w:tcPr>
            <w:tcW w:w="685"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4</w:t>
            </w:r>
          </w:p>
        </w:tc>
        <w:tc>
          <w:tcPr>
            <w:tcW w:w="1053"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06" w:type="dxa"/>
            <w:vMerge w:val="continue"/>
            <w:vAlign w:val="center"/>
          </w:tcPr>
          <w:p>
            <w:pPr>
              <w:pStyle w:val="14"/>
              <w:ind w:left="0" w:leftChars="0"/>
              <w:jc w:val="center"/>
              <w:rPr>
                <w:rFonts w:hint="eastAsia" w:ascii="Times New Roman" w:hAnsi="Times New Roman" w:eastAsia="仿宋_GB2312" w:cs="仿宋_GB2312"/>
                <w:sz w:val="24"/>
                <w:szCs w:val="24"/>
              </w:rPr>
            </w:pPr>
          </w:p>
        </w:tc>
        <w:tc>
          <w:tcPr>
            <w:tcW w:w="1706" w:type="dxa"/>
            <w:vMerge w:val="continue"/>
            <w:vAlign w:val="center"/>
          </w:tcPr>
          <w:p>
            <w:pPr>
              <w:widowControl/>
              <w:jc w:val="center"/>
              <w:textAlignment w:val="center"/>
              <w:rPr>
                <w:rFonts w:hint="eastAsia" w:ascii="Times New Roman" w:hAnsi="Times New Roman" w:eastAsia="仿宋_GB2312" w:cs="仿宋_GB2312"/>
                <w:sz w:val="24"/>
                <w:szCs w:val="24"/>
              </w:rPr>
            </w:pPr>
          </w:p>
        </w:tc>
        <w:tc>
          <w:tcPr>
            <w:tcW w:w="3513"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污水管网建设长度计划完成率</w:t>
            </w:r>
          </w:p>
        </w:tc>
        <w:tc>
          <w:tcPr>
            <w:tcW w:w="649"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4</w:t>
            </w:r>
          </w:p>
        </w:tc>
        <w:tc>
          <w:tcPr>
            <w:tcW w:w="685"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3.55</w:t>
            </w:r>
          </w:p>
        </w:tc>
        <w:tc>
          <w:tcPr>
            <w:tcW w:w="1053"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88.75%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06" w:type="dxa"/>
            <w:vMerge w:val="continue"/>
            <w:vAlign w:val="center"/>
          </w:tcPr>
          <w:p>
            <w:pPr>
              <w:pStyle w:val="14"/>
              <w:ind w:left="0" w:leftChars="0"/>
              <w:jc w:val="center"/>
              <w:rPr>
                <w:rFonts w:hint="eastAsia" w:ascii="Times New Roman" w:hAnsi="Times New Roman" w:eastAsia="仿宋_GB2312" w:cs="仿宋_GB2312"/>
                <w:sz w:val="24"/>
                <w:szCs w:val="24"/>
              </w:rPr>
            </w:pPr>
          </w:p>
        </w:tc>
        <w:tc>
          <w:tcPr>
            <w:tcW w:w="1706" w:type="dxa"/>
            <w:vMerge w:val="continue"/>
            <w:vAlign w:val="center"/>
          </w:tcPr>
          <w:p>
            <w:pPr>
              <w:widowControl/>
              <w:jc w:val="center"/>
              <w:textAlignment w:val="center"/>
              <w:rPr>
                <w:rFonts w:hint="eastAsia" w:ascii="Times New Roman" w:hAnsi="Times New Roman" w:eastAsia="仿宋_GB2312" w:cs="仿宋_GB2312"/>
                <w:sz w:val="24"/>
                <w:szCs w:val="24"/>
              </w:rPr>
            </w:pPr>
          </w:p>
        </w:tc>
        <w:tc>
          <w:tcPr>
            <w:tcW w:w="3513"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检查井建设数量计划完成率</w:t>
            </w:r>
          </w:p>
        </w:tc>
        <w:tc>
          <w:tcPr>
            <w:tcW w:w="649"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3</w:t>
            </w:r>
          </w:p>
        </w:tc>
        <w:tc>
          <w:tcPr>
            <w:tcW w:w="685"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1</w:t>
            </w:r>
          </w:p>
        </w:tc>
        <w:tc>
          <w:tcPr>
            <w:tcW w:w="1053"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33.33%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06" w:type="dxa"/>
            <w:vMerge w:val="continue"/>
            <w:vAlign w:val="center"/>
          </w:tcPr>
          <w:p>
            <w:pPr>
              <w:pStyle w:val="14"/>
              <w:ind w:left="0" w:leftChars="0"/>
              <w:jc w:val="center"/>
              <w:rPr>
                <w:rFonts w:hint="eastAsia" w:ascii="Times New Roman" w:hAnsi="Times New Roman" w:eastAsia="仿宋_GB2312" w:cs="仿宋_GB2312"/>
                <w:sz w:val="24"/>
                <w:szCs w:val="24"/>
              </w:rPr>
            </w:pPr>
          </w:p>
        </w:tc>
        <w:tc>
          <w:tcPr>
            <w:tcW w:w="1706" w:type="dxa"/>
            <w:vMerge w:val="continue"/>
            <w:vAlign w:val="center"/>
          </w:tcPr>
          <w:p>
            <w:pPr>
              <w:widowControl/>
              <w:jc w:val="center"/>
              <w:textAlignment w:val="center"/>
              <w:rPr>
                <w:rFonts w:hint="eastAsia" w:ascii="Times New Roman" w:hAnsi="Times New Roman" w:eastAsia="仿宋_GB2312" w:cs="仿宋_GB2312"/>
                <w:sz w:val="24"/>
                <w:szCs w:val="24"/>
              </w:rPr>
            </w:pPr>
          </w:p>
        </w:tc>
        <w:tc>
          <w:tcPr>
            <w:tcW w:w="3513"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新建污水热源泵房建设数量计划完成率</w:t>
            </w:r>
          </w:p>
        </w:tc>
        <w:tc>
          <w:tcPr>
            <w:tcW w:w="649"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2</w:t>
            </w:r>
          </w:p>
        </w:tc>
        <w:tc>
          <w:tcPr>
            <w:tcW w:w="685"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0</w:t>
            </w:r>
          </w:p>
        </w:tc>
        <w:tc>
          <w:tcPr>
            <w:tcW w:w="1053"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06" w:type="dxa"/>
            <w:vMerge w:val="continue"/>
            <w:vAlign w:val="center"/>
          </w:tcPr>
          <w:p>
            <w:pPr>
              <w:pStyle w:val="14"/>
              <w:ind w:left="0" w:leftChars="0"/>
              <w:jc w:val="center"/>
              <w:rPr>
                <w:rFonts w:hint="eastAsia" w:ascii="Times New Roman" w:hAnsi="Times New Roman" w:eastAsia="仿宋_GB2312" w:cs="仿宋_GB2312"/>
                <w:sz w:val="24"/>
                <w:szCs w:val="24"/>
              </w:rPr>
            </w:pPr>
          </w:p>
        </w:tc>
        <w:tc>
          <w:tcPr>
            <w:tcW w:w="1706" w:type="dxa"/>
            <w:vMerge w:val="continue"/>
            <w:vAlign w:val="center"/>
          </w:tcPr>
          <w:p>
            <w:pPr>
              <w:widowControl/>
              <w:jc w:val="center"/>
              <w:textAlignment w:val="center"/>
              <w:rPr>
                <w:rFonts w:hint="eastAsia" w:ascii="Times New Roman" w:hAnsi="Times New Roman" w:eastAsia="仿宋_GB2312" w:cs="仿宋_GB2312"/>
                <w:sz w:val="24"/>
                <w:szCs w:val="24"/>
              </w:rPr>
            </w:pPr>
          </w:p>
        </w:tc>
        <w:tc>
          <w:tcPr>
            <w:tcW w:w="3513"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恢复路面面积计划完成率</w:t>
            </w:r>
          </w:p>
        </w:tc>
        <w:tc>
          <w:tcPr>
            <w:tcW w:w="649"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3</w:t>
            </w:r>
          </w:p>
        </w:tc>
        <w:tc>
          <w:tcPr>
            <w:tcW w:w="685"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1.56</w:t>
            </w:r>
          </w:p>
        </w:tc>
        <w:tc>
          <w:tcPr>
            <w:tcW w:w="1053"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52%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06" w:type="dxa"/>
            <w:vMerge w:val="continue"/>
            <w:vAlign w:val="center"/>
          </w:tcPr>
          <w:p>
            <w:pPr>
              <w:jc w:val="center"/>
              <w:rPr>
                <w:rFonts w:hint="eastAsia" w:ascii="Times New Roman" w:hAnsi="Times New Roman" w:eastAsia="仿宋_GB2312" w:cs="仿宋_GB2312"/>
                <w:sz w:val="24"/>
                <w:szCs w:val="24"/>
              </w:rPr>
            </w:pPr>
          </w:p>
        </w:tc>
        <w:tc>
          <w:tcPr>
            <w:tcW w:w="1706"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产出质量（2）</w:t>
            </w:r>
          </w:p>
        </w:tc>
        <w:tc>
          <w:tcPr>
            <w:tcW w:w="3513"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color w:val="000000"/>
                <w:kern w:val="0"/>
                <w:sz w:val="24"/>
                <w:szCs w:val="24"/>
                <w:lang w:bidi="ar"/>
              </w:rPr>
              <w:t>项目质量达标率</w:t>
            </w:r>
          </w:p>
        </w:tc>
        <w:tc>
          <w:tcPr>
            <w:tcW w:w="649"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2</w:t>
            </w:r>
          </w:p>
        </w:tc>
        <w:tc>
          <w:tcPr>
            <w:tcW w:w="685" w:type="dxa"/>
            <w:vAlign w:val="center"/>
          </w:tcPr>
          <w:p>
            <w:pPr>
              <w:widowControl/>
              <w:jc w:val="center"/>
              <w:textAlignment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1</w:t>
            </w:r>
          </w:p>
        </w:tc>
        <w:tc>
          <w:tcPr>
            <w:tcW w:w="1053"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50</w:t>
            </w:r>
            <w:r>
              <w:rPr>
                <w:rFonts w:hint="eastAsia" w:ascii="Times New Roman" w:hAnsi="Times New Roman"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06" w:type="dxa"/>
            <w:vMerge w:val="continue"/>
            <w:vAlign w:val="center"/>
          </w:tcPr>
          <w:p>
            <w:pPr>
              <w:jc w:val="center"/>
              <w:rPr>
                <w:rFonts w:hint="eastAsia" w:ascii="Times New Roman" w:hAnsi="Times New Roman" w:eastAsia="仿宋_GB2312" w:cs="仿宋_GB2312"/>
                <w:sz w:val="24"/>
                <w:szCs w:val="24"/>
              </w:rPr>
            </w:pPr>
          </w:p>
        </w:tc>
        <w:tc>
          <w:tcPr>
            <w:tcW w:w="1706"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产出时效（2）</w:t>
            </w:r>
          </w:p>
        </w:tc>
        <w:tc>
          <w:tcPr>
            <w:tcW w:w="3513"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color w:val="000000"/>
                <w:kern w:val="0"/>
                <w:sz w:val="24"/>
                <w:szCs w:val="24"/>
                <w:lang w:bidi="ar"/>
              </w:rPr>
              <w:t>项目完成及时率</w:t>
            </w:r>
          </w:p>
        </w:tc>
        <w:tc>
          <w:tcPr>
            <w:tcW w:w="649"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2</w:t>
            </w:r>
          </w:p>
        </w:tc>
        <w:tc>
          <w:tcPr>
            <w:tcW w:w="685"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0</w:t>
            </w:r>
          </w:p>
        </w:tc>
        <w:tc>
          <w:tcPr>
            <w:tcW w:w="1053"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706" w:type="dxa"/>
            <w:vMerge w:val="continue"/>
            <w:vAlign w:val="center"/>
          </w:tcPr>
          <w:p>
            <w:pPr>
              <w:jc w:val="center"/>
              <w:rPr>
                <w:rFonts w:hint="eastAsia" w:ascii="Times New Roman" w:hAnsi="Times New Roman" w:eastAsia="仿宋_GB2312" w:cs="仿宋_GB2312"/>
                <w:sz w:val="24"/>
                <w:szCs w:val="24"/>
              </w:rPr>
            </w:pPr>
          </w:p>
        </w:tc>
        <w:tc>
          <w:tcPr>
            <w:tcW w:w="1706"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rPr>
              <w:t>产出成本（</w:t>
            </w:r>
            <w:r>
              <w:rPr>
                <w:rFonts w:hint="eastAsia" w:ascii="Times New Roman" w:hAnsi="Times New Roman" w:eastAsia="仿宋_GB2312" w:cs="仿宋_GB2312"/>
                <w:sz w:val="24"/>
                <w:szCs w:val="24"/>
                <w:lang w:val="en-US" w:eastAsia="zh-CN"/>
              </w:rPr>
              <w:t>5</w:t>
            </w:r>
            <w:r>
              <w:rPr>
                <w:rFonts w:hint="eastAsia" w:ascii="Times New Roman" w:hAnsi="Times New Roman" w:eastAsia="仿宋_GB2312" w:cs="仿宋_GB2312"/>
                <w:sz w:val="24"/>
                <w:szCs w:val="24"/>
              </w:rPr>
              <w:t>）</w:t>
            </w:r>
          </w:p>
        </w:tc>
        <w:tc>
          <w:tcPr>
            <w:tcW w:w="3513" w:type="dxa"/>
            <w:vAlign w:val="center"/>
          </w:tcPr>
          <w:p>
            <w:pPr>
              <w:widowControl/>
              <w:jc w:val="center"/>
              <w:textAlignment w:val="center"/>
              <w:rPr>
                <w:rFonts w:hint="eastAsia" w:ascii="Times New Roman" w:hAnsi="Times New Roman" w:eastAsia="仿宋_GB2312" w:cs="仿宋_GB2312"/>
                <w:sz w:val="24"/>
                <w:szCs w:val="24"/>
              </w:rPr>
            </w:pPr>
            <w:r>
              <w:rPr>
                <w:rFonts w:hint="eastAsia" w:ascii="Times New Roman" w:hAnsi="Times New Roman" w:eastAsia="仿宋_GB2312" w:cs="仿宋_GB2312"/>
                <w:color w:val="000000"/>
                <w:kern w:val="0"/>
                <w:sz w:val="24"/>
                <w:szCs w:val="24"/>
                <w:lang w:bidi="ar"/>
              </w:rPr>
              <w:t>计划成本控制率</w:t>
            </w:r>
          </w:p>
        </w:tc>
        <w:tc>
          <w:tcPr>
            <w:tcW w:w="649" w:type="dxa"/>
            <w:vAlign w:val="center"/>
          </w:tcPr>
          <w:p>
            <w:pPr>
              <w:widowControl/>
              <w:jc w:val="center"/>
              <w:textAlignment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5</w:t>
            </w:r>
          </w:p>
        </w:tc>
        <w:tc>
          <w:tcPr>
            <w:tcW w:w="685" w:type="dxa"/>
            <w:vAlign w:val="center"/>
          </w:tcPr>
          <w:p>
            <w:pPr>
              <w:widowControl/>
              <w:jc w:val="center"/>
              <w:textAlignment w:val="center"/>
              <w:rPr>
                <w:rFonts w:hint="eastAsia" w:ascii="Times New Roman" w:hAnsi="Times New Roman" w:eastAsia="仿宋_GB2312" w:cs="仿宋_GB2312"/>
                <w:sz w:val="24"/>
                <w:szCs w:val="24"/>
                <w:lang w:eastAsia="zh-CN"/>
              </w:rPr>
            </w:pPr>
            <w:r>
              <w:rPr>
                <w:rFonts w:hint="eastAsia" w:ascii="Times New Roman" w:hAnsi="Times New Roman" w:eastAsia="仿宋_GB2312" w:cs="仿宋_GB2312"/>
                <w:sz w:val="24"/>
                <w:szCs w:val="24"/>
                <w:lang w:val="en-US" w:eastAsia="zh-CN"/>
              </w:rPr>
              <w:t>4</w:t>
            </w:r>
          </w:p>
        </w:tc>
        <w:tc>
          <w:tcPr>
            <w:tcW w:w="1053" w:type="dxa"/>
            <w:vAlign w:val="center"/>
          </w:tcPr>
          <w:p>
            <w:pPr>
              <w:jc w:val="center"/>
              <w:rPr>
                <w:rFonts w:hint="eastAsia" w:ascii="Times New Roman" w:hAnsi="Times New Roman" w:eastAsia="仿宋_GB2312" w:cs="仿宋_GB2312"/>
                <w:sz w:val="24"/>
                <w:szCs w:val="24"/>
              </w:rPr>
            </w:pPr>
            <w:r>
              <w:rPr>
                <w:rFonts w:hint="eastAsia" w:ascii="Times New Roman" w:hAnsi="Times New Roman" w:eastAsia="仿宋_GB2312" w:cs="仿宋_GB2312"/>
                <w:sz w:val="24"/>
                <w:szCs w:val="24"/>
                <w:lang w:val="en-US" w:eastAsia="zh-CN"/>
              </w:rPr>
              <w:t>8</w:t>
            </w:r>
            <w:r>
              <w:rPr>
                <w:rFonts w:hint="eastAsia" w:ascii="Times New Roman" w:hAnsi="Times New Roman" w:eastAsia="仿宋_GB2312" w:cs="仿宋_GB2312"/>
                <w:sz w:val="24"/>
                <w:szCs w:val="24"/>
              </w:rPr>
              <w:t>0%</w:t>
            </w:r>
          </w:p>
        </w:tc>
      </w:tr>
    </w:tbl>
    <w:p>
      <w:pPr>
        <w:pStyle w:val="4"/>
        <w:rPr>
          <w:rFonts w:ascii="Times New Roman" w:hAnsi="Times New Roman"/>
        </w:rPr>
      </w:pPr>
      <w:r>
        <w:rPr>
          <w:rFonts w:hint="eastAsia" w:ascii="Times New Roman" w:hAnsi="Times New Roman"/>
        </w:rPr>
        <w:t>1.产出数量</w:t>
      </w:r>
    </w:p>
    <w:p>
      <w:pPr>
        <w:ind w:firstLine="640" w:firstLineChars="200"/>
        <w:rPr>
          <w:rFonts w:ascii="Times New Roman" w:hAnsi="Times New Roman"/>
        </w:rPr>
      </w:pPr>
      <w:r>
        <w:rPr>
          <w:rFonts w:hint="eastAsia" w:ascii="Times New Roman" w:hAnsi="Times New Roman"/>
        </w:rPr>
        <w:t>产出数量指标分值16分，得分10.11分，得分率63.18%。</w:t>
      </w:r>
    </w:p>
    <w:p>
      <w:pPr>
        <w:pStyle w:val="5"/>
        <w:numPr>
          <w:ilvl w:val="255"/>
          <w:numId w:val="0"/>
        </w:numPr>
        <w:ind w:firstLine="640" w:firstLineChars="200"/>
        <w:rPr>
          <w:rFonts w:ascii="Times New Roman" w:hAnsi="Times New Roman"/>
        </w:rPr>
      </w:pPr>
      <w:r>
        <w:rPr>
          <w:rFonts w:hint="eastAsia" w:ascii="Times New Roman" w:hAnsi="Times New Roman"/>
        </w:rPr>
        <w:t>（1）施工村庄个数计划完成率（4分）</w:t>
      </w:r>
    </w:p>
    <w:p>
      <w:pPr>
        <w:numPr>
          <w:ilvl w:val="255"/>
          <w:numId w:val="0"/>
        </w:numPr>
        <w:ind w:firstLine="640" w:firstLineChars="200"/>
        <w:rPr>
          <w:rFonts w:ascii="Times New Roman" w:hAnsi="Times New Roman"/>
        </w:rPr>
      </w:pPr>
      <w:r>
        <w:rPr>
          <w:rFonts w:ascii="Times New Roman" w:hAnsi="Times New Roman"/>
        </w:rPr>
        <w:t>根据项目产出材料及现场调研情况，项目计划施工村庄个数为13个村，项目实际施工个数为13个村，计划完成率100%。根据评分规则，该指标得100%权重分。</w:t>
      </w:r>
    </w:p>
    <w:p>
      <w:pPr>
        <w:pStyle w:val="5"/>
        <w:numPr>
          <w:ilvl w:val="0"/>
          <w:numId w:val="2"/>
        </w:numPr>
        <w:bidi w:val="0"/>
      </w:pPr>
      <w:r>
        <w:rPr>
          <w:rFonts w:hint="eastAsia"/>
        </w:rPr>
        <w:t>污水管网建设长度完成率（4分）</w:t>
      </w:r>
    </w:p>
    <w:p>
      <w:pPr>
        <w:ind w:firstLine="640" w:firstLineChars="200"/>
        <w:rPr>
          <w:rFonts w:ascii="Times New Roman" w:hAnsi="Times New Roman"/>
        </w:rPr>
      </w:pPr>
      <w:r>
        <w:rPr>
          <w:rFonts w:hint="eastAsia" w:ascii="Times New Roman" w:hAnsi="Times New Roman"/>
        </w:rPr>
        <w:t>根据项目产出材料及现场调研情况，项目计划建设农村污水管网148258米，实际建成农村污水收集管网114852米，偏差率=［1-（114852/148258）］×100%=22.54%，偏差率为22.54%，需扣0.45分。根据评分规则，该指标得3.55分。</w:t>
      </w:r>
    </w:p>
    <w:p>
      <w:pPr>
        <w:pStyle w:val="5"/>
        <w:numPr>
          <w:ilvl w:val="0"/>
          <w:numId w:val="2"/>
        </w:numPr>
        <w:bidi w:val="0"/>
      </w:pPr>
      <w:r>
        <w:rPr>
          <w:rFonts w:hint="eastAsia"/>
        </w:rPr>
        <w:t>检查井建设量完成率（3分）</w:t>
      </w:r>
    </w:p>
    <w:p>
      <w:pPr>
        <w:ind w:firstLine="640" w:firstLineChars="200"/>
        <w:rPr>
          <w:rFonts w:ascii="Times New Roman" w:hAnsi="Times New Roman"/>
        </w:rPr>
      </w:pPr>
      <w:r>
        <w:rPr>
          <w:rFonts w:hint="eastAsia" w:ascii="Times New Roman" w:hAnsi="Times New Roman"/>
        </w:rPr>
        <w:t>根据项目产出材料及现场调研情况，项目计划建设检查井2671个，实际建成检查井8032个。偏差率=（8032/2671）×100%-1=200%，偏差率为200%，需扣2分。根据评分规则，该指标得1分。</w:t>
      </w:r>
    </w:p>
    <w:p>
      <w:pPr>
        <w:pStyle w:val="5"/>
        <w:numPr>
          <w:ilvl w:val="0"/>
          <w:numId w:val="2"/>
        </w:numPr>
        <w:bidi w:val="0"/>
      </w:pPr>
      <w:r>
        <w:rPr>
          <w:rFonts w:hint="eastAsia"/>
        </w:rPr>
        <w:t>新建污水热源泵房建设数量完成率（2分）</w:t>
      </w:r>
    </w:p>
    <w:p>
      <w:pPr>
        <w:ind w:firstLine="640" w:firstLineChars="200"/>
        <w:rPr>
          <w:rFonts w:ascii="Times New Roman" w:hAnsi="Times New Roman"/>
        </w:rPr>
      </w:pPr>
      <w:r>
        <w:rPr>
          <w:rFonts w:hint="eastAsia" w:ascii="Times New Roman" w:hAnsi="Times New Roman"/>
        </w:rPr>
        <w:t>根据项目产出材料及现场调研情况，项目新建资源化处理站（污水源热泵房）工程未完工，根据评分规则，该指标不得分。</w:t>
      </w:r>
    </w:p>
    <w:p>
      <w:pPr>
        <w:numPr>
          <w:ilvl w:val="0"/>
          <w:numId w:val="2"/>
        </w:numPr>
        <w:ind w:firstLine="640" w:firstLineChars="200"/>
        <w:rPr>
          <w:rFonts w:ascii="Times New Roman" w:hAnsi="Times New Roman"/>
        </w:rPr>
      </w:pPr>
      <w:r>
        <w:rPr>
          <w:rFonts w:hint="eastAsia" w:ascii="Times New Roman" w:hAnsi="Times New Roman"/>
        </w:rPr>
        <w:t>恢复路面面积计划完成率（3分）</w:t>
      </w:r>
    </w:p>
    <w:p>
      <w:pPr>
        <w:ind w:firstLine="640" w:firstLineChars="200"/>
        <w:rPr>
          <w:rFonts w:ascii="Times New Roman" w:hAnsi="Times New Roman"/>
        </w:rPr>
      </w:pPr>
      <w:r>
        <w:rPr>
          <w:rFonts w:hint="eastAsia" w:ascii="Times New Roman" w:hAnsi="Times New Roman"/>
        </w:rPr>
        <w:t>根据项目产出材料及现场调研情况，项目预计恢复路面面积56000平方米，实际恢复路面积136594平方米。偏差率=［（136594/56000）</w:t>
      </w:r>
      <w:r>
        <w:rPr>
          <w:rFonts w:hint="eastAsia" w:ascii="Times New Roman" w:hAnsi="Times New Roman"/>
          <w:lang w:val="en-US" w:eastAsia="zh-CN"/>
        </w:rPr>
        <w:t>-1</w:t>
      </w:r>
      <w:r>
        <w:rPr>
          <w:rFonts w:hint="eastAsia" w:ascii="Times New Roman" w:hAnsi="Times New Roman"/>
        </w:rPr>
        <w:t>］×100%=143.91%，偏差率为143.91%，需扣1.44分。根据评分规则，该指标得1.56分。</w:t>
      </w:r>
    </w:p>
    <w:p>
      <w:pPr>
        <w:pStyle w:val="4"/>
        <w:rPr>
          <w:rFonts w:ascii="Times New Roman" w:hAnsi="Times New Roman"/>
        </w:rPr>
      </w:pPr>
      <w:r>
        <w:rPr>
          <w:rFonts w:hint="eastAsia" w:ascii="Times New Roman" w:hAnsi="Times New Roman"/>
        </w:rPr>
        <w:t>2.产出质量</w:t>
      </w:r>
    </w:p>
    <w:p>
      <w:pPr>
        <w:ind w:firstLine="640" w:firstLineChars="200"/>
        <w:rPr>
          <w:rFonts w:ascii="Times New Roman" w:hAnsi="Times New Roman"/>
        </w:rPr>
      </w:pPr>
      <w:r>
        <w:rPr>
          <w:rFonts w:hint="eastAsia" w:ascii="Times New Roman" w:hAnsi="Times New Roman"/>
        </w:rPr>
        <w:t>产出质量指标分值2分，得分</w:t>
      </w:r>
      <w:r>
        <w:rPr>
          <w:rFonts w:hint="eastAsia" w:ascii="Times New Roman" w:hAnsi="Times New Roman"/>
          <w:lang w:val="en-US" w:eastAsia="zh-CN"/>
        </w:rPr>
        <w:t>1</w:t>
      </w:r>
      <w:r>
        <w:rPr>
          <w:rFonts w:hint="eastAsia" w:ascii="Times New Roman" w:hAnsi="Times New Roman"/>
        </w:rPr>
        <w:t>分，得分率</w:t>
      </w:r>
      <w:r>
        <w:rPr>
          <w:rFonts w:hint="eastAsia" w:ascii="Times New Roman" w:hAnsi="Times New Roman"/>
          <w:lang w:val="en-US" w:eastAsia="zh-CN"/>
        </w:rPr>
        <w:t>5</w:t>
      </w:r>
      <w:r>
        <w:rPr>
          <w:rFonts w:hint="eastAsia" w:ascii="Times New Roman" w:hAnsi="Times New Roman"/>
        </w:rPr>
        <w:t>0%。</w:t>
      </w:r>
    </w:p>
    <w:p>
      <w:pPr>
        <w:pStyle w:val="5"/>
        <w:rPr>
          <w:rFonts w:ascii="Times New Roman" w:hAnsi="Times New Roman"/>
        </w:rPr>
      </w:pPr>
      <w:r>
        <w:rPr>
          <w:rFonts w:hint="eastAsia" w:ascii="Times New Roman" w:hAnsi="Times New Roman"/>
        </w:rPr>
        <w:t>（1）项目质量达标率（2分）</w:t>
      </w:r>
    </w:p>
    <w:p>
      <w:pPr>
        <w:ind w:firstLine="640" w:firstLineChars="200"/>
        <w:rPr>
          <w:rFonts w:ascii="Times New Roman" w:hAnsi="Times New Roman"/>
        </w:rPr>
      </w:pPr>
      <w:r>
        <w:rPr>
          <w:rFonts w:hint="eastAsia" w:ascii="Times New Roman" w:hAnsi="Times New Roman"/>
        </w:rPr>
        <w:t>根据项目过程材料及实地调研情况，项目</w:t>
      </w:r>
      <w:r>
        <w:rPr>
          <w:rFonts w:hint="eastAsia" w:ascii="Times New Roman" w:hAnsi="Times New Roman"/>
          <w:lang w:val="en-US" w:eastAsia="zh-CN"/>
        </w:rPr>
        <w:t>已完工并开始投入使用，目前正在</w:t>
      </w:r>
      <w:r>
        <w:rPr>
          <w:rFonts w:hint="eastAsia" w:ascii="Times New Roman" w:hAnsi="Times New Roman"/>
        </w:rPr>
        <w:t>进行竣工验收，缺少验收报告和质量评估报告，根据评分规则，该指标</w:t>
      </w:r>
      <w:r>
        <w:rPr>
          <w:rFonts w:hint="eastAsia" w:ascii="Times New Roman" w:hAnsi="Times New Roman"/>
          <w:lang w:val="en-US" w:eastAsia="zh-CN"/>
        </w:rPr>
        <w:t>可</w:t>
      </w:r>
      <w:r>
        <w:rPr>
          <w:rFonts w:hint="eastAsia" w:ascii="Times New Roman" w:hAnsi="Times New Roman"/>
        </w:rPr>
        <w:t>酌情</w:t>
      </w:r>
      <w:r>
        <w:rPr>
          <w:rFonts w:hint="eastAsia" w:ascii="Times New Roman" w:hAnsi="Times New Roman"/>
          <w:lang w:val="en-US" w:eastAsia="zh-CN"/>
        </w:rPr>
        <w:t>得</w:t>
      </w:r>
      <w:r>
        <w:rPr>
          <w:rFonts w:hint="eastAsia" w:ascii="Times New Roman" w:hAnsi="Times New Roman"/>
        </w:rPr>
        <w:t>1分。</w:t>
      </w:r>
    </w:p>
    <w:p>
      <w:pPr>
        <w:pStyle w:val="4"/>
        <w:rPr>
          <w:rFonts w:ascii="Times New Roman" w:hAnsi="Times New Roman"/>
        </w:rPr>
      </w:pPr>
      <w:r>
        <w:rPr>
          <w:rFonts w:hint="eastAsia" w:ascii="Times New Roman" w:hAnsi="Times New Roman"/>
        </w:rPr>
        <w:t>3.产出时效</w:t>
      </w:r>
    </w:p>
    <w:p>
      <w:pPr>
        <w:ind w:firstLine="640" w:firstLineChars="200"/>
        <w:rPr>
          <w:rFonts w:ascii="Times New Roman" w:hAnsi="Times New Roman"/>
        </w:rPr>
      </w:pPr>
      <w:r>
        <w:rPr>
          <w:rFonts w:hint="eastAsia" w:ascii="Times New Roman" w:hAnsi="Times New Roman"/>
        </w:rPr>
        <w:t>产出时效指标分值2分，得分0分，得分率0%。</w:t>
      </w:r>
    </w:p>
    <w:p>
      <w:pPr>
        <w:pStyle w:val="5"/>
        <w:rPr>
          <w:rFonts w:ascii="Times New Roman" w:hAnsi="Times New Roman"/>
        </w:rPr>
      </w:pPr>
      <w:r>
        <w:rPr>
          <w:rFonts w:hint="eastAsia" w:ascii="Times New Roman" w:hAnsi="Times New Roman"/>
        </w:rPr>
        <w:t>（1）项目完成及时率（2分）</w:t>
      </w:r>
    </w:p>
    <w:p>
      <w:pPr>
        <w:ind w:firstLine="640" w:firstLineChars="200"/>
        <w:rPr>
          <w:rFonts w:ascii="Times New Roman" w:hAnsi="Times New Roman"/>
        </w:rPr>
      </w:pPr>
      <w:r>
        <w:rPr>
          <w:rFonts w:hint="eastAsia" w:ascii="Times New Roman" w:hAnsi="Times New Roman"/>
        </w:rPr>
        <w:t>根据项目过程资料及实地调研情况，项目尚有资源化处理站（污水热源泵房）未完工，亦无相关竣工手续。根据评分规则，该指标不得分。</w:t>
      </w:r>
    </w:p>
    <w:p>
      <w:pPr>
        <w:pStyle w:val="4"/>
        <w:rPr>
          <w:rFonts w:ascii="Times New Roman" w:hAnsi="Times New Roman"/>
        </w:rPr>
      </w:pPr>
      <w:r>
        <w:rPr>
          <w:rFonts w:hint="eastAsia" w:ascii="Times New Roman" w:hAnsi="Times New Roman"/>
        </w:rPr>
        <w:t>4.产出成本</w:t>
      </w:r>
    </w:p>
    <w:p>
      <w:pPr>
        <w:ind w:firstLine="640" w:firstLineChars="200"/>
        <w:rPr>
          <w:rFonts w:ascii="Times New Roman" w:hAnsi="Times New Roman"/>
        </w:rPr>
      </w:pPr>
      <w:r>
        <w:rPr>
          <w:rFonts w:hint="eastAsia" w:ascii="Times New Roman" w:hAnsi="Times New Roman"/>
        </w:rPr>
        <w:t>产出成本指标分值</w:t>
      </w:r>
      <w:r>
        <w:rPr>
          <w:rFonts w:hint="eastAsia" w:ascii="Times New Roman" w:hAnsi="Times New Roman"/>
          <w:lang w:val="en-US" w:eastAsia="zh-CN"/>
        </w:rPr>
        <w:t>5</w:t>
      </w:r>
      <w:r>
        <w:rPr>
          <w:rFonts w:hint="eastAsia" w:ascii="Times New Roman" w:hAnsi="Times New Roman"/>
        </w:rPr>
        <w:t>分，得分</w:t>
      </w:r>
      <w:r>
        <w:rPr>
          <w:rFonts w:hint="eastAsia" w:ascii="Times New Roman" w:hAnsi="Times New Roman"/>
          <w:lang w:val="en-US" w:eastAsia="zh-CN"/>
        </w:rPr>
        <w:t>5</w:t>
      </w:r>
      <w:r>
        <w:rPr>
          <w:rFonts w:hint="eastAsia" w:ascii="Times New Roman" w:hAnsi="Times New Roman"/>
        </w:rPr>
        <w:t>分，得分率100%。</w:t>
      </w:r>
    </w:p>
    <w:p>
      <w:pPr>
        <w:pStyle w:val="5"/>
        <w:rPr>
          <w:rFonts w:ascii="Times New Roman" w:hAnsi="Times New Roman"/>
        </w:rPr>
      </w:pPr>
      <w:r>
        <w:rPr>
          <w:rFonts w:hint="eastAsia" w:ascii="Times New Roman" w:hAnsi="Times New Roman"/>
        </w:rPr>
        <w:t>（1）计划成本控制率（</w:t>
      </w:r>
      <w:r>
        <w:rPr>
          <w:rFonts w:hint="eastAsia" w:ascii="Times New Roman" w:hAnsi="Times New Roman"/>
          <w:lang w:val="en-US" w:eastAsia="zh-CN"/>
        </w:rPr>
        <w:t>5</w:t>
      </w:r>
      <w:r>
        <w:rPr>
          <w:rFonts w:hint="eastAsia" w:ascii="Times New Roman" w:hAnsi="Times New Roman"/>
        </w:rPr>
        <w:t>分）</w:t>
      </w:r>
    </w:p>
    <w:p>
      <w:pPr>
        <w:ind w:firstLine="640" w:firstLineChars="200"/>
        <w:rPr>
          <w:rFonts w:ascii="Times New Roman" w:hAnsi="Times New Roman"/>
        </w:rPr>
      </w:pPr>
      <w:r>
        <w:rPr>
          <w:rFonts w:hint="eastAsia" w:ascii="Times New Roman" w:hAnsi="Times New Roman"/>
        </w:rPr>
        <w:t>本项目截至评价时已超工期且尚未完工，项目未进行结算，无法获取项目总成本，根据项目过程材料及现场调研情况，该指标酌情扣减1分。</w:t>
      </w:r>
    </w:p>
    <w:p>
      <w:pPr>
        <w:ind w:firstLine="640" w:firstLineChars="200"/>
        <w:rPr>
          <w:rFonts w:ascii="Times New Roman" w:hAnsi="Times New Roman"/>
        </w:rPr>
      </w:pPr>
      <w:r>
        <w:rPr>
          <w:rFonts w:hint="eastAsia" w:ascii="Times New Roman" w:hAnsi="Times New Roman"/>
        </w:rPr>
        <w:t>计划成本控制率=（4222.379989/6800）×100%=62.09%</w:t>
      </w:r>
    </w:p>
    <w:p>
      <w:pPr>
        <w:ind w:firstLine="640" w:firstLineChars="200"/>
        <w:rPr>
          <w:rFonts w:ascii="Times New Roman" w:hAnsi="Times New Roman"/>
        </w:rPr>
      </w:pPr>
      <w:r>
        <w:rPr>
          <w:rFonts w:hint="eastAsia" w:ascii="Times New Roman" w:hAnsi="Times New Roman"/>
        </w:rPr>
        <w:t>根据评分规则，该指标得100%权重分。</w:t>
      </w:r>
    </w:p>
    <w:p>
      <w:pPr>
        <w:pStyle w:val="3"/>
        <w:rPr>
          <w:rFonts w:ascii="Times New Roman" w:hAnsi="Times New Roman"/>
        </w:rPr>
      </w:pPr>
      <w:bookmarkStart w:id="60" w:name="_Toc27964"/>
      <w:bookmarkStart w:id="61" w:name="_Toc14443"/>
      <w:bookmarkStart w:id="62" w:name="_Toc23600"/>
      <w:bookmarkStart w:id="63" w:name="_Toc19476"/>
      <w:r>
        <w:rPr>
          <w:rFonts w:hint="eastAsia" w:ascii="Times New Roman" w:hAnsi="Times New Roman"/>
        </w:rPr>
        <w:t>（四）项目效益情况</w:t>
      </w:r>
      <w:bookmarkEnd w:id="60"/>
      <w:bookmarkEnd w:id="61"/>
      <w:bookmarkEnd w:id="62"/>
      <w:bookmarkEnd w:id="63"/>
    </w:p>
    <w:p>
      <w:pPr>
        <w:ind w:firstLine="640" w:firstLineChars="200"/>
        <w:rPr>
          <w:rFonts w:hint="default" w:ascii="Times New Roman" w:hAnsi="Times New Roman"/>
          <w:b/>
          <w:bCs/>
          <w:sz w:val="32"/>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eastAsia" w:ascii="Times New Roman" w:hAnsi="Times New Roman"/>
          <w:sz w:val="32"/>
        </w:rPr>
        <w:t>项目效益部分主要从</w:t>
      </w:r>
      <w:r>
        <w:rPr>
          <w:rFonts w:hint="eastAsia" w:ascii="Times New Roman" w:hAnsi="Times New Roman"/>
          <w:sz w:val="32"/>
          <w:lang w:val="en-US" w:eastAsia="zh-CN"/>
        </w:rPr>
        <w:t>经济效益、生态效益、</w:t>
      </w:r>
      <w:r>
        <w:rPr>
          <w:rFonts w:hint="eastAsia" w:ascii="Times New Roman" w:hAnsi="Times New Roman"/>
          <w:sz w:val="32"/>
        </w:rPr>
        <w:t>社会效益、可持续影响和满意度</w:t>
      </w:r>
      <w:r>
        <w:rPr>
          <w:rFonts w:hint="eastAsia" w:ascii="Times New Roman" w:hAnsi="Times New Roman"/>
          <w:sz w:val="32"/>
          <w:lang w:val="en-US" w:eastAsia="zh-CN"/>
        </w:rPr>
        <w:t>五</w:t>
      </w:r>
      <w:r>
        <w:rPr>
          <w:rFonts w:hint="eastAsia" w:ascii="Times New Roman" w:hAnsi="Times New Roman"/>
          <w:sz w:val="32"/>
        </w:rPr>
        <w:t>个方面进行评价。各指标得分</w:t>
      </w:r>
      <w:r>
        <w:rPr>
          <w:rFonts w:hint="eastAsia" w:ascii="Times New Roman" w:hAnsi="Times New Roman"/>
          <w:sz w:val="32"/>
          <w:lang w:val="en-US" w:eastAsia="zh-CN"/>
        </w:rPr>
        <w:t>见</w:t>
      </w:r>
      <w:r>
        <w:rPr>
          <w:rFonts w:hint="eastAsia" w:ascii="Times New Roman" w:hAnsi="Times New Roman"/>
          <w:b/>
          <w:bCs/>
          <w:sz w:val="32"/>
          <w:lang w:val="en-US" w:eastAsia="zh-CN"/>
        </w:rPr>
        <w:t>表</w:t>
      </w:r>
      <w:r>
        <w:rPr>
          <w:rFonts w:hint="eastAsia"/>
          <w:b/>
          <w:bCs/>
          <w:sz w:val="32"/>
          <w:lang w:val="en-US" w:eastAsia="zh-CN"/>
        </w:rPr>
        <w:t>6</w:t>
      </w:r>
    </w:p>
    <w:p>
      <w:pPr>
        <w:ind w:firstLine="643" w:firstLineChars="200"/>
        <w:rPr>
          <w:rFonts w:hint="default" w:ascii="Times New Roman" w:hAnsi="Times New Roman"/>
          <w:b/>
          <w:bCs/>
          <w:sz w:val="32"/>
          <w:lang w:val="en-US" w:eastAsia="zh-CN"/>
        </w:rPr>
      </w:pPr>
    </w:p>
    <w:p>
      <w:pPr>
        <w:jc w:val="center"/>
        <w:rPr>
          <w:rFonts w:ascii="Times New Roman" w:hAnsi="Times New Roman"/>
          <w:b/>
          <w:bCs/>
          <w:sz w:val="28"/>
          <w:szCs w:val="28"/>
        </w:rPr>
      </w:pPr>
      <w:r>
        <w:rPr>
          <w:rFonts w:hint="eastAsia" w:ascii="Times New Roman" w:hAnsi="Times New Roman"/>
          <w:b/>
          <w:bCs/>
          <w:sz w:val="28"/>
          <w:szCs w:val="28"/>
        </w:rPr>
        <w:t>表</w:t>
      </w:r>
      <w:r>
        <w:rPr>
          <w:rFonts w:hint="eastAsia"/>
          <w:b/>
          <w:bCs/>
          <w:sz w:val="28"/>
          <w:szCs w:val="28"/>
          <w:lang w:val="en-US" w:eastAsia="zh-CN"/>
        </w:rPr>
        <w:t>6</w:t>
      </w:r>
      <w:r>
        <w:rPr>
          <w:rFonts w:hint="eastAsia" w:ascii="Times New Roman" w:hAnsi="Times New Roman"/>
          <w:b/>
          <w:bCs/>
          <w:sz w:val="28"/>
          <w:szCs w:val="28"/>
        </w:rPr>
        <w:t xml:space="preserve"> 项目效益情况</w:t>
      </w:r>
    </w:p>
    <w:tbl>
      <w:tblPr>
        <w:tblStyle w:val="16"/>
        <w:tblW w:w="87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1"/>
        <w:gridCol w:w="1865"/>
        <w:gridCol w:w="2559"/>
        <w:gridCol w:w="851"/>
        <w:gridCol w:w="929"/>
        <w:gridCol w:w="11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1441"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一级指标及分值</w:t>
            </w:r>
          </w:p>
        </w:tc>
        <w:tc>
          <w:tcPr>
            <w:tcW w:w="1865"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二级指标及分值</w:t>
            </w:r>
          </w:p>
        </w:tc>
        <w:tc>
          <w:tcPr>
            <w:tcW w:w="2559"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三级指标及分值</w:t>
            </w:r>
          </w:p>
        </w:tc>
        <w:tc>
          <w:tcPr>
            <w:tcW w:w="851"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分值</w:t>
            </w:r>
          </w:p>
        </w:tc>
        <w:tc>
          <w:tcPr>
            <w:tcW w:w="929"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得分</w:t>
            </w:r>
          </w:p>
        </w:tc>
        <w:tc>
          <w:tcPr>
            <w:tcW w:w="1151" w:type="dxa"/>
            <w:shd w:val="clear" w:color="auto" w:fill="CFCECE" w:themeFill="background2" w:themeFillShade="E5"/>
            <w:vAlign w:val="center"/>
          </w:tcPr>
          <w:p>
            <w:pPr>
              <w:jc w:val="center"/>
              <w:rPr>
                <w:rFonts w:ascii="Times New Roman" w:hAnsi="Times New Roman"/>
                <w:b/>
                <w:bCs/>
                <w:sz w:val="24"/>
                <w:szCs w:val="24"/>
              </w:rPr>
            </w:pPr>
            <w:r>
              <w:rPr>
                <w:rFonts w:hint="eastAsia" w:ascii="Times New Roman" w:hAnsi="Times New Roman"/>
                <w:b/>
                <w:bCs/>
                <w:sz w:val="24"/>
                <w:szCs w:val="24"/>
              </w:rPr>
              <w:t>得分率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1441" w:type="dxa"/>
            <w:vMerge w:val="restart"/>
            <w:shd w:val="clear" w:color="auto" w:fill="auto"/>
            <w:vAlign w:val="center"/>
          </w:tcPr>
          <w:p>
            <w:pPr>
              <w:pStyle w:val="14"/>
              <w:ind w:left="0" w:leftChars="0"/>
              <w:jc w:val="center"/>
              <w:rPr>
                <w:rFonts w:ascii="Times New Roman" w:hAnsi="Times New Roman"/>
                <w:sz w:val="24"/>
                <w:szCs w:val="24"/>
              </w:rPr>
            </w:pPr>
            <w:r>
              <w:rPr>
                <w:rFonts w:hint="eastAsia" w:ascii="Times New Roman" w:hAnsi="Times New Roman"/>
                <w:sz w:val="24"/>
                <w:szCs w:val="24"/>
                <w:lang w:val="en-US" w:eastAsia="zh-CN"/>
              </w:rPr>
              <w:t>项目</w:t>
            </w:r>
            <w:r>
              <w:rPr>
                <w:rFonts w:hint="eastAsia" w:ascii="Times New Roman" w:hAnsi="Times New Roman"/>
                <w:sz w:val="24"/>
                <w:szCs w:val="24"/>
              </w:rPr>
              <w:t>效益</w:t>
            </w:r>
          </w:p>
          <w:p>
            <w:pPr>
              <w:pStyle w:val="14"/>
              <w:ind w:left="0" w:leftChars="0"/>
              <w:jc w:val="center"/>
              <w:rPr>
                <w:rFonts w:ascii="Times New Roman" w:hAnsi="Times New Roman"/>
                <w:sz w:val="24"/>
                <w:szCs w:val="24"/>
              </w:rPr>
            </w:pPr>
            <w:r>
              <w:rPr>
                <w:rFonts w:hint="eastAsia" w:ascii="Times New Roman" w:hAnsi="Times New Roman"/>
                <w:sz w:val="24"/>
                <w:szCs w:val="24"/>
              </w:rPr>
              <w:t>（</w:t>
            </w:r>
            <w:r>
              <w:rPr>
                <w:rFonts w:hint="eastAsia" w:ascii="Times New Roman" w:hAnsi="Times New Roman"/>
                <w:sz w:val="24"/>
                <w:szCs w:val="24"/>
                <w:lang w:val="en-US" w:eastAsia="zh-CN"/>
              </w:rPr>
              <w:t>25</w:t>
            </w:r>
            <w:r>
              <w:rPr>
                <w:rFonts w:hint="eastAsia" w:ascii="Times New Roman" w:hAnsi="Times New Roman"/>
                <w:sz w:val="24"/>
                <w:szCs w:val="24"/>
              </w:rPr>
              <w:t>）</w:t>
            </w:r>
          </w:p>
        </w:tc>
        <w:tc>
          <w:tcPr>
            <w:tcW w:w="1865" w:type="dxa"/>
            <w:shd w:val="clear" w:color="auto" w:fill="auto"/>
            <w:vAlign w:val="center"/>
          </w:tcPr>
          <w:p>
            <w:pPr>
              <w:widowControl/>
              <w:jc w:val="center"/>
              <w:textAlignment w:val="center"/>
              <w:rPr>
                <w:rFonts w:hint="eastAsia"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经济效益（5）</w:t>
            </w:r>
          </w:p>
        </w:tc>
        <w:tc>
          <w:tcPr>
            <w:tcW w:w="2559" w:type="dxa"/>
            <w:shd w:val="clear" w:color="auto" w:fill="auto"/>
            <w:vAlign w:val="center"/>
          </w:tcPr>
          <w:p>
            <w:pPr>
              <w:widowControl/>
              <w:jc w:val="center"/>
              <w:textAlignment w:val="center"/>
              <w:rPr>
                <w:rFonts w:hint="eastAsia"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供热、供冷年均净收益</w:t>
            </w:r>
          </w:p>
        </w:tc>
        <w:tc>
          <w:tcPr>
            <w:tcW w:w="851" w:type="dxa"/>
            <w:shd w:val="clear" w:color="auto" w:fill="auto"/>
            <w:vAlign w:val="center"/>
          </w:tcPr>
          <w:p>
            <w:pPr>
              <w:widowControl/>
              <w:jc w:val="center"/>
              <w:textAlignment w:val="center"/>
              <w:rPr>
                <w:rFonts w:hint="eastAsia"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5</w:t>
            </w:r>
          </w:p>
        </w:tc>
        <w:tc>
          <w:tcPr>
            <w:tcW w:w="929" w:type="dxa"/>
            <w:shd w:val="clear" w:color="auto" w:fill="auto"/>
            <w:vAlign w:val="center"/>
          </w:tcPr>
          <w:p>
            <w:pPr>
              <w:widowControl/>
              <w:jc w:val="center"/>
              <w:textAlignment w:val="center"/>
              <w:rPr>
                <w:rFonts w:hint="eastAsia"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2</w:t>
            </w:r>
          </w:p>
        </w:tc>
        <w:tc>
          <w:tcPr>
            <w:tcW w:w="1151" w:type="dxa"/>
            <w:shd w:val="clear" w:color="auto" w:fill="auto"/>
            <w:vAlign w:val="center"/>
          </w:tcPr>
          <w:p>
            <w:pPr>
              <w:widowControl/>
              <w:jc w:val="center"/>
              <w:textAlignment w:val="center"/>
              <w:rPr>
                <w:rFonts w:hint="default"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441" w:type="dxa"/>
            <w:vMerge w:val="continue"/>
            <w:shd w:val="clear" w:color="auto" w:fill="auto"/>
            <w:vAlign w:val="center"/>
          </w:tcPr>
          <w:p>
            <w:pPr>
              <w:pStyle w:val="14"/>
              <w:ind w:left="0" w:leftChars="0"/>
              <w:jc w:val="center"/>
              <w:rPr>
                <w:rFonts w:hint="eastAsia" w:ascii="Times New Roman" w:hAnsi="Times New Roman"/>
                <w:sz w:val="24"/>
                <w:szCs w:val="24"/>
              </w:rPr>
            </w:pPr>
          </w:p>
        </w:tc>
        <w:tc>
          <w:tcPr>
            <w:tcW w:w="1865" w:type="dxa"/>
            <w:vMerge w:val="restart"/>
            <w:shd w:val="clear" w:color="auto" w:fill="auto"/>
            <w:vAlign w:val="center"/>
          </w:tcPr>
          <w:p>
            <w:pPr>
              <w:widowControl/>
              <w:jc w:val="center"/>
              <w:textAlignment w:val="center"/>
              <w:rPr>
                <w:rFonts w:hint="default"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生态效益（5）</w:t>
            </w:r>
          </w:p>
        </w:tc>
        <w:tc>
          <w:tcPr>
            <w:tcW w:w="2559" w:type="dxa"/>
            <w:shd w:val="clear" w:color="auto" w:fill="auto"/>
            <w:vAlign w:val="center"/>
          </w:tcPr>
          <w:p>
            <w:pPr>
              <w:widowControl/>
              <w:jc w:val="center"/>
              <w:textAlignment w:val="center"/>
              <w:rPr>
                <w:rFonts w:hint="eastAsia"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污水环境改善</w:t>
            </w:r>
          </w:p>
        </w:tc>
        <w:tc>
          <w:tcPr>
            <w:tcW w:w="851" w:type="dxa"/>
            <w:shd w:val="clear" w:color="auto" w:fill="auto"/>
            <w:vAlign w:val="center"/>
          </w:tcPr>
          <w:p>
            <w:pPr>
              <w:widowControl/>
              <w:jc w:val="center"/>
              <w:textAlignment w:val="center"/>
              <w:rPr>
                <w:rFonts w:hint="default"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2</w:t>
            </w:r>
          </w:p>
        </w:tc>
        <w:tc>
          <w:tcPr>
            <w:tcW w:w="929" w:type="dxa"/>
            <w:shd w:val="clear" w:color="auto" w:fill="auto"/>
            <w:vAlign w:val="center"/>
          </w:tcPr>
          <w:p>
            <w:pPr>
              <w:widowControl/>
              <w:jc w:val="center"/>
              <w:textAlignment w:val="center"/>
              <w:rPr>
                <w:rFonts w:hint="default"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2</w:t>
            </w:r>
          </w:p>
        </w:tc>
        <w:tc>
          <w:tcPr>
            <w:tcW w:w="1151" w:type="dxa"/>
            <w:shd w:val="clear" w:color="auto" w:fill="auto"/>
            <w:vAlign w:val="center"/>
          </w:tcPr>
          <w:p>
            <w:pPr>
              <w:widowControl/>
              <w:jc w:val="center"/>
              <w:textAlignment w:val="center"/>
              <w:rPr>
                <w:rFonts w:hint="default"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441" w:type="dxa"/>
            <w:vMerge w:val="continue"/>
            <w:shd w:val="clear" w:color="auto" w:fill="auto"/>
            <w:vAlign w:val="center"/>
          </w:tcPr>
          <w:p>
            <w:pPr>
              <w:pStyle w:val="14"/>
              <w:ind w:left="0" w:leftChars="0"/>
              <w:jc w:val="center"/>
              <w:rPr>
                <w:rFonts w:hint="eastAsia" w:ascii="Times New Roman" w:hAnsi="Times New Roman"/>
                <w:sz w:val="24"/>
                <w:szCs w:val="24"/>
              </w:rPr>
            </w:pPr>
          </w:p>
        </w:tc>
        <w:tc>
          <w:tcPr>
            <w:tcW w:w="1865" w:type="dxa"/>
            <w:vMerge w:val="continue"/>
            <w:shd w:val="clear" w:color="auto" w:fill="auto"/>
            <w:vAlign w:val="center"/>
          </w:tcPr>
          <w:p>
            <w:pPr>
              <w:widowControl/>
              <w:jc w:val="center"/>
              <w:textAlignment w:val="center"/>
              <w:rPr>
                <w:rFonts w:hint="eastAsia" w:ascii="Times New Roman" w:hAnsi="Times New Roman" w:cs="Times New Roman"/>
                <w:color w:val="000000"/>
                <w:kern w:val="0"/>
                <w:sz w:val="24"/>
                <w:szCs w:val="24"/>
                <w:lang w:val="en-US" w:eastAsia="zh-CN" w:bidi="ar"/>
              </w:rPr>
            </w:pPr>
          </w:p>
        </w:tc>
        <w:tc>
          <w:tcPr>
            <w:tcW w:w="2559" w:type="dxa"/>
            <w:shd w:val="clear" w:color="auto" w:fill="auto"/>
            <w:vAlign w:val="center"/>
          </w:tcPr>
          <w:p>
            <w:pPr>
              <w:keepNext w:val="0"/>
              <w:keepLines w:val="0"/>
              <w:widowControl/>
              <w:suppressLineNumbers w:val="0"/>
              <w:jc w:val="center"/>
              <w:textAlignment w:val="center"/>
              <w:rPr>
                <w:rFonts w:hint="eastAsia" w:ascii="Times New Roman" w:hAnsi="Times New Roman" w:eastAsia="宋体" w:cs="宋体"/>
                <w:i w:val="0"/>
                <w:iCs w:val="0"/>
                <w:color w:val="FF0000"/>
                <w:kern w:val="2"/>
                <w:sz w:val="24"/>
                <w:szCs w:val="24"/>
                <w:u w:val="none"/>
                <w:lang w:val="en-US" w:eastAsia="zh-CN" w:bidi="ar-SA"/>
              </w:rPr>
            </w:pPr>
            <w:r>
              <w:rPr>
                <w:rFonts w:hint="eastAsia" w:ascii="Times New Roman" w:hAnsi="Times New Roman" w:eastAsia="仿宋_GB2312" w:cs="Times New Roman"/>
                <w:i w:val="0"/>
                <w:iCs w:val="0"/>
                <w:color w:val="000000"/>
                <w:kern w:val="0"/>
                <w:sz w:val="24"/>
                <w:szCs w:val="24"/>
                <w:u w:val="none"/>
                <w:lang w:val="en-US" w:eastAsia="zh-CN" w:bidi="ar"/>
              </w:rPr>
              <w:t>节能降碳</w:t>
            </w:r>
          </w:p>
        </w:tc>
        <w:tc>
          <w:tcPr>
            <w:tcW w:w="851" w:type="dxa"/>
            <w:shd w:val="clear" w:color="auto" w:fill="auto"/>
            <w:vAlign w:val="center"/>
          </w:tcPr>
          <w:p>
            <w:pPr>
              <w:widowControl/>
              <w:jc w:val="center"/>
              <w:textAlignment w:val="center"/>
              <w:rPr>
                <w:rFonts w:hint="default"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3</w:t>
            </w:r>
          </w:p>
        </w:tc>
        <w:tc>
          <w:tcPr>
            <w:tcW w:w="929" w:type="dxa"/>
            <w:shd w:val="clear" w:color="auto" w:fill="auto"/>
            <w:vAlign w:val="center"/>
          </w:tcPr>
          <w:p>
            <w:pPr>
              <w:widowControl/>
              <w:jc w:val="center"/>
              <w:textAlignment w:val="center"/>
              <w:rPr>
                <w:rFonts w:hint="default"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1</w:t>
            </w:r>
          </w:p>
        </w:tc>
        <w:tc>
          <w:tcPr>
            <w:tcW w:w="1151" w:type="dxa"/>
            <w:shd w:val="clear" w:color="auto" w:fill="auto"/>
            <w:vAlign w:val="center"/>
          </w:tcPr>
          <w:p>
            <w:pPr>
              <w:widowControl/>
              <w:jc w:val="center"/>
              <w:textAlignment w:val="center"/>
              <w:rPr>
                <w:rFonts w:hint="eastAsia" w:ascii="Times New Roman" w:hAnsi="Times New Roman" w:cs="Times New Roman"/>
                <w:color w:val="000000"/>
                <w:kern w:val="0"/>
                <w:sz w:val="24"/>
                <w:szCs w:val="24"/>
                <w:lang w:val="en-US" w:eastAsia="zh-CN" w:bidi="ar"/>
              </w:rPr>
            </w:pPr>
            <w:r>
              <w:rPr>
                <w:rFonts w:hint="eastAsia" w:ascii="Times New Roman" w:hAnsi="Times New Roman" w:cs="Times New Roman"/>
                <w:color w:val="000000"/>
                <w:kern w:val="0"/>
                <w:sz w:val="24"/>
                <w:szCs w:val="24"/>
                <w:lang w:val="en-US" w:eastAsia="zh-CN" w:bidi="ar"/>
              </w:rPr>
              <w:t>33.33%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441" w:type="dxa"/>
            <w:vMerge w:val="continue"/>
            <w:vAlign w:val="center"/>
          </w:tcPr>
          <w:p>
            <w:pPr>
              <w:pStyle w:val="14"/>
              <w:ind w:left="0" w:leftChars="0"/>
              <w:jc w:val="center"/>
              <w:rPr>
                <w:rFonts w:ascii="Times New Roman" w:hAnsi="Times New Roman"/>
                <w:sz w:val="24"/>
                <w:szCs w:val="24"/>
              </w:rPr>
            </w:pPr>
          </w:p>
        </w:tc>
        <w:tc>
          <w:tcPr>
            <w:tcW w:w="1865" w:type="dxa"/>
            <w:vMerge w:val="restart"/>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社会效益（</w:t>
            </w:r>
            <w:r>
              <w:rPr>
                <w:rFonts w:hint="eastAsia" w:ascii="Times New Roman" w:hAnsi="Times New Roman"/>
                <w:sz w:val="24"/>
                <w:szCs w:val="24"/>
                <w:lang w:val="en-US" w:eastAsia="zh-CN"/>
              </w:rPr>
              <w:t>10</w:t>
            </w:r>
            <w:r>
              <w:rPr>
                <w:rFonts w:hint="eastAsia" w:ascii="Times New Roman" w:hAnsi="Times New Roman"/>
                <w:sz w:val="24"/>
                <w:szCs w:val="24"/>
              </w:rPr>
              <w:t>）</w:t>
            </w:r>
          </w:p>
        </w:tc>
        <w:tc>
          <w:tcPr>
            <w:tcW w:w="2559" w:type="dxa"/>
            <w:vAlign w:val="center"/>
          </w:tcPr>
          <w:p>
            <w:pPr>
              <w:widowControl/>
              <w:jc w:val="center"/>
              <w:textAlignment w:val="center"/>
              <w:rPr>
                <w:rFonts w:ascii="Times New Roman" w:hAnsi="Times New Roman" w:cs="Times New Roman"/>
                <w:sz w:val="24"/>
                <w:szCs w:val="24"/>
              </w:rPr>
            </w:pPr>
            <w:r>
              <w:rPr>
                <w:rFonts w:hint="eastAsia" w:ascii="Times New Roman" w:hAnsi="Times New Roman" w:cs="Times New Roman"/>
                <w:color w:val="000000"/>
                <w:kern w:val="0"/>
                <w:sz w:val="24"/>
                <w:szCs w:val="24"/>
                <w:lang w:bidi="ar"/>
              </w:rPr>
              <w:t>项目受益</w:t>
            </w:r>
            <w:r>
              <w:rPr>
                <w:rFonts w:hint="eastAsia" w:ascii="Times New Roman" w:hAnsi="Times New Roman" w:cs="Times New Roman"/>
                <w:color w:val="000000"/>
                <w:kern w:val="0"/>
                <w:sz w:val="24"/>
                <w:szCs w:val="24"/>
                <w:lang w:val="en-US" w:eastAsia="zh-CN" w:bidi="ar"/>
              </w:rPr>
              <w:t>人数</w:t>
            </w:r>
          </w:p>
        </w:tc>
        <w:tc>
          <w:tcPr>
            <w:tcW w:w="851" w:type="dxa"/>
            <w:vAlign w:val="center"/>
          </w:tcPr>
          <w:p>
            <w:pPr>
              <w:widowControl/>
              <w:jc w:val="center"/>
              <w:textAlignment w:val="center"/>
              <w:rPr>
                <w:rFonts w:hint="eastAsia" w:ascii="Times New Roman" w:hAnsi="Times New Roman" w:eastAsia="仿宋_GB2312"/>
                <w:sz w:val="24"/>
                <w:szCs w:val="24"/>
                <w:lang w:eastAsia="zh-CN"/>
              </w:rPr>
            </w:pPr>
            <w:r>
              <w:rPr>
                <w:rFonts w:hint="eastAsia" w:ascii="Times New Roman" w:hAnsi="Times New Roman"/>
                <w:sz w:val="24"/>
                <w:szCs w:val="24"/>
                <w:lang w:val="en-US" w:eastAsia="zh-CN"/>
              </w:rPr>
              <w:t>5</w:t>
            </w:r>
          </w:p>
        </w:tc>
        <w:tc>
          <w:tcPr>
            <w:tcW w:w="929" w:type="dxa"/>
            <w:vAlign w:val="center"/>
          </w:tcPr>
          <w:p>
            <w:pPr>
              <w:widowControl/>
              <w:jc w:val="center"/>
              <w:textAlignment w:val="center"/>
              <w:rPr>
                <w:rFonts w:hint="eastAsia" w:ascii="Times New Roman" w:hAnsi="Times New Roman" w:eastAsia="仿宋_GB2312"/>
                <w:sz w:val="24"/>
                <w:szCs w:val="24"/>
                <w:lang w:eastAsia="zh-CN"/>
              </w:rPr>
            </w:pPr>
            <w:r>
              <w:rPr>
                <w:rFonts w:hint="eastAsia" w:ascii="Times New Roman" w:hAnsi="Times New Roman"/>
                <w:sz w:val="24"/>
                <w:szCs w:val="24"/>
                <w:lang w:val="en-US" w:eastAsia="zh-CN"/>
              </w:rPr>
              <w:t>5</w:t>
            </w:r>
          </w:p>
        </w:tc>
        <w:tc>
          <w:tcPr>
            <w:tcW w:w="1151" w:type="dxa"/>
            <w:vAlign w:val="center"/>
          </w:tcPr>
          <w:p>
            <w:pPr>
              <w:jc w:val="center"/>
              <w:rPr>
                <w:rFonts w:ascii="Times New Roman" w:hAnsi="Times New Roman"/>
                <w:sz w:val="24"/>
                <w:szCs w:val="24"/>
              </w:rPr>
            </w:pPr>
            <w:r>
              <w:rPr>
                <w:rFonts w:hint="eastAsia" w:ascii="Times New Roman" w:hAnsi="Times New Roman"/>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441" w:type="dxa"/>
            <w:vMerge w:val="continue"/>
            <w:vAlign w:val="center"/>
          </w:tcPr>
          <w:p>
            <w:pPr>
              <w:jc w:val="center"/>
              <w:rPr>
                <w:rFonts w:ascii="Times New Roman" w:hAnsi="Times New Roman"/>
                <w:sz w:val="24"/>
                <w:szCs w:val="24"/>
              </w:rPr>
            </w:pPr>
          </w:p>
        </w:tc>
        <w:tc>
          <w:tcPr>
            <w:tcW w:w="1865" w:type="dxa"/>
            <w:vMerge w:val="continue"/>
            <w:vAlign w:val="center"/>
          </w:tcPr>
          <w:p>
            <w:pPr>
              <w:widowControl/>
              <w:jc w:val="center"/>
              <w:textAlignment w:val="center"/>
              <w:rPr>
                <w:rFonts w:ascii="Times New Roman" w:hAnsi="Times New Roman"/>
                <w:sz w:val="24"/>
                <w:szCs w:val="24"/>
              </w:rPr>
            </w:pPr>
          </w:p>
        </w:tc>
        <w:tc>
          <w:tcPr>
            <w:tcW w:w="2559"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项目设备使用率</w:t>
            </w:r>
          </w:p>
        </w:tc>
        <w:tc>
          <w:tcPr>
            <w:tcW w:w="851" w:type="dxa"/>
            <w:vAlign w:val="center"/>
          </w:tcPr>
          <w:p>
            <w:pPr>
              <w:widowControl/>
              <w:jc w:val="center"/>
              <w:textAlignment w:val="center"/>
              <w:rPr>
                <w:rFonts w:hint="eastAsia" w:ascii="Times New Roman" w:hAnsi="Times New Roman" w:eastAsia="仿宋_GB2312"/>
                <w:sz w:val="24"/>
                <w:szCs w:val="24"/>
                <w:lang w:eastAsia="zh-CN"/>
              </w:rPr>
            </w:pPr>
            <w:r>
              <w:rPr>
                <w:rFonts w:hint="eastAsia" w:ascii="Times New Roman" w:hAnsi="Times New Roman"/>
                <w:sz w:val="24"/>
                <w:szCs w:val="24"/>
                <w:lang w:val="en-US" w:eastAsia="zh-CN"/>
              </w:rPr>
              <w:t>5</w:t>
            </w:r>
          </w:p>
        </w:tc>
        <w:tc>
          <w:tcPr>
            <w:tcW w:w="929" w:type="dxa"/>
            <w:vAlign w:val="center"/>
          </w:tcPr>
          <w:p>
            <w:pPr>
              <w:widowControl/>
              <w:jc w:val="center"/>
              <w:textAlignment w:val="center"/>
              <w:rPr>
                <w:rFonts w:hint="eastAsia" w:ascii="Times New Roman" w:hAnsi="Times New Roman" w:eastAsia="仿宋_GB2312"/>
                <w:sz w:val="24"/>
                <w:szCs w:val="24"/>
                <w:lang w:eastAsia="zh-CN"/>
              </w:rPr>
            </w:pPr>
            <w:r>
              <w:rPr>
                <w:rFonts w:hint="eastAsia" w:ascii="Times New Roman" w:hAnsi="Times New Roman"/>
                <w:sz w:val="24"/>
                <w:szCs w:val="24"/>
                <w:lang w:val="en-US" w:eastAsia="zh-CN"/>
              </w:rPr>
              <w:t>5</w:t>
            </w:r>
          </w:p>
        </w:tc>
        <w:tc>
          <w:tcPr>
            <w:tcW w:w="1151"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441" w:type="dxa"/>
            <w:vMerge w:val="continue"/>
            <w:vAlign w:val="center"/>
          </w:tcPr>
          <w:p>
            <w:pPr>
              <w:jc w:val="center"/>
              <w:rPr>
                <w:rFonts w:ascii="Times New Roman" w:hAnsi="Times New Roman"/>
                <w:sz w:val="24"/>
                <w:szCs w:val="24"/>
              </w:rPr>
            </w:pPr>
          </w:p>
        </w:tc>
        <w:tc>
          <w:tcPr>
            <w:tcW w:w="1865" w:type="dxa"/>
            <w:vMerge w:val="restart"/>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可持续影响（</w:t>
            </w:r>
            <w:r>
              <w:rPr>
                <w:rFonts w:hint="eastAsia" w:ascii="Times New Roman" w:hAnsi="Times New Roman"/>
                <w:sz w:val="24"/>
                <w:szCs w:val="24"/>
                <w:lang w:val="en-US" w:eastAsia="zh-CN"/>
              </w:rPr>
              <w:t>5</w:t>
            </w:r>
            <w:r>
              <w:rPr>
                <w:rFonts w:hint="eastAsia" w:ascii="Times New Roman" w:hAnsi="Times New Roman"/>
                <w:sz w:val="24"/>
                <w:szCs w:val="24"/>
              </w:rPr>
              <w:t>）</w:t>
            </w:r>
          </w:p>
        </w:tc>
        <w:tc>
          <w:tcPr>
            <w:tcW w:w="2559"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设计使用年限率</w:t>
            </w:r>
          </w:p>
        </w:tc>
        <w:tc>
          <w:tcPr>
            <w:tcW w:w="851" w:type="dxa"/>
            <w:vAlign w:val="center"/>
          </w:tcPr>
          <w:p>
            <w:pPr>
              <w:widowControl/>
              <w:jc w:val="center"/>
              <w:textAlignment w:val="center"/>
              <w:rPr>
                <w:rFonts w:hint="eastAsia" w:ascii="Times New Roman" w:hAnsi="Times New Roman" w:eastAsia="仿宋_GB2312"/>
                <w:sz w:val="24"/>
                <w:szCs w:val="24"/>
                <w:lang w:eastAsia="zh-CN"/>
              </w:rPr>
            </w:pPr>
            <w:r>
              <w:rPr>
                <w:rFonts w:hint="eastAsia" w:ascii="Times New Roman" w:hAnsi="Times New Roman"/>
                <w:sz w:val="24"/>
                <w:szCs w:val="24"/>
                <w:lang w:val="en-US" w:eastAsia="zh-CN"/>
              </w:rPr>
              <w:t>2</w:t>
            </w:r>
          </w:p>
        </w:tc>
        <w:tc>
          <w:tcPr>
            <w:tcW w:w="929" w:type="dxa"/>
            <w:vAlign w:val="center"/>
          </w:tcPr>
          <w:p>
            <w:pPr>
              <w:widowControl/>
              <w:jc w:val="center"/>
              <w:textAlignment w:val="center"/>
              <w:rPr>
                <w:rFonts w:hint="eastAsia" w:ascii="Times New Roman" w:hAnsi="Times New Roman" w:eastAsia="仿宋_GB2312"/>
                <w:sz w:val="24"/>
                <w:szCs w:val="24"/>
                <w:lang w:eastAsia="zh-CN"/>
              </w:rPr>
            </w:pPr>
            <w:r>
              <w:rPr>
                <w:rFonts w:hint="eastAsia" w:ascii="Times New Roman" w:hAnsi="Times New Roman"/>
                <w:sz w:val="24"/>
                <w:szCs w:val="24"/>
                <w:lang w:val="en-US" w:eastAsia="zh-CN"/>
              </w:rPr>
              <w:t>1</w:t>
            </w:r>
          </w:p>
        </w:tc>
        <w:tc>
          <w:tcPr>
            <w:tcW w:w="1151"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lang w:val="en-US" w:eastAsia="zh-CN"/>
              </w:rPr>
              <w:t>5</w:t>
            </w:r>
            <w:r>
              <w:rPr>
                <w:rFonts w:hint="eastAsia" w:ascii="Times New Roman" w:hAnsi="Times New Roman"/>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441" w:type="dxa"/>
            <w:vMerge w:val="continue"/>
            <w:vAlign w:val="center"/>
          </w:tcPr>
          <w:p>
            <w:pPr>
              <w:jc w:val="center"/>
              <w:rPr>
                <w:rFonts w:ascii="Times New Roman" w:hAnsi="Times New Roman"/>
                <w:sz w:val="24"/>
                <w:szCs w:val="24"/>
              </w:rPr>
            </w:pPr>
          </w:p>
        </w:tc>
        <w:tc>
          <w:tcPr>
            <w:tcW w:w="1865" w:type="dxa"/>
            <w:vMerge w:val="continue"/>
            <w:vAlign w:val="center"/>
          </w:tcPr>
          <w:p>
            <w:pPr>
              <w:widowControl/>
              <w:jc w:val="center"/>
              <w:textAlignment w:val="center"/>
              <w:rPr>
                <w:rFonts w:ascii="Times New Roman" w:hAnsi="Times New Roman"/>
                <w:sz w:val="24"/>
                <w:szCs w:val="24"/>
              </w:rPr>
            </w:pPr>
          </w:p>
        </w:tc>
        <w:tc>
          <w:tcPr>
            <w:tcW w:w="2559"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项目维修养护管理</w:t>
            </w:r>
          </w:p>
        </w:tc>
        <w:tc>
          <w:tcPr>
            <w:tcW w:w="851" w:type="dxa"/>
            <w:vAlign w:val="center"/>
          </w:tcPr>
          <w:p>
            <w:pPr>
              <w:widowControl/>
              <w:jc w:val="center"/>
              <w:textAlignment w:val="center"/>
              <w:rPr>
                <w:rFonts w:hint="eastAsia" w:ascii="Times New Roman" w:hAnsi="Times New Roman" w:eastAsia="仿宋_GB2312"/>
                <w:sz w:val="24"/>
                <w:szCs w:val="24"/>
                <w:lang w:eastAsia="zh-CN"/>
              </w:rPr>
            </w:pPr>
            <w:r>
              <w:rPr>
                <w:rFonts w:hint="eastAsia" w:ascii="Times New Roman" w:hAnsi="Times New Roman"/>
                <w:sz w:val="24"/>
                <w:szCs w:val="24"/>
                <w:lang w:val="en-US" w:eastAsia="zh-CN"/>
              </w:rPr>
              <w:t>3</w:t>
            </w:r>
          </w:p>
        </w:tc>
        <w:tc>
          <w:tcPr>
            <w:tcW w:w="929" w:type="dxa"/>
            <w:vAlign w:val="center"/>
          </w:tcPr>
          <w:p>
            <w:pPr>
              <w:widowControl/>
              <w:jc w:val="center"/>
              <w:textAlignment w:val="center"/>
              <w:rPr>
                <w:rFonts w:hint="eastAsia" w:ascii="Times New Roman" w:hAnsi="Times New Roman" w:eastAsia="仿宋_GB2312"/>
                <w:sz w:val="24"/>
                <w:szCs w:val="24"/>
                <w:lang w:eastAsia="zh-CN"/>
              </w:rPr>
            </w:pPr>
            <w:r>
              <w:rPr>
                <w:rFonts w:hint="eastAsia" w:ascii="Times New Roman" w:hAnsi="Times New Roman"/>
                <w:sz w:val="24"/>
                <w:szCs w:val="24"/>
                <w:lang w:val="en-US" w:eastAsia="zh-CN"/>
              </w:rPr>
              <w:t>3</w:t>
            </w:r>
          </w:p>
        </w:tc>
        <w:tc>
          <w:tcPr>
            <w:tcW w:w="1151"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1441" w:type="dxa"/>
            <w:vMerge w:val="continue"/>
            <w:vAlign w:val="center"/>
          </w:tcPr>
          <w:p>
            <w:pPr>
              <w:jc w:val="center"/>
              <w:rPr>
                <w:rFonts w:ascii="Times New Roman" w:hAnsi="Times New Roman"/>
                <w:sz w:val="24"/>
                <w:szCs w:val="24"/>
              </w:rPr>
            </w:pPr>
          </w:p>
        </w:tc>
        <w:tc>
          <w:tcPr>
            <w:tcW w:w="1865" w:type="dxa"/>
            <w:vAlign w:val="center"/>
          </w:tcPr>
          <w:p>
            <w:pPr>
              <w:widowControl/>
              <w:ind w:firstLine="240" w:firstLineChars="100"/>
              <w:jc w:val="both"/>
              <w:textAlignment w:val="center"/>
              <w:rPr>
                <w:rFonts w:ascii="Times New Roman" w:hAnsi="Times New Roman"/>
                <w:sz w:val="24"/>
                <w:szCs w:val="24"/>
              </w:rPr>
            </w:pPr>
            <w:r>
              <w:rPr>
                <w:rFonts w:hint="eastAsia" w:ascii="Times New Roman" w:hAnsi="Times New Roman"/>
                <w:sz w:val="24"/>
                <w:szCs w:val="24"/>
              </w:rPr>
              <w:t>满意度（</w:t>
            </w:r>
            <w:r>
              <w:rPr>
                <w:rFonts w:hint="eastAsia" w:ascii="Times New Roman" w:hAnsi="Times New Roman"/>
                <w:sz w:val="24"/>
                <w:szCs w:val="24"/>
                <w:lang w:val="en-US" w:eastAsia="zh-CN"/>
              </w:rPr>
              <w:t>10</w:t>
            </w:r>
            <w:r>
              <w:rPr>
                <w:rFonts w:hint="eastAsia" w:ascii="Times New Roman" w:hAnsi="Times New Roman"/>
                <w:sz w:val="24"/>
                <w:szCs w:val="24"/>
              </w:rPr>
              <w:t>）</w:t>
            </w:r>
          </w:p>
        </w:tc>
        <w:tc>
          <w:tcPr>
            <w:tcW w:w="2559"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rPr>
              <w:t>项目周边居民满意度</w:t>
            </w:r>
          </w:p>
        </w:tc>
        <w:tc>
          <w:tcPr>
            <w:tcW w:w="851" w:type="dxa"/>
            <w:vAlign w:val="center"/>
          </w:tcPr>
          <w:p>
            <w:pPr>
              <w:widowControl/>
              <w:jc w:val="center"/>
              <w:textAlignment w:val="center"/>
              <w:rPr>
                <w:rFonts w:hint="default" w:ascii="Times New Roman" w:hAnsi="Times New Roman" w:eastAsia="仿宋_GB2312"/>
                <w:sz w:val="24"/>
                <w:szCs w:val="24"/>
                <w:lang w:val="en-US" w:eastAsia="zh-CN"/>
              </w:rPr>
            </w:pPr>
            <w:r>
              <w:rPr>
                <w:rFonts w:hint="eastAsia" w:ascii="Times New Roman" w:hAnsi="Times New Roman"/>
                <w:sz w:val="24"/>
                <w:szCs w:val="24"/>
                <w:lang w:val="en-US" w:eastAsia="zh-CN"/>
              </w:rPr>
              <w:t>10</w:t>
            </w:r>
          </w:p>
        </w:tc>
        <w:tc>
          <w:tcPr>
            <w:tcW w:w="929" w:type="dxa"/>
            <w:vAlign w:val="center"/>
          </w:tcPr>
          <w:p>
            <w:pPr>
              <w:widowControl/>
              <w:jc w:val="center"/>
              <w:textAlignment w:val="center"/>
              <w:rPr>
                <w:rFonts w:hint="default" w:ascii="Times New Roman" w:hAnsi="Times New Roman" w:eastAsia="仿宋_GB2312"/>
                <w:sz w:val="24"/>
                <w:szCs w:val="24"/>
                <w:lang w:val="en-US" w:eastAsia="zh-CN"/>
              </w:rPr>
            </w:pPr>
            <w:r>
              <w:rPr>
                <w:rFonts w:hint="eastAsia" w:ascii="Times New Roman" w:hAnsi="Times New Roman"/>
                <w:sz w:val="24"/>
                <w:szCs w:val="24"/>
                <w:lang w:val="en-US" w:eastAsia="zh-CN"/>
              </w:rPr>
              <w:t>10</w:t>
            </w:r>
          </w:p>
        </w:tc>
        <w:tc>
          <w:tcPr>
            <w:tcW w:w="1151" w:type="dxa"/>
            <w:vAlign w:val="center"/>
          </w:tcPr>
          <w:p>
            <w:pPr>
              <w:widowControl/>
              <w:jc w:val="center"/>
              <w:textAlignment w:val="center"/>
              <w:rPr>
                <w:rFonts w:ascii="Times New Roman" w:hAnsi="Times New Roman"/>
                <w:sz w:val="24"/>
                <w:szCs w:val="24"/>
              </w:rPr>
            </w:pPr>
            <w:r>
              <w:rPr>
                <w:rFonts w:hint="eastAsia" w:ascii="Times New Roman" w:hAnsi="Times New Roman"/>
                <w:sz w:val="24"/>
                <w:szCs w:val="24"/>
                <w:lang w:val="en-US" w:eastAsia="zh-CN"/>
              </w:rPr>
              <w:t>100</w:t>
            </w:r>
            <w:r>
              <w:rPr>
                <w:rFonts w:hint="eastAsia" w:ascii="Times New Roman" w:hAnsi="Times New Roman"/>
                <w:sz w:val="24"/>
                <w:szCs w:val="24"/>
              </w:rPr>
              <w:t>%</w:t>
            </w:r>
          </w:p>
        </w:tc>
      </w:tr>
    </w:tbl>
    <w:p>
      <w:pPr>
        <w:pStyle w:val="4"/>
        <w:numPr>
          <w:ilvl w:val="0"/>
          <w:numId w:val="0"/>
        </w:numPr>
        <w:spacing w:line="240" w:lineRule="auto"/>
        <w:ind w:left="0" w:leftChars="0" w:firstLine="640" w:firstLineChars="200"/>
        <w:rPr>
          <w:rFonts w:hint="eastAsia" w:ascii="Times New Roman" w:hAnsi="Times New Roman"/>
          <w:lang w:val="en-US" w:eastAsia="zh-CN"/>
        </w:rPr>
      </w:pPr>
      <w:r>
        <w:rPr>
          <w:rFonts w:hint="eastAsia" w:ascii="Times New Roman" w:hAnsi="Times New Roman" w:eastAsia="仿宋_GB2312" w:cstheme="minorBidi"/>
          <w:kern w:val="2"/>
          <w:sz w:val="32"/>
          <w:szCs w:val="24"/>
          <w:lang w:val="en-US" w:eastAsia="zh-CN" w:bidi="ar-SA"/>
        </w:rPr>
        <w:t>1.</w:t>
      </w:r>
      <w:r>
        <w:rPr>
          <w:rFonts w:hint="eastAsia" w:ascii="Times New Roman" w:hAnsi="Times New Roman"/>
          <w:lang w:val="en-US" w:eastAsia="zh-CN"/>
        </w:rPr>
        <w:t>经济效益</w:t>
      </w:r>
    </w:p>
    <w:p>
      <w:pPr>
        <w:ind w:firstLine="640" w:firstLineChars="200"/>
        <w:rPr>
          <w:rFonts w:ascii="Times New Roman" w:hAnsi="Times New Roman"/>
        </w:rPr>
      </w:pPr>
      <w:r>
        <w:rPr>
          <w:rFonts w:hint="eastAsia" w:ascii="Times New Roman" w:hAnsi="Times New Roman"/>
          <w:lang w:val="en-US" w:eastAsia="zh-CN"/>
        </w:rPr>
        <w:t>经济效益</w:t>
      </w:r>
      <w:r>
        <w:rPr>
          <w:rFonts w:hint="eastAsia" w:ascii="Times New Roman" w:hAnsi="Times New Roman"/>
        </w:rPr>
        <w:t>指标分值</w:t>
      </w:r>
      <w:r>
        <w:rPr>
          <w:rFonts w:hint="eastAsia" w:ascii="Times New Roman" w:hAnsi="Times New Roman"/>
          <w:lang w:val="en-US" w:eastAsia="zh-CN"/>
        </w:rPr>
        <w:t>5</w:t>
      </w:r>
      <w:r>
        <w:rPr>
          <w:rFonts w:hint="eastAsia" w:ascii="Times New Roman" w:hAnsi="Times New Roman"/>
        </w:rPr>
        <w:t>分，得分</w:t>
      </w:r>
      <w:r>
        <w:rPr>
          <w:rFonts w:hint="eastAsia" w:ascii="Times New Roman" w:hAnsi="Times New Roman"/>
          <w:lang w:val="en-US" w:eastAsia="zh-CN"/>
        </w:rPr>
        <w:t>2</w:t>
      </w:r>
      <w:r>
        <w:rPr>
          <w:rFonts w:hint="eastAsia" w:ascii="Times New Roman" w:hAnsi="Times New Roman"/>
        </w:rPr>
        <w:t>分，得分率</w:t>
      </w:r>
      <w:r>
        <w:rPr>
          <w:rFonts w:hint="eastAsia" w:ascii="Times New Roman" w:hAnsi="Times New Roman"/>
          <w:lang w:val="en-US" w:eastAsia="zh-CN"/>
        </w:rPr>
        <w:t>4</w:t>
      </w:r>
      <w:r>
        <w:rPr>
          <w:rFonts w:hint="eastAsia" w:ascii="Times New Roman" w:hAnsi="Times New Roman"/>
        </w:rPr>
        <w:t>0%。</w:t>
      </w:r>
    </w:p>
    <w:p>
      <w:pPr>
        <w:pStyle w:val="5"/>
        <w:bidi w:val="0"/>
        <w:rPr>
          <w:rFonts w:hint="eastAsia"/>
          <w:lang w:val="en-US" w:eastAsia="zh-CN"/>
        </w:rPr>
      </w:pPr>
      <w:r>
        <w:rPr>
          <w:rFonts w:hint="eastAsia"/>
          <w:lang w:val="en-US" w:eastAsia="zh-CN"/>
        </w:rPr>
        <w:t>（1）供热、供冷年均净收益（5分）</w:t>
      </w:r>
    </w:p>
    <w:p>
      <w:pPr>
        <w:numPr>
          <w:ilvl w:val="0"/>
          <w:numId w:val="0"/>
        </w:numPr>
        <w:ind w:firstLine="640" w:firstLineChars="200"/>
        <w:rPr>
          <w:rFonts w:hint="eastAsia" w:ascii="Times New Roman" w:hAnsi="Times New Roman"/>
          <w:lang w:val="en-US" w:eastAsia="zh-CN"/>
        </w:rPr>
      </w:pPr>
      <w:r>
        <w:rPr>
          <w:rFonts w:hint="eastAsia" w:ascii="Times New Roman" w:hAnsi="Times New Roman"/>
          <w:lang w:val="en-US" w:eastAsia="zh-CN"/>
        </w:rPr>
        <w:t>根据项目产出材料及现场调研情况，项目尚未完工，暂不能产生收益，但项目污水热源泵工程已进行招投标，正在施工建设，投入运营后将产生经济效益。根据评分规则，该指标可酌情得2分。</w:t>
      </w:r>
    </w:p>
    <w:p>
      <w:pPr>
        <w:pStyle w:val="4"/>
        <w:numPr>
          <w:ilvl w:val="-1"/>
          <w:numId w:val="0"/>
        </w:numPr>
        <w:spacing w:line="240" w:lineRule="auto"/>
        <w:ind w:firstLine="640" w:firstLineChars="200"/>
        <w:rPr>
          <w:rFonts w:hint="eastAsia" w:ascii="Times New Roman" w:hAnsi="Times New Roman"/>
          <w:lang w:val="en-US" w:eastAsia="zh-CN"/>
        </w:rPr>
      </w:pPr>
      <w:r>
        <w:rPr>
          <w:rFonts w:hint="eastAsia" w:ascii="Times New Roman" w:hAnsi="Times New Roman"/>
          <w:lang w:val="en-US" w:eastAsia="zh-CN"/>
        </w:rPr>
        <w:t>2.生态效益</w:t>
      </w:r>
    </w:p>
    <w:p>
      <w:pPr>
        <w:ind w:firstLine="640" w:firstLineChars="200"/>
        <w:rPr>
          <w:rFonts w:ascii="Times New Roman" w:hAnsi="Times New Roman"/>
        </w:rPr>
      </w:pPr>
      <w:r>
        <w:rPr>
          <w:rFonts w:hint="eastAsia" w:ascii="Times New Roman" w:hAnsi="Times New Roman"/>
          <w:lang w:val="en-US" w:eastAsia="zh-CN"/>
        </w:rPr>
        <w:t>生态效益</w:t>
      </w:r>
      <w:r>
        <w:rPr>
          <w:rFonts w:hint="eastAsia" w:ascii="Times New Roman" w:hAnsi="Times New Roman"/>
        </w:rPr>
        <w:t>指标分值</w:t>
      </w:r>
      <w:r>
        <w:rPr>
          <w:rFonts w:hint="eastAsia" w:ascii="Times New Roman" w:hAnsi="Times New Roman"/>
          <w:lang w:val="en-US" w:eastAsia="zh-CN"/>
        </w:rPr>
        <w:t>5</w:t>
      </w:r>
      <w:r>
        <w:rPr>
          <w:rFonts w:hint="eastAsia" w:ascii="Times New Roman" w:hAnsi="Times New Roman"/>
        </w:rPr>
        <w:t>分，得分</w:t>
      </w:r>
      <w:r>
        <w:rPr>
          <w:rFonts w:hint="eastAsia" w:ascii="Times New Roman" w:hAnsi="Times New Roman"/>
          <w:lang w:val="en-US" w:eastAsia="zh-CN"/>
        </w:rPr>
        <w:t>3</w:t>
      </w:r>
      <w:r>
        <w:rPr>
          <w:rFonts w:hint="eastAsia" w:ascii="Times New Roman" w:hAnsi="Times New Roman"/>
        </w:rPr>
        <w:t>分，得分率</w:t>
      </w:r>
      <w:r>
        <w:rPr>
          <w:rFonts w:hint="eastAsia" w:ascii="Times New Roman" w:hAnsi="Times New Roman"/>
          <w:lang w:val="en-US" w:eastAsia="zh-CN"/>
        </w:rPr>
        <w:t>60</w:t>
      </w:r>
      <w:r>
        <w:rPr>
          <w:rFonts w:hint="eastAsia" w:ascii="Times New Roman" w:hAnsi="Times New Roman"/>
        </w:rPr>
        <w:t>%。</w:t>
      </w:r>
    </w:p>
    <w:p>
      <w:pPr>
        <w:pStyle w:val="5"/>
        <w:bidi w:val="0"/>
        <w:rPr>
          <w:rFonts w:hint="eastAsia"/>
          <w:lang w:val="en-US" w:eastAsia="zh-CN"/>
        </w:rPr>
      </w:pPr>
      <w:r>
        <w:rPr>
          <w:rFonts w:hint="eastAsia"/>
          <w:lang w:val="en-US" w:eastAsia="zh-CN"/>
        </w:rPr>
        <w:t>（1）污水环境改善（2分）</w:t>
      </w:r>
    </w:p>
    <w:p>
      <w:pPr>
        <w:numPr>
          <w:ilvl w:val="-1"/>
          <w:numId w:val="0"/>
        </w:numPr>
        <w:ind w:firstLine="640" w:firstLineChars="200"/>
        <w:rPr>
          <w:rFonts w:hint="default" w:ascii="Times New Roman" w:hAnsi="Times New Roman"/>
          <w:lang w:val="en-US" w:eastAsia="zh-CN"/>
        </w:rPr>
      </w:pPr>
      <w:r>
        <w:rPr>
          <w:rFonts w:hint="default" w:ascii="Times New Roman" w:hAnsi="Times New Roman"/>
          <w:lang w:val="en-US" w:eastAsia="zh-CN"/>
        </w:rPr>
        <w:t>根据现场访谈及满意度调查文件等资料，村民针对项目实施带来村容村貌改善的满意度为87.39%，根据评分</w:t>
      </w:r>
      <w:r>
        <w:rPr>
          <w:rFonts w:hint="eastAsia" w:ascii="Times New Roman" w:hAnsi="Times New Roman"/>
          <w:lang w:val="en-US" w:eastAsia="zh-CN"/>
        </w:rPr>
        <w:t>规则</w:t>
      </w:r>
      <w:r>
        <w:rPr>
          <w:rFonts w:hint="default" w:ascii="Times New Roman" w:hAnsi="Times New Roman"/>
          <w:lang w:val="en-US" w:eastAsia="zh-CN"/>
        </w:rPr>
        <w:t>，该指标得100%权重分。</w:t>
      </w:r>
    </w:p>
    <w:p>
      <w:pPr>
        <w:numPr>
          <w:ilvl w:val="0"/>
          <w:numId w:val="0"/>
        </w:numPr>
        <w:ind w:firstLine="640" w:firstLineChars="200"/>
        <w:rPr>
          <w:rFonts w:hint="eastAsia" w:ascii="Times New Roman" w:hAnsi="Times New Roman"/>
          <w:lang w:val="en-US" w:eastAsia="zh-CN"/>
        </w:rPr>
      </w:pPr>
      <w:r>
        <w:rPr>
          <w:rFonts w:hint="eastAsia" w:ascii="Times New Roman" w:hAnsi="Times New Roman" w:eastAsia="仿宋_GB2312" w:cstheme="minorBidi"/>
          <w:kern w:val="2"/>
          <w:sz w:val="32"/>
          <w:szCs w:val="24"/>
          <w:lang w:val="en-US" w:eastAsia="zh-CN" w:bidi="ar-SA"/>
        </w:rPr>
        <w:t>（</w:t>
      </w:r>
      <w:r>
        <w:rPr>
          <w:rFonts w:hint="eastAsia" w:ascii="Times New Roman" w:hAnsi="Times New Roman" w:cstheme="minorBidi"/>
          <w:kern w:val="2"/>
          <w:sz w:val="32"/>
          <w:szCs w:val="24"/>
          <w:lang w:val="en-US" w:eastAsia="zh-CN" w:bidi="ar-SA"/>
        </w:rPr>
        <w:t>2</w:t>
      </w:r>
      <w:r>
        <w:rPr>
          <w:rFonts w:hint="eastAsia" w:ascii="Times New Roman" w:hAnsi="Times New Roman" w:eastAsia="仿宋_GB2312" w:cstheme="minorBidi"/>
          <w:kern w:val="2"/>
          <w:sz w:val="32"/>
          <w:szCs w:val="24"/>
          <w:lang w:val="en-US" w:eastAsia="zh-CN" w:bidi="ar-SA"/>
        </w:rPr>
        <w:t>）</w:t>
      </w:r>
      <w:r>
        <w:rPr>
          <w:rFonts w:hint="eastAsia" w:ascii="Times New Roman" w:hAnsi="Times New Roman"/>
          <w:lang w:val="en-US" w:eastAsia="zh-CN"/>
        </w:rPr>
        <w:t>节能降碳（3分）</w:t>
      </w:r>
    </w:p>
    <w:p>
      <w:pPr>
        <w:numPr>
          <w:ilvl w:val="0"/>
          <w:numId w:val="0"/>
        </w:numPr>
        <w:ind w:firstLine="640" w:firstLineChars="200"/>
        <w:rPr>
          <w:rFonts w:hint="default" w:ascii="Times New Roman" w:hAnsi="Times New Roman"/>
          <w:lang w:val="en-US" w:eastAsia="zh-CN"/>
        </w:rPr>
      </w:pPr>
      <w:r>
        <w:rPr>
          <w:rFonts w:hint="default" w:ascii="Times New Roman" w:hAnsi="Times New Roman"/>
          <w:lang w:val="en-US" w:eastAsia="zh-CN"/>
        </w:rPr>
        <w:t>根据项目产出材料，项目建成污水源热泵系统运行后才能产生节能降碳效益，目前无法达成预期效果。</w:t>
      </w:r>
      <w:r>
        <w:rPr>
          <w:rFonts w:hint="eastAsia" w:ascii="Times New Roman" w:hAnsi="Times New Roman"/>
          <w:lang w:val="en-US" w:eastAsia="zh-CN"/>
        </w:rPr>
        <w:t>但项目建设为后期节能降碳效益奠定基础，</w:t>
      </w:r>
      <w:r>
        <w:rPr>
          <w:rFonts w:hint="default" w:ascii="Times New Roman" w:hAnsi="Times New Roman"/>
          <w:lang w:val="en-US" w:eastAsia="zh-CN"/>
        </w:rPr>
        <w:t>根据评分规则，该指标</w:t>
      </w:r>
      <w:r>
        <w:rPr>
          <w:rFonts w:hint="eastAsia" w:ascii="Times New Roman" w:hAnsi="Times New Roman"/>
          <w:lang w:val="en-US" w:eastAsia="zh-CN"/>
        </w:rPr>
        <w:t>可</w:t>
      </w:r>
      <w:r>
        <w:rPr>
          <w:rFonts w:hint="default" w:ascii="Times New Roman" w:hAnsi="Times New Roman"/>
          <w:lang w:val="en-US" w:eastAsia="zh-CN"/>
        </w:rPr>
        <w:t>酌情</w:t>
      </w:r>
      <w:r>
        <w:rPr>
          <w:rFonts w:hint="eastAsia" w:ascii="Times New Roman" w:hAnsi="Times New Roman"/>
          <w:lang w:val="en-US" w:eastAsia="zh-CN"/>
        </w:rPr>
        <w:t>得1</w:t>
      </w:r>
      <w:r>
        <w:rPr>
          <w:rFonts w:hint="default" w:ascii="Times New Roman" w:hAnsi="Times New Roman"/>
          <w:lang w:val="en-US" w:eastAsia="zh-CN"/>
        </w:rPr>
        <w:t>分。</w:t>
      </w:r>
    </w:p>
    <w:p>
      <w:pPr>
        <w:pStyle w:val="4"/>
        <w:numPr>
          <w:ilvl w:val="0"/>
          <w:numId w:val="0"/>
        </w:numPr>
        <w:spacing w:line="240" w:lineRule="auto"/>
        <w:ind w:firstLine="640" w:firstLineChars="200"/>
        <w:rPr>
          <w:rFonts w:ascii="Times New Roman" w:hAnsi="Times New Roman"/>
        </w:rPr>
      </w:pPr>
      <w:r>
        <w:rPr>
          <w:rFonts w:hint="eastAsia" w:ascii="Times New Roman" w:hAnsi="Times New Roman"/>
          <w:lang w:val="en-US" w:eastAsia="zh-CN"/>
        </w:rPr>
        <w:t>3.</w:t>
      </w:r>
      <w:r>
        <w:rPr>
          <w:rFonts w:hint="eastAsia" w:ascii="Times New Roman" w:hAnsi="Times New Roman"/>
        </w:rPr>
        <w:t>社会效益</w:t>
      </w:r>
    </w:p>
    <w:p>
      <w:pPr>
        <w:ind w:firstLine="640" w:firstLineChars="200"/>
        <w:rPr>
          <w:rFonts w:ascii="Times New Roman" w:hAnsi="Times New Roman"/>
        </w:rPr>
      </w:pPr>
      <w:r>
        <w:rPr>
          <w:rFonts w:hint="eastAsia" w:ascii="Times New Roman" w:hAnsi="Times New Roman"/>
        </w:rPr>
        <w:t>社会效益指标分值</w:t>
      </w:r>
      <w:r>
        <w:rPr>
          <w:rFonts w:hint="eastAsia" w:ascii="Times New Roman" w:hAnsi="Times New Roman"/>
          <w:lang w:val="en-US" w:eastAsia="zh-CN"/>
        </w:rPr>
        <w:t>1</w:t>
      </w:r>
      <w:r>
        <w:rPr>
          <w:rFonts w:hint="eastAsia" w:ascii="Times New Roman" w:hAnsi="Times New Roman"/>
        </w:rPr>
        <w:t>0分，得分</w:t>
      </w:r>
      <w:r>
        <w:rPr>
          <w:rFonts w:hint="eastAsia" w:ascii="Times New Roman" w:hAnsi="Times New Roman"/>
          <w:lang w:val="en-US" w:eastAsia="zh-CN"/>
        </w:rPr>
        <w:t>1</w:t>
      </w:r>
      <w:r>
        <w:rPr>
          <w:rFonts w:hint="eastAsia" w:ascii="Times New Roman" w:hAnsi="Times New Roman"/>
        </w:rPr>
        <w:t>0分，得分率100%。</w:t>
      </w:r>
    </w:p>
    <w:p>
      <w:pPr>
        <w:pStyle w:val="5"/>
        <w:rPr>
          <w:rFonts w:ascii="Times New Roman" w:hAnsi="Times New Roman"/>
        </w:rPr>
      </w:pPr>
      <w:r>
        <w:rPr>
          <w:rFonts w:hint="eastAsia" w:ascii="Times New Roman" w:hAnsi="Times New Roman"/>
        </w:rPr>
        <w:t>（1）项目受益</w:t>
      </w:r>
      <w:r>
        <w:rPr>
          <w:rFonts w:hint="eastAsia" w:ascii="Times New Roman" w:hAnsi="Times New Roman"/>
          <w:lang w:val="en-US" w:eastAsia="zh-CN"/>
        </w:rPr>
        <w:t>人数</w:t>
      </w:r>
      <w:r>
        <w:rPr>
          <w:rFonts w:hint="eastAsia" w:ascii="Times New Roman" w:hAnsi="Times New Roman"/>
        </w:rPr>
        <w:t>（</w:t>
      </w:r>
      <w:r>
        <w:rPr>
          <w:rFonts w:hint="eastAsia" w:ascii="Times New Roman" w:hAnsi="Times New Roman"/>
          <w:lang w:val="en-US" w:eastAsia="zh-CN"/>
        </w:rPr>
        <w:t>5</w:t>
      </w:r>
      <w:r>
        <w:rPr>
          <w:rFonts w:hint="eastAsia" w:ascii="Times New Roman" w:hAnsi="Times New Roman"/>
        </w:rPr>
        <w:t>分）</w:t>
      </w:r>
    </w:p>
    <w:p>
      <w:pPr>
        <w:ind w:firstLine="640" w:firstLineChars="200"/>
        <w:rPr>
          <w:rFonts w:hint="eastAsia" w:ascii="Times New Roman" w:hAnsi="Times New Roman" w:eastAsia="仿宋_GB2312"/>
          <w:lang w:val="en-US" w:eastAsia="zh-CN"/>
        </w:rPr>
      </w:pPr>
      <w:r>
        <w:rPr>
          <w:rFonts w:hint="eastAsia" w:ascii="Times New Roman" w:hAnsi="Times New Roman"/>
        </w:rPr>
        <w:t>根据实施项目基础数据表和现场实地调研，13个村庄共有居民19579人，项目建设为整村覆盖，直接受益人</w:t>
      </w:r>
      <w:r>
        <w:rPr>
          <w:rFonts w:hint="eastAsia" w:ascii="Times New Roman" w:hAnsi="Times New Roman"/>
          <w:lang w:val="en-US" w:eastAsia="zh-CN"/>
        </w:rPr>
        <w:t>数</w:t>
      </w:r>
      <w:r>
        <w:rPr>
          <w:rFonts w:hint="eastAsia" w:ascii="Times New Roman" w:hAnsi="Times New Roman"/>
        </w:rPr>
        <w:t>为19579人。根据评分规则，该指标得100%权重分。</w:t>
      </w:r>
      <w:r>
        <w:rPr>
          <w:rFonts w:hint="eastAsia" w:ascii="Times New Roman" w:hAnsi="Times New Roman"/>
          <w:lang w:val="en-US" w:eastAsia="zh-CN"/>
        </w:rPr>
        <w:tab/>
      </w:r>
    </w:p>
    <w:p>
      <w:pPr>
        <w:pStyle w:val="5"/>
        <w:rPr>
          <w:rFonts w:ascii="Times New Roman" w:hAnsi="Times New Roman"/>
        </w:rPr>
      </w:pPr>
      <w:r>
        <w:rPr>
          <w:rFonts w:hint="eastAsia" w:ascii="Times New Roman" w:hAnsi="Times New Roman"/>
        </w:rPr>
        <w:t>（</w:t>
      </w:r>
      <w:r>
        <w:rPr>
          <w:rFonts w:hint="eastAsia" w:ascii="Times New Roman" w:hAnsi="Times New Roman"/>
          <w:lang w:val="en-US" w:eastAsia="zh-CN"/>
        </w:rPr>
        <w:t>2</w:t>
      </w:r>
      <w:r>
        <w:rPr>
          <w:rFonts w:hint="eastAsia" w:ascii="Times New Roman" w:hAnsi="Times New Roman"/>
        </w:rPr>
        <w:t>）项目设备使用率（</w:t>
      </w:r>
      <w:r>
        <w:rPr>
          <w:rFonts w:hint="eastAsia" w:ascii="Times New Roman" w:hAnsi="Times New Roman"/>
          <w:lang w:val="en-US" w:eastAsia="zh-CN"/>
        </w:rPr>
        <w:t>5</w:t>
      </w:r>
      <w:r>
        <w:rPr>
          <w:rFonts w:hint="eastAsia" w:ascii="Times New Roman" w:hAnsi="Times New Roman"/>
        </w:rPr>
        <w:t>分）</w:t>
      </w:r>
    </w:p>
    <w:p>
      <w:pPr>
        <w:ind w:firstLine="640" w:firstLineChars="200"/>
        <w:rPr>
          <w:rFonts w:ascii="Times New Roman" w:hAnsi="Times New Roman"/>
        </w:rPr>
      </w:pPr>
      <w:r>
        <w:rPr>
          <w:rFonts w:hint="eastAsia" w:ascii="Times New Roman" w:hAnsi="Times New Roman"/>
          <w:lang w:val="en-US" w:eastAsia="zh-CN"/>
        </w:rPr>
        <w:t>依</w:t>
      </w:r>
      <w:r>
        <w:rPr>
          <w:rFonts w:hint="eastAsia" w:ascii="Times New Roman" w:hAnsi="Times New Roman"/>
        </w:rPr>
        <w:t>据</w:t>
      </w:r>
      <w:r>
        <w:rPr>
          <w:rFonts w:hint="eastAsia" w:ascii="Times New Roman" w:hAnsi="Times New Roman"/>
          <w:lang w:val="en-US" w:eastAsia="zh-CN"/>
        </w:rPr>
        <w:t>项目特性，村内污水管与户内排水管接通即为投入使用，根据</w:t>
      </w:r>
      <w:r>
        <w:rPr>
          <w:rFonts w:hint="eastAsia" w:ascii="Times New Roman" w:hAnsi="Times New Roman"/>
        </w:rPr>
        <w:t>现场调研、问卷调查汇总情况，设备使用比例约为93.08%。根据评分规则，该指标得100%权重分。</w:t>
      </w:r>
    </w:p>
    <w:p>
      <w:pPr>
        <w:pStyle w:val="4"/>
        <w:rPr>
          <w:rFonts w:ascii="Times New Roman" w:hAnsi="Times New Roman"/>
        </w:rPr>
      </w:pPr>
      <w:r>
        <w:rPr>
          <w:rFonts w:hint="eastAsia" w:ascii="Times New Roman" w:hAnsi="Times New Roman"/>
          <w:lang w:val="en-US" w:eastAsia="zh-CN"/>
        </w:rPr>
        <w:t>4</w:t>
      </w:r>
      <w:r>
        <w:rPr>
          <w:rFonts w:hint="eastAsia" w:ascii="Times New Roman" w:hAnsi="Times New Roman"/>
        </w:rPr>
        <w:t>.可持续影响</w:t>
      </w:r>
    </w:p>
    <w:p>
      <w:pPr>
        <w:ind w:firstLine="640" w:firstLineChars="200"/>
        <w:rPr>
          <w:rFonts w:ascii="Times New Roman" w:hAnsi="Times New Roman"/>
        </w:rPr>
      </w:pPr>
      <w:r>
        <w:rPr>
          <w:rFonts w:hint="eastAsia" w:ascii="Times New Roman" w:hAnsi="Times New Roman"/>
        </w:rPr>
        <w:t>可持续影响指标分值5分，得分3分，得分率60%。</w:t>
      </w:r>
    </w:p>
    <w:p>
      <w:pPr>
        <w:pStyle w:val="5"/>
        <w:rPr>
          <w:rFonts w:ascii="Times New Roman" w:hAnsi="Times New Roman"/>
        </w:rPr>
      </w:pPr>
      <w:r>
        <w:rPr>
          <w:rFonts w:hint="eastAsia" w:ascii="Times New Roman" w:hAnsi="Times New Roman"/>
        </w:rPr>
        <w:t>（1）设计使用年限率（2分）</w:t>
      </w:r>
    </w:p>
    <w:p>
      <w:pPr>
        <w:ind w:firstLine="640" w:firstLineChars="200"/>
        <w:jc w:val="both"/>
        <w:rPr>
          <w:rFonts w:hint="eastAsia" w:ascii="Times New Roman" w:hAnsi="Times New Roman"/>
        </w:rPr>
      </w:pPr>
      <w:r>
        <w:rPr>
          <w:rFonts w:hint="eastAsia" w:ascii="Times New Roman" w:hAnsi="Times New Roman"/>
          <w:lang w:val="en-US" w:eastAsia="zh-CN"/>
        </w:rPr>
        <w:t>根据</w:t>
      </w:r>
      <w:r>
        <w:rPr>
          <w:rFonts w:hint="eastAsia" w:ascii="Times New Roman" w:hAnsi="Times New Roman"/>
        </w:rPr>
        <w:t>项目</w:t>
      </w:r>
      <w:r>
        <w:rPr>
          <w:rFonts w:hint="eastAsia" w:ascii="Times New Roman" w:hAnsi="Times New Roman"/>
          <w:lang w:val="en-US" w:eastAsia="zh-CN"/>
        </w:rPr>
        <w:t>材料，本项目</w:t>
      </w:r>
      <w:r>
        <w:rPr>
          <w:rFonts w:hint="eastAsia" w:ascii="Times New Roman" w:hAnsi="Times New Roman"/>
        </w:rPr>
        <w:t>目前未验收，无法判定使用年限，也无相关预期达标证明材料。</w:t>
      </w:r>
      <w:r>
        <w:rPr>
          <w:rFonts w:hint="eastAsia" w:ascii="Times New Roman" w:hAnsi="Times New Roman"/>
          <w:lang w:val="en-US" w:eastAsia="zh-CN"/>
        </w:rPr>
        <w:t>但建设单位正在组织验收，</w:t>
      </w:r>
      <w:r>
        <w:rPr>
          <w:rFonts w:hint="eastAsia" w:ascii="Times New Roman" w:hAnsi="Times New Roman"/>
        </w:rPr>
        <w:t>根据评分规则，该指标</w:t>
      </w:r>
      <w:r>
        <w:rPr>
          <w:rFonts w:hint="eastAsia" w:ascii="Times New Roman" w:hAnsi="Times New Roman"/>
          <w:lang w:val="en-US" w:eastAsia="zh-CN"/>
        </w:rPr>
        <w:t>可</w:t>
      </w:r>
      <w:r>
        <w:rPr>
          <w:rFonts w:hint="eastAsia" w:ascii="Times New Roman" w:hAnsi="Times New Roman"/>
        </w:rPr>
        <w:t>酌情</w:t>
      </w:r>
      <w:r>
        <w:rPr>
          <w:rFonts w:hint="eastAsia" w:ascii="Times New Roman" w:hAnsi="Times New Roman"/>
          <w:lang w:val="en-US" w:eastAsia="zh-CN"/>
        </w:rPr>
        <w:t>得</w:t>
      </w:r>
      <w:r>
        <w:rPr>
          <w:rFonts w:hint="eastAsia" w:ascii="Times New Roman" w:hAnsi="Times New Roman"/>
        </w:rPr>
        <w:t>1分。</w:t>
      </w:r>
    </w:p>
    <w:p>
      <w:pPr>
        <w:numPr>
          <w:ilvl w:val="0"/>
          <w:numId w:val="3"/>
        </w:numPr>
        <w:ind w:firstLine="640" w:firstLineChars="200"/>
        <w:rPr>
          <w:rFonts w:ascii="Times New Roman" w:hAnsi="Times New Roman"/>
        </w:rPr>
      </w:pPr>
      <w:r>
        <w:rPr>
          <w:rFonts w:hint="eastAsia" w:ascii="Times New Roman" w:hAnsi="Times New Roman"/>
        </w:rPr>
        <w:t>项目维护管理长效机制</w:t>
      </w:r>
      <w:r>
        <w:rPr>
          <w:rFonts w:hint="eastAsia" w:ascii="Times New Roman" w:hAnsi="Times New Roman"/>
          <w:lang w:eastAsia="zh-CN"/>
        </w:rPr>
        <w:t>（</w:t>
      </w:r>
      <w:r>
        <w:rPr>
          <w:rFonts w:hint="eastAsia" w:ascii="Times New Roman" w:hAnsi="Times New Roman"/>
          <w:lang w:val="en-US" w:eastAsia="zh-CN"/>
        </w:rPr>
        <w:t>3分</w:t>
      </w:r>
      <w:r>
        <w:rPr>
          <w:rFonts w:hint="eastAsia" w:ascii="Times New Roman" w:hAnsi="Times New Roman"/>
          <w:lang w:eastAsia="zh-CN"/>
        </w:rPr>
        <w:t>）</w:t>
      </w:r>
    </w:p>
    <w:p>
      <w:pPr>
        <w:ind w:firstLine="640" w:firstLineChars="200"/>
        <w:rPr>
          <w:rFonts w:ascii="Times New Roman" w:hAnsi="Times New Roman"/>
        </w:rPr>
      </w:pPr>
      <w:r>
        <w:rPr>
          <w:rFonts w:ascii="Times New Roman" w:hAnsi="Times New Roman"/>
        </w:rPr>
        <w:t>根据石家庄市鹿泉区农村污水处理站运维项目合同</w:t>
      </w:r>
      <w:r>
        <w:rPr>
          <w:rFonts w:hint="eastAsia" w:ascii="Times New Roman" w:hAnsi="Times New Roman"/>
        </w:rPr>
        <w:t>及实地调研材料</w:t>
      </w:r>
      <w:r>
        <w:rPr>
          <w:rFonts w:ascii="Times New Roman" w:hAnsi="Times New Roman"/>
        </w:rPr>
        <w:t>，项目配有后续运维管理人员</w:t>
      </w:r>
      <w:r>
        <w:rPr>
          <w:rFonts w:hint="eastAsia" w:ascii="Times New Roman" w:hAnsi="Times New Roman"/>
        </w:rPr>
        <w:t>及服务</w:t>
      </w:r>
      <w:r>
        <w:rPr>
          <w:rFonts w:ascii="Times New Roman" w:hAnsi="Times New Roman"/>
        </w:rPr>
        <w:t>，根据评分规则，该指标得100%权重分。</w:t>
      </w:r>
    </w:p>
    <w:p>
      <w:pPr>
        <w:pStyle w:val="4"/>
        <w:rPr>
          <w:rFonts w:ascii="Times New Roman" w:hAnsi="Times New Roman"/>
        </w:rPr>
      </w:pPr>
      <w:r>
        <w:rPr>
          <w:rFonts w:hint="eastAsia" w:ascii="Times New Roman" w:hAnsi="Times New Roman"/>
          <w:lang w:val="en-US" w:eastAsia="zh-CN"/>
        </w:rPr>
        <w:t>5</w:t>
      </w:r>
      <w:r>
        <w:rPr>
          <w:rFonts w:hint="eastAsia" w:ascii="Times New Roman" w:hAnsi="Times New Roman"/>
        </w:rPr>
        <w:t>.满意度</w:t>
      </w:r>
    </w:p>
    <w:p>
      <w:pPr>
        <w:ind w:firstLine="640" w:firstLineChars="200"/>
        <w:rPr>
          <w:rFonts w:ascii="Times New Roman" w:hAnsi="Times New Roman"/>
        </w:rPr>
      </w:pPr>
      <w:r>
        <w:rPr>
          <w:rFonts w:hint="eastAsia" w:ascii="Times New Roman" w:hAnsi="Times New Roman"/>
        </w:rPr>
        <w:t>满意度指标分值</w:t>
      </w:r>
      <w:r>
        <w:rPr>
          <w:rFonts w:hint="eastAsia" w:ascii="Times New Roman" w:hAnsi="Times New Roman"/>
          <w:lang w:val="en-US" w:eastAsia="zh-CN"/>
        </w:rPr>
        <w:t>10</w:t>
      </w:r>
      <w:r>
        <w:rPr>
          <w:rFonts w:hint="eastAsia" w:ascii="Times New Roman" w:hAnsi="Times New Roman"/>
        </w:rPr>
        <w:t>分，得分</w:t>
      </w:r>
      <w:r>
        <w:rPr>
          <w:rFonts w:hint="eastAsia" w:ascii="Times New Roman" w:hAnsi="Times New Roman"/>
          <w:lang w:val="en-US" w:eastAsia="zh-CN"/>
        </w:rPr>
        <w:t>10</w:t>
      </w:r>
      <w:r>
        <w:rPr>
          <w:rFonts w:hint="eastAsia" w:ascii="Times New Roman" w:hAnsi="Times New Roman"/>
        </w:rPr>
        <w:t>分，得分率</w:t>
      </w:r>
      <w:r>
        <w:rPr>
          <w:rFonts w:hint="eastAsia" w:ascii="Times New Roman" w:hAnsi="Times New Roman"/>
          <w:lang w:val="en-US" w:eastAsia="zh-CN"/>
        </w:rPr>
        <w:t>100</w:t>
      </w:r>
      <w:r>
        <w:rPr>
          <w:rFonts w:hint="eastAsia" w:ascii="Times New Roman" w:hAnsi="Times New Roman"/>
        </w:rPr>
        <w:t>%。</w:t>
      </w:r>
    </w:p>
    <w:p>
      <w:pPr>
        <w:pStyle w:val="5"/>
        <w:rPr>
          <w:rFonts w:ascii="Times New Roman" w:hAnsi="Times New Roman"/>
        </w:rPr>
      </w:pPr>
      <w:r>
        <w:rPr>
          <w:rFonts w:hint="eastAsia" w:ascii="Times New Roman" w:hAnsi="Times New Roman"/>
        </w:rPr>
        <w:t>（1）</w:t>
      </w:r>
      <w:r>
        <w:rPr>
          <w:rFonts w:hint="eastAsia" w:ascii="Times New Roman" w:hAnsi="Times New Roman"/>
          <w:lang w:val="en-US" w:eastAsia="zh-CN"/>
        </w:rPr>
        <w:t>受益村</w:t>
      </w:r>
      <w:r>
        <w:rPr>
          <w:rFonts w:hint="eastAsia" w:ascii="Times New Roman" w:hAnsi="Times New Roman"/>
        </w:rPr>
        <w:t>民满意度（</w:t>
      </w:r>
      <w:r>
        <w:rPr>
          <w:rFonts w:hint="eastAsia" w:ascii="Times New Roman" w:hAnsi="Times New Roman"/>
          <w:lang w:val="en-US" w:eastAsia="zh-CN"/>
        </w:rPr>
        <w:t>10</w:t>
      </w:r>
      <w:r>
        <w:rPr>
          <w:rFonts w:hint="eastAsia" w:ascii="Times New Roman" w:hAnsi="Times New Roman"/>
        </w:rPr>
        <w:t>分）</w:t>
      </w:r>
    </w:p>
    <w:p>
      <w:pPr>
        <w:ind w:firstLine="640" w:firstLineChars="200"/>
        <w:rPr>
          <w:rFonts w:ascii="Times New Roman" w:hAnsi="Times New Roman"/>
        </w:rPr>
      </w:pPr>
      <w:r>
        <w:rPr>
          <w:rFonts w:hint="eastAsia" w:ascii="Times New Roman" w:hAnsi="Times New Roman"/>
          <w:lang w:val="en-US" w:eastAsia="zh-CN"/>
        </w:rPr>
        <w:t>针对</w:t>
      </w:r>
      <w:r>
        <w:rPr>
          <w:rFonts w:hint="eastAsia" w:ascii="Times New Roman" w:hAnsi="Times New Roman"/>
        </w:rPr>
        <w:t>项目</w:t>
      </w:r>
      <w:r>
        <w:rPr>
          <w:rFonts w:hint="eastAsia" w:ascii="Times New Roman" w:hAnsi="Times New Roman"/>
          <w:lang w:val="en-US" w:eastAsia="zh-CN"/>
        </w:rPr>
        <w:t>实施地的村</w:t>
      </w:r>
      <w:r>
        <w:rPr>
          <w:rFonts w:hint="eastAsia" w:ascii="Times New Roman" w:hAnsi="Times New Roman"/>
        </w:rPr>
        <w:t>民开展满意度调查，线下、线上共收集满意度调查问卷130份，</w:t>
      </w:r>
      <w:r>
        <w:rPr>
          <w:rFonts w:hint="eastAsia" w:ascii="Times New Roman" w:hAnsi="Times New Roman"/>
          <w:lang w:val="en-US" w:eastAsia="zh-CN"/>
        </w:rPr>
        <w:t>经分析，总体</w:t>
      </w:r>
      <w:r>
        <w:rPr>
          <w:rFonts w:hint="eastAsia" w:ascii="Times New Roman" w:hAnsi="Times New Roman"/>
        </w:rPr>
        <w:t>满意度为85.1%，满意度水平较好。根据评分规则，该指标得</w:t>
      </w:r>
      <w:r>
        <w:rPr>
          <w:rFonts w:hint="eastAsia" w:ascii="Times New Roman" w:hAnsi="Times New Roman"/>
          <w:lang w:val="en-US" w:eastAsia="zh-CN"/>
        </w:rPr>
        <w:t>100</w:t>
      </w:r>
      <w:r>
        <w:rPr>
          <w:rFonts w:hint="eastAsia" w:ascii="Times New Roman" w:hAnsi="Times New Roman"/>
        </w:rPr>
        <w:t>%权重分。</w:t>
      </w:r>
    </w:p>
    <w:p>
      <w:pPr>
        <w:pStyle w:val="2"/>
        <w:rPr>
          <w:rFonts w:ascii="Times New Roman" w:hAnsi="Times New Roman"/>
        </w:rPr>
      </w:pPr>
      <w:bookmarkStart w:id="64" w:name="_Toc14698"/>
      <w:bookmarkStart w:id="65" w:name="_Toc26152"/>
      <w:bookmarkStart w:id="66" w:name="_Toc13398"/>
      <w:bookmarkStart w:id="67" w:name="_Toc11524"/>
      <w:r>
        <w:rPr>
          <w:rFonts w:hint="eastAsia" w:ascii="Times New Roman" w:hAnsi="Times New Roman"/>
        </w:rPr>
        <w:t>五、主要经验及做法、存在的问题及原因分析</w:t>
      </w:r>
      <w:bookmarkEnd w:id="64"/>
      <w:bookmarkEnd w:id="65"/>
      <w:bookmarkEnd w:id="66"/>
      <w:bookmarkEnd w:id="67"/>
    </w:p>
    <w:p>
      <w:pPr>
        <w:pStyle w:val="3"/>
        <w:rPr>
          <w:rFonts w:ascii="Times New Roman" w:hAnsi="Times New Roman"/>
        </w:rPr>
      </w:pPr>
      <w:bookmarkStart w:id="68" w:name="_Toc6741"/>
      <w:bookmarkStart w:id="69" w:name="_Toc18403"/>
      <w:bookmarkStart w:id="70" w:name="_Toc17421"/>
      <w:bookmarkStart w:id="71" w:name="_Toc2776"/>
      <w:r>
        <w:rPr>
          <w:rFonts w:hint="eastAsia" w:ascii="Times New Roman" w:hAnsi="Times New Roman"/>
        </w:rPr>
        <w:t>（一）主要经验及做法</w:t>
      </w:r>
      <w:bookmarkEnd w:id="68"/>
      <w:bookmarkEnd w:id="69"/>
      <w:bookmarkEnd w:id="70"/>
      <w:bookmarkEnd w:id="71"/>
    </w:p>
    <w:p>
      <w:pPr>
        <w:pStyle w:val="4"/>
        <w:rPr>
          <w:rFonts w:ascii="Times New Roman" w:hAnsi="Times New Roman"/>
        </w:rPr>
      </w:pPr>
      <w:r>
        <w:rPr>
          <w:rFonts w:hint="eastAsia" w:ascii="Times New Roman" w:hAnsi="Times New Roman"/>
        </w:rPr>
        <w:t>1.超前谋划项目</w:t>
      </w:r>
    </w:p>
    <w:p>
      <w:pPr>
        <w:ind w:firstLine="640" w:firstLineChars="200"/>
        <w:jc w:val="both"/>
        <w:rPr>
          <w:rFonts w:ascii="Times New Roman" w:hAnsi="Times New Roman"/>
        </w:rPr>
      </w:pPr>
      <w:r>
        <w:rPr>
          <w:rFonts w:hint="eastAsia" w:ascii="Times New Roman" w:hAnsi="Times New Roman" w:cs="仿宋_GB2312"/>
          <w:szCs w:val="32"/>
        </w:rPr>
        <w:t>石家庄市生态环境局鹿泉区分</w:t>
      </w:r>
      <w:r>
        <w:rPr>
          <w:rFonts w:hint="eastAsia" w:ascii="Times New Roman" w:hAnsi="Times New Roman" w:cs="仿宋_GB2312"/>
          <w:szCs w:val="32"/>
          <w:lang w:val="en-US" w:eastAsia="zh-CN"/>
        </w:rPr>
        <w:t>局</w:t>
      </w:r>
      <w:r>
        <w:rPr>
          <w:rFonts w:hint="eastAsia" w:ascii="Times New Roman" w:hAnsi="Times New Roman" w:cs="仿宋_GB2312"/>
          <w:szCs w:val="32"/>
        </w:rPr>
        <w:t>根据本部门职责和全区中长期发展规划，围绕政府年度重点工作内容找准契机，优先推动涉农、民生领域项目，贴合部门职能范围超前谋划项目。及时组织论证项目立项、建设、预算等环节，主动向主要领导汇报。重点实施补缺口、抓短板的且</w:t>
      </w:r>
      <w:r>
        <w:rPr>
          <w:rFonts w:hint="eastAsia" w:ascii="Times New Roman" w:hAnsi="Times New Roman"/>
          <w:szCs w:val="32"/>
        </w:rPr>
        <w:t>群众急难愁盼的项目，优先支持村集体经济薄弱、受益人口多，地理位置重要的民生项目。</w:t>
      </w:r>
    </w:p>
    <w:p>
      <w:pPr>
        <w:pStyle w:val="4"/>
        <w:ind w:firstLine="640" w:firstLineChars="200"/>
        <w:rPr>
          <w:rFonts w:ascii="Times New Roman" w:hAnsi="Times New Roman"/>
        </w:rPr>
      </w:pPr>
      <w:r>
        <w:rPr>
          <w:rFonts w:hint="eastAsia" w:ascii="Times New Roman" w:hAnsi="Times New Roman"/>
        </w:rPr>
        <w:t>2.双重监管督导</w:t>
      </w:r>
    </w:p>
    <w:p>
      <w:pPr>
        <w:numPr>
          <w:ilvl w:val="255"/>
          <w:numId w:val="0"/>
        </w:numPr>
        <w:ind w:firstLine="640" w:firstLineChars="200"/>
        <w:rPr>
          <w:rFonts w:ascii="Times New Roman" w:hAnsi="Times New Roman" w:eastAsia="黑体" w:cs="黑体"/>
          <w:b/>
          <w:bCs/>
          <w:sz w:val="24"/>
        </w:rPr>
      </w:pPr>
      <w:r>
        <w:rPr>
          <w:rFonts w:hint="eastAsia" w:ascii="Times New Roman" w:hAnsi="Times New Roman"/>
          <w:szCs w:val="32"/>
        </w:rPr>
        <w:t>项目实施过程中，除监理公司外，石家庄市生态环境局鹿泉区分局还聘请了独立的项目管理公司负责对项目实施全过程进行监管，对工程进行全面的质量把控、安全监督、进度督查、成本监控等，与监理公司人员共同把好项目质量关。</w:t>
      </w:r>
    </w:p>
    <w:p>
      <w:pPr>
        <w:pStyle w:val="3"/>
        <w:numPr>
          <w:ilvl w:val="-1"/>
          <w:numId w:val="0"/>
        </w:numPr>
        <w:ind w:firstLine="640" w:firstLineChars="200"/>
        <w:rPr>
          <w:rFonts w:ascii="Times New Roman" w:hAnsi="Times New Roman"/>
        </w:rPr>
      </w:pPr>
      <w:bookmarkStart w:id="72" w:name="_Toc21724"/>
      <w:r>
        <w:rPr>
          <w:rFonts w:hint="eastAsia" w:ascii="Times New Roman" w:hAnsi="Times New Roman"/>
          <w:lang w:eastAsia="zh-CN"/>
        </w:rPr>
        <w:t>（</w:t>
      </w:r>
      <w:r>
        <w:rPr>
          <w:rFonts w:hint="eastAsia" w:ascii="Times New Roman" w:hAnsi="Times New Roman"/>
          <w:lang w:val="en-US" w:eastAsia="zh-CN"/>
        </w:rPr>
        <w:t>二</w:t>
      </w:r>
      <w:r>
        <w:rPr>
          <w:rFonts w:hint="eastAsia" w:ascii="Times New Roman" w:hAnsi="Times New Roman"/>
          <w:lang w:eastAsia="zh-CN"/>
        </w:rPr>
        <w:t>）</w:t>
      </w:r>
      <w:r>
        <w:rPr>
          <w:rFonts w:hint="eastAsia" w:ascii="Times New Roman" w:hAnsi="Times New Roman"/>
        </w:rPr>
        <w:t>存在的问题及原因分析</w:t>
      </w:r>
      <w:bookmarkEnd w:id="72"/>
    </w:p>
    <w:p>
      <w:pPr>
        <w:pStyle w:val="4"/>
        <w:rPr>
          <w:rFonts w:ascii="Times New Roman" w:hAnsi="Times New Roman"/>
        </w:rPr>
      </w:pPr>
      <w:r>
        <w:rPr>
          <w:rFonts w:hint="eastAsia" w:ascii="Times New Roman" w:hAnsi="Times New Roman"/>
          <w:lang w:val="en-US" w:eastAsia="zh-CN"/>
        </w:rPr>
        <w:t>1</w:t>
      </w:r>
      <w:r>
        <w:rPr>
          <w:rFonts w:hint="eastAsia" w:ascii="Times New Roman" w:hAnsi="Times New Roman"/>
        </w:rPr>
        <w:t>.</w:t>
      </w:r>
      <w:r>
        <w:rPr>
          <w:rFonts w:hint="eastAsia" w:ascii="Times New Roman" w:hAnsi="Times New Roman"/>
          <w:lang w:val="en-US" w:eastAsia="zh-CN"/>
        </w:rPr>
        <w:t>工程前期概算不准确，</w:t>
      </w:r>
      <w:r>
        <w:rPr>
          <w:rFonts w:hint="eastAsia" w:ascii="Times New Roman" w:hAnsi="Times New Roman"/>
        </w:rPr>
        <w:t>项目产出偏差较大</w:t>
      </w:r>
    </w:p>
    <w:p>
      <w:pPr>
        <w:ind w:firstLine="640" w:firstLineChars="200"/>
        <w:rPr>
          <w:rFonts w:ascii="Times New Roman" w:hAnsi="Times New Roman"/>
        </w:rPr>
      </w:pPr>
      <w:r>
        <w:rPr>
          <w:rFonts w:hint="eastAsia" w:ascii="Times New Roman" w:hAnsi="Times New Roman"/>
          <w:lang w:val="en-US" w:eastAsia="zh-CN"/>
        </w:rPr>
        <w:t>本次评价发现，由于前期勘测、调研不充分，</w:t>
      </w:r>
      <w:r>
        <w:rPr>
          <w:rFonts w:hint="eastAsia" w:ascii="Times New Roman" w:hAnsi="Times New Roman"/>
        </w:rPr>
        <w:t>项目实施过程中受疫情及</w:t>
      </w:r>
      <w:r>
        <w:rPr>
          <w:rFonts w:hint="eastAsia" w:ascii="Times New Roman" w:hAnsi="Times New Roman"/>
          <w:lang w:val="en-US" w:eastAsia="zh-CN"/>
        </w:rPr>
        <w:t>村民</w:t>
      </w:r>
      <w:r>
        <w:rPr>
          <w:rFonts w:hint="eastAsia" w:ascii="Times New Roman" w:hAnsi="Times New Roman"/>
        </w:rPr>
        <w:t>各类纠纷</w:t>
      </w:r>
      <w:r>
        <w:rPr>
          <w:rFonts w:hint="eastAsia" w:ascii="Times New Roman" w:hAnsi="Times New Roman"/>
          <w:lang w:eastAsia="zh-CN"/>
        </w:rPr>
        <w:t>、</w:t>
      </w:r>
      <w:r>
        <w:rPr>
          <w:rFonts w:hint="eastAsia" w:ascii="Times New Roman" w:hAnsi="Times New Roman"/>
        </w:rPr>
        <w:t>管网埋设深度</w:t>
      </w:r>
      <w:r>
        <w:rPr>
          <w:rFonts w:hint="eastAsia" w:ascii="Times New Roman" w:hAnsi="Times New Roman"/>
          <w:lang w:val="en-US" w:eastAsia="zh-CN"/>
        </w:rPr>
        <w:t>及</w:t>
      </w:r>
      <w:r>
        <w:rPr>
          <w:rFonts w:hint="eastAsia" w:ascii="Times New Roman" w:hAnsi="Times New Roman"/>
        </w:rPr>
        <w:t>开槽上口宽度</w:t>
      </w:r>
      <w:r>
        <w:rPr>
          <w:rFonts w:hint="eastAsia" w:ascii="Times New Roman" w:hAnsi="Times New Roman"/>
          <w:lang w:val="en-US" w:eastAsia="zh-CN"/>
        </w:rPr>
        <w:t>影响恢复面积等多重因素</w:t>
      </w:r>
      <w:r>
        <w:rPr>
          <w:rFonts w:hint="eastAsia" w:ascii="Times New Roman" w:hAnsi="Times New Roman"/>
        </w:rPr>
        <w:t>影响工程</w:t>
      </w:r>
      <w:r>
        <w:rPr>
          <w:rFonts w:hint="eastAsia" w:ascii="Times New Roman" w:hAnsi="Times New Roman"/>
          <w:lang w:val="en-US" w:eastAsia="zh-CN"/>
        </w:rPr>
        <w:t>产出</w:t>
      </w:r>
      <w:r>
        <w:rPr>
          <w:rFonts w:hint="eastAsia" w:ascii="Times New Roman" w:hAnsi="Times New Roman"/>
        </w:rPr>
        <w:t>，</w:t>
      </w:r>
      <w:r>
        <w:rPr>
          <w:rFonts w:hint="eastAsia" w:ascii="Times New Roman" w:hAnsi="Times New Roman"/>
          <w:lang w:val="en-US" w:eastAsia="zh-CN"/>
        </w:rPr>
        <w:t>最终</w:t>
      </w:r>
      <w:r>
        <w:rPr>
          <w:rFonts w:hint="eastAsia" w:ascii="Times New Roman" w:hAnsi="Times New Roman"/>
        </w:rPr>
        <w:t>导致项目</w:t>
      </w:r>
      <w:r>
        <w:rPr>
          <w:rFonts w:hint="eastAsia" w:ascii="Times New Roman" w:hAnsi="Times New Roman"/>
          <w:lang w:val="en-US" w:eastAsia="zh-CN"/>
        </w:rPr>
        <w:t>部分</w:t>
      </w:r>
      <w:r>
        <w:rPr>
          <w:rFonts w:hint="eastAsia" w:ascii="Times New Roman" w:hAnsi="Times New Roman"/>
        </w:rPr>
        <w:t>产出</w:t>
      </w:r>
      <w:r>
        <w:rPr>
          <w:rFonts w:hint="eastAsia" w:ascii="Times New Roman" w:hAnsi="Times New Roman"/>
          <w:lang w:val="en-US" w:eastAsia="zh-CN"/>
        </w:rPr>
        <w:t>较大程度偏离</w:t>
      </w:r>
      <w:r>
        <w:rPr>
          <w:rFonts w:hint="eastAsia" w:ascii="Times New Roman" w:hAnsi="Times New Roman"/>
        </w:rPr>
        <w:t>预期目标</w:t>
      </w:r>
      <w:r>
        <w:rPr>
          <w:rFonts w:hint="eastAsia" w:ascii="Times New Roman" w:hAnsi="Times New Roman"/>
          <w:lang w:eastAsia="zh-CN"/>
        </w:rPr>
        <w:t>。</w:t>
      </w:r>
      <w:r>
        <w:rPr>
          <w:rFonts w:hint="eastAsia" w:ascii="Times New Roman" w:hAnsi="Times New Roman"/>
        </w:rPr>
        <w:t>实际产出工程量与计划工程量偏差</w:t>
      </w:r>
      <w:r>
        <w:rPr>
          <w:rFonts w:hint="eastAsia" w:ascii="Times New Roman" w:hAnsi="Times New Roman"/>
          <w:lang w:val="en-US" w:eastAsia="zh-CN"/>
        </w:rPr>
        <w:t>较大</w:t>
      </w:r>
      <w:r>
        <w:rPr>
          <w:rFonts w:hint="eastAsia" w:ascii="Times New Roman" w:hAnsi="Times New Roman"/>
        </w:rPr>
        <w:t>，尤其是检查井及恢复路面面积</w:t>
      </w:r>
      <w:r>
        <w:rPr>
          <w:rFonts w:hint="eastAsia" w:ascii="Times New Roman" w:hAnsi="Times New Roman"/>
          <w:lang w:val="en-US" w:eastAsia="zh-CN"/>
        </w:rPr>
        <w:t>严重超额</w:t>
      </w:r>
      <w:r>
        <w:rPr>
          <w:rFonts w:hint="eastAsia" w:ascii="Times New Roman" w:hAnsi="Times New Roman"/>
          <w:lang w:eastAsia="zh-CN"/>
        </w:rPr>
        <w:t>（</w:t>
      </w:r>
      <w:r>
        <w:rPr>
          <w:rFonts w:hint="eastAsia" w:ascii="Times New Roman" w:hAnsi="Times New Roman"/>
          <w:lang w:val="en-US" w:eastAsia="zh-CN"/>
        </w:rPr>
        <w:t>检查井超5361个、破除及恢复路面面积超80594平方米</w:t>
      </w:r>
      <w:r>
        <w:rPr>
          <w:rFonts w:hint="eastAsia" w:ascii="Times New Roman" w:hAnsi="Times New Roman"/>
          <w:lang w:eastAsia="zh-CN"/>
        </w:rPr>
        <w:t>）。</w:t>
      </w:r>
      <w:r>
        <w:rPr>
          <w:rFonts w:hint="eastAsia" w:ascii="Times New Roman" w:hAnsi="Times New Roman"/>
        </w:rPr>
        <w:t>同时也影响预算整体执行率。</w:t>
      </w:r>
    </w:p>
    <w:p>
      <w:pPr>
        <w:pStyle w:val="4"/>
        <w:numPr>
          <w:ilvl w:val="-1"/>
          <w:numId w:val="0"/>
        </w:numPr>
        <w:ind w:firstLine="640" w:firstLineChars="200"/>
        <w:rPr>
          <w:rFonts w:ascii="Times New Roman" w:hAnsi="Times New Roman"/>
        </w:rPr>
      </w:pPr>
      <w:r>
        <w:rPr>
          <w:rStyle w:val="29"/>
          <w:rFonts w:hint="eastAsia" w:ascii="Times New Roman" w:hAnsi="Times New Roman"/>
          <w:lang w:val="en-US" w:eastAsia="zh-CN"/>
        </w:rPr>
        <w:t>2.项目施工、竣工验收进度缓慢</w:t>
      </w:r>
    </w:p>
    <w:p>
      <w:pPr>
        <w:ind w:firstLine="640" w:firstLineChars="200"/>
        <w:rPr>
          <w:rFonts w:ascii="Times New Roman" w:hAnsi="Times New Roman"/>
        </w:rPr>
      </w:pPr>
      <w:r>
        <w:rPr>
          <w:rFonts w:hint="eastAsia" w:ascii="Times New Roman" w:hAnsi="Times New Roman"/>
        </w:rPr>
        <w:t>本项目于2022年5月27日签订施工合同，6月6日入场施工，同年11月份完成项目</w:t>
      </w:r>
      <w:r>
        <w:rPr>
          <w:rFonts w:hint="eastAsia" w:ascii="Times New Roman" w:hAnsi="Times New Roman"/>
          <w:lang w:val="en-US" w:eastAsia="zh-CN"/>
        </w:rPr>
        <w:t>管网</w:t>
      </w:r>
      <w:r>
        <w:rPr>
          <w:rFonts w:hint="eastAsia" w:ascii="Times New Roman" w:hAnsi="Times New Roman"/>
        </w:rPr>
        <w:t>建设。但截至2022年12月31日仍未进行相关质量验收，</w:t>
      </w:r>
      <w:r>
        <w:rPr>
          <w:rFonts w:hint="eastAsia" w:ascii="Times New Roman" w:hAnsi="Times New Roman"/>
          <w:lang w:val="en-US" w:eastAsia="zh-CN"/>
        </w:rPr>
        <w:t>同时，污水热源泵机房及其附属工程尚未完工，</w:t>
      </w:r>
      <w:r>
        <w:rPr>
          <w:rFonts w:hint="eastAsia" w:ascii="Times New Roman" w:hAnsi="Times New Roman"/>
        </w:rPr>
        <w:t>造成项目整体进度及决算工作的推迟。</w:t>
      </w:r>
    </w:p>
    <w:p>
      <w:pPr>
        <w:ind w:firstLine="0" w:firstLineChars="0"/>
        <w:rPr>
          <w:rFonts w:hint="eastAsia" w:ascii="Times New Roman" w:hAnsi="Times New Roman"/>
        </w:rPr>
      </w:pPr>
      <w:r>
        <w:rPr>
          <w:rFonts w:hint="eastAsia" w:ascii="Times New Roman" w:hAnsi="Times New Roman"/>
        </w:rPr>
        <w:t>因项目民生工程特性，建成后应及时</w:t>
      </w:r>
      <w:r>
        <w:rPr>
          <w:rFonts w:hint="eastAsia" w:ascii="Times New Roman" w:hAnsi="Times New Roman"/>
          <w:lang w:val="en-US" w:eastAsia="zh-CN"/>
        </w:rPr>
        <w:t>验收并</w:t>
      </w:r>
      <w:r>
        <w:rPr>
          <w:rFonts w:hint="eastAsia" w:ascii="Times New Roman" w:hAnsi="Times New Roman"/>
        </w:rPr>
        <w:t>投入运营，以免造成设备闲置。现场调研阶段发现存在部分管网使用率低、零星破损的情况，都在一定程度上影响项目产出效益。</w:t>
      </w:r>
    </w:p>
    <w:p>
      <w:pPr>
        <w:pStyle w:val="4"/>
        <w:ind w:firstLine="640" w:firstLineChars="200"/>
        <w:rPr>
          <w:rFonts w:hint="eastAsia" w:ascii="Times New Roman" w:hAnsi="Times New Roman"/>
          <w:color w:val="FF0000"/>
          <w:lang w:val="en-US" w:eastAsia="zh-CN"/>
        </w:rPr>
      </w:pPr>
      <w:r>
        <w:rPr>
          <w:rFonts w:hint="eastAsia" w:ascii="Times New Roman" w:hAnsi="Times New Roman"/>
          <w:lang w:val="en-US" w:eastAsia="zh-CN"/>
        </w:rPr>
        <w:t>3.预算绩效意识薄弱，</w:t>
      </w:r>
      <w:r>
        <w:rPr>
          <w:rFonts w:hint="eastAsia" w:ascii="Times New Roman" w:hAnsi="Times New Roman" w:eastAsia="仿宋_GB2312" w:cstheme="minorBidi"/>
          <w:kern w:val="2"/>
          <w:sz w:val="32"/>
          <w:szCs w:val="24"/>
          <w:lang w:val="en-US" w:eastAsia="zh-CN" w:bidi="ar-SA"/>
        </w:rPr>
        <w:t>指标值设置未考虑可获得性</w:t>
      </w:r>
    </w:p>
    <w:p>
      <w:pPr>
        <w:ind w:firstLine="640" w:firstLineChars="200"/>
        <w:jc w:val="both"/>
        <w:rPr>
          <w:rFonts w:hint="eastAsia" w:ascii="Times New Roman" w:hAnsi="Times New Roman"/>
          <w:lang w:eastAsia="zh-CN"/>
        </w:rPr>
      </w:pPr>
      <w:r>
        <w:rPr>
          <w:rFonts w:hint="eastAsia" w:ascii="Times New Roman" w:hAnsi="Times New Roman"/>
        </w:rPr>
        <w:t>项目呈现“重支出，轻管理”状况，预算绩效意识弱，绩效目标填报质量不高。</w:t>
      </w:r>
      <w:r>
        <w:rPr>
          <w:rFonts w:hint="eastAsia" w:ascii="Times New Roman" w:hAnsi="Times New Roman"/>
          <w:lang w:val="en-US" w:eastAsia="zh-CN"/>
        </w:rPr>
        <w:t>成本测算不够准确，导致年度有2577.62万元资金的闲置。财务管理、</w:t>
      </w:r>
      <w:r>
        <w:rPr>
          <w:rFonts w:hint="eastAsia" w:ascii="Times New Roman" w:hAnsi="Times New Roman"/>
        </w:rPr>
        <w:t>资金支出</w:t>
      </w:r>
      <w:r>
        <w:rPr>
          <w:rFonts w:hint="eastAsia" w:ascii="Times New Roman" w:hAnsi="Times New Roman"/>
          <w:lang w:val="en-US" w:eastAsia="zh-CN"/>
        </w:rPr>
        <w:t>相关资料充实、痕迹明显。业务管理中过程、结果性材料不足，产出不能及时回应绩效目标，整体体现</w:t>
      </w:r>
      <w:r>
        <w:rPr>
          <w:rFonts w:hint="eastAsia" w:ascii="Times New Roman" w:hAnsi="Times New Roman"/>
        </w:rPr>
        <w:t>项目资金管理重支出，预算管理轻绩效的特征</w:t>
      </w:r>
      <w:r>
        <w:rPr>
          <w:rFonts w:hint="eastAsia" w:ascii="Times New Roman" w:hAnsi="Times New Roman"/>
          <w:lang w:eastAsia="zh-CN"/>
        </w:rPr>
        <w:t>。</w:t>
      </w:r>
    </w:p>
    <w:p>
      <w:pPr>
        <w:ind w:firstLine="640" w:firstLineChars="200"/>
        <w:jc w:val="both"/>
        <w:rPr>
          <w:rFonts w:hint="default" w:ascii="Times New Roman" w:hAnsi="Times New Roman" w:eastAsia="仿宋_GB2312"/>
          <w:lang w:val="en-US" w:eastAsia="zh-CN"/>
        </w:rPr>
      </w:pPr>
      <w:r>
        <w:rPr>
          <w:rFonts w:hint="eastAsia" w:ascii="Times New Roman" w:hAnsi="Times New Roman"/>
          <w:lang w:val="en-US" w:eastAsia="zh-CN"/>
        </w:rPr>
        <w:t>同时，在项目绩效目标设置阶段确立的效益指标值在后续实施过程中难以获取产出数据，</w:t>
      </w:r>
      <w:r>
        <w:rPr>
          <w:rFonts w:hint="eastAsia" w:ascii="Times New Roman" w:hAnsi="Times New Roman"/>
        </w:rPr>
        <w:t>影响项目实施单位绩效自评及相关评价工作</w:t>
      </w:r>
      <w:r>
        <w:rPr>
          <w:rFonts w:hint="eastAsia" w:ascii="Times New Roman" w:hAnsi="Times New Roman"/>
          <w:lang w:val="en-US" w:eastAsia="zh-CN"/>
        </w:rPr>
        <w:t>质量</w:t>
      </w:r>
      <w:r>
        <w:rPr>
          <w:rFonts w:hint="eastAsia" w:ascii="Times New Roman" w:hAnsi="Times New Roman"/>
        </w:rPr>
        <w:t>。</w:t>
      </w:r>
      <w:r>
        <w:rPr>
          <w:rFonts w:hint="eastAsia" w:ascii="Times New Roman" w:hAnsi="Times New Roman"/>
          <w:lang w:val="en-US" w:eastAsia="zh-CN"/>
        </w:rPr>
        <w:t>如预算单位设立的生态效益指标，预期值为有效改善，实际完成值为有效改善。</w:t>
      </w:r>
    </w:p>
    <w:p>
      <w:pPr>
        <w:pStyle w:val="2"/>
        <w:rPr>
          <w:rFonts w:ascii="Times New Roman" w:hAnsi="Times New Roman"/>
        </w:rPr>
      </w:pPr>
      <w:bookmarkStart w:id="73" w:name="_Toc27901"/>
      <w:bookmarkStart w:id="74" w:name="_Toc4594"/>
      <w:bookmarkStart w:id="75" w:name="_Toc4226"/>
      <w:bookmarkStart w:id="76" w:name="_Toc23322"/>
      <w:r>
        <w:rPr>
          <w:rFonts w:hint="eastAsia" w:ascii="Times New Roman" w:hAnsi="Times New Roman"/>
        </w:rPr>
        <w:t>六、有关建议</w:t>
      </w:r>
      <w:bookmarkEnd w:id="73"/>
      <w:bookmarkEnd w:id="74"/>
      <w:bookmarkEnd w:id="75"/>
      <w:bookmarkEnd w:id="76"/>
    </w:p>
    <w:p>
      <w:pPr>
        <w:pStyle w:val="3"/>
        <w:rPr>
          <w:rFonts w:ascii="Times New Roman" w:hAnsi="Times New Roman"/>
        </w:rPr>
      </w:pPr>
      <w:bookmarkStart w:id="77" w:name="_Toc22015"/>
      <w:bookmarkStart w:id="78" w:name="_Toc18830"/>
      <w:bookmarkStart w:id="79" w:name="_Toc15153"/>
      <w:bookmarkStart w:id="80" w:name="_Toc14290"/>
      <w:r>
        <w:rPr>
          <w:rFonts w:hint="eastAsia" w:ascii="Times New Roman" w:hAnsi="Times New Roman"/>
        </w:rPr>
        <w:t>（</w:t>
      </w:r>
      <w:r>
        <w:rPr>
          <w:rFonts w:hint="eastAsia" w:ascii="Times New Roman" w:hAnsi="Times New Roman"/>
          <w:lang w:val="en-US" w:eastAsia="zh-CN"/>
        </w:rPr>
        <w:t>一</w:t>
      </w:r>
      <w:r>
        <w:rPr>
          <w:rFonts w:hint="eastAsia" w:ascii="Times New Roman" w:hAnsi="Times New Roman"/>
        </w:rPr>
        <w:t>）</w:t>
      </w:r>
      <w:r>
        <w:rPr>
          <w:rFonts w:hint="eastAsia" w:ascii="Times New Roman" w:hAnsi="Times New Roman"/>
          <w:lang w:val="en-US" w:eastAsia="zh-CN"/>
        </w:rPr>
        <w:t>加强项目前期勘测，</w:t>
      </w:r>
      <w:r>
        <w:rPr>
          <w:rFonts w:hint="eastAsia" w:ascii="Times New Roman" w:hAnsi="Times New Roman"/>
        </w:rPr>
        <w:t>提高项目工程量测算精准度</w:t>
      </w:r>
      <w:bookmarkEnd w:id="77"/>
      <w:bookmarkEnd w:id="78"/>
      <w:bookmarkEnd w:id="79"/>
      <w:bookmarkEnd w:id="80"/>
    </w:p>
    <w:p>
      <w:pPr>
        <w:ind w:firstLine="640" w:firstLineChars="200"/>
        <w:rPr>
          <w:rFonts w:ascii="Times New Roman" w:hAnsi="Times New Roman"/>
        </w:rPr>
      </w:pPr>
      <w:r>
        <w:rPr>
          <w:rFonts w:hint="eastAsia" w:ascii="Times New Roman" w:hAnsi="Times New Roman"/>
        </w:rPr>
        <w:t>建议在项目前期立项和设计阶段，提高项目工程量测算精准度，进而提高项目预算编制及产出准确性，降低偏差率，确保预算执行的精确度，避免出现大额资金闲置的情况。同时，需加强对项目实施过程中各类风险的识别与规避，加强组织管理与矛盾化解机制建设，按时完成项目各类工程量指标。</w:t>
      </w:r>
    </w:p>
    <w:p>
      <w:pPr>
        <w:pStyle w:val="3"/>
        <w:rPr>
          <w:rFonts w:ascii="Times New Roman" w:hAnsi="Times New Roman"/>
        </w:rPr>
      </w:pPr>
      <w:bookmarkStart w:id="81" w:name="_Toc23517"/>
      <w:bookmarkStart w:id="82" w:name="_Toc21905"/>
      <w:bookmarkStart w:id="83" w:name="_Toc25253"/>
      <w:bookmarkStart w:id="84" w:name="_Toc24420"/>
      <w:r>
        <w:rPr>
          <w:rFonts w:hint="eastAsia" w:ascii="Times New Roman" w:hAnsi="Times New Roman"/>
        </w:rPr>
        <w:t>（</w:t>
      </w:r>
      <w:r>
        <w:rPr>
          <w:rFonts w:hint="eastAsia" w:ascii="Times New Roman" w:hAnsi="Times New Roman"/>
          <w:lang w:val="en-US" w:eastAsia="zh-CN"/>
        </w:rPr>
        <w:t>二</w:t>
      </w:r>
      <w:r>
        <w:rPr>
          <w:rFonts w:hint="eastAsia" w:ascii="Times New Roman" w:hAnsi="Times New Roman"/>
        </w:rPr>
        <w:t>）</w:t>
      </w:r>
      <w:r>
        <w:rPr>
          <w:rFonts w:hint="eastAsia" w:ascii="Times New Roman" w:hAnsi="Times New Roman"/>
          <w:lang w:val="en-US" w:eastAsia="zh-CN"/>
        </w:rPr>
        <w:t>做好项目监管，加快推进项目实施进度</w:t>
      </w:r>
      <w:bookmarkEnd w:id="81"/>
      <w:bookmarkEnd w:id="82"/>
      <w:bookmarkEnd w:id="83"/>
      <w:bookmarkEnd w:id="84"/>
    </w:p>
    <w:p>
      <w:pPr>
        <w:ind w:firstLine="640" w:firstLineChars="200"/>
        <w:rPr>
          <w:rFonts w:hint="eastAsia" w:ascii="Times New Roman" w:hAnsi="Times New Roman"/>
        </w:rPr>
      </w:pPr>
      <w:r>
        <w:rPr>
          <w:rFonts w:hint="eastAsia" w:ascii="Times New Roman" w:hAnsi="Times New Roman"/>
          <w:lang w:val="en-US" w:eastAsia="zh-CN"/>
        </w:rPr>
        <w:t>建议做好项目前期准备工作，抓准、抓好进度控制的重要环节，有完善的进度保障措施，尽量严格按照计划控制，并在过程中及时调整。针对该项目，</w:t>
      </w:r>
      <w:r>
        <w:rPr>
          <w:rFonts w:hint="eastAsia" w:ascii="Times New Roman" w:hAnsi="Times New Roman"/>
        </w:rPr>
        <w:t>增强对项目建设过程中重要步骤的过程监管及留痕管理</w:t>
      </w:r>
      <w:r>
        <w:rPr>
          <w:rFonts w:hint="eastAsia" w:ascii="Times New Roman" w:hAnsi="Times New Roman"/>
          <w:lang w:eastAsia="zh-CN"/>
        </w:rPr>
        <w:t>，</w:t>
      </w:r>
      <w:r>
        <w:rPr>
          <w:rFonts w:hint="eastAsia" w:ascii="Times New Roman" w:hAnsi="Times New Roman"/>
        </w:rPr>
        <w:t>加大对项目施工数量、质量、及时性及完成度等方面的有效监管</w:t>
      </w:r>
      <w:r>
        <w:rPr>
          <w:rFonts w:hint="eastAsia" w:ascii="Times New Roman" w:hAnsi="Times New Roman"/>
          <w:lang w:eastAsia="zh-CN"/>
        </w:rPr>
        <w:t>。</w:t>
      </w:r>
      <w:r>
        <w:rPr>
          <w:rFonts w:hint="eastAsia" w:ascii="Times New Roman" w:hAnsi="Times New Roman"/>
        </w:rPr>
        <w:t>在项目合同期内严格按照有关期限及质量规定进行施工建设</w:t>
      </w:r>
      <w:r>
        <w:rPr>
          <w:rFonts w:hint="eastAsia" w:ascii="Times New Roman" w:hAnsi="Times New Roman"/>
          <w:lang w:eastAsia="zh-CN"/>
        </w:rPr>
        <w:t>。</w:t>
      </w:r>
      <w:r>
        <w:rPr>
          <w:rFonts w:hint="eastAsia" w:ascii="Times New Roman" w:hAnsi="Times New Roman"/>
          <w:lang w:val="en-US" w:eastAsia="zh-CN"/>
        </w:rPr>
        <w:t>项目完成时，</w:t>
      </w:r>
      <w:r>
        <w:rPr>
          <w:rFonts w:hint="eastAsia" w:ascii="Times New Roman" w:hAnsi="Times New Roman"/>
        </w:rPr>
        <w:t>建议</w:t>
      </w:r>
      <w:r>
        <w:rPr>
          <w:rFonts w:hint="eastAsia" w:ascii="Times New Roman" w:hAnsi="Times New Roman"/>
          <w:lang w:val="en-US" w:eastAsia="zh-CN"/>
        </w:rPr>
        <w:t>项目单位及时</w:t>
      </w:r>
      <w:r>
        <w:rPr>
          <w:rFonts w:hint="eastAsia" w:ascii="Times New Roman" w:hAnsi="Times New Roman"/>
        </w:rPr>
        <w:t>开展项目的验收工作，有效论证工程完成质量</w:t>
      </w:r>
      <w:r>
        <w:rPr>
          <w:rFonts w:hint="eastAsia" w:ascii="Times New Roman" w:hAnsi="Times New Roman"/>
          <w:lang w:eastAsia="zh-CN"/>
        </w:rPr>
        <w:t>，</w:t>
      </w:r>
      <w:r>
        <w:rPr>
          <w:rFonts w:hint="eastAsia" w:ascii="Times New Roman" w:hAnsi="Times New Roman"/>
        </w:rPr>
        <w:t>最大程度地发挥财政资金作用，提高资金的使用效益。</w:t>
      </w:r>
    </w:p>
    <w:p>
      <w:pPr>
        <w:pStyle w:val="3"/>
        <w:rPr>
          <w:rFonts w:ascii="Times New Roman" w:hAnsi="Times New Roman"/>
        </w:rPr>
      </w:pPr>
      <w:bookmarkStart w:id="85" w:name="_Toc1064"/>
      <w:bookmarkStart w:id="86" w:name="_Toc24723"/>
      <w:bookmarkStart w:id="87" w:name="_Toc30343"/>
      <w:bookmarkStart w:id="88" w:name="_Toc3105"/>
      <w:r>
        <w:rPr>
          <w:rFonts w:hint="eastAsia" w:ascii="Times New Roman" w:hAnsi="Times New Roman"/>
        </w:rPr>
        <w:t>（</w:t>
      </w:r>
      <w:r>
        <w:rPr>
          <w:rFonts w:hint="eastAsia" w:ascii="Times New Roman" w:hAnsi="Times New Roman"/>
          <w:lang w:val="en-US" w:eastAsia="zh-CN"/>
        </w:rPr>
        <w:t>三</w:t>
      </w:r>
      <w:r>
        <w:rPr>
          <w:rFonts w:hint="eastAsia" w:ascii="Times New Roman" w:hAnsi="Times New Roman"/>
        </w:rPr>
        <w:t>）加强项目的预算绩效管理</w:t>
      </w:r>
      <w:bookmarkEnd w:id="85"/>
      <w:bookmarkEnd w:id="86"/>
      <w:bookmarkEnd w:id="87"/>
      <w:bookmarkEnd w:id="88"/>
    </w:p>
    <w:p>
      <w:pPr>
        <w:ind w:firstLine="640" w:firstLineChars="200"/>
        <w:rPr>
          <w:rFonts w:hint="eastAsia" w:ascii="Times New Roman" w:hAnsi="Times New Roman"/>
        </w:rPr>
      </w:pPr>
      <w:r>
        <w:rPr>
          <w:rFonts w:hint="eastAsia" w:ascii="Times New Roman" w:hAnsi="Times New Roman"/>
          <w:lang w:val="en-US" w:eastAsia="zh-CN"/>
        </w:rPr>
        <w:t>针对</w:t>
      </w:r>
      <w:r>
        <w:rPr>
          <w:rFonts w:hint="eastAsia" w:ascii="Times New Roman" w:hAnsi="Times New Roman"/>
        </w:rPr>
        <w:t>重大工程建设项目</w:t>
      </w:r>
      <w:r>
        <w:rPr>
          <w:rFonts w:hint="eastAsia" w:ascii="Times New Roman" w:hAnsi="Times New Roman"/>
          <w:lang w:eastAsia="zh-CN"/>
        </w:rPr>
        <w:t>，</w:t>
      </w:r>
      <w:r>
        <w:rPr>
          <w:rFonts w:hint="eastAsia" w:ascii="Times New Roman" w:hAnsi="Times New Roman"/>
        </w:rPr>
        <w:t>建议</w:t>
      </w:r>
      <w:r>
        <w:rPr>
          <w:rFonts w:hint="eastAsia" w:ascii="Times New Roman" w:hAnsi="Times New Roman"/>
          <w:lang w:val="en-US" w:eastAsia="zh-CN"/>
        </w:rPr>
        <w:t>预算单位</w:t>
      </w:r>
      <w:r>
        <w:rPr>
          <w:rFonts w:hint="eastAsia" w:ascii="Times New Roman" w:hAnsi="Times New Roman"/>
        </w:rPr>
        <w:t>从项目立项、可研阶段设立专项领导小组实施跟进管理，并在预算编制、</w:t>
      </w:r>
      <w:r>
        <w:rPr>
          <w:rFonts w:hint="eastAsia" w:ascii="Times New Roman" w:hAnsi="Times New Roman"/>
          <w:lang w:val="en-US" w:eastAsia="zh-CN"/>
        </w:rPr>
        <w:t>成本测算、</w:t>
      </w:r>
      <w:r>
        <w:rPr>
          <w:rFonts w:hint="eastAsia" w:ascii="Times New Roman" w:hAnsi="Times New Roman"/>
        </w:rPr>
        <w:t>评审阶段加强目标管理，细化项目指标。</w:t>
      </w:r>
      <w:r>
        <w:rPr>
          <w:rFonts w:hint="eastAsia" w:ascii="Times New Roman" w:hAnsi="Times New Roman"/>
          <w:lang w:val="en-US" w:eastAsia="zh-CN"/>
        </w:rPr>
        <w:t>设置针对性较强，操作性强、可衡量的绩效指标作为评价标准，</w:t>
      </w:r>
      <w:r>
        <w:rPr>
          <w:rFonts w:hint="eastAsia" w:ascii="Times New Roman" w:hAnsi="Times New Roman"/>
        </w:rPr>
        <w:t>重视对项目的绩效管理，</w:t>
      </w:r>
      <w:r>
        <w:rPr>
          <w:rFonts w:hint="eastAsia" w:ascii="Times New Roman" w:hAnsi="Times New Roman"/>
          <w:lang w:val="en-US" w:eastAsia="zh-CN"/>
        </w:rPr>
        <w:t>加强绩效目标辅导，完善预算调整机制。</w:t>
      </w:r>
      <w:r>
        <w:rPr>
          <w:rFonts w:hint="eastAsia" w:ascii="Times New Roman" w:hAnsi="Times New Roman"/>
        </w:rPr>
        <w:t>既加强业务支出线管理，又注重绩效评价</w:t>
      </w:r>
      <w:r>
        <w:rPr>
          <w:rFonts w:hint="eastAsia" w:ascii="Times New Roman" w:hAnsi="Times New Roman"/>
          <w:lang w:val="en-US" w:eastAsia="zh-CN"/>
        </w:rPr>
        <w:t>线落实</w:t>
      </w:r>
      <w:r>
        <w:rPr>
          <w:rFonts w:hint="eastAsia" w:ascii="Times New Roman" w:hAnsi="Times New Roman"/>
        </w:rPr>
        <w:t>。切实保证项目经济、高效的顺利完成。</w:t>
      </w:r>
    </w:p>
    <w:p>
      <w:pPr>
        <w:pStyle w:val="2"/>
        <w:rPr>
          <w:rFonts w:ascii="Times New Roman" w:hAnsi="Times New Roman"/>
        </w:rPr>
      </w:pPr>
      <w:bookmarkStart w:id="89" w:name="_Toc9043"/>
      <w:bookmarkStart w:id="90" w:name="_Toc11"/>
      <w:bookmarkStart w:id="91" w:name="_Toc22744"/>
      <w:bookmarkStart w:id="92" w:name="_Toc26521"/>
      <w:r>
        <w:rPr>
          <w:rFonts w:hint="eastAsia" w:ascii="Times New Roman" w:hAnsi="Times New Roman"/>
        </w:rPr>
        <w:t>七、其他需要说明的问题</w:t>
      </w:r>
      <w:bookmarkEnd w:id="89"/>
      <w:bookmarkEnd w:id="90"/>
      <w:bookmarkEnd w:id="91"/>
      <w:bookmarkEnd w:id="92"/>
    </w:p>
    <w:p>
      <w:pPr>
        <w:ind w:firstLine="640" w:firstLineChars="200"/>
        <w:rPr>
          <w:rFonts w:ascii="Times New Roman" w:hAnsi="Times New Roman" w:cs="Times New Roman"/>
        </w:rPr>
      </w:pPr>
      <w:r>
        <w:rPr>
          <w:rFonts w:ascii="Times New Roman" w:hAnsi="Times New Roman" w:cs="Times New Roman"/>
        </w:rPr>
        <w:t>此次评价工作，评价组</w:t>
      </w:r>
      <w:r>
        <w:rPr>
          <w:rFonts w:hint="eastAsia" w:ascii="Times New Roman" w:hAnsi="Times New Roman" w:cs="Times New Roman"/>
        </w:rPr>
        <w:t>是在鹿泉区财政局的指导下开展的，相关数据与资料均得到委托方及项目单位的确认。评价组</w:t>
      </w:r>
      <w:r>
        <w:rPr>
          <w:rFonts w:ascii="Times New Roman" w:hAnsi="Times New Roman" w:cs="Times New Roman"/>
        </w:rPr>
        <w:t>始终秉承客观公正、科学规范的评价原则进行评价思路及指标体系设计、数据采集、报告撰写等工作，</w:t>
      </w:r>
      <w:r>
        <w:rPr>
          <w:rFonts w:hint="eastAsia" w:ascii="Times New Roman" w:hAnsi="Times New Roman" w:cs="Times New Roman"/>
        </w:rPr>
        <w:t>本报告所基于的数据具有一定的局限性，主要体现在本次评价所收集数据的真实性是基于项目单位提供的资料具有真实性和可靠性，数据统计和分析工作是在假设所有信息都是在项目实施过程中实际发生的基础上进行的。</w:t>
      </w:r>
    </w:p>
    <w:p>
      <w:r>
        <w:rPr>
          <w:rFonts w:hint="eastAsia"/>
        </w:rPr>
        <w:br w:type="page"/>
      </w:r>
    </w:p>
    <w:p>
      <w:p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pPr>
    </w:p>
    <w:p>
      <w:pPr>
        <w:pStyle w:val="2"/>
      </w:pPr>
      <w:bookmarkStart w:id="93" w:name="_Toc13125"/>
      <w:bookmarkStart w:id="94" w:name="_Toc16454"/>
      <w:bookmarkStart w:id="95" w:name="_Toc25048"/>
      <w:bookmarkStart w:id="96" w:name="_Toc27348"/>
      <w:r>
        <w:rPr>
          <w:rFonts w:hint="eastAsia"/>
        </w:rPr>
        <w:t>附件1 评价指标体系及得分表</w:t>
      </w:r>
      <w:bookmarkEnd w:id="93"/>
      <w:r>
        <w:rPr>
          <w:rFonts w:hint="eastAsia"/>
        </w:rPr>
        <w:t>（后附表格）</w:t>
      </w:r>
      <w:bookmarkEnd w:id="94"/>
      <w:bookmarkEnd w:id="95"/>
      <w:bookmarkEnd w:id="96"/>
    </w:p>
    <w:p>
      <w:pPr>
        <w:outlineLvl w:val="0"/>
        <w:rPr>
          <w:rFonts w:eastAsia="黑体"/>
          <w:b/>
          <w:kern w:val="44"/>
        </w:rPr>
      </w:pPr>
      <w:bookmarkStart w:id="97" w:name="_Toc15288"/>
      <w:bookmarkStart w:id="98" w:name="_Toc12331"/>
      <w:bookmarkStart w:id="99" w:name="_Toc18900"/>
      <w:r>
        <w:rPr>
          <w:rFonts w:hint="eastAsia" w:eastAsia="黑体"/>
          <w:b/>
          <w:kern w:val="44"/>
        </w:rPr>
        <w:t>附件2 满意度调查问卷分析报告</w:t>
      </w:r>
      <w:bookmarkEnd w:id="97"/>
      <w:bookmarkEnd w:id="98"/>
      <w:bookmarkEnd w:id="99"/>
    </w:p>
    <w:p/>
    <w:p>
      <w:pPr>
        <w:jc w:val="center"/>
        <w:rPr>
          <w:b/>
          <w:bCs/>
          <w:sz w:val="30"/>
          <w:szCs w:val="30"/>
        </w:rPr>
      </w:pPr>
      <w:r>
        <w:rPr>
          <w:b/>
          <w:bCs/>
          <w:sz w:val="30"/>
          <w:szCs w:val="30"/>
        </w:rPr>
        <w:t>2022年度鹿泉区人居环境整治及污水资源化利用项目</w:t>
      </w:r>
    </w:p>
    <w:p>
      <w:pPr>
        <w:jc w:val="center"/>
        <w:rPr>
          <w:b/>
          <w:bCs/>
          <w:sz w:val="30"/>
          <w:szCs w:val="30"/>
        </w:rPr>
      </w:pPr>
      <w:r>
        <w:rPr>
          <w:rFonts w:hint="eastAsia"/>
          <w:b/>
          <w:bCs/>
          <w:sz w:val="30"/>
          <w:szCs w:val="30"/>
        </w:rPr>
        <w:t>（大河镇、获鹿镇）</w:t>
      </w:r>
    </w:p>
    <w:p>
      <w:pPr>
        <w:jc w:val="center"/>
        <w:rPr>
          <w:b/>
          <w:bCs/>
          <w:sz w:val="30"/>
          <w:szCs w:val="30"/>
        </w:rPr>
      </w:pPr>
      <w:r>
        <w:rPr>
          <w:b/>
          <w:bCs/>
          <w:sz w:val="30"/>
          <w:szCs w:val="30"/>
        </w:rPr>
        <w:t>绩效评价满意度调查问卷报告</w:t>
      </w:r>
    </w:p>
    <w:p/>
    <w:p>
      <w:pPr>
        <w:spacing w:line="500" w:lineRule="exact"/>
        <w:ind w:firstLine="482" w:firstLineChars="200"/>
        <w:jc w:val="left"/>
        <w:rPr>
          <w:rFonts w:cs="Times New Roman"/>
          <w:b/>
          <w:sz w:val="24"/>
        </w:rPr>
      </w:pPr>
      <w:r>
        <w:rPr>
          <w:rFonts w:cs="Times New Roman"/>
          <w:b/>
          <w:sz w:val="24"/>
        </w:rPr>
        <w:t>一、调研对象与调研内容</w:t>
      </w:r>
    </w:p>
    <w:p>
      <w:pPr>
        <w:spacing w:line="500" w:lineRule="exact"/>
        <w:ind w:firstLine="482" w:firstLineChars="200"/>
        <w:jc w:val="left"/>
        <w:rPr>
          <w:rFonts w:cs="Times New Roman"/>
          <w:b/>
          <w:sz w:val="24"/>
        </w:rPr>
      </w:pPr>
      <w:r>
        <w:rPr>
          <w:rFonts w:cs="Times New Roman"/>
          <w:b/>
          <w:sz w:val="24"/>
        </w:rPr>
        <w:t>（一）调研对象</w:t>
      </w:r>
    </w:p>
    <w:p>
      <w:pPr>
        <w:spacing w:line="500" w:lineRule="exact"/>
        <w:ind w:firstLine="480" w:firstLineChars="200"/>
        <w:jc w:val="left"/>
        <w:rPr>
          <w:rFonts w:cs="Times New Roman"/>
          <w:sz w:val="24"/>
        </w:rPr>
      </w:pPr>
      <w:r>
        <w:rPr>
          <w:rFonts w:cs="Times New Roman"/>
          <w:sz w:val="24"/>
        </w:rPr>
        <w:t>本次调研对象为</w:t>
      </w:r>
      <w:r>
        <w:rPr>
          <w:rFonts w:hint="eastAsia" w:cs="Times New Roman"/>
          <w:sz w:val="24"/>
        </w:rPr>
        <w:t>项目实施地的受益村民。</w:t>
      </w:r>
    </w:p>
    <w:p>
      <w:pPr>
        <w:spacing w:line="500" w:lineRule="exact"/>
        <w:ind w:firstLine="482" w:firstLineChars="200"/>
        <w:jc w:val="left"/>
        <w:rPr>
          <w:rFonts w:cs="Times New Roman"/>
          <w:b/>
          <w:sz w:val="24"/>
        </w:rPr>
      </w:pPr>
      <w:r>
        <w:rPr>
          <w:rFonts w:cs="Times New Roman"/>
          <w:b/>
          <w:sz w:val="24"/>
        </w:rPr>
        <w:t>（二）调研内容</w:t>
      </w:r>
    </w:p>
    <w:p>
      <w:pPr>
        <w:spacing w:line="500" w:lineRule="exact"/>
        <w:ind w:firstLine="480" w:firstLineChars="200"/>
        <w:jc w:val="left"/>
        <w:rPr>
          <w:rFonts w:cs="Times New Roman"/>
          <w:sz w:val="24"/>
        </w:rPr>
      </w:pPr>
      <w:r>
        <w:rPr>
          <w:rFonts w:cs="Times New Roman"/>
          <w:sz w:val="24"/>
        </w:rPr>
        <w:t>1.</w:t>
      </w:r>
      <w:r>
        <w:rPr>
          <w:rFonts w:hint="eastAsia" w:cs="Times New Roman"/>
          <w:sz w:val="24"/>
        </w:rPr>
        <w:t>单选题</w:t>
      </w:r>
      <w:r>
        <w:rPr>
          <w:rFonts w:cs="Times New Roman"/>
          <w:sz w:val="24"/>
        </w:rPr>
        <w:t>：</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您的年龄（）</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您知道2022年在本村实施的人居环境整治及污水资源化利用吗？</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项目实施前本村生活污水排放问题有哪些（ ）</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项目实施后您家有没有使用污水管道处理污水</w:t>
      </w:r>
    </w:p>
    <w:p>
      <w:pPr>
        <w:spacing w:line="500" w:lineRule="exact"/>
        <w:ind w:firstLine="480" w:firstLineChars="200"/>
        <w:jc w:val="left"/>
        <w:rPr>
          <w:rFonts w:cs="Times New Roman"/>
          <w:sz w:val="24"/>
        </w:rPr>
      </w:pPr>
      <w:r>
        <w:rPr>
          <w:rFonts w:cs="Times New Roman"/>
          <w:sz w:val="24"/>
        </w:rPr>
        <w:t>2.</w:t>
      </w:r>
      <w:r>
        <w:rPr>
          <w:rFonts w:hint="eastAsia" w:cs="Times New Roman"/>
          <w:sz w:val="24"/>
        </w:rPr>
        <w:t>多选题</w:t>
      </w:r>
      <w:r>
        <w:rPr>
          <w:rFonts w:cs="Times New Roman"/>
          <w:sz w:val="24"/>
        </w:rPr>
        <w:t>：</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您所在村常住人口规模（ ）</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项目实施后您认为对本村及自身有什么影响（ ）</w:t>
      </w:r>
    </w:p>
    <w:p>
      <w:pPr>
        <w:spacing w:line="500" w:lineRule="exact"/>
        <w:ind w:firstLine="480" w:firstLineChars="200"/>
        <w:jc w:val="left"/>
        <w:rPr>
          <w:rFonts w:cs="Times New Roman"/>
          <w:sz w:val="24"/>
        </w:rPr>
      </w:pPr>
      <w:r>
        <w:rPr>
          <w:rFonts w:cs="Times New Roman"/>
          <w:sz w:val="24"/>
        </w:rPr>
        <w:t>3.满意度问题：</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您对建设工程的施工工期评价（    ）</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您对建设工程施工中采取安全防护措施的评价（    ）</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您对建设工程施工中出行措施的评价（    ）</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您对建设工程的建设质量评价（    ）</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您对项目建成后对村容村貌的评价（    ）</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您对项目建成后改善污水排放的效果评价（    ）</w:t>
      </w:r>
    </w:p>
    <w:p>
      <w:pPr>
        <w:spacing w:line="500" w:lineRule="exact"/>
        <w:ind w:firstLine="480" w:firstLineChars="200"/>
        <w:jc w:val="left"/>
        <w:rPr>
          <w:rFonts w:cs="Times New Roman"/>
          <w:sz w:val="24"/>
        </w:rPr>
      </w:pPr>
      <w:r>
        <w:rPr>
          <w:rFonts w:hint="eastAsia" w:cs="Times New Roman"/>
          <w:sz w:val="24"/>
        </w:rPr>
        <w:tab/>
      </w:r>
      <w:r>
        <w:rPr>
          <w:rFonts w:hint="eastAsia" w:cs="Times New Roman"/>
          <w:sz w:val="24"/>
        </w:rPr>
        <w:tab/>
      </w:r>
      <w:r>
        <w:rPr>
          <w:rFonts w:cs="Times New Roman"/>
          <w:sz w:val="24"/>
        </w:rPr>
        <w:t>您对本村污水管网建设的总体评价（    ）</w:t>
      </w:r>
    </w:p>
    <w:p>
      <w:pPr>
        <w:spacing w:line="500" w:lineRule="exact"/>
        <w:ind w:firstLine="482" w:firstLineChars="200"/>
        <w:jc w:val="left"/>
        <w:rPr>
          <w:rFonts w:cs="Times New Roman"/>
          <w:b/>
          <w:sz w:val="24"/>
        </w:rPr>
      </w:pPr>
      <w:r>
        <w:rPr>
          <w:rFonts w:cs="Times New Roman"/>
          <w:b/>
          <w:sz w:val="24"/>
        </w:rPr>
        <w:t>二、调研方法与抽样方式</w:t>
      </w:r>
    </w:p>
    <w:p>
      <w:pPr>
        <w:spacing w:line="500" w:lineRule="exact"/>
        <w:ind w:firstLine="482" w:firstLineChars="200"/>
        <w:jc w:val="left"/>
        <w:rPr>
          <w:rFonts w:cs="Times New Roman"/>
          <w:b/>
          <w:sz w:val="24"/>
        </w:rPr>
      </w:pPr>
      <w:r>
        <w:rPr>
          <w:rFonts w:cs="Times New Roman"/>
          <w:b/>
          <w:sz w:val="24"/>
        </w:rPr>
        <w:t>（一）调研方法</w:t>
      </w:r>
    </w:p>
    <w:p>
      <w:pPr>
        <w:spacing w:line="500" w:lineRule="exact"/>
        <w:ind w:firstLine="480" w:firstLineChars="200"/>
        <w:jc w:val="left"/>
        <w:rPr>
          <w:rFonts w:cs="Times New Roman"/>
          <w:sz w:val="24"/>
        </w:rPr>
      </w:pPr>
      <w:r>
        <w:rPr>
          <w:rFonts w:cs="Times New Roman"/>
          <w:sz w:val="24"/>
        </w:rPr>
        <w:t>针对上述问卷对象开展问卷调查，在全面调研开展之前先进行论证，根据论证结果对问卷和抽样方式进行一次修改调整。</w:t>
      </w:r>
    </w:p>
    <w:p>
      <w:pPr>
        <w:spacing w:line="500" w:lineRule="exact"/>
        <w:ind w:firstLine="482" w:firstLineChars="200"/>
        <w:jc w:val="left"/>
        <w:rPr>
          <w:rFonts w:cs="Times New Roman"/>
          <w:b/>
          <w:sz w:val="24"/>
        </w:rPr>
      </w:pPr>
      <w:r>
        <w:rPr>
          <w:rFonts w:cs="Times New Roman"/>
          <w:b/>
          <w:sz w:val="24"/>
        </w:rPr>
        <w:t>（二）抽样方式</w:t>
      </w:r>
    </w:p>
    <w:p>
      <w:pPr>
        <w:spacing w:line="500" w:lineRule="exact"/>
        <w:ind w:firstLine="480" w:firstLineChars="200"/>
        <w:jc w:val="left"/>
        <w:rPr>
          <w:rFonts w:cs="Times New Roman"/>
          <w:sz w:val="24"/>
        </w:rPr>
      </w:pPr>
      <w:r>
        <w:rPr>
          <w:rFonts w:cs="Times New Roman"/>
          <w:sz w:val="24"/>
        </w:rPr>
        <w:t>本次问卷调查采</w:t>
      </w:r>
      <w:r>
        <w:rPr>
          <w:rFonts w:hint="eastAsia" w:cs="Times New Roman"/>
          <w:sz w:val="24"/>
        </w:rPr>
        <w:t>用的</w:t>
      </w:r>
      <w:r>
        <w:rPr>
          <w:rFonts w:cs="Times New Roman"/>
          <w:sz w:val="24"/>
        </w:rPr>
        <w:t>方式</w:t>
      </w:r>
      <w:r>
        <w:rPr>
          <w:rFonts w:hint="eastAsia" w:cs="Times New Roman"/>
          <w:sz w:val="24"/>
        </w:rPr>
        <w:t>。</w:t>
      </w:r>
    </w:p>
    <w:p>
      <w:pPr>
        <w:spacing w:line="500" w:lineRule="exact"/>
        <w:ind w:firstLine="482" w:firstLineChars="200"/>
        <w:jc w:val="left"/>
        <w:rPr>
          <w:rFonts w:cs="Times New Roman"/>
          <w:b/>
          <w:sz w:val="24"/>
        </w:rPr>
      </w:pPr>
      <w:r>
        <w:rPr>
          <w:rFonts w:cs="Times New Roman"/>
          <w:b/>
          <w:sz w:val="24"/>
        </w:rPr>
        <w:t>三、问卷的发放和回收</w:t>
      </w:r>
    </w:p>
    <w:p>
      <w:pPr>
        <w:spacing w:line="500" w:lineRule="exact"/>
        <w:ind w:firstLine="482" w:firstLineChars="200"/>
        <w:rPr>
          <w:rFonts w:cs="Times New Roman"/>
          <w:b/>
          <w:sz w:val="24"/>
        </w:rPr>
      </w:pPr>
      <w:r>
        <w:rPr>
          <w:rFonts w:cs="Times New Roman"/>
          <w:b/>
          <w:sz w:val="24"/>
        </w:rPr>
        <w:t>四、调查问卷的信度与效度分析</w:t>
      </w:r>
    </w:p>
    <w:p>
      <w:pPr>
        <w:spacing w:line="500" w:lineRule="exact"/>
        <w:ind w:firstLine="482" w:firstLineChars="200"/>
        <w:rPr>
          <w:rFonts w:cs="Times New Roman"/>
          <w:b/>
          <w:sz w:val="24"/>
        </w:rPr>
      </w:pPr>
      <w:r>
        <w:rPr>
          <w:rFonts w:cs="Times New Roman"/>
          <w:b/>
          <w:sz w:val="24"/>
        </w:rPr>
        <w:t>1.信度分析</w:t>
      </w:r>
    </w:p>
    <w:p>
      <w:pPr>
        <w:pStyle w:val="22"/>
        <w:ind w:firstLine="480"/>
        <w:rPr>
          <w:sz w:val="24"/>
          <w:szCs w:val="24"/>
        </w:rPr>
      </w:pPr>
      <w:r>
        <w:rPr>
          <w:sz w:val="24"/>
          <w:szCs w:val="24"/>
        </w:rPr>
        <w:t>信度（Reliability）是指测量结果的一致性、稳定性及可靠性。本次问卷调查运用克朗巴哈信度系数法（Cronbach α）来测量满意度问题的信度，其计算公式为：</w:t>
      </w:r>
    </w:p>
    <w:p>
      <w:pPr>
        <w:jc w:val="center"/>
      </w:pPr>
      <w:r>
        <w:drawing>
          <wp:inline distT="0" distB="0" distL="0" distR="0">
            <wp:extent cx="2401570" cy="1296035"/>
            <wp:effectExtent l="0" t="0" r="635" b="0"/>
            <wp:docPr id="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
                    <pic:cNvPicPr>
                      <a:picLocks noChangeAspect="1" noChangeArrowheads="1"/>
                    </pic:cNvPicPr>
                  </pic:nvPicPr>
                  <pic:blipFill>
                    <a:blip r:embed="rId7"/>
                    <a:srcRect/>
                    <a:stretch>
                      <a:fillRect/>
                    </a:stretch>
                  </pic:blipFill>
                  <pic:spPr>
                    <a:xfrm>
                      <a:off x="0" y="0"/>
                      <a:ext cx="2401570" cy="1296035"/>
                    </a:xfrm>
                    <a:prstGeom prst="rect">
                      <a:avLst/>
                    </a:prstGeom>
                    <a:noFill/>
                    <a:ln w="9525">
                      <a:noFill/>
                      <a:miter lim="800000"/>
                      <a:headEnd/>
                      <a:tailEnd/>
                    </a:ln>
                  </pic:spPr>
                </pic:pic>
              </a:graphicData>
            </a:graphic>
          </wp:inline>
        </w:drawing>
      </w:r>
    </w:p>
    <w:p>
      <w:pPr>
        <w:pStyle w:val="22"/>
        <w:ind w:firstLine="480"/>
        <w:rPr>
          <w:sz w:val="24"/>
          <w:szCs w:val="24"/>
        </w:rPr>
      </w:pPr>
      <w:r>
        <w:rPr>
          <w:sz w:val="24"/>
          <w:szCs w:val="24"/>
        </w:rPr>
        <w:t>其中</w:t>
      </w:r>
      <w:r>
        <w:rPr>
          <w:sz w:val="24"/>
          <w:szCs w:val="24"/>
        </w:rPr>
        <w:drawing>
          <wp:inline distT="0" distB="0" distL="0" distR="0">
            <wp:extent cx="142875" cy="142875"/>
            <wp:effectExtent l="0" t="0" r="5715"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142875" cy="142875"/>
                    </a:xfrm>
                    <a:prstGeom prst="rect">
                      <a:avLst/>
                    </a:prstGeom>
                    <a:noFill/>
                    <a:ln>
                      <a:noFill/>
                    </a:ln>
                  </pic:spPr>
                </pic:pic>
              </a:graphicData>
            </a:graphic>
          </wp:inline>
        </w:drawing>
      </w:r>
      <w:r>
        <w:rPr>
          <w:sz w:val="24"/>
          <w:szCs w:val="24"/>
        </w:rPr>
        <w:t>表示问卷中问题的数目，</w:t>
      </w:r>
      <w:r>
        <w:rPr>
          <w:sz w:val="24"/>
          <w:szCs w:val="24"/>
        </w:rPr>
        <w:drawing>
          <wp:inline distT="0" distB="0" distL="0" distR="0">
            <wp:extent cx="190500" cy="219075"/>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190500" cy="219075"/>
                    </a:xfrm>
                    <a:prstGeom prst="rect">
                      <a:avLst/>
                    </a:prstGeom>
                    <a:noFill/>
                    <a:ln>
                      <a:noFill/>
                    </a:ln>
                  </pic:spPr>
                </pic:pic>
              </a:graphicData>
            </a:graphic>
          </wp:inline>
        </w:drawing>
      </w:r>
      <w:r>
        <w:rPr>
          <w:sz w:val="24"/>
          <w:szCs w:val="24"/>
        </w:rPr>
        <w:t>为第</w:t>
      </w:r>
      <w:r>
        <w:rPr>
          <w:sz w:val="24"/>
          <w:szCs w:val="24"/>
        </w:rPr>
        <w:drawing>
          <wp:inline distT="0" distB="0" distL="0" distR="0">
            <wp:extent cx="85725" cy="142875"/>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85725" cy="142875"/>
                    </a:xfrm>
                    <a:prstGeom prst="rect">
                      <a:avLst/>
                    </a:prstGeom>
                    <a:noFill/>
                    <a:ln>
                      <a:noFill/>
                    </a:ln>
                  </pic:spPr>
                </pic:pic>
              </a:graphicData>
            </a:graphic>
          </wp:inline>
        </w:drawing>
      </w:r>
      <w:r>
        <w:rPr>
          <w:sz w:val="24"/>
          <w:szCs w:val="24"/>
        </w:rPr>
        <w:t>个问题得分的方差，</w:t>
      </w:r>
      <w:r>
        <w:rPr>
          <w:sz w:val="24"/>
          <w:szCs w:val="24"/>
        </w:rPr>
        <w:drawing>
          <wp:inline distT="0" distB="0" distL="0" distR="0">
            <wp:extent cx="190500" cy="21907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190500" cy="219075"/>
                    </a:xfrm>
                    <a:prstGeom prst="rect">
                      <a:avLst/>
                    </a:prstGeom>
                    <a:noFill/>
                    <a:ln>
                      <a:noFill/>
                    </a:ln>
                  </pic:spPr>
                </pic:pic>
              </a:graphicData>
            </a:graphic>
          </wp:inline>
        </w:drawing>
      </w:r>
      <w:r>
        <w:rPr>
          <w:sz w:val="24"/>
          <w:szCs w:val="24"/>
        </w:rPr>
        <w:t>为总得分的方差。</w:t>
      </w:r>
    </w:p>
    <w:p>
      <w:pPr>
        <w:pStyle w:val="22"/>
        <w:ind w:firstLine="480"/>
        <w:rPr>
          <w:sz w:val="24"/>
          <w:szCs w:val="24"/>
        </w:rPr>
      </w:pPr>
      <w:r>
        <w:rPr>
          <w:sz w:val="24"/>
          <w:szCs w:val="24"/>
        </w:rPr>
        <w:t>通常，克朗巴哈系数的值在0和1之间。通常情况下，信度系数在0.9以上，则认为量表的内在信度高；信度系数在0.8～0.9之间，则表示量表信度较高；信度系数在0.7～0.8之间，表示量表具有相当的信度；信度系数不超过0.7，一般认为内部一致信度不足。</w:t>
      </w:r>
    </w:p>
    <w:p>
      <w:pPr>
        <w:pStyle w:val="22"/>
        <w:ind w:firstLine="480"/>
        <w:rPr>
          <w:sz w:val="24"/>
          <w:szCs w:val="24"/>
        </w:rPr>
      </w:pPr>
      <w:r>
        <w:rPr>
          <w:sz w:val="24"/>
          <w:szCs w:val="24"/>
        </w:rPr>
        <w:t>分析结果显示，本次2022年度鹿泉区人居环境整治及污水资源化利用项目</w:t>
      </w:r>
      <w:r>
        <w:rPr>
          <w:rFonts w:hint="eastAsia"/>
          <w:sz w:val="24"/>
          <w:szCs w:val="24"/>
        </w:rPr>
        <w:t>（大河镇、获鹿镇）</w:t>
      </w:r>
      <w:r>
        <w:rPr>
          <w:sz w:val="24"/>
          <w:szCs w:val="24"/>
        </w:rPr>
        <w:t>绩效评价满意度调查问卷的信度为0.96</w:t>
      </w:r>
    </w:p>
    <w:p>
      <w:pPr>
        <w:spacing w:before="120" w:after="60" w:line="500" w:lineRule="exact"/>
        <w:ind w:firstLine="482" w:firstLineChars="200"/>
        <w:rPr>
          <w:rFonts w:cs="Times New Roman"/>
          <w:b/>
          <w:sz w:val="24"/>
        </w:rPr>
      </w:pPr>
      <w:r>
        <w:rPr>
          <w:rFonts w:cs="Times New Roman"/>
          <w:b/>
          <w:sz w:val="24"/>
        </w:rPr>
        <w:t>2.效度分析</w:t>
      </w:r>
    </w:p>
    <w:p>
      <w:pPr>
        <w:pStyle w:val="22"/>
        <w:ind w:firstLine="480"/>
        <w:rPr>
          <w:sz w:val="24"/>
          <w:szCs w:val="24"/>
        </w:rPr>
      </w:pPr>
      <w:r>
        <w:rPr>
          <w:sz w:val="24"/>
          <w:szCs w:val="24"/>
        </w:rPr>
        <w:t>效度（Validity）用于评价量表的准确度、有效性和正确性，即检验问卷是否能简洁、准确地描述抽样数据的属性和特征以及它们之间的复杂关系。本次问卷调查运用相关系数来估算满意度问题的效度。其计算公式为：</w:t>
      </w:r>
    </w:p>
    <w:p>
      <w:pPr>
        <w:widowControl/>
        <w:jc w:val="center"/>
        <w:rPr>
          <w:rFonts w:ascii="宋体" w:hAnsi="宋体" w:eastAsia="宋体" w:cs="宋体"/>
          <w:kern w:val="0"/>
          <w:sz w:val="24"/>
        </w:rPr>
      </w:pPr>
      <w:r>
        <w:rPr>
          <w:rFonts w:ascii="宋体" w:hAnsi="宋体" w:eastAsia="宋体" w:cs="宋体"/>
          <w:kern w:val="0"/>
          <w:sz w:val="24"/>
        </w:rPr>
        <w:drawing>
          <wp:inline distT="0" distB="0" distL="0" distR="0">
            <wp:extent cx="1788795" cy="803275"/>
            <wp:effectExtent l="0" t="0" r="2540" b="5715"/>
            <wp:docPr id="39" name="图片 39" descr="C:\Users\guhj.guhj-PC\AppData\Roaming\Tencent\Users\272031237\QQ\WinTemp\RichOle\2TI[4LD0HV7YK@`SS2C4EM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descr="C:\Users\guhj.guhj-PC\AppData\Roaming\Tencent\Users\272031237\QQ\WinTemp\RichOle\2TI[4LD0HV7YK@`SS2C4EML.png"/>
                    <pic:cNvPicPr>
                      <a:picLocks noChangeAspect="1" noChangeArrowheads="1"/>
                    </pic:cNvPicPr>
                  </pic:nvPicPr>
                  <pic:blipFill>
                    <a:blip r:embed="rId12"/>
                    <a:srcRect/>
                    <a:stretch>
                      <a:fillRect/>
                    </a:stretch>
                  </pic:blipFill>
                  <pic:spPr>
                    <a:xfrm>
                      <a:off x="0" y="0"/>
                      <a:ext cx="1788795" cy="803275"/>
                    </a:xfrm>
                    <a:prstGeom prst="rect">
                      <a:avLst/>
                    </a:prstGeom>
                    <a:noFill/>
                    <a:ln w="9525">
                      <a:noFill/>
                      <a:miter lim="800000"/>
                      <a:headEnd/>
                      <a:tailEnd/>
                    </a:ln>
                  </pic:spPr>
                </pic:pic>
              </a:graphicData>
            </a:graphic>
          </wp:inline>
        </w:drawing>
      </w:r>
    </w:p>
    <w:p>
      <w:pPr>
        <w:pStyle w:val="22"/>
        <w:ind w:firstLine="480"/>
        <w:rPr>
          <w:bCs/>
          <w:sz w:val="24"/>
          <w:szCs w:val="24"/>
        </w:rPr>
      </w:pPr>
      <w:r>
        <w:rPr>
          <w:bCs/>
          <w:sz w:val="24"/>
          <w:szCs w:val="24"/>
        </w:rPr>
        <w:t>其中，</w:t>
      </w:r>
      <w:r>
        <w:rPr>
          <w:sz w:val="24"/>
          <w:szCs w:val="24"/>
        </w:rPr>
        <w:drawing>
          <wp:inline distT="0" distB="0" distL="0" distR="0">
            <wp:extent cx="600075" cy="247650"/>
            <wp:effectExtent l="0" t="0" r="317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600075" cy="247650"/>
                    </a:xfrm>
                    <a:prstGeom prst="rect">
                      <a:avLst/>
                    </a:prstGeom>
                    <a:noFill/>
                    <a:ln>
                      <a:noFill/>
                    </a:ln>
                  </pic:spPr>
                </pic:pic>
              </a:graphicData>
            </a:graphic>
          </wp:inline>
        </w:drawing>
      </w:r>
      <w:r>
        <w:rPr>
          <w:bCs/>
          <w:sz w:val="24"/>
          <w:szCs w:val="24"/>
        </w:rPr>
        <w:t>，表示题目得分偏差；</w:t>
      </w:r>
      <w:r>
        <w:rPr>
          <w:sz w:val="24"/>
          <w:szCs w:val="24"/>
        </w:rPr>
        <w:drawing>
          <wp:inline distT="0" distB="0" distL="0" distR="0">
            <wp:extent cx="600075" cy="24765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600075" cy="247650"/>
                    </a:xfrm>
                    <a:prstGeom prst="rect">
                      <a:avLst/>
                    </a:prstGeom>
                    <a:noFill/>
                    <a:ln>
                      <a:noFill/>
                    </a:ln>
                  </pic:spPr>
                </pic:pic>
              </a:graphicData>
            </a:graphic>
          </wp:inline>
        </w:drawing>
      </w:r>
      <w:r>
        <w:rPr>
          <w:bCs/>
          <w:sz w:val="24"/>
          <w:szCs w:val="24"/>
        </w:rPr>
        <w:t>，表示问卷得分偏差。</w:t>
      </w:r>
    </w:p>
    <w:p>
      <w:pPr>
        <w:spacing w:line="500" w:lineRule="exact"/>
        <w:ind w:firstLine="480" w:firstLineChars="200"/>
        <w:rPr>
          <w:rFonts w:cs="Times New Roman"/>
          <w:kern w:val="0"/>
          <w:sz w:val="24"/>
        </w:rPr>
      </w:pPr>
      <w:r>
        <w:rPr>
          <w:rFonts w:cs="Times New Roman"/>
          <w:bCs/>
          <w:sz w:val="24"/>
        </w:rPr>
        <w:t>通常，相关系数的值介于</w:t>
      </w:r>
      <w:r>
        <w:rPr>
          <w:rFonts w:eastAsia="微软雅黑" w:cs="Times New Roman"/>
          <w:sz w:val="24"/>
        </w:rPr>
        <w:t>–</w:t>
      </w:r>
      <w:r>
        <w:rPr>
          <w:rFonts w:cs="Times New Roman"/>
          <w:sz w:val="24"/>
        </w:rPr>
        <w:t>1</w:t>
      </w:r>
      <w:r>
        <w:rPr>
          <w:rFonts w:cs="Times New Roman"/>
          <w:bCs/>
          <w:sz w:val="24"/>
        </w:rPr>
        <w:t>与</w:t>
      </w:r>
      <w:r>
        <w:rPr>
          <w:rFonts w:cs="Times New Roman"/>
          <w:sz w:val="24"/>
        </w:rPr>
        <w:t>+1</w:t>
      </w:r>
      <w:r>
        <w:rPr>
          <w:rFonts w:cs="Times New Roman"/>
          <w:bCs/>
          <w:sz w:val="24"/>
        </w:rPr>
        <w:t>之间。</w:t>
      </w:r>
      <w:r>
        <w:rPr>
          <w:rFonts w:cs="Times New Roman"/>
          <w:kern w:val="0"/>
          <w:sz w:val="24"/>
        </w:rPr>
        <w:t>即</w:t>
      </w:r>
      <w:r>
        <w:rPr>
          <w:rFonts w:cs="Times New Roman"/>
          <w:kern w:val="0"/>
          <w:sz w:val="24"/>
        </w:rPr>
        <w:drawing>
          <wp:inline distT="0" distB="0" distL="0" distR="0">
            <wp:extent cx="695325" cy="161925"/>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695325" cy="161925"/>
                    </a:xfrm>
                    <a:prstGeom prst="rect">
                      <a:avLst/>
                    </a:prstGeom>
                    <a:noFill/>
                    <a:ln>
                      <a:noFill/>
                    </a:ln>
                  </pic:spPr>
                </pic:pic>
              </a:graphicData>
            </a:graphic>
          </wp:inline>
        </w:drawing>
      </w:r>
      <w:r>
        <w:rPr>
          <w:rFonts w:cs="Times New Roman"/>
          <w:kern w:val="0"/>
          <w:sz w:val="24"/>
        </w:rPr>
        <w:t>。其中，</w:t>
      </w:r>
      <w:r>
        <w:rPr>
          <w:rFonts w:cs="Times New Roman"/>
          <w:kern w:val="0"/>
          <w:sz w:val="24"/>
        </w:rPr>
        <w:drawing>
          <wp:inline distT="0" distB="0" distL="0" distR="0">
            <wp:extent cx="342900" cy="180975"/>
            <wp:effectExtent l="0" t="0" r="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342900" cy="180975"/>
                    </a:xfrm>
                    <a:prstGeom prst="rect">
                      <a:avLst/>
                    </a:prstGeom>
                    <a:noFill/>
                    <a:ln>
                      <a:noFill/>
                    </a:ln>
                  </pic:spPr>
                </pic:pic>
              </a:graphicData>
            </a:graphic>
          </wp:inline>
        </w:drawing>
      </w:r>
      <w:r>
        <w:rPr>
          <w:rFonts w:cs="Times New Roman"/>
          <w:kern w:val="0"/>
          <w:sz w:val="24"/>
        </w:rPr>
        <w:t>表示两变量正相关；</w:t>
      </w:r>
      <w:r>
        <w:rPr>
          <w:rFonts w:cs="Times New Roman"/>
          <w:kern w:val="0"/>
          <w:sz w:val="24"/>
        </w:rPr>
        <w:drawing>
          <wp:inline distT="0" distB="0" distL="0" distR="0">
            <wp:extent cx="342900" cy="180975"/>
            <wp:effectExtent l="0" t="0" r="0"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342900" cy="180975"/>
                    </a:xfrm>
                    <a:prstGeom prst="rect">
                      <a:avLst/>
                    </a:prstGeom>
                    <a:noFill/>
                    <a:ln>
                      <a:noFill/>
                    </a:ln>
                  </pic:spPr>
                </pic:pic>
              </a:graphicData>
            </a:graphic>
          </wp:inline>
        </w:drawing>
      </w:r>
      <w:r>
        <w:rPr>
          <w:rFonts w:cs="Times New Roman"/>
          <w:kern w:val="0"/>
          <w:sz w:val="24"/>
        </w:rPr>
        <w:t>表示两变量负相关；</w:t>
      </w:r>
      <w:r>
        <w:rPr>
          <w:rFonts w:cs="Times New Roman"/>
          <w:kern w:val="0"/>
          <w:sz w:val="24"/>
        </w:rPr>
        <w:drawing>
          <wp:inline distT="0" distB="0" distL="0" distR="0">
            <wp:extent cx="400050" cy="247650"/>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400050" cy="247650"/>
                    </a:xfrm>
                    <a:prstGeom prst="rect">
                      <a:avLst/>
                    </a:prstGeom>
                    <a:noFill/>
                    <a:ln>
                      <a:noFill/>
                    </a:ln>
                  </pic:spPr>
                </pic:pic>
              </a:graphicData>
            </a:graphic>
          </wp:inline>
        </w:drawing>
      </w:r>
      <w:r>
        <w:rPr>
          <w:rFonts w:cs="Times New Roman"/>
          <w:kern w:val="0"/>
          <w:sz w:val="24"/>
        </w:rPr>
        <w:t>表示两变量间不存在线性相关关系；</w:t>
      </w:r>
      <w:r>
        <w:rPr>
          <w:rFonts w:cs="Times New Roman"/>
          <w:kern w:val="0"/>
          <w:sz w:val="24"/>
        </w:rPr>
        <w:drawing>
          <wp:inline distT="0" distB="0" distL="0" distR="0">
            <wp:extent cx="361950" cy="247650"/>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361950" cy="247650"/>
                    </a:xfrm>
                    <a:prstGeom prst="rect">
                      <a:avLst/>
                    </a:prstGeom>
                    <a:noFill/>
                    <a:ln>
                      <a:noFill/>
                    </a:ln>
                  </pic:spPr>
                </pic:pic>
              </a:graphicData>
            </a:graphic>
          </wp:inline>
        </w:drawing>
      </w:r>
      <w:r>
        <w:rPr>
          <w:rFonts w:cs="Times New Roman"/>
          <w:kern w:val="0"/>
          <w:sz w:val="24"/>
        </w:rPr>
        <w:t>表示两变量为完全线性相关；</w:t>
      </w:r>
      <w:r>
        <w:rPr>
          <w:rFonts w:cs="Times New Roman"/>
          <w:kern w:val="0"/>
          <w:sz w:val="24"/>
        </w:rPr>
        <w:drawing>
          <wp:inline distT="0" distB="0" distL="0" distR="0">
            <wp:extent cx="581025" cy="247650"/>
            <wp:effectExtent l="0" t="0" r="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581025" cy="247650"/>
                    </a:xfrm>
                    <a:prstGeom prst="rect">
                      <a:avLst/>
                    </a:prstGeom>
                    <a:noFill/>
                    <a:ln>
                      <a:noFill/>
                    </a:ln>
                  </pic:spPr>
                </pic:pic>
              </a:graphicData>
            </a:graphic>
          </wp:inline>
        </w:drawing>
      </w:r>
      <w:r>
        <w:rPr>
          <w:rFonts w:cs="Times New Roman"/>
          <w:kern w:val="0"/>
          <w:sz w:val="24"/>
        </w:rPr>
        <w:t>表示两变量存在一定程度的线性相关，其中</w:t>
      </w:r>
      <w:r>
        <w:rPr>
          <w:rFonts w:cs="Times New Roman"/>
          <w:kern w:val="0"/>
          <w:sz w:val="24"/>
        </w:rPr>
        <w:drawing>
          <wp:inline distT="0" distB="0" distL="0" distR="0">
            <wp:extent cx="723900" cy="247650"/>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723900" cy="247650"/>
                    </a:xfrm>
                    <a:prstGeom prst="rect">
                      <a:avLst/>
                    </a:prstGeom>
                    <a:noFill/>
                    <a:ln>
                      <a:noFill/>
                    </a:ln>
                  </pic:spPr>
                </pic:pic>
              </a:graphicData>
            </a:graphic>
          </wp:inline>
        </w:drawing>
      </w:r>
      <w:r>
        <w:rPr>
          <w:rFonts w:cs="Times New Roman"/>
          <w:kern w:val="0"/>
          <w:sz w:val="24"/>
        </w:rPr>
        <w:t>为微弱相关，</w:t>
      </w:r>
      <w:r>
        <w:rPr>
          <w:rFonts w:cs="Times New Roman"/>
          <w:kern w:val="0"/>
          <w:sz w:val="24"/>
        </w:rPr>
        <w:drawing>
          <wp:inline distT="0" distB="0" distL="0" distR="0">
            <wp:extent cx="847725" cy="247650"/>
            <wp:effectExtent l="0" t="0" r="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847725" cy="247650"/>
                    </a:xfrm>
                    <a:prstGeom prst="rect">
                      <a:avLst/>
                    </a:prstGeom>
                    <a:noFill/>
                    <a:ln>
                      <a:noFill/>
                    </a:ln>
                  </pic:spPr>
                </pic:pic>
              </a:graphicData>
            </a:graphic>
          </wp:inline>
        </w:drawing>
      </w:r>
      <w:r>
        <w:rPr>
          <w:rFonts w:cs="Times New Roman"/>
          <w:kern w:val="0"/>
          <w:sz w:val="24"/>
        </w:rPr>
        <w:t>为低度相关，</w:t>
      </w:r>
      <w:r>
        <w:rPr>
          <w:rFonts w:cs="Times New Roman"/>
          <w:kern w:val="0"/>
          <w:sz w:val="24"/>
        </w:rPr>
        <w:drawing>
          <wp:inline distT="0" distB="0" distL="0" distR="0">
            <wp:extent cx="847725" cy="247650"/>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847725" cy="247650"/>
                    </a:xfrm>
                    <a:prstGeom prst="rect">
                      <a:avLst/>
                    </a:prstGeom>
                    <a:noFill/>
                    <a:ln>
                      <a:noFill/>
                    </a:ln>
                  </pic:spPr>
                </pic:pic>
              </a:graphicData>
            </a:graphic>
          </wp:inline>
        </w:drawing>
      </w:r>
      <w:r>
        <w:rPr>
          <w:rFonts w:cs="Times New Roman"/>
          <w:kern w:val="0"/>
          <w:sz w:val="24"/>
        </w:rPr>
        <w:t>为显著相关，</w:t>
      </w:r>
      <w:r>
        <w:rPr>
          <w:rFonts w:cs="Times New Roman"/>
          <w:kern w:val="0"/>
          <w:sz w:val="24"/>
        </w:rPr>
        <w:drawing>
          <wp:inline distT="0" distB="0" distL="0" distR="0">
            <wp:extent cx="695325" cy="24765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695325" cy="247650"/>
                    </a:xfrm>
                    <a:prstGeom prst="rect">
                      <a:avLst/>
                    </a:prstGeom>
                    <a:noFill/>
                    <a:ln>
                      <a:noFill/>
                    </a:ln>
                  </pic:spPr>
                </pic:pic>
              </a:graphicData>
            </a:graphic>
          </wp:inline>
        </w:drawing>
      </w:r>
      <w:r>
        <w:rPr>
          <w:rFonts w:cs="Times New Roman"/>
          <w:kern w:val="0"/>
          <w:sz w:val="24"/>
        </w:rPr>
        <w:t>为高度相关。</w:t>
      </w:r>
    </w:p>
    <w:p>
      <w:pPr>
        <w:pStyle w:val="22"/>
        <w:ind w:firstLine="480"/>
        <w:rPr>
          <w:bCs/>
          <w:sz w:val="24"/>
          <w:szCs w:val="24"/>
        </w:rPr>
      </w:pPr>
    </w:p>
    <w:p>
      <w:pPr>
        <w:pStyle w:val="22"/>
        <w:ind w:firstLine="480"/>
        <w:rPr>
          <w:bCs/>
          <w:sz w:val="24"/>
          <w:szCs w:val="24"/>
        </w:rPr>
      </w:pPr>
      <w:r>
        <w:rPr>
          <w:bCs/>
          <w:sz w:val="24"/>
          <w:szCs w:val="24"/>
        </w:rPr>
        <w:t>调查数据计算结果表明，此次问卷效度较高，因此能够很好地反映的满意程度，有关问卷效度请见附表</w:t>
      </w:r>
      <w:r>
        <w:rPr>
          <w:sz w:val="24"/>
          <w:szCs w:val="24"/>
        </w:rPr>
        <w:t>1</w:t>
      </w:r>
      <w:r>
        <w:rPr>
          <w:bCs/>
          <w:sz w:val="24"/>
          <w:szCs w:val="24"/>
        </w:rPr>
        <w:t>。</w:t>
      </w:r>
    </w:p>
    <w:p>
      <w:pPr>
        <w:pStyle w:val="22"/>
        <w:ind w:firstLine="480"/>
        <w:rPr>
          <w:bCs/>
          <w:sz w:val="24"/>
          <w:szCs w:val="24"/>
        </w:rPr>
      </w:pPr>
    </w:p>
    <w:p>
      <w:pPr>
        <w:spacing w:line="500" w:lineRule="exact"/>
        <w:jc w:val="left"/>
        <w:rPr>
          <w:rFonts w:cs="Times New Roman"/>
          <w:b/>
          <w:bCs/>
          <w:sz w:val="22"/>
        </w:rPr>
      </w:pPr>
      <w:r>
        <w:rPr>
          <w:rFonts w:cs="Times New Roman"/>
          <w:b/>
          <w:bCs/>
          <w:sz w:val="22"/>
        </w:rPr>
        <w:t xml:space="preserve">附表1 </w:t>
      </w:r>
    </w:p>
    <w:p>
      <w:pPr>
        <w:spacing w:line="500" w:lineRule="exact"/>
        <w:jc w:val="center"/>
        <w:rPr>
          <w:rFonts w:cs="Times New Roman"/>
          <w:b/>
          <w:bCs/>
          <w:sz w:val="22"/>
        </w:rPr>
      </w:pPr>
      <w:r>
        <w:rPr>
          <w:rFonts w:cs="Times New Roman"/>
          <w:b/>
          <w:bCs/>
          <w:sz w:val="22"/>
        </w:rPr>
        <w:t>2022年度鹿泉区人居环境整治及污水资源化利用项目</w:t>
      </w:r>
      <w:r>
        <w:rPr>
          <w:rFonts w:hint="eastAsia" w:cs="Times New Roman"/>
          <w:b/>
          <w:bCs/>
          <w:sz w:val="22"/>
        </w:rPr>
        <w:t>（大河镇、获鹿镇）</w:t>
      </w:r>
    </w:p>
    <w:p>
      <w:pPr>
        <w:spacing w:line="500" w:lineRule="exact"/>
        <w:jc w:val="center"/>
        <w:rPr>
          <w:rFonts w:cs="Times New Roman"/>
          <w:b/>
          <w:bCs/>
          <w:sz w:val="22"/>
        </w:rPr>
      </w:pPr>
      <w:r>
        <w:rPr>
          <w:rFonts w:cs="Times New Roman"/>
          <w:b/>
          <w:bCs/>
          <w:sz w:val="22"/>
        </w:rPr>
        <w:t>绩效评价满意度调查问卷问卷效度汇总</w:t>
      </w:r>
    </w:p>
    <w:p>
      <w:pPr>
        <w:spacing w:line="500" w:lineRule="exact"/>
        <w:jc w:val="center"/>
        <w:rPr>
          <w:rFonts w:cs="Times New Roman"/>
          <w:b/>
          <w:bCs/>
          <w:sz w:val="22"/>
        </w:rPr>
      </w:pPr>
    </w:p>
    <w:tbl>
      <w:tblPr>
        <w:tblStyle w:val="16"/>
        <w:tblW w:w="82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16"/>
        <w:gridCol w:w="1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6516" w:type="dxa"/>
            <w:shd w:val="clear" w:color="auto" w:fill="D8D8D8" w:themeFill="background1" w:themeFillShade="D9"/>
            <w:vAlign w:val="center"/>
          </w:tcPr>
          <w:p>
            <w:pPr>
              <w:spacing w:line="400" w:lineRule="exact"/>
              <w:jc w:val="center"/>
              <w:rPr>
                <w:rFonts w:cs="Times New Roman"/>
                <w:b/>
                <w:sz w:val="24"/>
              </w:rPr>
            </w:pPr>
            <w:r>
              <w:rPr>
                <w:rFonts w:cs="Times New Roman"/>
                <w:b/>
                <w:sz w:val="24"/>
              </w:rPr>
              <w:t>题目</w:t>
            </w:r>
          </w:p>
        </w:tc>
        <w:tc>
          <w:tcPr>
            <w:tcW w:w="1780" w:type="dxa"/>
            <w:shd w:val="clear" w:color="auto" w:fill="D8D8D8" w:themeFill="background1" w:themeFillShade="D9"/>
            <w:vAlign w:val="center"/>
          </w:tcPr>
          <w:p>
            <w:pPr>
              <w:pStyle w:val="22"/>
              <w:spacing w:line="400" w:lineRule="exact"/>
              <w:ind w:firstLine="0" w:firstLineChars="0"/>
              <w:jc w:val="center"/>
              <w:rPr>
                <w:b/>
                <w:sz w:val="24"/>
                <w:szCs w:val="24"/>
              </w:rPr>
            </w:pPr>
            <w:r>
              <w:rPr>
                <w:b/>
                <w:sz w:val="24"/>
                <w:szCs w:val="24"/>
              </w:rPr>
              <w:t>效度得分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16" w:type="dxa"/>
            <w:vAlign w:val="center"/>
          </w:tcPr>
          <w:p>
            <w:pPr>
              <w:spacing w:line="400" w:lineRule="exact"/>
              <w:jc w:val="left"/>
              <w:rPr>
                <w:rFonts w:cs="Times New Roman"/>
                <w:sz w:val="24"/>
              </w:rPr>
            </w:pPr>
            <w:r>
              <w:rPr>
                <w:rFonts w:cs="Times New Roman"/>
                <w:sz w:val="24"/>
              </w:rPr>
              <w:t>您对本村污水管网建设的总体评价（    ）</w:t>
            </w:r>
          </w:p>
        </w:tc>
        <w:tc>
          <w:tcPr>
            <w:tcW w:w="1780" w:type="dxa"/>
            <w:vAlign w:val="center"/>
          </w:tcPr>
          <w:p>
            <w:pPr>
              <w:widowControl/>
              <w:spacing w:line="400" w:lineRule="exact"/>
              <w:jc w:val="right"/>
              <w:rPr>
                <w:rFonts w:cs="Times New Roman"/>
                <w:sz w:val="24"/>
              </w:rPr>
            </w:pPr>
            <w:r>
              <w:rPr>
                <w:rFonts w:cs="Times New Roman"/>
                <w:sz w:val="24"/>
              </w:rPr>
              <w:t>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16" w:type="dxa"/>
            <w:vAlign w:val="center"/>
          </w:tcPr>
          <w:p>
            <w:pPr>
              <w:spacing w:line="400" w:lineRule="exact"/>
              <w:jc w:val="left"/>
              <w:rPr>
                <w:rFonts w:cs="Times New Roman"/>
                <w:sz w:val="24"/>
              </w:rPr>
            </w:pPr>
            <w:r>
              <w:rPr>
                <w:rFonts w:cs="Times New Roman"/>
                <w:sz w:val="24"/>
              </w:rPr>
              <w:t>您对建设工程施工中出行措施的评价（    ）</w:t>
            </w:r>
          </w:p>
        </w:tc>
        <w:tc>
          <w:tcPr>
            <w:tcW w:w="1780" w:type="dxa"/>
            <w:vAlign w:val="center"/>
          </w:tcPr>
          <w:p>
            <w:pPr>
              <w:widowControl/>
              <w:spacing w:line="400" w:lineRule="exact"/>
              <w:jc w:val="right"/>
              <w:rPr>
                <w:rFonts w:cs="Times New Roman"/>
                <w:sz w:val="24"/>
              </w:rPr>
            </w:pPr>
            <w:r>
              <w:rPr>
                <w:rFonts w:cs="Times New Roman"/>
                <w:sz w:val="24"/>
              </w:rPr>
              <w:t>0.91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16" w:type="dxa"/>
            <w:vAlign w:val="center"/>
          </w:tcPr>
          <w:p>
            <w:pPr>
              <w:spacing w:line="400" w:lineRule="exact"/>
              <w:jc w:val="left"/>
              <w:rPr>
                <w:rFonts w:cs="Times New Roman"/>
                <w:sz w:val="24"/>
              </w:rPr>
            </w:pPr>
            <w:r>
              <w:rPr>
                <w:rFonts w:cs="Times New Roman"/>
                <w:sz w:val="24"/>
              </w:rPr>
              <w:t>您对项目建成后改善污水排放的效果评价（    ）</w:t>
            </w:r>
          </w:p>
        </w:tc>
        <w:tc>
          <w:tcPr>
            <w:tcW w:w="1780" w:type="dxa"/>
            <w:vAlign w:val="center"/>
          </w:tcPr>
          <w:p>
            <w:pPr>
              <w:widowControl/>
              <w:spacing w:line="400" w:lineRule="exact"/>
              <w:jc w:val="right"/>
              <w:rPr>
                <w:rFonts w:cs="Times New Roman"/>
                <w:sz w:val="24"/>
              </w:rPr>
            </w:pPr>
            <w:r>
              <w:rPr>
                <w:rFonts w:cs="Times New Roman"/>
                <w:sz w:val="24"/>
              </w:rPr>
              <w:t>0.93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16" w:type="dxa"/>
            <w:vAlign w:val="center"/>
          </w:tcPr>
          <w:p>
            <w:pPr>
              <w:spacing w:line="400" w:lineRule="exact"/>
              <w:jc w:val="left"/>
              <w:rPr>
                <w:rFonts w:cs="Times New Roman"/>
                <w:sz w:val="24"/>
              </w:rPr>
            </w:pPr>
            <w:r>
              <w:rPr>
                <w:rFonts w:cs="Times New Roman"/>
                <w:sz w:val="24"/>
              </w:rPr>
              <w:t>您对建设工程的建设质量评价（    ）</w:t>
            </w:r>
          </w:p>
        </w:tc>
        <w:tc>
          <w:tcPr>
            <w:tcW w:w="1780" w:type="dxa"/>
            <w:vAlign w:val="center"/>
          </w:tcPr>
          <w:p>
            <w:pPr>
              <w:widowControl/>
              <w:spacing w:line="400" w:lineRule="exact"/>
              <w:jc w:val="right"/>
              <w:rPr>
                <w:rFonts w:cs="Times New Roman"/>
                <w:sz w:val="24"/>
              </w:rPr>
            </w:pPr>
            <w:r>
              <w:rPr>
                <w:rFonts w:cs="Times New Roman"/>
                <w:sz w:val="24"/>
              </w:rPr>
              <w:t>0.92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16" w:type="dxa"/>
            <w:vAlign w:val="center"/>
          </w:tcPr>
          <w:p>
            <w:pPr>
              <w:spacing w:line="400" w:lineRule="exact"/>
              <w:jc w:val="left"/>
              <w:rPr>
                <w:rFonts w:cs="Times New Roman"/>
                <w:sz w:val="24"/>
              </w:rPr>
            </w:pPr>
            <w:r>
              <w:rPr>
                <w:rFonts w:cs="Times New Roman"/>
                <w:sz w:val="24"/>
              </w:rPr>
              <w:t>您对建设工程施工中采取安全防护措施的评价（    ）</w:t>
            </w:r>
          </w:p>
        </w:tc>
        <w:tc>
          <w:tcPr>
            <w:tcW w:w="1780" w:type="dxa"/>
            <w:vAlign w:val="center"/>
          </w:tcPr>
          <w:p>
            <w:pPr>
              <w:widowControl/>
              <w:spacing w:line="400" w:lineRule="exact"/>
              <w:jc w:val="right"/>
              <w:rPr>
                <w:rFonts w:cs="Times New Roman"/>
                <w:sz w:val="24"/>
              </w:rPr>
            </w:pPr>
            <w:r>
              <w:rPr>
                <w:rFonts w:cs="Times New Roman"/>
                <w:sz w:val="24"/>
              </w:rPr>
              <w:t>0.91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16" w:type="dxa"/>
            <w:vAlign w:val="center"/>
          </w:tcPr>
          <w:p>
            <w:pPr>
              <w:spacing w:line="400" w:lineRule="exact"/>
              <w:jc w:val="left"/>
              <w:rPr>
                <w:rFonts w:cs="Times New Roman"/>
                <w:sz w:val="24"/>
              </w:rPr>
            </w:pPr>
            <w:r>
              <w:rPr>
                <w:rFonts w:cs="Times New Roman"/>
                <w:sz w:val="24"/>
              </w:rPr>
              <w:t>您对项目建成后对村容村貌的评价（    ）</w:t>
            </w:r>
          </w:p>
        </w:tc>
        <w:tc>
          <w:tcPr>
            <w:tcW w:w="1780" w:type="dxa"/>
            <w:vAlign w:val="center"/>
          </w:tcPr>
          <w:p>
            <w:pPr>
              <w:widowControl/>
              <w:spacing w:line="400" w:lineRule="exact"/>
              <w:jc w:val="right"/>
              <w:rPr>
                <w:rFonts w:cs="Times New Roman"/>
                <w:sz w:val="24"/>
              </w:rPr>
            </w:pPr>
            <w:r>
              <w:rPr>
                <w:rFonts w:cs="Times New Roman"/>
                <w:sz w:val="24"/>
              </w:rPr>
              <w:t>0.86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16" w:type="dxa"/>
            <w:vAlign w:val="center"/>
          </w:tcPr>
          <w:p>
            <w:pPr>
              <w:spacing w:line="400" w:lineRule="exact"/>
              <w:jc w:val="left"/>
              <w:rPr>
                <w:rFonts w:cs="Times New Roman"/>
                <w:sz w:val="24"/>
              </w:rPr>
            </w:pPr>
            <w:r>
              <w:rPr>
                <w:rFonts w:cs="Times New Roman"/>
                <w:sz w:val="24"/>
              </w:rPr>
              <w:t>您对建设工程的施工工期评价（    ）</w:t>
            </w:r>
          </w:p>
        </w:tc>
        <w:tc>
          <w:tcPr>
            <w:tcW w:w="1780" w:type="dxa"/>
            <w:vAlign w:val="center"/>
          </w:tcPr>
          <w:p>
            <w:pPr>
              <w:widowControl/>
              <w:spacing w:line="400" w:lineRule="exact"/>
              <w:jc w:val="right"/>
              <w:rPr>
                <w:rFonts w:cs="Times New Roman"/>
                <w:sz w:val="24"/>
              </w:rPr>
            </w:pPr>
            <w:r>
              <w:rPr>
                <w:rFonts w:cs="Times New Roman"/>
                <w:sz w:val="24"/>
              </w:rPr>
              <w:t>0.88</w:t>
            </w:r>
          </w:p>
        </w:tc>
      </w:tr>
    </w:tbl>
    <w:p>
      <w:pPr>
        <w:spacing w:line="500" w:lineRule="exact"/>
        <w:ind w:firstLine="482" w:firstLineChars="200"/>
        <w:rPr>
          <w:rFonts w:cs="Times New Roman"/>
          <w:b/>
          <w:sz w:val="24"/>
        </w:rPr>
      </w:pPr>
      <w:r>
        <w:rPr>
          <w:rFonts w:cs="Times New Roman"/>
          <w:b/>
          <w:sz w:val="24"/>
        </w:rPr>
        <w:t>五、调查问卷的分析</w:t>
      </w:r>
    </w:p>
    <w:p>
      <w:pPr>
        <w:pStyle w:val="22"/>
        <w:ind w:firstLine="480"/>
        <w:rPr>
          <w:sz w:val="24"/>
          <w:szCs w:val="24"/>
        </w:rPr>
      </w:pPr>
      <w:r>
        <w:rPr>
          <w:rFonts w:hint="eastAsia"/>
          <w:sz w:val="24"/>
          <w:szCs w:val="24"/>
        </w:rPr>
        <w:t>1.单选题</w:t>
      </w:r>
    </w:p>
    <w:p>
      <w:pPr>
        <w:pStyle w:val="22"/>
        <w:ind w:firstLine="480"/>
        <w:rPr>
          <w:sz w:val="24"/>
          <w:szCs w:val="24"/>
        </w:rPr>
      </w:pPr>
      <w:r>
        <w:rPr>
          <w:rFonts w:hint="eastAsia"/>
          <w:sz w:val="24"/>
          <w:szCs w:val="24"/>
        </w:rPr>
        <w:t>1)您的年龄（）</w:t>
      </w:r>
    </w:p>
    <w:p>
      <w:pPr>
        <w:pStyle w:val="22"/>
        <w:ind w:firstLine="480"/>
        <w:rPr>
          <w:sz w:val="24"/>
          <w:szCs w:val="24"/>
        </w:rPr>
      </w:pPr>
      <w:r>
        <w:rPr>
          <w:rFonts w:hint="eastAsia"/>
          <w:sz w:val="24"/>
          <w:szCs w:val="24"/>
        </w:rPr>
        <w:t>在130份有效问卷中，被调查对象中选18周岁以下的比例为0%，选18（含）~35周岁的比例为20.77%，选35（含）~55周岁的比例为55.38%，选55（含）周岁以上的比例为23.85%。</w:t>
      </w:r>
    </w:p>
    <w:p>
      <w:pPr>
        <w:pStyle w:val="22"/>
        <w:ind w:firstLine="480"/>
        <w:rPr>
          <w:sz w:val="24"/>
          <w:szCs w:val="24"/>
        </w:rPr>
      </w:pPr>
      <w:r>
        <w:rPr>
          <w:rFonts w:hint="eastAsia"/>
          <w:sz w:val="24"/>
          <w:szCs w:val="24"/>
        </w:rPr>
        <w:t>2)您知道2022年在本村实施的人居环境整治及污水资源化利用吗？</w:t>
      </w:r>
    </w:p>
    <w:p>
      <w:pPr>
        <w:pStyle w:val="22"/>
        <w:ind w:firstLine="480"/>
        <w:rPr>
          <w:sz w:val="24"/>
          <w:szCs w:val="24"/>
        </w:rPr>
      </w:pPr>
      <w:r>
        <w:rPr>
          <w:rFonts w:hint="eastAsia"/>
          <w:sz w:val="24"/>
          <w:szCs w:val="24"/>
        </w:rPr>
        <w:t>在130份有效问卷中，被调查对象中选知道的比例为96.15%，选不知道的比例为3.85%。</w:t>
      </w:r>
    </w:p>
    <w:p>
      <w:pPr>
        <w:pStyle w:val="22"/>
        <w:ind w:firstLine="480"/>
        <w:rPr>
          <w:sz w:val="24"/>
          <w:szCs w:val="24"/>
        </w:rPr>
      </w:pPr>
      <w:r>
        <w:rPr>
          <w:rFonts w:hint="eastAsia"/>
          <w:sz w:val="24"/>
          <w:szCs w:val="24"/>
        </w:rPr>
        <w:t>3)项目实施前本村生活污水排放问题有哪些（ ）</w:t>
      </w:r>
    </w:p>
    <w:p>
      <w:pPr>
        <w:pStyle w:val="22"/>
        <w:ind w:firstLine="480"/>
        <w:rPr>
          <w:sz w:val="24"/>
          <w:szCs w:val="24"/>
        </w:rPr>
      </w:pPr>
      <w:r>
        <w:rPr>
          <w:rFonts w:hint="eastAsia"/>
          <w:sz w:val="24"/>
          <w:szCs w:val="24"/>
        </w:rPr>
        <w:t>在130份有效问卷中，被调查对象中选有排水坑，可收集村里污水的比例为28.46%，选没有处理设施，随处排放的比例为33.85%，选随意排放，影响出行的比例为30.77%，选掺和其他垃圾，污染环境的比例为3.08%，选气味难闻，滋生蚊虫的比例为1.54%，选居住人少，没有太多污水的比例为2.31%。</w:t>
      </w:r>
    </w:p>
    <w:p>
      <w:pPr>
        <w:pStyle w:val="22"/>
        <w:ind w:firstLine="480"/>
        <w:rPr>
          <w:sz w:val="24"/>
          <w:szCs w:val="24"/>
        </w:rPr>
      </w:pPr>
      <w:r>
        <w:rPr>
          <w:rFonts w:hint="eastAsia"/>
          <w:sz w:val="24"/>
          <w:szCs w:val="24"/>
        </w:rPr>
        <w:t>4)项目实施后您家有没有使用污水管道处理污水</w:t>
      </w:r>
    </w:p>
    <w:p>
      <w:pPr>
        <w:pStyle w:val="22"/>
        <w:ind w:firstLine="480"/>
        <w:rPr>
          <w:sz w:val="24"/>
          <w:szCs w:val="24"/>
        </w:rPr>
      </w:pPr>
      <w:r>
        <w:rPr>
          <w:rFonts w:hint="eastAsia"/>
          <w:sz w:val="24"/>
          <w:szCs w:val="24"/>
        </w:rPr>
        <w:t>在130份有效问卷中，被调查对象中选已接通已使用的比例为93.08%，选未接通未使用的比例为4.62%，选已接通不能使用的比例为2.31%。</w:t>
      </w:r>
    </w:p>
    <w:p>
      <w:pPr>
        <w:pStyle w:val="22"/>
        <w:ind w:firstLine="480"/>
        <w:rPr>
          <w:sz w:val="24"/>
          <w:szCs w:val="24"/>
        </w:rPr>
      </w:pPr>
      <w:r>
        <w:rPr>
          <w:rFonts w:hint="eastAsia"/>
          <w:sz w:val="24"/>
          <w:szCs w:val="24"/>
        </w:rPr>
        <w:t>2.多选题</w:t>
      </w:r>
    </w:p>
    <w:p>
      <w:pPr>
        <w:pStyle w:val="22"/>
        <w:ind w:firstLine="480"/>
        <w:rPr>
          <w:sz w:val="24"/>
          <w:szCs w:val="24"/>
        </w:rPr>
      </w:pPr>
      <w:r>
        <w:rPr>
          <w:rFonts w:hint="eastAsia"/>
          <w:sz w:val="24"/>
          <w:szCs w:val="24"/>
        </w:rPr>
        <w:t>1)您所在村常住人口规模（ ）</w:t>
      </w:r>
    </w:p>
    <w:p>
      <w:pPr>
        <w:pStyle w:val="22"/>
        <w:ind w:firstLine="480"/>
        <w:rPr>
          <w:sz w:val="24"/>
          <w:szCs w:val="24"/>
        </w:rPr>
      </w:pPr>
      <w:r>
        <w:rPr>
          <w:rFonts w:hint="eastAsia"/>
          <w:sz w:val="24"/>
          <w:szCs w:val="24"/>
        </w:rPr>
        <w:t>在130份有效问卷中，被调查对象中选2000人（含）以上的比例为27.69%，选1000-1500人（含）的比例为55.38%，选500-1000人（含）的比例为16.92%，选500人（含）的比例为0%。</w:t>
      </w:r>
    </w:p>
    <w:p>
      <w:pPr>
        <w:pStyle w:val="22"/>
        <w:ind w:firstLine="480"/>
        <w:rPr>
          <w:sz w:val="24"/>
          <w:szCs w:val="24"/>
        </w:rPr>
      </w:pPr>
      <w:r>
        <w:rPr>
          <w:rFonts w:hint="eastAsia"/>
          <w:sz w:val="24"/>
          <w:szCs w:val="24"/>
        </w:rPr>
        <w:t>2)项目实施后您认为对本村及自身有什么影响（ ）</w:t>
      </w:r>
    </w:p>
    <w:p>
      <w:pPr>
        <w:pStyle w:val="22"/>
        <w:ind w:firstLine="480"/>
        <w:rPr>
          <w:sz w:val="24"/>
          <w:szCs w:val="24"/>
        </w:rPr>
      </w:pPr>
      <w:r>
        <w:rPr>
          <w:rFonts w:hint="eastAsia"/>
          <w:sz w:val="24"/>
          <w:szCs w:val="24"/>
        </w:rPr>
        <w:t>在130份有效问卷中，被调查对象中选大大减少村里污水排放的比例为21.05%，选减少难闻气温，改善村内环境的比例为16.49%，选减少路面水渍，出行更加方便的比例为33.68%，选村容更加整洁、美丽的比例为26.32%，选无明显改变，效果不大的比例为1.4%，选其他的比例为1.05%。</w:t>
      </w:r>
    </w:p>
    <w:p>
      <w:pPr>
        <w:pStyle w:val="22"/>
        <w:ind w:firstLine="480"/>
        <w:rPr>
          <w:sz w:val="24"/>
          <w:szCs w:val="24"/>
        </w:rPr>
      </w:pPr>
      <w:r>
        <w:rPr>
          <w:rFonts w:hint="eastAsia"/>
          <w:sz w:val="24"/>
          <w:szCs w:val="24"/>
        </w:rPr>
        <w:t>3.满意度题</w:t>
      </w:r>
    </w:p>
    <w:p>
      <w:pPr>
        <w:pStyle w:val="22"/>
        <w:ind w:firstLine="480"/>
        <w:rPr>
          <w:sz w:val="24"/>
          <w:szCs w:val="24"/>
        </w:rPr>
      </w:pPr>
      <w:r>
        <w:rPr>
          <w:rFonts w:hint="eastAsia"/>
          <w:sz w:val="24"/>
          <w:szCs w:val="24"/>
        </w:rPr>
        <w:t>根据问卷调查结果显示，受益对象的整体满意程度为85.10%，满意度水平较好。 调查对象对问题按照满意度评分由高到低排序依次为：您对建设工程的施工工期评价（    ）  (85.538%)、您对建设工程施工中采取安全防护措施的评价（    ）(85.385%)、您对建设工程施工中出行措施的评价（    ） (85.385%)、您对建设工程的建设质量评价（    ）(80.923%)、您对项目建成后对村容村貌的评价（    ）(87.385%)、您对项目建成后改善污水排放的效果评价（    ）(85.692%)、您对本村污水管网建设的总体评价（    ）(85.385%)。具体如下图所示。</w:t>
      </w:r>
    </w:p>
    <w:p>
      <w:pPr>
        <w:widowControl/>
        <w:jc w:val="left"/>
      </w:pPr>
      <w:r>
        <w:rPr>
          <w:rFonts w:ascii="宋体" w:hAnsi="宋体" w:cs="宋体"/>
          <w:kern w:val="0"/>
          <w:sz w:val="24"/>
        </w:rPr>
        <w:drawing>
          <wp:inline distT="0" distB="0" distL="114300" distR="114300">
            <wp:extent cx="5889625" cy="3566160"/>
            <wp:effectExtent l="0" t="0" r="0" b="0"/>
            <wp:docPr id="7" name="图片 1" descr="O5D0_JYSLVT9D%0X6O4T@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descr="O5D0_JYSLVT9D%0X6O4T@LS"/>
                    <pic:cNvPicPr>
                      <a:picLocks noChangeAspect="1"/>
                    </pic:cNvPicPr>
                  </pic:nvPicPr>
                  <pic:blipFill>
                    <a:blip r:embed="rId25"/>
                    <a:stretch>
                      <a:fillRect/>
                    </a:stretch>
                  </pic:blipFill>
                  <pic:spPr>
                    <a:xfrm>
                      <a:off x="0" y="0"/>
                      <a:ext cx="5889625" cy="3566160"/>
                    </a:xfrm>
                    <a:prstGeom prst="rect">
                      <a:avLst/>
                    </a:prstGeom>
                    <a:noFill/>
                    <a:ln w="9525">
                      <a:noFill/>
                    </a:ln>
                  </pic:spPr>
                </pic:pic>
              </a:graphicData>
            </a:graphic>
          </wp:inline>
        </w:drawing>
      </w:r>
    </w:p>
    <w:sectPr>
      <w:pgSz w:w="11906" w:h="16838"/>
      <w:pgMar w:top="1440" w:right="1463" w:bottom="1440" w:left="1519" w:header="851" w:footer="992" w:gutter="0"/>
      <w:pgBorders>
        <w:top w:val="none" w:sz="0" w:space="0"/>
        <w:left w:val="none" w:sz="0" w:space="0"/>
        <w:bottom w:val="none" w:sz="0" w:space="0"/>
        <w:right w:val="none" w:sz="0" w:space="0"/>
      </w:pgBorders>
      <w:pgNumType w:fmt="decimal"/>
      <w:cols w:space="0" w:num="1"/>
      <w:docGrid w:type="lines" w:linePitch="43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aJO4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G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7aJO4zAgAAYwQAAA4AAAAAAAAAAQAgAAAAHwEAAGRycy9lMm9Eb2MueG1sUEsF&#10;BgAAAAAGAAYAWQEAAMQFA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yswE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xyswEzAgAAYwQAAA4AAAAAAAAAAQAgAAAAHwEAAGRycy9lMm9Eb2MueG1sUEsF&#10;BgAAAAAGAAYAWQEAAMQFA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C7D123"/>
    <w:multiLevelType w:val="singleLevel"/>
    <w:tmpl w:val="20C7D123"/>
    <w:lvl w:ilvl="0" w:tentative="0">
      <w:start w:val="2"/>
      <w:numFmt w:val="decimal"/>
      <w:suff w:val="nothing"/>
      <w:lvlText w:val="（%1）"/>
      <w:lvlJc w:val="left"/>
    </w:lvl>
  </w:abstractNum>
  <w:abstractNum w:abstractNumId="1">
    <w:nsid w:val="35B7C2B4"/>
    <w:multiLevelType w:val="singleLevel"/>
    <w:tmpl w:val="35B7C2B4"/>
    <w:lvl w:ilvl="0" w:tentative="0">
      <w:start w:val="2"/>
      <w:numFmt w:val="decimal"/>
      <w:suff w:val="nothing"/>
      <w:lvlText w:val="（%1）"/>
      <w:lvlJc w:val="left"/>
    </w:lvl>
  </w:abstractNum>
  <w:abstractNum w:abstractNumId="2">
    <w:nsid w:val="5E813679"/>
    <w:multiLevelType w:val="singleLevel"/>
    <w:tmpl w:val="5E813679"/>
    <w:lvl w:ilvl="0" w:tentative="0">
      <w:start w:val="2"/>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218"/>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cyODMxYTE0ZTc0ZGU3Y2QwODc3MzYzN2Q1YmNiM2EifQ=="/>
  </w:docVars>
  <w:rsids>
    <w:rsidRoot w:val="3CED382C"/>
    <w:rsid w:val="00213993"/>
    <w:rsid w:val="00267697"/>
    <w:rsid w:val="00277B93"/>
    <w:rsid w:val="002F04E4"/>
    <w:rsid w:val="005068D9"/>
    <w:rsid w:val="00613C27"/>
    <w:rsid w:val="00807637"/>
    <w:rsid w:val="00A66E1E"/>
    <w:rsid w:val="00B35909"/>
    <w:rsid w:val="00B91DF6"/>
    <w:rsid w:val="00C41CED"/>
    <w:rsid w:val="00D572C8"/>
    <w:rsid w:val="00D72258"/>
    <w:rsid w:val="00DE0898"/>
    <w:rsid w:val="00EE5B28"/>
    <w:rsid w:val="032B0028"/>
    <w:rsid w:val="03351867"/>
    <w:rsid w:val="037C7496"/>
    <w:rsid w:val="040C5F7C"/>
    <w:rsid w:val="045B52FD"/>
    <w:rsid w:val="04BF588C"/>
    <w:rsid w:val="04C07F36"/>
    <w:rsid w:val="055333C6"/>
    <w:rsid w:val="05AF14CA"/>
    <w:rsid w:val="06712A7B"/>
    <w:rsid w:val="09092C22"/>
    <w:rsid w:val="0A530F50"/>
    <w:rsid w:val="0C41127C"/>
    <w:rsid w:val="0D1F575F"/>
    <w:rsid w:val="0D366D45"/>
    <w:rsid w:val="0D3B0FC3"/>
    <w:rsid w:val="0D625D59"/>
    <w:rsid w:val="0EFB0ED0"/>
    <w:rsid w:val="0FE5217C"/>
    <w:rsid w:val="10B63772"/>
    <w:rsid w:val="119A02B1"/>
    <w:rsid w:val="15EB4733"/>
    <w:rsid w:val="16D06B88"/>
    <w:rsid w:val="17107D9E"/>
    <w:rsid w:val="198B6C64"/>
    <w:rsid w:val="19CD593C"/>
    <w:rsid w:val="1A486286"/>
    <w:rsid w:val="1AAD70CE"/>
    <w:rsid w:val="1B8A22F8"/>
    <w:rsid w:val="1C521D65"/>
    <w:rsid w:val="1C9377D7"/>
    <w:rsid w:val="1DF90AF5"/>
    <w:rsid w:val="1E4F1722"/>
    <w:rsid w:val="1F344F38"/>
    <w:rsid w:val="1F6E5B69"/>
    <w:rsid w:val="20384A18"/>
    <w:rsid w:val="208A2D9A"/>
    <w:rsid w:val="21CD73E2"/>
    <w:rsid w:val="22001A21"/>
    <w:rsid w:val="223B07F0"/>
    <w:rsid w:val="257D0897"/>
    <w:rsid w:val="2644074A"/>
    <w:rsid w:val="267A1834"/>
    <w:rsid w:val="26D2094D"/>
    <w:rsid w:val="26F97F05"/>
    <w:rsid w:val="27670751"/>
    <w:rsid w:val="27C56BB4"/>
    <w:rsid w:val="2806176C"/>
    <w:rsid w:val="28651F48"/>
    <w:rsid w:val="28DF04F4"/>
    <w:rsid w:val="2A1D07DB"/>
    <w:rsid w:val="2A7378A9"/>
    <w:rsid w:val="2AA65703"/>
    <w:rsid w:val="2AC5412B"/>
    <w:rsid w:val="2B0D4CF3"/>
    <w:rsid w:val="2DE127F2"/>
    <w:rsid w:val="2F101090"/>
    <w:rsid w:val="2F506315"/>
    <w:rsid w:val="2FC5115F"/>
    <w:rsid w:val="309E2DC2"/>
    <w:rsid w:val="313B2730"/>
    <w:rsid w:val="314B3E80"/>
    <w:rsid w:val="355F04A7"/>
    <w:rsid w:val="35944047"/>
    <w:rsid w:val="36301896"/>
    <w:rsid w:val="37D921E5"/>
    <w:rsid w:val="384F24A7"/>
    <w:rsid w:val="39953E6F"/>
    <w:rsid w:val="3A2C3359"/>
    <w:rsid w:val="3A377013"/>
    <w:rsid w:val="3AD9074E"/>
    <w:rsid w:val="3B02537A"/>
    <w:rsid w:val="3BDA7637"/>
    <w:rsid w:val="3C480899"/>
    <w:rsid w:val="3CED382C"/>
    <w:rsid w:val="3EA979C9"/>
    <w:rsid w:val="3EBD5502"/>
    <w:rsid w:val="3FFA0F4B"/>
    <w:rsid w:val="401D6D75"/>
    <w:rsid w:val="405E0D86"/>
    <w:rsid w:val="40605822"/>
    <w:rsid w:val="40E44382"/>
    <w:rsid w:val="41F410CA"/>
    <w:rsid w:val="42FD72BA"/>
    <w:rsid w:val="43566696"/>
    <w:rsid w:val="44C256FE"/>
    <w:rsid w:val="44CC63EF"/>
    <w:rsid w:val="45272060"/>
    <w:rsid w:val="452934A7"/>
    <w:rsid w:val="45737BDF"/>
    <w:rsid w:val="45812155"/>
    <w:rsid w:val="45C8676A"/>
    <w:rsid w:val="464B3971"/>
    <w:rsid w:val="46D81BDC"/>
    <w:rsid w:val="488519D4"/>
    <w:rsid w:val="48B119FB"/>
    <w:rsid w:val="4948541D"/>
    <w:rsid w:val="49BC2726"/>
    <w:rsid w:val="4C6B4F7E"/>
    <w:rsid w:val="4DD33CE2"/>
    <w:rsid w:val="4F552641"/>
    <w:rsid w:val="4F7D5E60"/>
    <w:rsid w:val="50BB2978"/>
    <w:rsid w:val="51662929"/>
    <w:rsid w:val="51DD4334"/>
    <w:rsid w:val="52A02A93"/>
    <w:rsid w:val="54CE4AE4"/>
    <w:rsid w:val="550F6370"/>
    <w:rsid w:val="555A0460"/>
    <w:rsid w:val="561F3061"/>
    <w:rsid w:val="56783DDB"/>
    <w:rsid w:val="57032C2D"/>
    <w:rsid w:val="57544F8D"/>
    <w:rsid w:val="59590F80"/>
    <w:rsid w:val="5B5F48D6"/>
    <w:rsid w:val="5D3708F7"/>
    <w:rsid w:val="5E3662B9"/>
    <w:rsid w:val="5F1F5891"/>
    <w:rsid w:val="63917AE2"/>
    <w:rsid w:val="64F4459D"/>
    <w:rsid w:val="653E14CE"/>
    <w:rsid w:val="67E90042"/>
    <w:rsid w:val="68B87687"/>
    <w:rsid w:val="6A327935"/>
    <w:rsid w:val="6A4307C1"/>
    <w:rsid w:val="6AD724C1"/>
    <w:rsid w:val="6CDB7349"/>
    <w:rsid w:val="6DAB327B"/>
    <w:rsid w:val="6F873332"/>
    <w:rsid w:val="6FC72954"/>
    <w:rsid w:val="6FE40706"/>
    <w:rsid w:val="70F15BEA"/>
    <w:rsid w:val="724B24F0"/>
    <w:rsid w:val="728670E0"/>
    <w:rsid w:val="739C3AEB"/>
    <w:rsid w:val="73A806E2"/>
    <w:rsid w:val="73DD5247"/>
    <w:rsid w:val="74525BBF"/>
    <w:rsid w:val="74751075"/>
    <w:rsid w:val="74B86703"/>
    <w:rsid w:val="76C375E1"/>
    <w:rsid w:val="76CC7FDE"/>
    <w:rsid w:val="76E47147"/>
    <w:rsid w:val="778D031B"/>
    <w:rsid w:val="78A84CE1"/>
    <w:rsid w:val="78C23FF4"/>
    <w:rsid w:val="7AAB0D1D"/>
    <w:rsid w:val="7AB90878"/>
    <w:rsid w:val="7C211032"/>
    <w:rsid w:val="7C2832E7"/>
    <w:rsid w:val="7CF83BBE"/>
    <w:rsid w:val="7D451E58"/>
    <w:rsid w:val="7D633205"/>
    <w:rsid w:val="7ED3091C"/>
    <w:rsid w:val="7F6F47AA"/>
    <w:rsid w:val="7FAE35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heme="minorBidi"/>
      <w:kern w:val="2"/>
      <w:sz w:val="32"/>
      <w:szCs w:val="24"/>
      <w:lang w:val="en-US" w:eastAsia="zh-CN" w:bidi="ar-SA"/>
    </w:rPr>
  </w:style>
  <w:style w:type="paragraph" w:styleId="2">
    <w:name w:val="heading 1"/>
    <w:basedOn w:val="1"/>
    <w:next w:val="1"/>
    <w:link w:val="31"/>
    <w:qFormat/>
    <w:uiPriority w:val="0"/>
    <w:pPr>
      <w:keepNext/>
      <w:keepLines/>
      <w:spacing w:line="360" w:lineRule="auto"/>
      <w:outlineLvl w:val="0"/>
    </w:pPr>
    <w:rPr>
      <w:rFonts w:eastAsia="黑体"/>
      <w:b/>
      <w:kern w:val="44"/>
    </w:rPr>
  </w:style>
  <w:style w:type="paragraph" w:styleId="3">
    <w:name w:val="heading 2"/>
    <w:basedOn w:val="1"/>
    <w:next w:val="1"/>
    <w:link w:val="30"/>
    <w:unhideWhenUsed/>
    <w:qFormat/>
    <w:uiPriority w:val="0"/>
    <w:pPr>
      <w:keepNext/>
      <w:keepLines/>
      <w:spacing w:line="360" w:lineRule="auto"/>
      <w:ind w:firstLine="640" w:firstLineChars="200"/>
      <w:outlineLvl w:val="1"/>
    </w:pPr>
  </w:style>
  <w:style w:type="paragraph" w:styleId="4">
    <w:name w:val="heading 3"/>
    <w:basedOn w:val="1"/>
    <w:next w:val="1"/>
    <w:link w:val="29"/>
    <w:unhideWhenUsed/>
    <w:qFormat/>
    <w:uiPriority w:val="0"/>
    <w:pPr>
      <w:keepNext/>
      <w:keepLines/>
      <w:spacing w:line="360" w:lineRule="auto"/>
      <w:ind w:firstLine="640" w:firstLineChars="200"/>
      <w:outlineLvl w:val="2"/>
    </w:pPr>
  </w:style>
  <w:style w:type="paragraph" w:styleId="5">
    <w:name w:val="heading 4"/>
    <w:basedOn w:val="1"/>
    <w:next w:val="1"/>
    <w:link w:val="21"/>
    <w:unhideWhenUsed/>
    <w:qFormat/>
    <w:uiPriority w:val="0"/>
    <w:pPr>
      <w:keepNext/>
      <w:keepLines/>
      <w:spacing w:line="360" w:lineRule="auto"/>
      <w:ind w:firstLine="640" w:firstLineChars="200"/>
      <w:outlineLvl w:val="3"/>
    </w:p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link w:val="27"/>
    <w:qFormat/>
    <w:uiPriority w:val="0"/>
    <w:pPr>
      <w:jc w:val="left"/>
    </w:pPr>
  </w:style>
  <w:style w:type="paragraph" w:styleId="7">
    <w:name w:val="Body Text Indent"/>
    <w:basedOn w:val="1"/>
    <w:unhideWhenUsed/>
    <w:qFormat/>
    <w:uiPriority w:val="99"/>
    <w:pPr>
      <w:spacing w:after="120"/>
      <w:ind w:left="420" w:leftChars="200"/>
    </w:p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toc 1"/>
    <w:basedOn w:val="1"/>
    <w:next w:val="1"/>
    <w:qFormat/>
    <w:uiPriority w:val="0"/>
    <w:pPr>
      <w:spacing w:line="480" w:lineRule="exact"/>
    </w:pPr>
    <w:rPr>
      <w:sz w:val="28"/>
    </w:rPr>
  </w:style>
  <w:style w:type="paragraph" w:styleId="11">
    <w:name w:val="toc 2"/>
    <w:basedOn w:val="1"/>
    <w:next w:val="1"/>
    <w:qFormat/>
    <w:uiPriority w:val="0"/>
    <w:pPr>
      <w:spacing w:line="500" w:lineRule="exact"/>
      <w:ind w:left="420" w:leftChars="200"/>
    </w:pPr>
    <w:rPr>
      <w:sz w:val="28"/>
    </w:rPr>
  </w:style>
  <w:style w:type="paragraph" w:styleId="12">
    <w:name w:val="Normal (Web)"/>
    <w:basedOn w:val="1"/>
    <w:qFormat/>
    <w:uiPriority w:val="0"/>
    <w:pPr>
      <w:spacing w:beforeAutospacing="1" w:afterAutospacing="1"/>
      <w:jc w:val="left"/>
    </w:pPr>
    <w:rPr>
      <w:rFonts w:cs="Times New Roman"/>
      <w:kern w:val="0"/>
      <w:sz w:val="24"/>
    </w:rPr>
  </w:style>
  <w:style w:type="paragraph" w:styleId="13">
    <w:name w:val="annotation subject"/>
    <w:basedOn w:val="6"/>
    <w:next w:val="6"/>
    <w:link w:val="28"/>
    <w:qFormat/>
    <w:uiPriority w:val="0"/>
    <w:rPr>
      <w:b/>
      <w:bCs/>
    </w:rPr>
  </w:style>
  <w:style w:type="paragraph" w:styleId="14">
    <w:name w:val="Body Text First Indent 2"/>
    <w:basedOn w:val="7"/>
    <w:unhideWhenUsed/>
    <w:qFormat/>
    <w:uiPriority w:val="99"/>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annotation reference"/>
    <w:basedOn w:val="17"/>
    <w:qFormat/>
    <w:uiPriority w:val="0"/>
    <w:rPr>
      <w:sz w:val="21"/>
      <w:szCs w:val="21"/>
    </w:rPr>
  </w:style>
  <w:style w:type="paragraph" w:customStyle="1" w:styleId="19">
    <w:name w:val="WPSOffice手动目录 1"/>
    <w:qFormat/>
    <w:uiPriority w:val="0"/>
    <w:rPr>
      <w:rFonts w:asciiTheme="minorHAnsi" w:hAnsiTheme="minorHAnsi" w:eastAsiaTheme="minorEastAsia" w:cstheme="minorBidi"/>
      <w:lang w:val="en-US" w:eastAsia="zh-CN" w:bidi="ar-SA"/>
    </w:rPr>
  </w:style>
  <w:style w:type="paragraph" w:customStyle="1" w:styleId="20">
    <w:name w:val="WPSOffice手动目录 2"/>
    <w:qFormat/>
    <w:uiPriority w:val="0"/>
    <w:pPr>
      <w:ind w:left="200" w:leftChars="200"/>
    </w:pPr>
    <w:rPr>
      <w:rFonts w:asciiTheme="minorHAnsi" w:hAnsiTheme="minorHAnsi" w:eastAsiaTheme="minorEastAsia" w:cstheme="minorBidi"/>
      <w:lang w:val="en-US" w:eastAsia="zh-CN" w:bidi="ar-SA"/>
    </w:rPr>
  </w:style>
  <w:style w:type="character" w:customStyle="1" w:styleId="21">
    <w:name w:val="标题 4 字符"/>
    <w:link w:val="5"/>
    <w:qFormat/>
    <w:uiPriority w:val="0"/>
  </w:style>
  <w:style w:type="paragraph" w:customStyle="1" w:styleId="22">
    <w:name w:val="闻政正文"/>
    <w:basedOn w:val="1"/>
    <w:qFormat/>
    <w:uiPriority w:val="0"/>
    <w:pPr>
      <w:spacing w:line="500" w:lineRule="exact"/>
      <w:ind w:firstLine="560" w:firstLineChars="200"/>
    </w:pPr>
    <w:rPr>
      <w:kern w:val="0"/>
      <w:sz w:val="28"/>
      <w:szCs w:val="28"/>
    </w:rPr>
  </w:style>
  <w:style w:type="character" w:customStyle="1" w:styleId="23">
    <w:name w:val="font21"/>
    <w:basedOn w:val="17"/>
    <w:qFormat/>
    <w:uiPriority w:val="0"/>
    <w:rPr>
      <w:rFonts w:hint="eastAsia" w:ascii="宋体" w:hAnsi="宋体" w:eastAsia="宋体" w:cs="宋体"/>
      <w:color w:val="000000"/>
      <w:sz w:val="20"/>
      <w:szCs w:val="20"/>
      <w:u w:val="none"/>
    </w:rPr>
  </w:style>
  <w:style w:type="character" w:customStyle="1" w:styleId="24">
    <w:name w:val="font31"/>
    <w:basedOn w:val="17"/>
    <w:qFormat/>
    <w:uiPriority w:val="0"/>
    <w:rPr>
      <w:rFonts w:hint="eastAsia" w:ascii="宋体" w:hAnsi="宋体" w:eastAsia="宋体" w:cs="宋体"/>
      <w:color w:val="FF0000"/>
      <w:sz w:val="20"/>
      <w:szCs w:val="20"/>
      <w:u w:val="none"/>
    </w:rPr>
  </w:style>
  <w:style w:type="character" w:customStyle="1" w:styleId="25">
    <w:name w:val="font41"/>
    <w:basedOn w:val="17"/>
    <w:qFormat/>
    <w:uiPriority w:val="0"/>
    <w:rPr>
      <w:rFonts w:hint="eastAsia" w:ascii="宋体" w:hAnsi="宋体" w:eastAsia="宋体" w:cs="宋体"/>
      <w:color w:val="000000"/>
      <w:sz w:val="20"/>
      <w:szCs w:val="20"/>
      <w:u w:val="none"/>
    </w:rPr>
  </w:style>
  <w:style w:type="character" w:customStyle="1" w:styleId="26">
    <w:name w:val="font51"/>
    <w:basedOn w:val="17"/>
    <w:qFormat/>
    <w:uiPriority w:val="0"/>
    <w:rPr>
      <w:rFonts w:hint="eastAsia" w:ascii="宋体" w:hAnsi="宋体" w:eastAsia="宋体" w:cs="宋体"/>
      <w:color w:val="000000"/>
      <w:sz w:val="20"/>
      <w:szCs w:val="20"/>
      <w:u w:val="none"/>
    </w:rPr>
  </w:style>
  <w:style w:type="character" w:customStyle="1" w:styleId="27">
    <w:name w:val="批注文字 字符"/>
    <w:basedOn w:val="17"/>
    <w:link w:val="6"/>
    <w:qFormat/>
    <w:uiPriority w:val="0"/>
    <w:rPr>
      <w:rFonts w:eastAsia="仿宋_GB2312" w:cstheme="minorBidi"/>
      <w:kern w:val="2"/>
      <w:sz w:val="32"/>
      <w:szCs w:val="24"/>
    </w:rPr>
  </w:style>
  <w:style w:type="character" w:customStyle="1" w:styleId="28">
    <w:name w:val="批注主题 字符"/>
    <w:basedOn w:val="27"/>
    <w:link w:val="13"/>
    <w:qFormat/>
    <w:uiPriority w:val="0"/>
    <w:rPr>
      <w:rFonts w:eastAsia="仿宋_GB2312" w:cstheme="minorBidi"/>
      <w:b/>
      <w:bCs/>
      <w:kern w:val="2"/>
      <w:sz w:val="32"/>
      <w:szCs w:val="24"/>
    </w:rPr>
  </w:style>
  <w:style w:type="character" w:customStyle="1" w:styleId="29">
    <w:name w:val="标题 3 Char"/>
    <w:link w:val="4"/>
    <w:qFormat/>
    <w:uiPriority w:val="0"/>
  </w:style>
  <w:style w:type="character" w:customStyle="1" w:styleId="30">
    <w:name w:val="标题 2 Char"/>
    <w:link w:val="3"/>
    <w:qFormat/>
    <w:uiPriority w:val="0"/>
  </w:style>
  <w:style w:type="character" w:customStyle="1" w:styleId="31">
    <w:name w:val="标题 1 Char"/>
    <w:link w:val="2"/>
    <w:qFormat/>
    <w:uiPriority w:val="0"/>
    <w:rPr>
      <w:rFonts w:eastAsia="黑体"/>
      <w:b/>
      <w:kern w:val="44"/>
    </w:rPr>
  </w:style>
</w:styles>
</file>

<file path=word/_rels/document.xml.rels><?xml version="1.0" encoding="UTF-8" standalone="yes"?>
<Relationships xmlns="http://schemas.openxmlformats.org/package/2006/relationships"><Relationship Id="rId9" Type="http://schemas.openxmlformats.org/officeDocument/2006/relationships/image" Target="media/image3.wmf"/><Relationship Id="rId8" Type="http://schemas.openxmlformats.org/officeDocument/2006/relationships/image" Target="media/image2.wmf"/><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9.png"/><Relationship Id="rId24" Type="http://schemas.openxmlformats.org/officeDocument/2006/relationships/image" Target="media/image18.wmf"/><Relationship Id="rId23" Type="http://schemas.openxmlformats.org/officeDocument/2006/relationships/image" Target="media/image17.wmf"/><Relationship Id="rId22" Type="http://schemas.openxmlformats.org/officeDocument/2006/relationships/image" Target="media/image16.wmf"/><Relationship Id="rId21" Type="http://schemas.openxmlformats.org/officeDocument/2006/relationships/image" Target="media/image15.wmf"/><Relationship Id="rId20" Type="http://schemas.openxmlformats.org/officeDocument/2006/relationships/image" Target="media/image14.wmf"/><Relationship Id="rId2" Type="http://schemas.openxmlformats.org/officeDocument/2006/relationships/settings" Target="settings.xml"/><Relationship Id="rId19" Type="http://schemas.openxmlformats.org/officeDocument/2006/relationships/image" Target="media/image13.wmf"/><Relationship Id="rId18" Type="http://schemas.openxmlformats.org/officeDocument/2006/relationships/image" Target="media/image12.wmf"/><Relationship Id="rId17" Type="http://schemas.openxmlformats.org/officeDocument/2006/relationships/image" Target="media/image11.wmf"/><Relationship Id="rId16" Type="http://schemas.openxmlformats.org/officeDocument/2006/relationships/image" Target="media/image10.wmf"/><Relationship Id="rId15" Type="http://schemas.openxmlformats.org/officeDocument/2006/relationships/image" Target="media/image9.wmf"/><Relationship Id="rId14" Type="http://schemas.openxmlformats.org/officeDocument/2006/relationships/image" Target="media/image8.wmf"/><Relationship Id="rId13" Type="http://schemas.openxmlformats.org/officeDocument/2006/relationships/image" Target="media/image7.wmf"/><Relationship Id="rId12" Type="http://schemas.openxmlformats.org/officeDocument/2006/relationships/image" Target="media/image6.png"/><Relationship Id="rId11" Type="http://schemas.openxmlformats.org/officeDocument/2006/relationships/image" Target="media/image5.wmf"/><Relationship Id="rId10" Type="http://schemas.openxmlformats.org/officeDocument/2006/relationships/image" Target="media/image4.wmf"/><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35</Pages>
  <Words>13261</Words>
  <Characters>14342</Characters>
  <Lines>107</Lines>
  <Paragraphs>30</Paragraphs>
  <TotalTime>2</TotalTime>
  <ScaleCrop>false</ScaleCrop>
  <LinksUpToDate>false</LinksUpToDate>
  <CharactersWithSpaces>14586</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2023-07-12T09:23:00Z</dcterms:created>
  <dc:creator>Guo Yong</dc:creator>
  <cp:lastModifiedBy>Administrator</cp:lastModifiedBy>
  <cp:lastPrinted>2023-11-17T10:16:00Z</cp:lastPrinted>
  <dcterms:modified xsi:type="dcterms:W3CDTF">2024-09-26T06:55:45Z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DF6F09B8ED094637865DF0BEBE5DEA32_13</vt:lpwstr>
  </property>
</Properties>
</file>