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3A5D5E">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14:paraId="07F831B3">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Theme="majorEastAsia" w:hAnsiTheme="majorEastAsia" w:eastAsiaTheme="majorEastAsia" w:cstheme="majorEastAsia"/>
          <w:b/>
          <w:bCs/>
          <w:sz w:val="36"/>
          <w:szCs w:val="36"/>
          <w:lang w:eastAsia="zh-CN"/>
        </w:rPr>
        <w:t>涉军公益岗位人员工资</w:t>
      </w:r>
      <w:r>
        <w:rPr>
          <w:rFonts w:hint="eastAsia" w:ascii="宋体"/>
          <w:b/>
          <w:bCs/>
          <w:sz w:val="36"/>
          <w:szCs w:val="32"/>
          <w:lang w:eastAsia="zh-CN"/>
        </w:rPr>
        <w:t>项目</w:t>
      </w:r>
      <w:r>
        <w:rPr>
          <w:rFonts w:hint="eastAsia" w:ascii="宋体"/>
          <w:b/>
          <w:bCs/>
          <w:sz w:val="36"/>
          <w:szCs w:val="32"/>
        </w:rPr>
        <w:t>绩效评价报告</w:t>
      </w:r>
    </w:p>
    <w:p w14:paraId="039E2A90">
      <w:pPr>
        <w:spacing w:line="360" w:lineRule="auto"/>
        <w:ind w:left="0" w:leftChars="0" w:right="0" w:rightChars="0" w:firstLine="0" w:firstLineChars="0"/>
        <w:jc w:val="both"/>
        <w:rPr>
          <w:rFonts w:hint="eastAsia" w:ascii="仿宋" w:hAnsi="仿宋" w:eastAsia="仿宋" w:cs="仿宋"/>
          <w:sz w:val="32"/>
          <w:szCs w:val="32"/>
          <w:lang w:eastAsia="zh-CN"/>
        </w:rPr>
      </w:pPr>
    </w:p>
    <w:p w14:paraId="49750B98">
      <w:pPr>
        <w:spacing w:line="360" w:lineRule="auto"/>
        <w:ind w:left="0" w:leftChars="0" w:right="0" w:rightChars="0" w:firstLine="0" w:firstLineChars="0"/>
        <w:jc w:val="center"/>
        <w:rPr>
          <w:rFonts w:hint="eastAsia" w:ascii="华文楷体" w:eastAsia="华文楷体"/>
          <w:sz w:val="32"/>
          <w:szCs w:val="32"/>
          <w:lang w:eastAsia="zh-CN"/>
        </w:rPr>
      </w:pPr>
    </w:p>
    <w:p w14:paraId="0CACEE33">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涉军公益岗位人员工资项目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14:paraId="1A02C15F">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14:paraId="5015973E">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14:paraId="53760C13">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r>
        <w:rPr>
          <w:rFonts w:hint="eastAsia" w:ascii="仿宋_GB2312" w:eastAsia="仿宋_GB2312"/>
          <w:sz w:val="32"/>
          <w:szCs w:val="32"/>
          <w:lang w:val="en-US" w:eastAsia="zh-CN"/>
        </w:rPr>
        <w:t>:</w:t>
      </w:r>
    </w:p>
    <w:p w14:paraId="32C33397">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涉军公益岗位人员工资项目实施单位为鹿泉区山尹村镇人民政府，依照《鹿泉区关于进一步做好部分军队退役人员帮扶救助的若干措施》（鹿办文【2017】31号）文件第二条第一款“试行公益岗位托底安置”，做好我镇退役义务兵、复原士官、转业士官的接收安置和管理工作。</w:t>
      </w:r>
    </w:p>
    <w:p w14:paraId="3A7E8566">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1）山尹村镇人民政府根据鹿泉区关于进一步做好部分军队退役人员帮扶救助的若干措施》（鹿办文【2017】31号）文件第二条第一款“试行公益岗位托底安置”，做好我镇退役义务兵、复原士官、转业士官的接收安置和管理工作。</w:t>
      </w:r>
    </w:p>
    <w:p w14:paraId="33517EB4">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（2）该项目具有紧迫性，落实国家优抚政策，及时规范发放退役士兵工资，维护社会和谐稳定。</w:t>
      </w:r>
    </w:p>
    <w:p w14:paraId="7A75A805">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（3）该项目具有迫切性和现实需要。加大对符合条件的退役士兵实行就业援助，确保我镇安置工作顺利进行，为巩固军政军民团结，促进社会和谐有重大意义，此项目经济效益较高，且具有很高的社会效益。</w:t>
      </w:r>
    </w:p>
    <w:p w14:paraId="10299DD2">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 xml:space="preserve"> （4）项目属于财政支持范围，且经过相关部门充分调研论证，按照立项、勘察各个环节分步实施。对项目立项规范性、绩效目标合理性和绩效指标明确性等情况进行分析后，根据指标体系评分标准计算分值。</w:t>
      </w:r>
    </w:p>
    <w:p w14:paraId="34318EE1">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14:paraId="7E33AAA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镇现有涉军公益岗位人员9名，财政局负担公益岗位工资660元/人/月，退役人员岗位补贴900元/人/月，2018年8月增发工资150元/人/月，其中2人军龄补贴为600元/人/月，工资每月小计2310元/人，7人军龄补贴150元/人/月，工资每月小计1860元/人。取暖补贴每人1900元。</w:t>
      </w:r>
    </w:p>
    <w:p w14:paraId="73FE86E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我镇现有涉军劳务派遣人员两名，财政局负担工资部分为1650元/月/人，退役人员岗位补贴900元/月/人，军龄补贴150元/月/人，2018年8月后增发工资150元/月/人，实发工资每人每月2850元。社会保险936.85元/月/人。取暖补贴1900元/人。</w:t>
      </w:r>
    </w:p>
    <w:p w14:paraId="4954E9B6">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3.项目资金投入情况：我镇全年需支付涉军公益岗位人员工资289469.36元，资金来源为区财政出资。</w:t>
      </w:r>
    </w:p>
    <w:p w14:paraId="3EEBAFC4">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14:paraId="70CC68ED">
      <w:pPr>
        <w:adjustRightInd w:val="0"/>
        <w:snapToGrid w:val="0"/>
        <w:spacing w:line="360" w:lineRule="auto"/>
        <w:rPr>
          <w:rFonts w:hint="eastAsia" w:ascii="仿宋_GB2312" w:eastAsia="仿宋_GB2312"/>
          <w:sz w:val="32"/>
          <w:szCs w:val="32"/>
          <w:lang w:eastAsia="zh-CN"/>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lang w:eastAsia="zh-CN"/>
        </w:rPr>
        <w:t>退役士兵公益岗位人员工资每月需按照实有人数和政策标准通过银行代发的形式及时兑现到涉军人员手中，加大对符合条件的退役士兵实行就业援助，确保我镇安置工作顺利进行，为巩固军政军民团结，促进社会和谐，维护社会稳定作</w:t>
      </w:r>
      <w:bookmarkStart w:id="0" w:name="_GoBack"/>
      <w:bookmarkEnd w:id="0"/>
      <w:r>
        <w:rPr>
          <w:rFonts w:hint="eastAsia" w:ascii="仿宋_GB2312" w:hAnsi="仿宋_GB2312" w:eastAsia="仿宋_GB2312" w:cs="仿宋_GB2312"/>
          <w:b w:val="0"/>
          <w:bCs w:val="0"/>
          <w:sz w:val="32"/>
          <w:szCs w:val="32"/>
          <w:lang w:eastAsia="zh-CN"/>
        </w:rPr>
        <w:t>出贡献。</w:t>
      </w:r>
    </w:p>
    <w:p w14:paraId="6CA7FF22">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14:paraId="480DD0A4">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14:paraId="72193A81">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通过全面评价2019年退役士兵公益岗位人员工资，形成真实、准确、清晰的绩效评价结论，为后期强化预算绩效管理提供重要依据。一方面考核项目绩效目标的完成程度，增强项目实施单位对财政资金使用的责任感，规范资金管理，确保资金安全与高效使用。另一方面考核评价项目管理工作的运行绩效，分析资金使用后对退役士兵优抚事业发展的影响。第三通过对预算资金的产出和结果进行评价，发现预算执行、资金使用管理中存在的问题，优化资金资源，提高资金使用效率，为下一年预算安排提供参考依据。</w:t>
      </w:r>
    </w:p>
    <w:p w14:paraId="780DE2EC">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14:paraId="2206D079">
      <w:pPr>
        <w:numPr>
          <w:ilvl w:val="0"/>
          <w:numId w:val="1"/>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评价方法</w:t>
      </w:r>
    </w:p>
    <w:p w14:paraId="2943E43A">
      <w:pPr>
        <w:keepNext w:val="0"/>
        <w:keepLines w:val="0"/>
        <w:pageBreakBefore w:val="0"/>
        <w:widowControl w:val="0"/>
        <w:numPr>
          <w:ilvl w:val="0"/>
          <w:numId w:val="0"/>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本项目从实际情况出发，采取以下方法，同时在运用具体评价方法时，采用定量与定性相结合的技术进行综合评价。</w:t>
      </w:r>
    </w:p>
    <w:p w14:paraId="4CA6C61C">
      <w:pPr>
        <w:keepNext w:val="0"/>
        <w:keepLines w:val="0"/>
        <w:pageBreakBefore w:val="0"/>
        <w:widowControl w:val="0"/>
        <w:numPr>
          <w:ilvl w:val="0"/>
          <w:numId w:val="2"/>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比较法：通过对绩效目标与实施效果比较，综合分析绩效目标的实现程度；</w:t>
      </w:r>
    </w:p>
    <w:p w14:paraId="70369DB5">
      <w:pPr>
        <w:keepNext w:val="0"/>
        <w:keepLines w:val="0"/>
        <w:pageBreakBefore w:val="0"/>
        <w:widowControl w:val="0"/>
        <w:numPr>
          <w:ilvl w:val="0"/>
          <w:numId w:val="2"/>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因素分析法：通过综合分析影响绩效目标实现、实施效果的内外因素，评价绩效目标的实现程度；</w:t>
      </w:r>
    </w:p>
    <w:p w14:paraId="687A0A8B">
      <w:pPr>
        <w:keepNext w:val="0"/>
        <w:keepLines w:val="0"/>
        <w:pageBreakBefore w:val="0"/>
        <w:widowControl w:val="0"/>
        <w:numPr>
          <w:ilvl w:val="0"/>
          <w:numId w:val="2"/>
        </w:numPr>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项目效益分析法：通过项目支出与项目效益进行对比分析，评价绩效目标的实现程度；</w:t>
      </w:r>
    </w:p>
    <w:p w14:paraId="46DCCEC1">
      <w:pPr>
        <w:ind w:left="0" w:leftChars="0" w:right="0" w:rightChars="0" w:firstLine="640" w:firstLineChars="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（4）公众评价法：通过问卷调查对项目支出效果进行评价目标的实现程度。</w:t>
      </w:r>
    </w:p>
    <w:p w14:paraId="168D25CF">
      <w:pPr>
        <w:keepNext w:val="0"/>
        <w:keepLines w:val="0"/>
        <w:pageBreakBefore w:val="0"/>
        <w:widowControl w:val="0"/>
        <w:numPr>
          <w:ilvl w:val="0"/>
          <w:numId w:val="1"/>
        </w:numPr>
        <w:tabs>
          <w:tab w:val="clear" w:pos="312"/>
        </w:tabs>
        <w:kinsoku/>
        <w:wordWrap/>
        <w:overflowPunct/>
        <w:topLinePunct w:val="0"/>
        <w:autoSpaceDE/>
        <w:autoSpaceDN/>
        <w:bidi w:val="0"/>
        <w:adjustRightInd/>
        <w:snapToGrid/>
        <w:ind w:left="481" w:leftChars="0" w:right="0" w:rightChars="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评价过程</w:t>
      </w:r>
    </w:p>
    <w:p w14:paraId="2D820DB6">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组通过财政部门和资金使用部门收集相关资料对项目深入研究、反复研讨，针对项目的特性设计相关表格进行统计、分析、核实。评价小组进行实地考察，听取项目情况介绍，了解项目的开展、执行及管控，并进行问卷调查，以获取绩效评价业务需要的基础资料。</w:t>
      </w:r>
    </w:p>
    <w:p w14:paraId="2B39FB42">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14:paraId="4F12C67F">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除共性指标外，必须设置能够体现项目特点和绩效的个性指标；项目产出指标与项目效果指标设置数量在8个（含）以上，分值权重占总体的65%以上。具体为：</w:t>
      </w:r>
    </w:p>
    <w:p w14:paraId="442A0535">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投入的分值30分，包括项目立项15分、资金落实情况15分；</w:t>
      </w:r>
    </w:p>
    <w:p w14:paraId="5880C9AD">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项目实施过程分值30分，包括业务管理15分、财务管理分值15分；</w:t>
      </w:r>
    </w:p>
    <w:p w14:paraId="050020BD">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产出与效益分值40分，包括产出数量8分、产出质量12分、项目效益20分。</w:t>
      </w:r>
    </w:p>
    <w:p w14:paraId="59A71221">
      <w:pPr>
        <w:ind w:firstLine="640" w:firstLineChars="200"/>
        <w:jc w:val="both"/>
        <w:rPr>
          <w:rFonts w:hint="eastAsia" w:ascii="仿宋_GB2312" w:eastAsia="仿宋_GB2312"/>
          <w:sz w:val="32"/>
          <w:szCs w:val="32"/>
          <w:lang w:val="en-US" w:eastAsia="zh-CN"/>
        </w:rPr>
      </w:pPr>
    </w:p>
    <w:p w14:paraId="023F4F27">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14:paraId="02A411DB">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14:paraId="778232D4">
      <w:pPr>
        <w:numPr>
          <w:ilvl w:val="0"/>
          <w:numId w:val="3"/>
        </w:numPr>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14:paraId="40A44294">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项目立项得分</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 xml:space="preserve">) </w:t>
      </w:r>
    </w:p>
    <w:p w14:paraId="381186E4">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）绩效目标合理性指标分值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山尹镇</w:t>
      </w:r>
      <w:r>
        <w:rPr>
          <w:rFonts w:hint="eastAsia" w:ascii="仿宋_GB2312" w:hAnsi="楷体" w:eastAsia="仿宋_GB2312"/>
          <w:sz w:val="32"/>
          <w:szCs w:val="32"/>
        </w:rPr>
        <w:t>绩效目标基本能与项目年度任务数相对应的，能与预算确定的资金量相匹配，得满分。</w:t>
      </w:r>
    </w:p>
    <w:p w14:paraId="74F60CC9">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）绩效指标明确性指标分值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分：能将项目绩效目标细化分解为具体的绩效指标，项目绩效指标清晰、可衡量，得满分。</w:t>
      </w:r>
    </w:p>
    <w:p w14:paraId="2B121B46">
      <w:pPr>
        <w:ind w:firstLine="640" w:firstLineChars="200"/>
        <w:rPr>
          <w:rFonts w:hint="eastAsia"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）项目立项规范性指标分值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分：项目立项程序规范，所提交的材料、文件符合相关要求，得满分。</w:t>
      </w:r>
    </w:p>
    <w:p w14:paraId="69F5A69C">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14:paraId="34233701">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资金落实得分15分（分值15分）</w:t>
      </w:r>
    </w:p>
    <w:p w14:paraId="17E64A42">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（1）资金到位率指标分值5分，得分5分：2019年项目资金计划投入289469.36元，实际到位资金总额为289469.36元，资金到位率100%，得满分。  </w:t>
      </w:r>
    </w:p>
    <w:p w14:paraId="185D67DC">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（2）资金到位及时率指标分值5分，得分5分：项目资金及时足额下达，得5分。</w:t>
      </w:r>
    </w:p>
    <w:p w14:paraId="72B53B21">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（3）资金使用率指标分值5分，得分5分：截止2019年底，项目实施单位实际使用资金总额289469.36元，实际到位资金总额289469.36元，资金使用率为100%，得5分。</w:t>
      </w:r>
    </w:p>
    <w:p w14:paraId="520FDA09">
      <w:pPr>
        <w:numPr>
          <w:ilvl w:val="0"/>
          <w:numId w:val="0"/>
        </w:numPr>
        <w:rPr>
          <w:rFonts w:hint="eastAsia" w:ascii="仿宋_GB2312" w:eastAsia="仿宋_GB2312"/>
          <w:b w:val="0"/>
          <w:bCs w:val="0"/>
          <w:sz w:val="32"/>
          <w:szCs w:val="32"/>
          <w:lang w:val="en-US" w:eastAsia="zh-CN"/>
        </w:rPr>
      </w:pPr>
    </w:p>
    <w:p w14:paraId="28F4FD0C">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14:paraId="4A15C8A5">
      <w:pPr>
        <w:numPr>
          <w:ilvl w:val="0"/>
          <w:numId w:val="4"/>
        </w:numPr>
        <w:spacing w:line="360" w:lineRule="auto"/>
        <w:ind w:firstLine="640"/>
        <w:contextualSpacing/>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业务管理情况分析。</w:t>
      </w:r>
    </w:p>
    <w:p w14:paraId="1CEE07FB">
      <w:pPr>
        <w:numPr>
          <w:ilvl w:val="0"/>
          <w:numId w:val="0"/>
        </w:numPr>
        <w:spacing w:line="360" w:lineRule="auto"/>
        <w:contextualSpacing/>
        <w:rPr>
          <w:rFonts w:ascii="仿宋_GB2312" w:hAnsi="楷体" w:eastAsia="仿宋_GB2312"/>
          <w:sz w:val="32"/>
          <w:szCs w:val="32"/>
        </w:rPr>
      </w:pPr>
      <w:r>
        <w:rPr>
          <w:rFonts w:hint="eastAsia" w:ascii="仿宋_GB2312" w:hAnsi="楷体" w:eastAsia="仿宋_GB2312"/>
          <w:sz w:val="32"/>
          <w:szCs w:val="32"/>
          <w:lang w:val="en-US" w:eastAsia="zh-CN"/>
        </w:rPr>
        <w:t xml:space="preserve">     </w:t>
      </w:r>
      <w:r>
        <w:rPr>
          <w:rFonts w:hint="eastAsia" w:ascii="仿宋_GB2312" w:hAnsi="楷体" w:eastAsia="仿宋_GB2312"/>
          <w:sz w:val="32"/>
          <w:szCs w:val="32"/>
        </w:rPr>
        <w:t>业务管理得分</w:t>
      </w:r>
      <w:r>
        <w:rPr>
          <w:rFonts w:hint="eastAsia" w:ascii="仿宋_GB2312" w:hAnsi="楷体" w:eastAsia="仿宋_GB2312"/>
          <w:sz w:val="32"/>
          <w:szCs w:val="32"/>
          <w:lang w:val="en-US" w:eastAsia="zh-CN"/>
        </w:rPr>
        <w:t>13</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lang w:eastAsia="zh-CN"/>
        </w:rPr>
        <w:t>分值</w:t>
      </w:r>
      <w:r>
        <w:rPr>
          <w:rFonts w:hint="eastAsia" w:ascii="仿宋_GB2312" w:hAnsi="楷体" w:eastAsia="仿宋_GB2312"/>
          <w:sz w:val="32"/>
          <w:szCs w:val="32"/>
          <w:lang w:val="en-US" w:eastAsia="zh-CN"/>
        </w:rPr>
        <w:t>15</w:t>
      </w:r>
      <w:r>
        <w:rPr>
          <w:rFonts w:hint="eastAsia" w:ascii="仿宋_GB2312" w:hAnsi="楷体" w:eastAsia="仿宋_GB2312"/>
          <w:sz w:val="32"/>
          <w:szCs w:val="32"/>
        </w:rPr>
        <w:t>分</w:t>
      </w:r>
      <w:r>
        <w:rPr>
          <w:rFonts w:ascii="仿宋_GB2312" w:hAnsi="楷体" w:eastAsia="仿宋_GB2312"/>
          <w:sz w:val="32"/>
          <w:szCs w:val="32"/>
        </w:rPr>
        <w:t>)</w:t>
      </w:r>
      <w:r>
        <w:rPr>
          <w:rFonts w:hint="eastAsia" w:ascii="仿宋_GB2312" w:hAnsi="楷体" w:eastAsia="仿宋_GB2312"/>
          <w:sz w:val="32"/>
          <w:szCs w:val="32"/>
        </w:rPr>
        <w:t>。</w:t>
      </w:r>
    </w:p>
    <w:p w14:paraId="2E70D1BC">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）组织建设指标分值</w:t>
      </w:r>
      <w:r>
        <w:rPr>
          <w:rFonts w:hint="eastAsia" w:ascii="仿宋_GB2312" w:hAnsi="楷体" w:eastAsia="仿宋_GB2312"/>
          <w:sz w:val="32"/>
          <w:szCs w:val="32"/>
          <w:lang w:val="en-US" w:eastAsia="zh-CN"/>
        </w:rPr>
        <w:t>8</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8</w:t>
      </w:r>
      <w:r>
        <w:rPr>
          <w:rFonts w:hint="eastAsia" w:ascii="仿宋_GB2312" w:hAnsi="楷体" w:eastAsia="仿宋_GB2312"/>
          <w:sz w:val="32"/>
          <w:szCs w:val="32"/>
        </w:rPr>
        <w:t>分。</w:t>
      </w:r>
      <w:r>
        <w:rPr>
          <w:rFonts w:hint="eastAsia" w:ascii="仿宋_GB2312" w:hAnsi="楷体" w:eastAsia="仿宋_GB2312"/>
          <w:sz w:val="32"/>
          <w:szCs w:val="32"/>
          <w:lang w:eastAsia="zh-CN"/>
        </w:rPr>
        <w:t>山尹村镇退役军人服务中心</w:t>
      </w:r>
      <w:r>
        <w:rPr>
          <w:rFonts w:hint="eastAsia" w:ascii="仿宋_GB2312" w:hAnsi="楷体" w:eastAsia="仿宋_GB2312"/>
          <w:sz w:val="32"/>
          <w:szCs w:val="32"/>
        </w:rPr>
        <w:t>对</w:t>
      </w:r>
      <w:r>
        <w:rPr>
          <w:rFonts w:hint="eastAsia" w:ascii="仿宋_GB2312" w:hAnsi="楷体" w:eastAsia="仿宋_GB2312"/>
          <w:sz w:val="32"/>
          <w:szCs w:val="32"/>
          <w:lang w:eastAsia="zh-CN"/>
        </w:rPr>
        <w:t>退役士兵</w:t>
      </w:r>
      <w:r>
        <w:rPr>
          <w:rFonts w:hint="eastAsia" w:ascii="仿宋_GB2312" w:hAnsi="楷体" w:eastAsia="仿宋_GB2312"/>
          <w:sz w:val="32"/>
          <w:szCs w:val="32"/>
        </w:rPr>
        <w:t>人员情况进行审核，满分。</w:t>
      </w:r>
    </w:p>
    <w:p w14:paraId="02BFF5F9">
      <w:pPr>
        <w:ind w:firstLine="640"/>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）监督管理指标分值</w:t>
      </w:r>
      <w:r>
        <w:rPr>
          <w:rFonts w:hint="eastAsia" w:ascii="仿宋_GB2312" w:hAnsi="楷体" w:eastAsia="仿宋_GB2312"/>
          <w:sz w:val="32"/>
          <w:szCs w:val="32"/>
          <w:lang w:val="en-US" w:eastAsia="zh-CN"/>
        </w:rPr>
        <w:t>7</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w:t>
      </w:r>
      <w:r>
        <w:rPr>
          <w:rFonts w:hint="eastAsia" w:ascii="仿宋_GB2312" w:hAnsi="楷体" w:eastAsia="仿宋_GB2312"/>
          <w:sz w:val="32"/>
          <w:szCs w:val="32"/>
          <w:lang w:eastAsia="zh-CN"/>
        </w:rPr>
        <w:t>山尹村镇定期对退役士兵人员出勤情况进行考核</w:t>
      </w:r>
      <w:r>
        <w:rPr>
          <w:rFonts w:hint="eastAsia" w:ascii="仿宋_GB2312" w:hAnsi="楷体" w:eastAsia="仿宋_GB2312"/>
          <w:sz w:val="32"/>
          <w:szCs w:val="32"/>
        </w:rPr>
        <w:t>，得分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分；但未定期对项目资金进行专项审计，得</w:t>
      </w:r>
      <w:r>
        <w:rPr>
          <w:rFonts w:ascii="仿宋_GB2312" w:hAnsi="楷体" w:eastAsia="仿宋_GB2312"/>
          <w:sz w:val="32"/>
          <w:szCs w:val="32"/>
        </w:rPr>
        <w:t>0</w:t>
      </w:r>
      <w:r>
        <w:rPr>
          <w:rFonts w:hint="eastAsia" w:ascii="仿宋_GB2312" w:hAnsi="楷体" w:eastAsia="仿宋_GB2312"/>
          <w:sz w:val="32"/>
          <w:szCs w:val="32"/>
        </w:rPr>
        <w:t>分。</w:t>
      </w:r>
    </w:p>
    <w:p w14:paraId="258D894F">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14:paraId="5A2DDAD0">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财务管理得分15分（分值15分）</w:t>
      </w:r>
    </w:p>
    <w:p w14:paraId="62272DC2">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1</w:t>
      </w:r>
      <w:r>
        <w:rPr>
          <w:rFonts w:hint="eastAsia" w:ascii="仿宋_GB2312" w:hAnsi="楷体" w:eastAsia="仿宋_GB2312"/>
          <w:sz w:val="32"/>
          <w:szCs w:val="32"/>
        </w:rPr>
        <w:t>）财务管理制度健全性指标分值</w:t>
      </w:r>
      <w:r>
        <w:rPr>
          <w:rFonts w:hint="eastAsia" w:ascii="仿宋_GB2312" w:hAnsi="楷体" w:eastAsia="仿宋_GB2312"/>
          <w:sz w:val="32"/>
          <w:szCs w:val="32"/>
          <w:lang w:val="en-US" w:eastAsia="zh-CN"/>
        </w:rPr>
        <w:t>4</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4</w:t>
      </w:r>
      <w:r>
        <w:rPr>
          <w:rFonts w:hint="eastAsia" w:ascii="仿宋_GB2312" w:hAnsi="楷体" w:eastAsia="仿宋_GB2312"/>
          <w:sz w:val="32"/>
          <w:szCs w:val="32"/>
        </w:rPr>
        <w:t>分。</w:t>
      </w:r>
      <w:r>
        <w:rPr>
          <w:rFonts w:hint="eastAsia" w:ascii="仿宋_GB2312" w:hAnsi="楷体" w:eastAsia="仿宋_GB2312"/>
          <w:sz w:val="32"/>
          <w:szCs w:val="32"/>
          <w:lang w:eastAsia="zh-CN"/>
        </w:rPr>
        <w:t>山尹村镇建立退役士兵人员考核</w:t>
      </w:r>
      <w:r>
        <w:rPr>
          <w:rFonts w:hint="eastAsia" w:ascii="仿宋_GB2312" w:hAnsi="楷体" w:eastAsia="仿宋_GB2312"/>
          <w:sz w:val="32"/>
          <w:szCs w:val="32"/>
        </w:rPr>
        <w:t>制度，形成</w:t>
      </w:r>
      <w:r>
        <w:rPr>
          <w:rFonts w:hint="eastAsia" w:ascii="仿宋_GB2312" w:hAnsi="楷体" w:eastAsia="仿宋_GB2312"/>
          <w:sz w:val="32"/>
          <w:szCs w:val="32"/>
          <w:lang w:eastAsia="zh-CN"/>
        </w:rPr>
        <w:t>退役军人服务中心、</w:t>
      </w:r>
      <w:r>
        <w:rPr>
          <w:rFonts w:hint="eastAsia" w:ascii="仿宋_GB2312" w:hAnsi="楷体" w:eastAsia="仿宋_GB2312"/>
          <w:sz w:val="32"/>
          <w:szCs w:val="32"/>
        </w:rPr>
        <w:t>财政之间的联通联动机制，对资金发放实现全程监管。</w:t>
      </w:r>
    </w:p>
    <w:p w14:paraId="427B1A64">
      <w:pPr>
        <w:spacing w:line="360" w:lineRule="auto"/>
        <w:ind w:firstLine="640" w:firstLineChars="200"/>
        <w:contextualSpacing/>
        <w:rPr>
          <w:rFonts w:ascii="仿宋_GB2312" w:hAnsi="楷体" w:eastAsia="仿宋_GB2312"/>
          <w:sz w:val="32"/>
          <w:szCs w:val="32"/>
        </w:rPr>
      </w:pPr>
      <w:r>
        <w:rPr>
          <w:rFonts w:hint="eastAsia" w:ascii="仿宋_GB2312" w:hAnsi="楷体" w:eastAsia="仿宋_GB2312"/>
          <w:sz w:val="32"/>
          <w:szCs w:val="32"/>
        </w:rPr>
        <w:t>（</w:t>
      </w:r>
      <w:r>
        <w:rPr>
          <w:rFonts w:ascii="仿宋_GB2312" w:hAnsi="楷体" w:eastAsia="仿宋_GB2312"/>
          <w:sz w:val="32"/>
          <w:szCs w:val="32"/>
        </w:rPr>
        <w:t>2</w:t>
      </w:r>
      <w:r>
        <w:rPr>
          <w:rFonts w:hint="eastAsia" w:ascii="仿宋_GB2312" w:hAnsi="楷体" w:eastAsia="仿宋_GB2312"/>
          <w:sz w:val="32"/>
          <w:szCs w:val="32"/>
        </w:rPr>
        <w:t>）资金使用合规性指标分值</w:t>
      </w:r>
      <w:r>
        <w:rPr>
          <w:rFonts w:hint="eastAsia" w:ascii="仿宋_GB2312" w:hAnsi="楷体" w:eastAsia="仿宋_GB2312"/>
          <w:sz w:val="32"/>
          <w:szCs w:val="32"/>
          <w:lang w:val="en-US" w:eastAsia="zh-CN"/>
        </w:rPr>
        <w:t>6</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6</w:t>
      </w:r>
      <w:r>
        <w:rPr>
          <w:rFonts w:hint="eastAsia" w:ascii="仿宋_GB2312" w:hAnsi="楷体" w:eastAsia="仿宋_GB2312"/>
          <w:sz w:val="32"/>
          <w:szCs w:val="32"/>
        </w:rPr>
        <w:t>分。项目资金严格按照</w:t>
      </w:r>
      <w:r>
        <w:rPr>
          <w:rFonts w:hint="eastAsia" w:ascii="仿宋_GB2312" w:hAnsi="楷体" w:eastAsia="仿宋_GB2312"/>
          <w:sz w:val="32"/>
          <w:szCs w:val="32"/>
          <w:lang w:eastAsia="zh-CN"/>
        </w:rPr>
        <w:t>退役军人公益岗位工资发放标准</w:t>
      </w:r>
      <w:r>
        <w:rPr>
          <w:rFonts w:hint="eastAsia" w:ascii="仿宋_GB2312" w:hAnsi="楷体" w:eastAsia="仿宋_GB2312"/>
          <w:sz w:val="32"/>
          <w:szCs w:val="32"/>
        </w:rPr>
        <w:t>实行，资金拨付手续完整。</w:t>
      </w:r>
    </w:p>
    <w:p w14:paraId="7FA6B782">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hAnsi="楷体" w:eastAsia="仿宋_GB2312"/>
          <w:sz w:val="32"/>
          <w:szCs w:val="32"/>
        </w:rPr>
        <w:t>（</w:t>
      </w:r>
      <w:r>
        <w:rPr>
          <w:rFonts w:ascii="仿宋_GB2312" w:hAnsi="楷体" w:eastAsia="仿宋_GB2312"/>
          <w:sz w:val="32"/>
          <w:szCs w:val="32"/>
        </w:rPr>
        <w:t>3</w:t>
      </w:r>
      <w:r>
        <w:rPr>
          <w:rFonts w:hint="eastAsia" w:ascii="仿宋_GB2312" w:hAnsi="楷体" w:eastAsia="仿宋_GB2312"/>
          <w:sz w:val="32"/>
          <w:szCs w:val="32"/>
        </w:rPr>
        <w:t>）资金安全性指标分值</w:t>
      </w:r>
      <w:r>
        <w:rPr>
          <w:rFonts w:hint="eastAsia" w:ascii="仿宋_GB2312" w:hAnsi="楷体" w:eastAsia="仿宋_GB2312"/>
          <w:sz w:val="32"/>
          <w:szCs w:val="32"/>
          <w:lang w:val="en-US" w:eastAsia="zh-CN"/>
        </w:rPr>
        <w:t>5</w:t>
      </w:r>
      <w:r>
        <w:rPr>
          <w:rFonts w:hint="eastAsia" w:ascii="仿宋_GB2312" w:hAnsi="楷体" w:eastAsia="仿宋_GB2312"/>
          <w:sz w:val="32"/>
          <w:szCs w:val="32"/>
        </w:rPr>
        <w:t>分，得分</w:t>
      </w:r>
      <w:r>
        <w:rPr>
          <w:rFonts w:hint="eastAsia" w:ascii="仿宋_GB2312" w:hAnsi="楷体" w:eastAsia="仿宋_GB2312"/>
          <w:sz w:val="32"/>
          <w:szCs w:val="32"/>
          <w:lang w:val="en-US" w:eastAsia="zh-CN"/>
        </w:rPr>
        <w:t>5</w:t>
      </w:r>
      <w:r>
        <w:rPr>
          <w:rFonts w:hint="eastAsia" w:ascii="仿宋_GB2312" w:hAnsi="楷体" w:eastAsia="仿宋_GB2312"/>
          <w:sz w:val="32"/>
          <w:szCs w:val="32"/>
        </w:rPr>
        <w:t>分。项目资金实际支出专款专用并实行社会化发放，实现</w:t>
      </w:r>
      <w:r>
        <w:rPr>
          <w:rFonts w:hint="eastAsia" w:ascii="仿宋_GB2312" w:hAnsi="楷体" w:eastAsia="仿宋_GB2312"/>
          <w:sz w:val="32"/>
          <w:szCs w:val="32"/>
          <w:lang w:eastAsia="zh-CN"/>
        </w:rPr>
        <w:t>工资发放</w:t>
      </w:r>
      <w:r>
        <w:rPr>
          <w:rFonts w:hint="eastAsia" w:ascii="仿宋_GB2312" w:hAnsi="楷体" w:eastAsia="仿宋_GB2312"/>
          <w:sz w:val="32"/>
          <w:szCs w:val="32"/>
        </w:rPr>
        <w:t>对象一人一卡，资金发放直接到卡。</w:t>
      </w:r>
    </w:p>
    <w:p w14:paraId="0A9C5899">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14:paraId="6655F820">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项目产出得分20分（分值20分）</w:t>
      </w:r>
    </w:p>
    <w:p w14:paraId="71D8D18F">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项目实际完成率分值10分，得分10分。项目实际发放工资率100%</w:t>
      </w:r>
    </w:p>
    <w:p w14:paraId="0152FD47">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项目资金发放及时率分值5分，得分5分。退役士兵公益岗位工资每月到帐后立刻按月及时发放。</w:t>
      </w:r>
    </w:p>
    <w:p w14:paraId="3D971057">
      <w:pPr>
        <w:keepNext w:val="0"/>
        <w:keepLines w:val="0"/>
        <w:pageBreakBefore w:val="0"/>
        <w:widowControl w:val="0"/>
        <w:numPr>
          <w:ilvl w:val="0"/>
          <w:numId w:val="5"/>
        </w:numPr>
        <w:kinsoku/>
        <w:wordWrap/>
        <w:overflowPunct/>
        <w:topLinePunct w:val="0"/>
        <w:autoSpaceDE/>
        <w:autoSpaceDN/>
        <w:bidi w:val="0"/>
        <w:adjustRightInd/>
        <w:snapToGrid/>
        <w:ind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项目质量达标率分值5分，得分5分。退役士兵公益岗位人员工资每月足额到账并发放。</w:t>
      </w:r>
    </w:p>
    <w:p w14:paraId="707B8C65">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14:paraId="64B1DE60">
      <w:pPr>
        <w:numPr>
          <w:ilvl w:val="0"/>
          <w:numId w:val="0"/>
        </w:numPr>
        <w:ind w:left="481" w:lef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项目效益得分16分（分值20分）</w:t>
      </w:r>
    </w:p>
    <w:p w14:paraId="294B2609">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（1）社会效益指标分值10分，得分10分。结合问卷调查显示通过项目的实施对改善退役士兵人员生活，维护社会和谐稳定有着积极的意义；效果显著，满分。</w:t>
      </w:r>
    </w:p>
    <w:p w14:paraId="6E8F87A9">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2）社会公众或服务对象满意度指标分值10分，得分6分。对项目实施而受到影响的部门（单位）、群体或个人，进行满意度调查，采取问卷的方式，调查结果显示，服务对象满意度较高，满意度为92.5%，得分6分。</w:t>
      </w:r>
    </w:p>
    <w:p w14:paraId="056EFB87">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14:paraId="4E0FFE3E">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eastAsia="zh-CN"/>
        </w:rPr>
        <w:t>山尹村镇退役士兵公益岗位人员工资项目最终得分</w:t>
      </w:r>
      <w:r>
        <w:rPr>
          <w:rFonts w:hint="eastAsia" w:ascii="仿宋_GB2312" w:eastAsia="仿宋_GB2312"/>
          <w:sz w:val="32"/>
          <w:szCs w:val="32"/>
          <w:lang w:val="en-US" w:eastAsia="zh-CN"/>
        </w:rPr>
        <w:t>94分，等级为优秀。</w:t>
      </w:r>
    </w:p>
    <w:p w14:paraId="006D0AA4">
      <w:pPr>
        <w:numPr>
          <w:ilvl w:val="0"/>
          <w:numId w:val="0"/>
        </w:numPr>
        <w:ind w:firstLine="640" w:firstLineChars="200"/>
        <w:rPr>
          <w:rFonts w:hint="eastAsia" w:ascii="黑体" w:hAnsi="黑体" w:eastAsia="黑体"/>
          <w:b w:val="0"/>
          <w:bCs w:val="0"/>
          <w:sz w:val="32"/>
          <w:szCs w:val="32"/>
          <w:lang w:val="en-US" w:eastAsia="zh-CN"/>
        </w:rPr>
      </w:pPr>
    </w:p>
    <w:p w14:paraId="3A5BAD42">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14:paraId="0F5A9E17">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（一）项目存在的主要问题：无</w:t>
      </w:r>
    </w:p>
    <w:p w14:paraId="2279F132">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（二）针对问题提出具体的改进措施或建议：无</w:t>
      </w:r>
    </w:p>
    <w:p w14:paraId="66F46E1B">
      <w:pPr>
        <w:numPr>
          <w:ilvl w:val="0"/>
          <w:numId w:val="6"/>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14:paraId="6F1FB3C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黑体" w:eastAsia="黑体"/>
          <w:b w:val="0"/>
          <w:bCs w:val="0"/>
          <w:sz w:val="32"/>
          <w:szCs w:val="32"/>
          <w:lang w:val="en-US" w:eastAsia="zh-CN"/>
        </w:rPr>
        <w:t xml:space="preserve">   </w:t>
      </w:r>
      <w:r>
        <w:rPr>
          <w:rFonts w:hint="eastAsia" w:ascii="楷体" w:hAnsi="楷体" w:eastAsia="楷体" w:cs="楷体"/>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赵向莉</w:t>
      </w:r>
      <w:r>
        <w:rPr>
          <w:rFonts w:hint="eastAsia" w:ascii="仿宋_GB2312" w:hAnsi="仿宋_GB2312" w:eastAsia="仿宋_GB2312" w:cs="仿宋_GB2312"/>
          <w:b w:val="0"/>
          <w:bCs w:val="0"/>
          <w:sz w:val="32"/>
          <w:szCs w:val="32"/>
          <w:lang w:eastAsia="zh-CN"/>
        </w:rPr>
        <w:t>，山尹村镇副书记</w:t>
      </w:r>
    </w:p>
    <w:p w14:paraId="5B3B583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 xml:space="preserve">    王利红，山尹村</w:t>
      </w:r>
      <w:r>
        <w:rPr>
          <w:rFonts w:hint="eastAsia" w:ascii="仿宋_GB2312" w:hAnsi="仿宋_GB2312" w:eastAsia="仿宋_GB2312" w:cs="仿宋_GB2312"/>
          <w:b w:val="0"/>
          <w:bCs w:val="0"/>
          <w:sz w:val="32"/>
          <w:szCs w:val="32"/>
          <w:lang w:eastAsia="zh-CN"/>
        </w:rPr>
        <w:t>镇退役军人服务中心主任</w:t>
      </w:r>
    </w:p>
    <w:p w14:paraId="5B09EB11">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 xml:space="preserve">    王增辉，山尹村</w:t>
      </w:r>
      <w:r>
        <w:rPr>
          <w:rFonts w:hint="eastAsia" w:ascii="仿宋_GB2312" w:hAnsi="仿宋_GB2312" w:eastAsia="仿宋_GB2312" w:cs="仿宋_GB2312"/>
          <w:b w:val="0"/>
          <w:bCs w:val="0"/>
          <w:sz w:val="32"/>
          <w:szCs w:val="32"/>
          <w:lang w:eastAsia="zh-CN"/>
        </w:rPr>
        <w:t>镇财政所副所长</w:t>
      </w:r>
    </w:p>
    <w:p w14:paraId="34B45581">
      <w:pPr>
        <w:numPr>
          <w:ilvl w:val="0"/>
          <w:numId w:val="0"/>
        </w:numPr>
        <w:adjustRightInd w:val="0"/>
        <w:snapToGrid w:val="0"/>
        <w:spacing w:line="360" w:lineRule="auto"/>
        <w:rPr>
          <w:rFonts w:hint="eastAsia" w:ascii="黑体" w:eastAsia="黑体"/>
          <w:b w:val="0"/>
          <w:bCs w:val="0"/>
          <w:sz w:val="32"/>
          <w:szCs w:val="32"/>
          <w:lang w:val="en-US" w:eastAsia="zh-CN"/>
        </w:rPr>
      </w:pPr>
    </w:p>
    <w:p w14:paraId="6845B9C0">
      <w:pPr>
        <w:rPr>
          <w:rFonts w:hint="eastAsia" w:ascii="仿宋_GB2312" w:eastAsia="仿宋_GB2312"/>
          <w:sz w:val="32"/>
          <w:szCs w:val="32"/>
          <w:lang w:val="en-US" w:eastAsia="zh-CN"/>
        </w:rPr>
      </w:pPr>
    </w:p>
    <w:p w14:paraId="096B405F">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14:paraId="20796636">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59FABF3D">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3F6BCDA0">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452A80EC">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72A6C7F8">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7C14E876">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14:paraId="59F2A996">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14:paraId="03458FEC">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14:paraId="6D690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02CDAFD">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F68D451">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8D14916">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3DB8D3E">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C4CB590">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14:paraId="5C324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7158DC3C">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167CCCDB">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D2E25E6">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33D8F53">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7F644B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14:paraId="26CA2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A3F4090">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A6FF091">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DD782D5">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984E1F2">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CAF631C">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14:paraId="5F3A7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2B24EA8">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EC1C848">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B25E35F">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9FAE383">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E20D36E">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14:paraId="3661A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DC970BA">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39F98B3C">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0A1D51D">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DFDAACA">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7C4BAE1">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14:paraId="000F2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14:paraId="239EB96C">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3010F59">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3010C4F">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C786DE3">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ACABB19">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14:paraId="1519E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14:paraId="551B33DA">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14:paraId="10BFFB8C">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2F328314">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003DCB1">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29AC273">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80BA13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14:paraId="61ECC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3F10F86C">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66249CD4">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083AB86">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E0C00F2">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3932B9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14:paraId="6275D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600C163F">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3D728BFD">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BB1BEB2">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C99A4C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6498EA1">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14:paraId="78EED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4D3AA892">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5F31758B">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C90DE68">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2DA4262">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323916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14:paraId="477DC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28BFF86C">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2986A08D">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2A424D6">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B3744EF">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9E45DA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14:paraId="5812A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538272AE">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25404116">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D056A10">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5AAC40A">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FD65D8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14:paraId="6A0CE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5F3786CF">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1909AF71">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29347A3">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5F045F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04074D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14:paraId="1CB1D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5FBA766A">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8ED1E8C">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DA147F8">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749FEE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FC80061">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14:paraId="5820F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6995002F">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135A18BA">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15CCDF3">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40F4668">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71AABA9">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14:paraId="58B9A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769C8099">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CBD80A2">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CC7056E">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6D86E8C">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E887F5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14:paraId="5FD85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0E9A61DA">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2C68ED49">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CF9DC9E">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8978E6E">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28E36349">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14:paraId="30CA1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2C88D77F">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43E29C9B">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F7E2DFB">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B4B0399">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4A139AC">
            <w:pPr>
              <w:kinsoku/>
              <w:autoSpaceDE/>
              <w:autoSpaceDN w:val="0"/>
              <w:textAlignment w:val="auto"/>
              <w:rPr>
                <w:rFonts w:hint="default"/>
                <w:snapToGrid/>
                <w:sz w:val="22"/>
                <w:lang w:eastAsia="zh-CN"/>
              </w:rPr>
            </w:pPr>
          </w:p>
        </w:tc>
      </w:tr>
      <w:tr w14:paraId="1634F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00AD8841">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0956F79">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2B46533">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B2D678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1159E4A5">
            <w:pPr>
              <w:kinsoku/>
              <w:autoSpaceDE/>
              <w:autoSpaceDN w:val="0"/>
              <w:textAlignment w:val="auto"/>
              <w:rPr>
                <w:rFonts w:hint="default"/>
                <w:snapToGrid/>
                <w:sz w:val="22"/>
                <w:lang w:eastAsia="zh-CN"/>
              </w:rPr>
            </w:pPr>
          </w:p>
        </w:tc>
      </w:tr>
      <w:tr w14:paraId="77C8E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5173A04F">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FB8D8AD">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3E2AE61">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6E2F005">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545BCFD">
            <w:pPr>
              <w:kinsoku/>
              <w:autoSpaceDE/>
              <w:autoSpaceDN w:val="0"/>
              <w:textAlignment w:val="auto"/>
              <w:rPr>
                <w:rFonts w:hint="default"/>
                <w:snapToGrid/>
                <w:sz w:val="22"/>
                <w:lang w:eastAsia="zh-CN"/>
              </w:rPr>
            </w:pPr>
          </w:p>
        </w:tc>
      </w:tr>
      <w:tr w14:paraId="2900C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6EEA6A19">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E4115B7">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24DF791">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5EE0AEA">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AD2135C">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14:paraId="66565170">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671B8DE9">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14:paraId="40391C74"/>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5F716">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621A76">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14:paraId="37B281A0">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69BF1F">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E3B1E3">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956B9C"/>
    <w:multiLevelType w:val="singleLevel"/>
    <w:tmpl w:val="C4956B9C"/>
    <w:lvl w:ilvl="0" w:tentative="0">
      <w:start w:val="1"/>
      <w:numFmt w:val="decimal"/>
      <w:suff w:val="nothing"/>
      <w:lvlText w:val="（%1）"/>
      <w:lvlJc w:val="left"/>
    </w:lvl>
  </w:abstractNum>
  <w:abstractNum w:abstractNumId="1">
    <w:nsid w:val="5E16D1B8"/>
    <w:multiLevelType w:val="singleLevel"/>
    <w:tmpl w:val="5E16D1B8"/>
    <w:lvl w:ilvl="0" w:tentative="0">
      <w:start w:val="1"/>
      <w:numFmt w:val="decimal"/>
      <w:suff w:val="nothing"/>
      <w:lvlText w:val="%1."/>
      <w:lvlJc w:val="left"/>
    </w:lvl>
  </w:abstractNum>
  <w:abstractNum w:abstractNumId="2">
    <w:nsid w:val="5E16D310"/>
    <w:multiLevelType w:val="singleLevel"/>
    <w:tmpl w:val="5E16D310"/>
    <w:lvl w:ilvl="0" w:tentative="0">
      <w:start w:val="1"/>
      <w:numFmt w:val="decimal"/>
      <w:suff w:val="nothing"/>
      <w:lvlText w:val="%1."/>
      <w:lvlJc w:val="left"/>
    </w:lvl>
  </w:abstractNum>
  <w:abstractNum w:abstractNumId="3">
    <w:nsid w:val="5E16D435"/>
    <w:multiLevelType w:val="singleLevel"/>
    <w:tmpl w:val="5E16D435"/>
    <w:lvl w:ilvl="0" w:tentative="0">
      <w:start w:val="6"/>
      <w:numFmt w:val="chineseCounting"/>
      <w:suff w:val="nothing"/>
      <w:lvlText w:val="%1、"/>
      <w:lvlJc w:val="left"/>
    </w:lvl>
  </w:abstractNum>
  <w:abstractNum w:abstractNumId="4">
    <w:nsid w:val="6CC05E52"/>
    <w:multiLevelType w:val="singleLevel"/>
    <w:tmpl w:val="6CC05E52"/>
    <w:lvl w:ilvl="0" w:tentative="0">
      <w:start w:val="1"/>
      <w:numFmt w:val="decimal"/>
      <w:suff w:val="nothing"/>
      <w:lvlText w:val="（%1）"/>
      <w:lvlJc w:val="left"/>
    </w:lvl>
  </w:abstractNum>
  <w:abstractNum w:abstractNumId="5">
    <w:nsid w:val="77311A35"/>
    <w:multiLevelType w:val="singleLevel"/>
    <w:tmpl w:val="77311A35"/>
    <w:lvl w:ilvl="0" w:tentative="0">
      <w:start w:val="1"/>
      <w:numFmt w:val="decimal"/>
      <w:lvlText w:val="%1."/>
      <w:lvlJc w:val="left"/>
      <w:pPr>
        <w:tabs>
          <w:tab w:val="left" w:pos="312"/>
        </w:tabs>
      </w:pPr>
    </w:lvl>
  </w:abstractNum>
  <w:num w:numId="1">
    <w:abstractNumId w:val="5"/>
  </w:num>
  <w:num w:numId="2">
    <w:abstractNumId w:val="4"/>
  </w:num>
  <w:num w:numId="3">
    <w:abstractNumId w:val="1"/>
  </w:num>
  <w:num w:numId="4">
    <w:abstractNumId w:val="2"/>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iNzNlNTg1MGVjZTRlMWI3NWQzYmIwZWYyZDczNzEifQ=="/>
  </w:docVars>
  <w:rsids>
    <w:rsidRoot w:val="2A2941B7"/>
    <w:rsid w:val="023A0A49"/>
    <w:rsid w:val="08D5052B"/>
    <w:rsid w:val="0B58554D"/>
    <w:rsid w:val="1AF916A0"/>
    <w:rsid w:val="24FD55DE"/>
    <w:rsid w:val="2A2941B7"/>
    <w:rsid w:val="2B9C0816"/>
    <w:rsid w:val="3C204E26"/>
    <w:rsid w:val="4BE00312"/>
    <w:rsid w:val="63766B9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uiPriority w:val="0"/>
  </w:style>
  <w:style w:type="character" w:styleId="7">
    <w:name w:val="page number"/>
    <w:basedOn w:val="5"/>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5475</Words>
  <Characters>5662</Characters>
  <Lines>0</Lines>
  <Paragraphs>0</Paragraphs>
  <TotalTime>1</TotalTime>
  <ScaleCrop>false</ScaleCrop>
  <LinksUpToDate>false</LinksUpToDate>
  <CharactersWithSpaces>5748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李博然</cp:lastModifiedBy>
  <dcterms:modified xsi:type="dcterms:W3CDTF">2024-09-27T04:51:44Z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F4EB04F4C7644D539A5D87C19BE8DD30_12</vt:lpwstr>
  </property>
</Properties>
</file>