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4E69F2">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石家庄市鹿泉区太行山绿化工程建设中心</w:t>
      </w:r>
    </w:p>
    <w:p w14:paraId="15513B18">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14:paraId="77139973">
      <w:pPr>
        <w:ind w:firstLine="640"/>
        <w:rPr>
          <w:rFonts w:ascii="Times New Roman" w:hAnsi="Times New Roman" w:eastAsia="仿宋" w:cs="Times New Roman"/>
          <w:sz w:val="32"/>
          <w:szCs w:val="32"/>
        </w:rPr>
      </w:pPr>
    </w:p>
    <w:p w14:paraId="3B7A5B4A">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w:t>
      </w:r>
      <w:r>
        <w:rPr>
          <w:rFonts w:hint="eastAsia" w:ascii="仿宋_GB2312" w:hAnsi="Times New Roman" w:eastAsia="仿宋_GB2312" w:cs="Times New Roman"/>
          <w:sz w:val="32"/>
          <w:szCs w:val="32"/>
          <w:lang w:eastAsia="zh-CN"/>
        </w:rPr>
        <w:t>《中华人民共和国预算法》</w:t>
      </w:r>
      <w:r>
        <w:rPr>
          <w:rFonts w:hint="eastAsia" w:ascii="仿宋_GB2312" w:hAnsi="Times New Roman" w:eastAsia="仿宋_GB2312" w:cs="Times New Roman"/>
          <w:sz w:val="32"/>
          <w:szCs w:val="32"/>
        </w:rPr>
        <w:t>、《地方预决算公开操作规程》和《河北省省级预</w:t>
      </w:r>
      <w:bookmarkStart w:id="7" w:name="_GoBack"/>
      <w:bookmarkEnd w:id="7"/>
      <w:r>
        <w:rPr>
          <w:rFonts w:hint="eastAsia" w:ascii="仿宋_GB2312" w:hAnsi="Times New Roman" w:eastAsia="仿宋_GB2312" w:cs="Times New Roman"/>
          <w:sz w:val="32"/>
          <w:szCs w:val="32"/>
        </w:rPr>
        <w:t>算公开办法》规定，现将石家庄市鹿泉区太行山绿化工程建设中心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年部门预算公开如下：</w:t>
      </w:r>
    </w:p>
    <w:p w14:paraId="124FDB08">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7263F66">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部门职责：</w:t>
      </w:r>
    </w:p>
    <w:p w14:paraId="42520B16">
      <w:pPr>
        <w:spacing w:line="540" w:lineRule="exact"/>
        <w:ind w:firstLine="640" w:firstLineChars="200"/>
        <w:jc w:val="left"/>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、组织贯彻执行义务植树法律、法规和相关方针、政策。</w:t>
      </w:r>
    </w:p>
    <w:p w14:paraId="515168F5">
      <w:pPr>
        <w:spacing w:line="540" w:lineRule="exact"/>
        <w:ind w:firstLine="640" w:firstLineChars="200"/>
        <w:jc w:val="left"/>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、组织实施义务植树发展规划和年度计划。</w:t>
      </w:r>
    </w:p>
    <w:p w14:paraId="7D364653">
      <w:pPr>
        <w:spacing w:line="540" w:lineRule="exact"/>
        <w:ind w:firstLine="640" w:firstLineChars="200"/>
        <w:jc w:val="left"/>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、组织开展义务植树，城乡绿化的宣传和评比表彰活动。</w:t>
      </w:r>
    </w:p>
    <w:p w14:paraId="1E11AE00">
      <w:pPr>
        <w:spacing w:line="540" w:lineRule="exact"/>
        <w:ind w:firstLine="640" w:firstLineChars="200"/>
        <w:jc w:val="left"/>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、协调指导和督促、检查相关部门、单位的义务植树工作。</w:t>
      </w:r>
    </w:p>
    <w:p w14:paraId="724FD151">
      <w:pPr>
        <w:spacing w:line="540" w:lineRule="exact"/>
        <w:ind w:firstLine="640" w:firstLineChars="200"/>
        <w:jc w:val="left"/>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、组织、协调全区绿化工作。</w:t>
      </w:r>
    </w:p>
    <w:p w14:paraId="265E25C2">
      <w:pPr>
        <w:spacing w:line="540" w:lineRule="exact"/>
        <w:ind w:firstLine="640" w:firstLineChars="200"/>
        <w:jc w:val="left"/>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、统计全区造林绿化相关数据。</w:t>
      </w:r>
    </w:p>
    <w:p w14:paraId="6264573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6155544B">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0B8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4C8A424">
            <w:pPr>
              <w:spacing w:line="300" w:lineRule="exact"/>
              <w:jc w:val="center"/>
              <w:rPr>
                <w:rFonts w:ascii="Times New Roman" w:hAnsi="Times New Roman" w:eastAsia="方正书宋_GBK" w:cs="Times New Roman"/>
                <w:b/>
                <w:szCs w:val="21"/>
              </w:rPr>
            </w:pPr>
            <w:r>
              <w:rPr>
                <w:rFonts w:hint="eastAsia" w:ascii="Times New Roman" w:hAnsi="Times New Roman" w:eastAsia="方正书宋_GBK" w:cs="Times New Roman"/>
                <w:b/>
                <w:szCs w:val="21"/>
              </w:rPr>
              <w:t>单位名称</w:t>
            </w:r>
          </w:p>
        </w:tc>
        <w:tc>
          <w:tcPr>
            <w:tcW w:w="1134" w:type="dxa"/>
            <w:vMerge w:val="restart"/>
            <w:vAlign w:val="center"/>
          </w:tcPr>
          <w:p w14:paraId="60BD92FB">
            <w:pPr>
              <w:spacing w:line="300" w:lineRule="exact"/>
              <w:jc w:val="center"/>
              <w:rPr>
                <w:rFonts w:ascii="Times New Roman" w:hAnsi="Times New Roman" w:eastAsia="方正书宋_GBK" w:cs="Times New Roman"/>
                <w:b/>
                <w:szCs w:val="21"/>
              </w:rPr>
            </w:pPr>
            <w:r>
              <w:rPr>
                <w:rFonts w:hint="eastAsia" w:ascii="Times New Roman" w:hAnsi="Times New Roman" w:eastAsia="方正书宋_GBK" w:cs="Times New Roman"/>
                <w:b/>
                <w:szCs w:val="21"/>
              </w:rPr>
              <w:t>单位性质</w:t>
            </w:r>
          </w:p>
        </w:tc>
        <w:tc>
          <w:tcPr>
            <w:tcW w:w="1276" w:type="dxa"/>
            <w:vMerge w:val="restart"/>
            <w:vAlign w:val="center"/>
          </w:tcPr>
          <w:p w14:paraId="5F45784C">
            <w:pPr>
              <w:spacing w:line="300" w:lineRule="exact"/>
              <w:jc w:val="center"/>
              <w:rPr>
                <w:rFonts w:ascii="Times New Roman" w:hAnsi="Times New Roman" w:eastAsia="方正书宋_GBK" w:cs="Times New Roman"/>
                <w:b/>
                <w:szCs w:val="21"/>
              </w:rPr>
            </w:pPr>
            <w:r>
              <w:rPr>
                <w:rFonts w:hint="eastAsia" w:ascii="Times New Roman" w:hAnsi="Times New Roman" w:eastAsia="方正书宋_GBK" w:cs="Times New Roman"/>
                <w:b/>
                <w:szCs w:val="21"/>
              </w:rPr>
              <w:t>单位规格</w:t>
            </w:r>
          </w:p>
        </w:tc>
        <w:tc>
          <w:tcPr>
            <w:tcW w:w="2902" w:type="dxa"/>
            <w:vMerge w:val="restart"/>
            <w:vAlign w:val="center"/>
          </w:tcPr>
          <w:p w14:paraId="710F5737">
            <w:pPr>
              <w:spacing w:line="300" w:lineRule="exact"/>
              <w:jc w:val="center"/>
              <w:rPr>
                <w:rFonts w:ascii="Times New Roman" w:hAnsi="Times New Roman" w:eastAsia="方正书宋_GBK" w:cs="Times New Roman"/>
                <w:b/>
                <w:szCs w:val="21"/>
              </w:rPr>
            </w:pPr>
            <w:r>
              <w:rPr>
                <w:rFonts w:hint="eastAsia" w:ascii="Times New Roman" w:hAnsi="Times New Roman" w:eastAsia="方正书宋_GBK" w:cs="Times New Roman"/>
                <w:b/>
                <w:szCs w:val="21"/>
              </w:rPr>
              <w:t>经费保障形式</w:t>
            </w:r>
          </w:p>
        </w:tc>
      </w:tr>
      <w:tr w14:paraId="133E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544A67E">
            <w:pPr>
              <w:spacing w:line="300" w:lineRule="exact"/>
              <w:jc w:val="left"/>
              <w:outlineLvl w:val="0"/>
              <w:rPr>
                <w:rFonts w:ascii="Times New Roman" w:hAnsi="Times New Roman" w:cs="Times New Roman"/>
                <w:szCs w:val="21"/>
              </w:rPr>
            </w:pPr>
          </w:p>
        </w:tc>
        <w:tc>
          <w:tcPr>
            <w:tcW w:w="1134" w:type="dxa"/>
            <w:vMerge w:val="continue"/>
            <w:vAlign w:val="center"/>
          </w:tcPr>
          <w:p w14:paraId="4AD73923">
            <w:pPr>
              <w:spacing w:line="300" w:lineRule="exact"/>
              <w:jc w:val="left"/>
              <w:outlineLvl w:val="0"/>
              <w:rPr>
                <w:rFonts w:ascii="Times New Roman" w:hAnsi="Times New Roman" w:cs="Times New Roman"/>
                <w:szCs w:val="21"/>
              </w:rPr>
            </w:pPr>
          </w:p>
        </w:tc>
        <w:tc>
          <w:tcPr>
            <w:tcW w:w="1276" w:type="dxa"/>
            <w:vMerge w:val="continue"/>
            <w:vAlign w:val="center"/>
          </w:tcPr>
          <w:p w14:paraId="683564AF">
            <w:pPr>
              <w:spacing w:line="300" w:lineRule="exact"/>
              <w:jc w:val="left"/>
              <w:outlineLvl w:val="0"/>
              <w:rPr>
                <w:rFonts w:ascii="Times New Roman" w:hAnsi="Times New Roman" w:cs="Times New Roman"/>
                <w:szCs w:val="21"/>
              </w:rPr>
            </w:pPr>
          </w:p>
        </w:tc>
        <w:tc>
          <w:tcPr>
            <w:tcW w:w="2902" w:type="dxa"/>
            <w:vMerge w:val="continue"/>
            <w:vAlign w:val="center"/>
          </w:tcPr>
          <w:p w14:paraId="0FB6DAA4">
            <w:pPr>
              <w:spacing w:line="300" w:lineRule="exact"/>
              <w:jc w:val="left"/>
              <w:outlineLvl w:val="0"/>
              <w:rPr>
                <w:rFonts w:ascii="Times New Roman" w:hAnsi="Times New Roman" w:cs="Times New Roman"/>
                <w:szCs w:val="21"/>
              </w:rPr>
            </w:pPr>
          </w:p>
        </w:tc>
      </w:tr>
      <w:tr w14:paraId="1A8A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D57822F">
            <w:pPr>
              <w:spacing w:line="300" w:lineRule="exact"/>
              <w:jc w:val="left"/>
              <w:rPr>
                <w:rFonts w:ascii="Times New Roman" w:hAnsi="Times New Roman" w:eastAsia="方正书宋_GBK" w:cs="Times New Roman"/>
                <w:szCs w:val="21"/>
              </w:rPr>
            </w:pPr>
            <w:r>
              <w:rPr>
                <w:rFonts w:hint="eastAsia" w:ascii="方正书宋_GBK" w:eastAsia="方正书宋_GBK"/>
                <w:szCs w:val="21"/>
              </w:rPr>
              <w:t>石家庄市鹿泉区太行山绿化工程建设中心</w:t>
            </w:r>
          </w:p>
        </w:tc>
        <w:tc>
          <w:tcPr>
            <w:tcW w:w="1134" w:type="dxa"/>
            <w:vAlign w:val="center"/>
          </w:tcPr>
          <w:p w14:paraId="4564F70D">
            <w:pPr>
              <w:spacing w:line="300" w:lineRule="exact"/>
              <w:jc w:val="center"/>
              <w:rPr>
                <w:rFonts w:ascii="Times New Roman" w:hAnsi="Times New Roman" w:eastAsia="方正书宋_GBK" w:cs="Times New Roman"/>
                <w:szCs w:val="21"/>
              </w:rPr>
            </w:pPr>
            <w:r>
              <w:rPr>
                <w:rFonts w:hint="eastAsia" w:ascii="方正书宋_GBK" w:eastAsia="方正书宋_GBK"/>
                <w:szCs w:val="21"/>
              </w:rPr>
              <w:t>事业</w:t>
            </w:r>
          </w:p>
        </w:tc>
        <w:tc>
          <w:tcPr>
            <w:tcW w:w="1276" w:type="dxa"/>
            <w:vAlign w:val="center"/>
          </w:tcPr>
          <w:p w14:paraId="18AF883F">
            <w:pPr>
              <w:spacing w:line="300" w:lineRule="exact"/>
              <w:jc w:val="center"/>
              <w:rPr>
                <w:rFonts w:ascii="Times New Roman" w:hAnsi="Times New Roman" w:eastAsia="方正书宋_GBK" w:cs="Times New Roman"/>
                <w:szCs w:val="21"/>
              </w:rPr>
            </w:pPr>
            <w:r>
              <w:rPr>
                <w:rFonts w:hint="eastAsia" w:ascii="方正书宋_GBK" w:eastAsia="方正书宋_GBK"/>
                <w:szCs w:val="21"/>
              </w:rPr>
              <w:t>正科级</w:t>
            </w:r>
          </w:p>
        </w:tc>
        <w:tc>
          <w:tcPr>
            <w:tcW w:w="2902" w:type="dxa"/>
            <w:vAlign w:val="center"/>
          </w:tcPr>
          <w:p w14:paraId="6BE98FA1">
            <w:pPr>
              <w:spacing w:line="300" w:lineRule="exact"/>
              <w:jc w:val="center"/>
              <w:rPr>
                <w:rFonts w:ascii="Times New Roman" w:hAnsi="Times New Roman" w:eastAsia="方正书宋_GBK" w:cs="Times New Roman"/>
                <w:szCs w:val="21"/>
              </w:rPr>
            </w:pPr>
            <w:r>
              <w:rPr>
                <w:rFonts w:hint="eastAsia" w:ascii="仿宋_GB2312" w:eastAsia="仿宋_GB2312"/>
                <w:szCs w:val="21"/>
              </w:rPr>
              <w:t>财政性资金基本保证</w:t>
            </w:r>
          </w:p>
        </w:tc>
      </w:tr>
    </w:tbl>
    <w:p w14:paraId="5A2F1CD8"/>
    <w:p w14:paraId="555219EB">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1C95424">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按照预算管理有关规定，目前我区部门预算的编制实行综合预算管理，即全部收入和支出都反映在预算中。石家庄市鹿泉区太行山绿化工程建设中心及所属单位所有收支都包含在部门预算中。</w:t>
      </w:r>
    </w:p>
    <w:p w14:paraId="3E1B8C5B">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14:paraId="1484782B">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年预算收入</w:t>
      </w:r>
      <w:r>
        <w:rPr>
          <w:rFonts w:ascii="仿宋_GB2312" w:hAnsi="Times New Roman" w:eastAsia="仿宋_GB2312" w:cs="Times New Roman"/>
          <w:sz w:val="32"/>
          <w:szCs w:val="32"/>
        </w:rPr>
        <w:t>705.05</w:t>
      </w:r>
      <w:r>
        <w:rPr>
          <w:rFonts w:hint="eastAsia" w:ascii="仿宋_GB2312" w:hAnsi="Times New Roman" w:eastAsia="仿宋_GB2312" w:cs="Times New Roman"/>
          <w:sz w:val="32"/>
          <w:szCs w:val="32"/>
        </w:rPr>
        <w:t>万元，其中：一般公共预算收入</w:t>
      </w:r>
      <w:r>
        <w:rPr>
          <w:rFonts w:ascii="仿宋_GB2312" w:hAnsi="Times New Roman" w:eastAsia="仿宋_GB2312" w:cs="Times New Roman"/>
          <w:sz w:val="32"/>
          <w:szCs w:val="32"/>
        </w:rPr>
        <w:t>155.05</w:t>
      </w:r>
      <w:r>
        <w:rPr>
          <w:rFonts w:hint="eastAsia" w:ascii="仿宋_GB2312" w:hAnsi="Times New Roman" w:eastAsia="仿宋_GB2312" w:cs="Times New Roman"/>
          <w:sz w:val="32"/>
          <w:szCs w:val="32"/>
        </w:rPr>
        <w:t>万元，基金预算收入</w:t>
      </w:r>
      <w:r>
        <w:rPr>
          <w:rFonts w:ascii="仿宋_GB2312" w:hAnsi="Times New Roman" w:eastAsia="仿宋_GB2312" w:cs="Times New Roman"/>
          <w:sz w:val="32"/>
          <w:szCs w:val="32"/>
        </w:rPr>
        <w:t>550</w:t>
      </w:r>
      <w:r>
        <w:rPr>
          <w:rFonts w:hint="eastAsia" w:ascii="仿宋_GB2312" w:hAnsi="Times New Roman" w:eastAsia="仿宋_GB2312" w:cs="Times New Roman"/>
          <w:sz w:val="32"/>
          <w:szCs w:val="32"/>
        </w:rPr>
        <w:t>万元，财政专户核拨收入</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万元，其他来源收入</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p>
    <w:p w14:paraId="0A1828AA">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14:paraId="6894076E">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年部门支出预算为</w:t>
      </w:r>
      <w:r>
        <w:rPr>
          <w:rFonts w:ascii="仿宋_GB2312" w:hAnsi="Times New Roman" w:eastAsia="仿宋_GB2312" w:cs="Times New Roman"/>
          <w:sz w:val="32"/>
          <w:szCs w:val="32"/>
        </w:rPr>
        <w:t>705.05</w:t>
      </w:r>
      <w:r>
        <w:rPr>
          <w:rFonts w:hint="eastAsia" w:ascii="仿宋_GB2312" w:hAnsi="Times New Roman" w:eastAsia="仿宋_GB2312" w:cs="Times New Roman"/>
          <w:sz w:val="32"/>
          <w:szCs w:val="32"/>
        </w:rPr>
        <w:t>万元，其中基本支出</w:t>
      </w:r>
      <w:r>
        <w:rPr>
          <w:rFonts w:ascii="仿宋_GB2312" w:hAnsi="Times New Roman" w:eastAsia="仿宋_GB2312" w:cs="Times New Roman"/>
          <w:sz w:val="32"/>
          <w:szCs w:val="32"/>
        </w:rPr>
        <w:t>145.05</w:t>
      </w:r>
      <w:r>
        <w:rPr>
          <w:rFonts w:hint="eastAsia" w:ascii="仿宋_GB2312" w:hAnsi="Times New Roman" w:eastAsia="仿宋_GB2312" w:cs="Times New Roman"/>
          <w:sz w:val="32"/>
          <w:szCs w:val="32"/>
        </w:rPr>
        <w:t>万元，包括人员经费</w:t>
      </w:r>
      <w:r>
        <w:rPr>
          <w:rFonts w:ascii="仿宋_GB2312" w:hAnsi="Times New Roman" w:eastAsia="仿宋_GB2312" w:cs="Times New Roman"/>
          <w:sz w:val="32"/>
          <w:szCs w:val="32"/>
        </w:rPr>
        <w:t>129.04</w:t>
      </w:r>
      <w:r>
        <w:rPr>
          <w:rFonts w:hint="eastAsia" w:ascii="仿宋_GB2312" w:hAnsi="Times New Roman" w:eastAsia="仿宋_GB2312" w:cs="Times New Roman"/>
          <w:sz w:val="32"/>
          <w:szCs w:val="32"/>
        </w:rPr>
        <w:t>万元和日常公用经费</w:t>
      </w:r>
      <w:r>
        <w:rPr>
          <w:rFonts w:ascii="仿宋_GB2312" w:hAnsi="Times New Roman" w:eastAsia="仿宋_GB2312" w:cs="Times New Roman"/>
          <w:sz w:val="32"/>
          <w:szCs w:val="32"/>
        </w:rPr>
        <w:t>16.01</w:t>
      </w:r>
      <w:r>
        <w:rPr>
          <w:rFonts w:hint="eastAsia" w:ascii="仿宋_GB2312" w:hAnsi="Times New Roman" w:eastAsia="仿宋_GB2312" w:cs="Times New Roman"/>
          <w:sz w:val="32"/>
          <w:szCs w:val="32"/>
        </w:rPr>
        <w:t>万元；项目支出</w:t>
      </w:r>
      <w:r>
        <w:rPr>
          <w:rFonts w:ascii="仿宋_GB2312" w:hAnsi="Times New Roman" w:eastAsia="仿宋_GB2312" w:cs="Times New Roman"/>
          <w:sz w:val="32"/>
          <w:szCs w:val="32"/>
        </w:rPr>
        <w:t>560</w:t>
      </w:r>
      <w:r>
        <w:rPr>
          <w:rFonts w:hint="eastAsia" w:ascii="仿宋_GB2312" w:hAnsi="Times New Roman" w:eastAsia="仿宋_GB2312" w:cs="Times New Roman"/>
          <w:sz w:val="32"/>
          <w:szCs w:val="32"/>
        </w:rPr>
        <w:t>万元，主要为义务植树专项资金</w:t>
      </w:r>
      <w:r>
        <w:rPr>
          <w:rFonts w:ascii="仿宋_GB2312" w:hAnsi="Times New Roman" w:eastAsia="仿宋_GB2312" w:cs="Times New Roman"/>
          <w:sz w:val="32"/>
          <w:szCs w:val="32"/>
        </w:rPr>
        <w:t>10</w:t>
      </w:r>
      <w:r>
        <w:rPr>
          <w:rFonts w:hint="eastAsia" w:ascii="仿宋_GB2312" w:hAnsi="Times New Roman" w:eastAsia="仿宋_GB2312" w:cs="Times New Roman"/>
          <w:sz w:val="32"/>
          <w:szCs w:val="32"/>
        </w:rPr>
        <w:t>万元，智慧城市广场花海管护费</w:t>
      </w:r>
      <w:r>
        <w:rPr>
          <w:rFonts w:ascii="仿宋_GB2312" w:hAnsi="Times New Roman" w:eastAsia="仿宋_GB2312" w:cs="Times New Roman"/>
          <w:sz w:val="32"/>
          <w:szCs w:val="32"/>
        </w:rPr>
        <w:t>50</w:t>
      </w:r>
      <w:r>
        <w:rPr>
          <w:rFonts w:hint="eastAsia" w:ascii="仿宋_GB2312" w:hAnsi="Times New Roman" w:eastAsia="仿宋_GB2312" w:cs="Times New Roman"/>
          <w:sz w:val="32"/>
          <w:szCs w:val="32"/>
        </w:rPr>
        <w:t>万元，智慧城市广场花海及新旧杏苑路花海</w:t>
      </w:r>
      <w:r>
        <w:rPr>
          <w:rFonts w:ascii="仿宋_GB2312" w:hAnsi="Times New Roman" w:eastAsia="仿宋_GB2312" w:cs="Times New Roman"/>
          <w:sz w:val="32"/>
          <w:szCs w:val="32"/>
        </w:rPr>
        <w:t>500</w:t>
      </w:r>
      <w:r>
        <w:rPr>
          <w:rFonts w:hint="eastAsia" w:ascii="仿宋_GB2312" w:hAnsi="Times New Roman" w:eastAsia="仿宋_GB2312" w:cs="Times New Roman"/>
          <w:sz w:val="32"/>
          <w:szCs w:val="32"/>
        </w:rPr>
        <w:t>万元；其他支出</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p>
    <w:p w14:paraId="31590676">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14:paraId="1FC9FB7A">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年部门预算收支安排</w:t>
      </w:r>
      <w:r>
        <w:rPr>
          <w:rFonts w:ascii="仿宋_GB2312" w:hAnsi="Times New Roman" w:eastAsia="仿宋_GB2312" w:cs="Times New Roman"/>
          <w:sz w:val="32"/>
          <w:szCs w:val="32"/>
        </w:rPr>
        <w:t>705.05</w:t>
      </w:r>
      <w:r>
        <w:rPr>
          <w:rFonts w:hint="eastAsia" w:ascii="仿宋_GB2312" w:hAnsi="Times New Roman" w:eastAsia="仿宋_GB2312" w:cs="Times New Roman"/>
          <w:sz w:val="32"/>
          <w:szCs w:val="32"/>
        </w:rPr>
        <w:t>万元，较</w:t>
      </w:r>
      <w:r>
        <w:rPr>
          <w:rFonts w:ascii="仿宋_GB2312" w:hAnsi="Times New Roman" w:eastAsia="仿宋_GB2312" w:cs="Times New Roman"/>
          <w:sz w:val="32"/>
          <w:szCs w:val="32"/>
        </w:rPr>
        <w:t>2019</w:t>
      </w:r>
      <w:r>
        <w:rPr>
          <w:rFonts w:hint="eastAsia" w:ascii="仿宋_GB2312" w:hAnsi="Times New Roman" w:eastAsia="仿宋_GB2312" w:cs="Times New Roman"/>
          <w:sz w:val="32"/>
          <w:szCs w:val="32"/>
        </w:rPr>
        <w:t>年减少</w:t>
      </w:r>
      <w:r>
        <w:rPr>
          <w:rFonts w:ascii="仿宋_GB2312" w:hAnsi="Times New Roman" w:eastAsia="仿宋_GB2312" w:cs="Times New Roman"/>
          <w:sz w:val="32"/>
          <w:szCs w:val="32"/>
        </w:rPr>
        <w:t>426.2</w:t>
      </w:r>
      <w:r>
        <w:rPr>
          <w:rFonts w:hint="eastAsia" w:ascii="仿宋_GB2312" w:hAnsi="Times New Roman" w:eastAsia="仿宋_GB2312" w:cs="Times New Roman"/>
          <w:sz w:val="32"/>
          <w:szCs w:val="32"/>
        </w:rPr>
        <w:t>万元，其中：基本支出增加</w:t>
      </w:r>
      <w:r>
        <w:rPr>
          <w:rFonts w:ascii="仿宋_GB2312" w:hAnsi="Times New Roman" w:eastAsia="仿宋_GB2312" w:cs="Times New Roman"/>
          <w:sz w:val="32"/>
          <w:szCs w:val="32"/>
        </w:rPr>
        <w:t>23.8</w:t>
      </w:r>
      <w:r>
        <w:rPr>
          <w:rFonts w:hint="eastAsia" w:ascii="仿宋_GB2312" w:hAnsi="Times New Roman" w:eastAsia="仿宋_GB2312" w:cs="Times New Roman"/>
          <w:sz w:val="32"/>
          <w:szCs w:val="32"/>
        </w:rPr>
        <w:t>万元，主要是人员增加，相应增加人员经费和日常公用经费；项目支出减少</w:t>
      </w:r>
      <w:r>
        <w:rPr>
          <w:rFonts w:ascii="仿宋_GB2312" w:hAnsi="Times New Roman" w:eastAsia="仿宋_GB2312" w:cs="Times New Roman"/>
          <w:sz w:val="32"/>
          <w:szCs w:val="32"/>
        </w:rPr>
        <w:t>402.4</w:t>
      </w:r>
      <w:r>
        <w:rPr>
          <w:rFonts w:hint="eastAsia" w:ascii="仿宋_GB2312" w:hAnsi="Times New Roman" w:eastAsia="仿宋_GB2312" w:cs="Times New Roman"/>
          <w:sz w:val="32"/>
          <w:szCs w:val="32"/>
        </w:rPr>
        <w:t>万元，主要是减少智慧城市广场花海及新旧杏苑路花海项目支出；其他支出无增减变化。</w:t>
      </w:r>
    </w:p>
    <w:p w14:paraId="077BC9A3">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2062749">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年，我部门机关运行经费共计安排</w:t>
      </w:r>
      <w:r>
        <w:rPr>
          <w:rFonts w:ascii="仿宋_GB2312" w:hAnsi="Times New Roman" w:eastAsia="仿宋_GB2312" w:cs="Times New Roman"/>
          <w:sz w:val="32"/>
          <w:szCs w:val="32"/>
        </w:rPr>
        <w:t>16.01</w:t>
      </w:r>
      <w:r>
        <w:rPr>
          <w:rFonts w:hint="eastAsia" w:ascii="仿宋_GB2312" w:hAnsi="Times New Roman" w:eastAsia="仿宋_GB2312" w:cs="Times New Roman"/>
          <w:sz w:val="32"/>
          <w:szCs w:val="32"/>
        </w:rPr>
        <w:t>万元，主要用于保证部门正常运转的办公费、邮电费、公务交通补贴、工会费、福利费、党组织活动经费等支出。</w:t>
      </w:r>
    </w:p>
    <w:p w14:paraId="560F99C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14:paraId="1CCDC906">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年，我部门财政拨款“三公”经费预算安排</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万元，其中：因公出国（境）费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万元；公务用车购置及运维费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万元（其中：公务用车购置费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万元，公务用车运行维护费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r>
        <w:rPr>
          <w:rFonts w:ascii="仿宋_GB2312" w:hAnsi="Times New Roman" w:eastAsia="仿宋_GB2312" w:cs="Times New Roman"/>
          <w:sz w:val="32"/>
          <w:szCs w:val="32"/>
        </w:rPr>
        <w:t>)</w:t>
      </w:r>
      <w:r>
        <w:rPr>
          <w:rFonts w:hint="eastAsia" w:ascii="仿宋_GB2312" w:hAnsi="Times New Roman" w:eastAsia="仿宋_GB2312" w:cs="Times New Roman"/>
          <w:sz w:val="32"/>
          <w:szCs w:val="32"/>
        </w:rPr>
        <w:t>；公务接待费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万元。“三公”经费与上年持平，无增减变化。</w:t>
      </w:r>
    </w:p>
    <w:p w14:paraId="53849AC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bookmarkStart w:id="0" w:name="_Toc471398463"/>
    </w:p>
    <w:p w14:paraId="63EC578F">
      <w:pPr>
        <w:autoSpaceDE w:val="0"/>
        <w:autoSpaceDN w:val="0"/>
        <w:adjustRightInd w:val="0"/>
        <w:ind w:left="198" w:firstLine="640" w:firstLineChars="200"/>
        <w:jc w:val="left"/>
        <w:rPr>
          <w:rFonts w:ascii="黑体" w:hAnsi="黑体" w:eastAsia="黑体" w:cs="Times New Roman"/>
          <w:sz w:val="32"/>
          <w:szCs w:val="32"/>
        </w:rPr>
      </w:pPr>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14:paraId="3DB0C4BE">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14:paraId="675130FB">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为全力营造适宜全域旅游和休闲宜居的生态绿化环境，加快“省会西花园”建设步伐，鹿泉区绿化办立足“增绿量、添色彩、出品位”的绿化工作思路，认真开展工作，全年完成义务植树</w:t>
      </w:r>
      <w:r>
        <w:rPr>
          <w:rFonts w:ascii="仿宋_GB2312" w:hAnsi="Times New Roman" w:eastAsia="仿宋_GB2312" w:cs="Times New Roman"/>
          <w:sz w:val="32"/>
          <w:szCs w:val="32"/>
        </w:rPr>
        <w:t>75</w:t>
      </w:r>
      <w:r>
        <w:rPr>
          <w:rFonts w:hint="eastAsia" w:ascii="仿宋_GB2312" w:hAnsi="Times New Roman" w:eastAsia="仿宋_GB2312" w:cs="Times New Roman"/>
          <w:sz w:val="32"/>
          <w:szCs w:val="32"/>
        </w:rPr>
        <w:t>万株以上。</w:t>
      </w:r>
    </w:p>
    <w:p w14:paraId="22D16FBA">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充分利用</w:t>
      </w: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月份和</w:t>
      </w:r>
      <w:r>
        <w:rPr>
          <w:rFonts w:ascii="仿宋_GB2312" w:hAnsi="Times New Roman" w:eastAsia="仿宋_GB2312" w:cs="Times New Roman"/>
          <w:sz w:val="32"/>
          <w:szCs w:val="32"/>
        </w:rPr>
        <w:t>11</w:t>
      </w:r>
      <w:r>
        <w:rPr>
          <w:rFonts w:hint="eastAsia" w:ascii="仿宋_GB2312" w:hAnsi="Times New Roman" w:eastAsia="仿宋_GB2312" w:cs="Times New Roman"/>
          <w:sz w:val="32"/>
          <w:szCs w:val="32"/>
        </w:rPr>
        <w:t>月份植树月活动，全民动员，广泛开展义务植树活动。组织区直机关干部职工分</w:t>
      </w:r>
      <w:r>
        <w:rPr>
          <w:rFonts w:ascii="仿宋_GB2312" w:hAnsi="Times New Roman" w:eastAsia="仿宋_GB2312" w:cs="Times New Roman"/>
          <w:sz w:val="32"/>
          <w:szCs w:val="32"/>
        </w:rPr>
        <w:t>2-3</w:t>
      </w:r>
      <w:r>
        <w:rPr>
          <w:rFonts w:hint="eastAsia" w:ascii="仿宋_GB2312" w:hAnsi="Times New Roman" w:eastAsia="仿宋_GB2312" w:cs="Times New Roman"/>
          <w:sz w:val="32"/>
          <w:szCs w:val="32"/>
        </w:rPr>
        <w:t>次开展义务植树活动。同时各乡镇（区）、社会团体都建立自己的义务植树基地。通过义务植树基地建设，带动全民参与造林绿化工作。</w:t>
      </w:r>
      <w:r>
        <w:rPr>
          <w:rFonts w:ascii="仿宋_GB2312" w:hAnsi="Times New Roman" w:eastAsia="仿宋_GB2312" w:cs="Times New Roman"/>
          <w:sz w:val="32"/>
          <w:szCs w:val="32"/>
        </w:rPr>
        <w:fldChar w:fldCharType="begin"/>
      </w:r>
      <w:r>
        <w:rPr>
          <w:rFonts w:ascii="仿宋_GB2312" w:hAnsi="Times New Roman" w:eastAsia="仿宋_GB2312" w:cs="Times New Roman"/>
          <w:sz w:val="32"/>
          <w:szCs w:val="32"/>
        </w:rPr>
        <w:instrText xml:space="preserve">tc "</w:instrText>
      </w:r>
      <w:bookmarkStart w:id="1" w:name="_Toc29484628"/>
      <w:r>
        <w:rPr>
          <w:rFonts w:hint="eastAsia" w:ascii="仿宋_GB2312" w:hAnsi="Times New Roman" w:eastAsia="仿宋_GB2312" w:cs="Times New Roman"/>
          <w:sz w:val="32"/>
          <w:szCs w:val="32"/>
        </w:rPr>
        <w:instrText xml:space="preserve">总体绩效目标</w:instrText>
      </w:r>
      <w:bookmarkEnd w:id="1"/>
      <w:r>
        <w:rPr>
          <w:rFonts w:ascii="仿宋_GB2312" w:hAnsi="Times New Roman" w:eastAsia="仿宋_GB2312" w:cs="Times New Roman"/>
          <w:sz w:val="32"/>
          <w:szCs w:val="32"/>
        </w:rPr>
        <w:instrText xml:space="preserve">" \f A \l 0000000001</w:instrText>
      </w:r>
      <w:r>
        <w:rPr>
          <w:rFonts w:ascii="仿宋_GB2312" w:hAnsi="Times New Roman" w:eastAsia="仿宋_GB2312" w:cs="Times New Roman"/>
          <w:sz w:val="32"/>
          <w:szCs w:val="32"/>
        </w:rPr>
        <w:fldChar w:fldCharType="end"/>
      </w:r>
    </w:p>
    <w:p w14:paraId="42C688F3">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14:paraId="02DDCB6C">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绩效目标：全年完成义务植树</w:t>
      </w:r>
      <w:r>
        <w:rPr>
          <w:rFonts w:ascii="仿宋_GB2312" w:hAnsi="Times New Roman" w:eastAsia="仿宋_GB2312" w:cs="Times New Roman"/>
          <w:sz w:val="32"/>
          <w:szCs w:val="32"/>
        </w:rPr>
        <w:t>75</w:t>
      </w:r>
      <w:r>
        <w:rPr>
          <w:rFonts w:hint="eastAsia" w:ascii="仿宋_GB2312" w:hAnsi="Times New Roman" w:eastAsia="仿宋_GB2312" w:cs="Times New Roman"/>
          <w:sz w:val="32"/>
          <w:szCs w:val="32"/>
        </w:rPr>
        <w:t>万株以上。</w:t>
      </w:r>
    </w:p>
    <w:p w14:paraId="2A40FDCC">
      <w:pPr>
        <w:spacing w:line="540" w:lineRule="exact"/>
        <w:ind w:firstLine="641"/>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绩效指标：</w:t>
      </w:r>
    </w:p>
    <w:p w14:paraId="0B9364F1">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、充分利用</w:t>
      </w: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月份和</w:t>
      </w:r>
      <w:r>
        <w:rPr>
          <w:rFonts w:ascii="仿宋_GB2312" w:hAnsi="Times New Roman" w:eastAsia="仿宋_GB2312" w:cs="Times New Roman"/>
          <w:sz w:val="32"/>
          <w:szCs w:val="32"/>
        </w:rPr>
        <w:t>11</w:t>
      </w:r>
      <w:r>
        <w:rPr>
          <w:rFonts w:hint="eastAsia" w:ascii="仿宋_GB2312" w:hAnsi="Times New Roman" w:eastAsia="仿宋_GB2312" w:cs="Times New Roman"/>
          <w:sz w:val="32"/>
          <w:szCs w:val="32"/>
        </w:rPr>
        <w:t>月份植树月活动，全民动员，广泛开展义务植树活动。</w:t>
      </w:r>
    </w:p>
    <w:p w14:paraId="391B3E2F">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Times New Roman" w:eastAsia="仿宋_GB2312" w:cs="Times New Roman"/>
          <w:sz w:val="32"/>
          <w:szCs w:val="32"/>
        </w:rPr>
        <w:t>、组织区直机关干部职工分</w:t>
      </w:r>
      <w:r>
        <w:rPr>
          <w:rFonts w:ascii="仿宋_GB2312" w:hAnsi="Times New Roman" w:eastAsia="仿宋_GB2312" w:cs="Times New Roman"/>
          <w:sz w:val="32"/>
          <w:szCs w:val="32"/>
        </w:rPr>
        <w:t>2-3</w:t>
      </w:r>
      <w:r>
        <w:rPr>
          <w:rFonts w:hint="eastAsia" w:ascii="仿宋_GB2312" w:hAnsi="Times New Roman" w:eastAsia="仿宋_GB2312" w:cs="Times New Roman"/>
          <w:sz w:val="32"/>
          <w:szCs w:val="32"/>
        </w:rPr>
        <w:t>次开展义务植树活动，人均植树</w:t>
      </w: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棵树。</w:t>
      </w:r>
    </w:p>
    <w:p w14:paraId="68BE7529">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、参加义务植树人数达到</w:t>
      </w:r>
      <w:r>
        <w:rPr>
          <w:rFonts w:ascii="仿宋_GB2312" w:hAnsi="Times New Roman" w:eastAsia="仿宋_GB2312" w:cs="Times New Roman"/>
          <w:sz w:val="32"/>
          <w:szCs w:val="32"/>
        </w:rPr>
        <w:t>22</w:t>
      </w:r>
      <w:r>
        <w:rPr>
          <w:rFonts w:hint="eastAsia" w:ascii="仿宋_GB2312" w:hAnsi="Times New Roman" w:eastAsia="仿宋_GB2312" w:cs="Times New Roman"/>
          <w:sz w:val="32"/>
          <w:szCs w:val="32"/>
        </w:rPr>
        <w:t>万人次。</w:t>
      </w:r>
    </w:p>
    <w:p w14:paraId="04E93C2B">
      <w:pPr>
        <w:spacing w:line="54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4</w:t>
      </w:r>
      <w:r>
        <w:rPr>
          <w:rFonts w:hint="eastAsia" w:ascii="仿宋_GB2312" w:hAnsi="Times New Roman" w:eastAsia="仿宋_GB2312" w:cs="Times New Roman"/>
          <w:sz w:val="32"/>
          <w:szCs w:val="32"/>
        </w:rPr>
        <w:t>、义务植树总量达到</w:t>
      </w:r>
      <w:r>
        <w:rPr>
          <w:rFonts w:ascii="仿宋_GB2312" w:hAnsi="Times New Roman" w:eastAsia="仿宋_GB2312" w:cs="Times New Roman"/>
          <w:sz w:val="32"/>
          <w:szCs w:val="32"/>
        </w:rPr>
        <w:t>75</w:t>
      </w:r>
      <w:r>
        <w:rPr>
          <w:rFonts w:hint="eastAsia" w:ascii="仿宋_GB2312" w:hAnsi="Times New Roman" w:eastAsia="仿宋_GB2312" w:cs="Times New Roman"/>
          <w:sz w:val="32"/>
          <w:szCs w:val="32"/>
        </w:rPr>
        <w:t>万株以上。</w:t>
      </w:r>
      <w:r>
        <w:rPr>
          <w:rFonts w:ascii="仿宋_GB2312" w:hAnsi="Times New Roman" w:eastAsia="仿宋_GB2312" w:cs="Times New Roman"/>
          <w:sz w:val="32"/>
          <w:szCs w:val="32"/>
        </w:rPr>
        <w:fldChar w:fldCharType="begin"/>
      </w:r>
      <w:r>
        <w:rPr>
          <w:rFonts w:ascii="仿宋_GB2312" w:hAnsi="Times New Roman" w:eastAsia="仿宋_GB2312" w:cs="Times New Roman"/>
          <w:sz w:val="32"/>
          <w:szCs w:val="32"/>
        </w:rPr>
        <w:instrText xml:space="preserve">tc "</w:instrText>
      </w:r>
      <w:bookmarkStart w:id="2" w:name="_Toc29484629"/>
      <w:r>
        <w:rPr>
          <w:rFonts w:hint="eastAsia" w:ascii="仿宋_GB2312" w:hAnsi="Times New Roman" w:eastAsia="仿宋_GB2312" w:cs="Times New Roman"/>
          <w:sz w:val="32"/>
          <w:szCs w:val="32"/>
        </w:rPr>
        <w:instrText xml:space="preserve">分项绩效目标</w:instrText>
      </w:r>
      <w:bookmarkEnd w:id="2"/>
      <w:r>
        <w:rPr>
          <w:rFonts w:ascii="仿宋_GB2312" w:hAnsi="Times New Roman" w:eastAsia="仿宋_GB2312" w:cs="Times New Roman"/>
          <w:sz w:val="32"/>
          <w:szCs w:val="32"/>
        </w:rPr>
        <w:instrText xml:space="preserve">" \f A \l 0000000001</w:instrText>
      </w:r>
      <w:r>
        <w:rPr>
          <w:rFonts w:ascii="仿宋_GB2312" w:hAnsi="Times New Roman" w:eastAsia="仿宋_GB2312" w:cs="Times New Roman"/>
          <w:sz w:val="32"/>
          <w:szCs w:val="32"/>
        </w:rPr>
        <w:fldChar w:fldCharType="end"/>
      </w:r>
    </w:p>
    <w:p w14:paraId="22D35FCE">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0000000001</w:instrText>
      </w:r>
      <w:r>
        <w:rPr>
          <w:rFonts w:ascii="Times New Roman" w:hAnsi="Times New Roman" w:eastAsia="方正仿宋_GBK" w:cs="Times New Roman"/>
          <w:b/>
          <w:sz w:val="32"/>
          <w:szCs w:val="32"/>
        </w:rPr>
        <w:fldChar w:fldCharType="end"/>
      </w:r>
    </w:p>
    <w:p w14:paraId="375301ED">
      <w:pPr>
        <w:spacing w:line="560" w:lineRule="exact"/>
        <w:ind w:firstLine="640" w:firstLineChars="200"/>
        <w:jc w:val="left"/>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、加强组织领导。成立考核工作领导小组，明确了主要领导亲自抓，分管领导具体抓，股室具体落实、强力推进的工作思路。</w:t>
      </w:r>
    </w:p>
    <w:p w14:paraId="3932CA47">
      <w:pPr>
        <w:spacing w:line="560" w:lineRule="exact"/>
        <w:ind w:firstLine="640" w:firstLineChars="200"/>
        <w:jc w:val="left"/>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、落实考核标准。认真对照年初各项工作目标任务和考核指标细则，紧密围绕各自工作，逐条、逐项进行落实，通过自查等各种方式整体推进，做好</w:t>
      </w:r>
      <w:r>
        <w:rPr>
          <w:rFonts w:hint="eastAsia" w:ascii="仿宋_GB2312" w:eastAsia="仿宋_GB2312"/>
          <w:sz w:val="32"/>
          <w:szCs w:val="32"/>
          <w:lang w:eastAsia="zh"/>
        </w:rPr>
        <w:t>各类台账</w:t>
      </w:r>
      <w:r>
        <w:rPr>
          <w:rFonts w:hint="eastAsia" w:ascii="仿宋_GB2312" w:eastAsia="仿宋_GB2312"/>
          <w:sz w:val="32"/>
          <w:szCs w:val="32"/>
        </w:rPr>
        <w:t>资料整理，力促年终检查获得优异的成绩。</w:t>
      </w:r>
    </w:p>
    <w:p w14:paraId="19ACE8F0">
      <w:pPr>
        <w:spacing w:line="560" w:lineRule="exact"/>
        <w:ind w:firstLine="640" w:firstLineChars="200"/>
        <w:jc w:val="left"/>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、及时查漏补缺，对全年的工作完成情况进行总结、梳理。重点做好各项工作文件资料的收集、整理、归档，确保总结汇报、实地检查及档案工作均能优质完成。</w:t>
      </w:r>
    </w:p>
    <w:p w14:paraId="39768EE5">
      <w:pPr>
        <w:spacing w:line="560" w:lineRule="exact"/>
        <w:ind w:firstLine="640" w:firstLineChars="200"/>
        <w:jc w:val="left"/>
        <w:rPr>
          <w:rFonts w:ascii="仿宋_GB2312" w:eastAsia="仿宋_GB2312"/>
          <w:sz w:val="32"/>
          <w:szCs w:val="32"/>
        </w:rPr>
      </w:pPr>
      <w:r>
        <w:rPr>
          <w:rFonts w:ascii="仿宋_GB2312" w:eastAsia="仿宋_GB2312"/>
          <w:sz w:val="32"/>
          <w:szCs w:val="32"/>
        </w:rPr>
        <w:t>4</w:t>
      </w:r>
      <w:r>
        <w:rPr>
          <w:rFonts w:hint="eastAsia" w:ascii="仿宋_GB2312" w:hAnsi="宋体" w:eastAsia="仿宋_GB2312" w:cs="宋体"/>
          <w:sz w:val="32"/>
          <w:szCs w:val="32"/>
        </w:rPr>
        <w:t>、各项工程明确专人负责，实行工程化管理。</w:t>
      </w:r>
    </w:p>
    <w:p w14:paraId="5BF6544E">
      <w:pPr>
        <w:spacing w:line="560" w:lineRule="exact"/>
        <w:ind w:firstLine="640" w:firstLineChars="200"/>
        <w:jc w:val="left"/>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、完善制度建设。制定完善预算绩效管理制度、资金管理办法、工作保障制度等，为全年预算绩效目标的实现奠定制度基础。</w:t>
      </w:r>
    </w:p>
    <w:p w14:paraId="7DE3B684">
      <w:pPr>
        <w:spacing w:line="560" w:lineRule="exact"/>
        <w:ind w:firstLine="640" w:firstLineChars="200"/>
        <w:jc w:val="left"/>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、加强支出管理。通过优化支出结构、编细编实预算、加快履行政府采购手续、尽快启动项目、及时支付资金等多种措施，确保支出进度达标。</w:t>
      </w:r>
    </w:p>
    <w:p w14:paraId="3E450E82">
      <w:pPr>
        <w:spacing w:line="560" w:lineRule="exact"/>
        <w:ind w:firstLine="640" w:firstLineChars="200"/>
        <w:jc w:val="left"/>
        <w:rPr>
          <w:rFonts w:ascii="仿宋_GB2312" w:eastAsia="仿宋_GB2312"/>
          <w:sz w:val="32"/>
          <w:szCs w:val="32"/>
        </w:rPr>
      </w:pPr>
      <w:r>
        <w:rPr>
          <w:rFonts w:ascii="仿宋_GB2312" w:eastAsia="仿宋_GB2312"/>
          <w:sz w:val="32"/>
          <w:szCs w:val="32"/>
        </w:rPr>
        <w:t>7</w:t>
      </w:r>
      <w:r>
        <w:rPr>
          <w:rFonts w:hint="eastAsia" w:ascii="仿宋_GB2312" w:eastAsia="仿宋_GB2312"/>
          <w:sz w:val="32"/>
          <w:szCs w:val="32"/>
        </w:rPr>
        <w:t>、加强绩效运行监控。按要求开展绩效运行监控，发现问题及时采取措施，确保绩效目标如期保质实现。</w:t>
      </w:r>
    </w:p>
    <w:p w14:paraId="435E9311">
      <w:pPr>
        <w:spacing w:line="560" w:lineRule="exact"/>
        <w:ind w:firstLine="640" w:firstLineChars="200"/>
        <w:jc w:val="left"/>
        <w:rPr>
          <w:rFonts w:ascii="仿宋_GB2312" w:eastAsia="仿宋_GB2312"/>
          <w:sz w:val="32"/>
          <w:szCs w:val="32"/>
        </w:rPr>
      </w:pPr>
      <w:r>
        <w:rPr>
          <w:rFonts w:ascii="仿宋_GB2312" w:eastAsia="仿宋_GB2312"/>
          <w:sz w:val="32"/>
          <w:szCs w:val="32"/>
        </w:rPr>
        <w:t>8</w:t>
      </w:r>
      <w:r>
        <w:rPr>
          <w:rFonts w:hint="eastAsia" w:ascii="仿宋_GB2312" w:eastAsia="仿宋_GB2312"/>
          <w:sz w:val="32"/>
          <w:szCs w:val="32"/>
        </w:rPr>
        <w:t>、做好绩效自评。按要求开展上年度部门预算绩效自评和重点评价工作，对评价中发现的问题及时整改，调整优化支出结构，提高财政资金使用效益。</w:t>
      </w:r>
    </w:p>
    <w:p w14:paraId="65288B72">
      <w:pPr>
        <w:spacing w:line="560" w:lineRule="exact"/>
        <w:ind w:firstLine="640" w:firstLineChars="200"/>
        <w:jc w:val="left"/>
        <w:rPr>
          <w:rFonts w:ascii="仿宋_GB2312" w:eastAsia="仿宋_GB2312"/>
          <w:sz w:val="32"/>
          <w:szCs w:val="32"/>
        </w:rPr>
      </w:pPr>
      <w:r>
        <w:rPr>
          <w:rFonts w:ascii="仿宋_GB2312" w:eastAsia="仿宋_GB2312"/>
          <w:sz w:val="32"/>
          <w:szCs w:val="32"/>
        </w:rPr>
        <w:t>9</w:t>
      </w:r>
      <w:r>
        <w:rPr>
          <w:rFonts w:hint="eastAsia" w:ascii="仿宋_GB2312" w:eastAsia="仿宋_GB2312"/>
          <w:sz w:val="32"/>
          <w:szCs w:val="32"/>
        </w:rPr>
        <w:t>、规范财务资产管理。完善财务管理制度，严格审批程序，加强固定资产登记、使用和报废处置管理，做到支出合理，物尽其用。</w:t>
      </w:r>
    </w:p>
    <w:p w14:paraId="2F75A916">
      <w:pPr>
        <w:spacing w:line="560" w:lineRule="exact"/>
        <w:ind w:firstLine="640" w:firstLineChars="200"/>
        <w:jc w:val="left"/>
        <w:rPr>
          <w:rFonts w:ascii="仿宋_GB2312" w:eastAsia="仿宋_GB2312"/>
          <w:sz w:val="32"/>
          <w:szCs w:val="32"/>
        </w:rPr>
      </w:pPr>
      <w:r>
        <w:rPr>
          <w:rFonts w:ascii="仿宋_GB2312" w:eastAsia="仿宋_GB2312"/>
          <w:sz w:val="32"/>
          <w:szCs w:val="32"/>
        </w:rPr>
        <w:t>10</w:t>
      </w:r>
      <w:r>
        <w:rPr>
          <w:rFonts w:hint="eastAsia" w:ascii="仿宋_GB2312" w:eastAsia="仿宋_GB2312"/>
          <w:sz w:val="32"/>
          <w:szCs w:val="32"/>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2FAA5E97">
      <w:pPr>
        <w:spacing w:line="560" w:lineRule="exact"/>
        <w:ind w:firstLine="640" w:firstLineChars="200"/>
        <w:jc w:val="left"/>
        <w:rPr>
          <w:rFonts w:ascii="仿宋_GB2312" w:eastAsia="仿宋_GB2312"/>
          <w:sz w:val="32"/>
          <w:szCs w:val="32"/>
        </w:rPr>
      </w:pPr>
      <w:r>
        <w:rPr>
          <w:rFonts w:ascii="仿宋_GB2312" w:eastAsia="仿宋_GB2312"/>
          <w:sz w:val="32"/>
          <w:szCs w:val="32"/>
        </w:rPr>
        <w:t>11</w:t>
      </w:r>
      <w:r>
        <w:rPr>
          <w:rFonts w:hint="eastAsia" w:ascii="仿宋_GB2312" w:eastAsia="仿宋_GB2312"/>
          <w:sz w:val="32"/>
          <w:szCs w:val="32"/>
        </w:rPr>
        <w:t>、加强宣传培训调研。加强人员培训，提高本部门职工业务素质；加强调研，提出优化财政资金配置、提高资金使用效益的意见；加大宣传力度，强化预算绩效管理意识，促进预算绩效管理水平进一步提升。</w:t>
      </w:r>
    </w:p>
    <w:p w14:paraId="005CC32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14:paraId="0A0F203B">
      <w:pPr>
        <w:ind w:firstLine="560" w:firstLineChars="200"/>
        <w:jc w:val="left"/>
        <w:outlineLvl w:val="1"/>
        <w:rPr>
          <w:rFonts w:hAnsi="宋体"/>
          <w:b/>
          <w:sz w:val="28"/>
        </w:rPr>
      </w:pPr>
      <w:r>
        <w:rPr>
          <w:rFonts w:ascii="方正仿宋_GBK" w:eastAsia="方正仿宋_GBK"/>
          <w:b/>
          <w:sz w:val="28"/>
        </w:rPr>
        <w:t xml:space="preserve"> 1</w:t>
      </w:r>
      <w:r>
        <w:rPr>
          <w:rFonts w:hint="eastAsia" w:ascii="方正仿宋_GBK" w:eastAsia="方正仿宋_GBK"/>
          <w:b/>
          <w:sz w:val="28"/>
        </w:rPr>
        <w:t>、义务植树专项资金绩效目标表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32832149"/>
      <w:r>
        <w:rPr>
          <w:rFonts w:ascii="方正仿宋_GBK" w:eastAsia="方正仿宋_GBK"/>
          <w:b/>
          <w:sz w:val="28"/>
        </w:rPr>
        <w:instrText xml:space="preserve">1</w:instrText>
      </w:r>
      <w:r>
        <w:rPr>
          <w:rFonts w:hint="eastAsia" w:ascii="方正仿宋_GBK" w:eastAsia="方正仿宋_GBK"/>
          <w:b/>
          <w:sz w:val="28"/>
        </w:rPr>
        <w:instrText xml:space="preserve">、义务植树专项资金绩效目标表</w:instrText>
      </w:r>
      <w:bookmarkEnd w:id="4"/>
      <w:r>
        <w:rPr>
          <w:rFonts w:ascii="方正仿宋_GBK" w:eastAsia="方正仿宋_GBK"/>
          <w:b/>
          <w:sz w:val="28"/>
        </w:rPr>
        <w:instrText xml:space="preserve">" \f B \l 000000001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3A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F05707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1BAA492D">
            <w:pPr>
              <w:spacing w:line="300" w:lineRule="exact"/>
              <w:jc w:val="right"/>
              <w:rPr>
                <w:rFonts w:ascii="方正书宋_GBK" w:eastAsia="方正书宋_GBK"/>
              </w:rPr>
            </w:pPr>
            <w:r>
              <w:rPr>
                <w:rFonts w:hint="eastAsia" w:ascii="方正书宋_GBK" w:eastAsia="方正书宋_GBK"/>
              </w:rPr>
              <w:t>单位：万元</w:t>
            </w:r>
          </w:p>
        </w:tc>
      </w:tr>
      <w:tr w14:paraId="28FB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0E124A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EB25FF2">
            <w:pPr>
              <w:spacing w:line="300" w:lineRule="exact"/>
              <w:jc w:val="left"/>
              <w:rPr>
                <w:rFonts w:ascii="方正书宋_GBK" w:eastAsia="方正书宋_GBK"/>
              </w:rPr>
            </w:pPr>
            <w:r>
              <w:rPr>
                <w:rFonts w:ascii="方正书宋_GBK" w:eastAsia="方正书宋_GBK"/>
              </w:rPr>
              <w:t>000-9999-JSN-00RZ</w:t>
            </w:r>
          </w:p>
        </w:tc>
        <w:tc>
          <w:tcPr>
            <w:tcW w:w="1587" w:type="dxa"/>
            <w:vAlign w:val="center"/>
          </w:tcPr>
          <w:p w14:paraId="295712F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1F5E2C25">
            <w:pPr>
              <w:spacing w:line="300" w:lineRule="exact"/>
              <w:jc w:val="left"/>
              <w:rPr>
                <w:rFonts w:ascii="方正书宋_GBK" w:eastAsia="方正书宋_GBK"/>
              </w:rPr>
            </w:pPr>
            <w:r>
              <w:rPr>
                <w:rFonts w:hint="eastAsia" w:ascii="方正书宋_GBK" w:eastAsia="方正书宋_GBK"/>
              </w:rPr>
              <w:t>义务植树专项资金</w:t>
            </w:r>
          </w:p>
        </w:tc>
      </w:tr>
      <w:tr w14:paraId="5639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DFE08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2C9497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B8F1473">
            <w:pPr>
              <w:spacing w:line="300" w:lineRule="exact"/>
              <w:jc w:val="left"/>
              <w:rPr>
                <w:rFonts w:ascii="方正书宋_GBK" w:eastAsia="方正书宋_GBK"/>
              </w:rPr>
            </w:pPr>
            <w:r>
              <w:rPr>
                <w:rFonts w:ascii="方正书宋_GBK" w:eastAsia="方正书宋_GBK"/>
              </w:rPr>
              <w:t>10.00</w:t>
            </w:r>
          </w:p>
        </w:tc>
        <w:tc>
          <w:tcPr>
            <w:tcW w:w="1587" w:type="dxa"/>
            <w:vAlign w:val="center"/>
          </w:tcPr>
          <w:p w14:paraId="5490EA5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0907BEF">
            <w:pPr>
              <w:spacing w:line="300" w:lineRule="exact"/>
              <w:jc w:val="left"/>
              <w:rPr>
                <w:rFonts w:ascii="方正书宋_GBK" w:eastAsia="方正书宋_GBK"/>
              </w:rPr>
            </w:pPr>
            <w:r>
              <w:rPr>
                <w:rFonts w:ascii="方正书宋_GBK" w:eastAsia="方正书宋_GBK"/>
              </w:rPr>
              <w:t>10.00</w:t>
            </w:r>
          </w:p>
        </w:tc>
        <w:tc>
          <w:tcPr>
            <w:tcW w:w="1276" w:type="dxa"/>
            <w:vAlign w:val="center"/>
          </w:tcPr>
          <w:p w14:paraId="50E14C0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8883B95">
            <w:pPr>
              <w:spacing w:line="300" w:lineRule="exact"/>
              <w:jc w:val="left"/>
              <w:rPr>
                <w:rFonts w:ascii="方正书宋_GBK" w:eastAsia="方正书宋_GBK"/>
              </w:rPr>
            </w:pPr>
          </w:p>
        </w:tc>
      </w:tr>
      <w:tr w14:paraId="663D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223D7FD5">
            <w:pPr>
              <w:spacing w:line="300" w:lineRule="exact"/>
              <w:jc w:val="left"/>
              <w:outlineLvl w:val="1"/>
            </w:pPr>
          </w:p>
        </w:tc>
        <w:tc>
          <w:tcPr>
            <w:tcW w:w="8278" w:type="dxa"/>
            <w:gridSpan w:val="6"/>
            <w:vAlign w:val="center"/>
          </w:tcPr>
          <w:p w14:paraId="5128FF77">
            <w:pPr>
              <w:spacing w:line="300" w:lineRule="exact"/>
              <w:jc w:val="left"/>
              <w:rPr>
                <w:rFonts w:ascii="方正书宋_GBK" w:eastAsia="方正书宋_GBK"/>
              </w:rPr>
            </w:pPr>
            <w:r>
              <w:rPr>
                <w:rFonts w:hint="eastAsia" w:ascii="方正书宋_GBK" w:eastAsia="方正书宋_GBK"/>
              </w:rPr>
              <w:t>义务植树专项资金主要用于购买义务植树用苗，制作宣传条幅、植树标牌、植树场地清理、周边环境整治等。</w:t>
            </w:r>
          </w:p>
        </w:tc>
      </w:tr>
      <w:tr w14:paraId="232B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CB1D7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F8F680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791D45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2C9621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98BC01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AC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4590DE8">
            <w:pPr>
              <w:spacing w:line="300" w:lineRule="exact"/>
              <w:jc w:val="left"/>
              <w:outlineLvl w:val="1"/>
            </w:pPr>
          </w:p>
        </w:tc>
        <w:tc>
          <w:tcPr>
            <w:tcW w:w="2410" w:type="dxa"/>
            <w:gridSpan w:val="2"/>
            <w:vAlign w:val="center"/>
          </w:tcPr>
          <w:p w14:paraId="189A07E5">
            <w:pPr>
              <w:spacing w:line="300" w:lineRule="exact"/>
              <w:jc w:val="center"/>
              <w:rPr>
                <w:rFonts w:ascii="方正书宋_GBK" w:eastAsia="方正书宋_GBK"/>
              </w:rPr>
            </w:pPr>
          </w:p>
        </w:tc>
        <w:tc>
          <w:tcPr>
            <w:tcW w:w="1587" w:type="dxa"/>
            <w:vAlign w:val="center"/>
          </w:tcPr>
          <w:p w14:paraId="4A802BD8">
            <w:pPr>
              <w:spacing w:line="300" w:lineRule="exact"/>
              <w:jc w:val="center"/>
              <w:rPr>
                <w:rFonts w:ascii="方正书宋_GBK" w:eastAsia="方正书宋_GBK"/>
              </w:rPr>
            </w:pPr>
            <w:r>
              <w:rPr>
                <w:rFonts w:ascii="方正书宋_GBK" w:eastAsia="方正书宋_GBK"/>
              </w:rPr>
              <w:t>50.00</w:t>
            </w:r>
          </w:p>
        </w:tc>
        <w:tc>
          <w:tcPr>
            <w:tcW w:w="1304" w:type="dxa"/>
            <w:vAlign w:val="center"/>
          </w:tcPr>
          <w:p w14:paraId="342C5BCA">
            <w:pPr>
              <w:spacing w:line="300" w:lineRule="exact"/>
              <w:jc w:val="center"/>
              <w:rPr>
                <w:rFonts w:ascii="方正书宋_GBK" w:eastAsia="方正书宋_GBK"/>
              </w:rPr>
            </w:pPr>
          </w:p>
        </w:tc>
        <w:tc>
          <w:tcPr>
            <w:tcW w:w="2977" w:type="dxa"/>
            <w:gridSpan w:val="2"/>
            <w:vAlign w:val="center"/>
          </w:tcPr>
          <w:p w14:paraId="5E7869B0">
            <w:pPr>
              <w:spacing w:line="300" w:lineRule="exact"/>
              <w:jc w:val="center"/>
              <w:rPr>
                <w:rFonts w:ascii="方正书宋_GBK" w:eastAsia="方正书宋_GBK"/>
              </w:rPr>
            </w:pPr>
            <w:r>
              <w:rPr>
                <w:rFonts w:ascii="方正书宋_GBK" w:eastAsia="方正书宋_GBK"/>
              </w:rPr>
              <w:t>100.00</w:t>
            </w:r>
          </w:p>
        </w:tc>
      </w:tr>
      <w:tr w14:paraId="0AD0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C166E3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E0ADB0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、完成全民义务植树</w:t>
            </w:r>
            <w:r>
              <w:rPr>
                <w:rFonts w:ascii="方正书宋_GBK" w:eastAsia="方正书宋_GBK"/>
              </w:rPr>
              <w:t>75</w:t>
            </w:r>
            <w:r>
              <w:rPr>
                <w:rFonts w:hint="eastAsia" w:ascii="方正书宋_GBK" w:eastAsia="方正书宋_GBK"/>
              </w:rPr>
              <w:t>万株，义务植树尽责率达到</w:t>
            </w:r>
            <w:r>
              <w:rPr>
                <w:rFonts w:ascii="方正书宋_GBK" w:eastAsia="方正书宋_GBK"/>
              </w:rPr>
              <w:t>85%</w:t>
            </w:r>
            <w:r>
              <w:rPr>
                <w:rFonts w:hint="eastAsia" w:ascii="方正书宋_GBK" w:eastAsia="方正书宋_GBK"/>
              </w:rPr>
              <w:t>以上。</w:t>
            </w:r>
          </w:p>
        </w:tc>
      </w:tr>
    </w:tbl>
    <w:p w14:paraId="7989749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03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14:paraId="19D6C0A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6605CF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4CF86A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65A197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9DE6CA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8008BF5">
            <w:pPr>
              <w:spacing w:line="300" w:lineRule="exact"/>
              <w:jc w:val="center"/>
              <w:rPr>
                <w:rFonts w:ascii="方正书宋_GBK" w:eastAsia="方正书宋_GBK"/>
                <w:b/>
              </w:rPr>
            </w:pPr>
            <w:r>
              <w:rPr>
                <w:rFonts w:hint="eastAsia" w:ascii="方正书宋_GBK" w:eastAsia="方正书宋_GBK"/>
                <w:b/>
              </w:rPr>
              <w:t>指标值确定依据</w:t>
            </w:r>
          </w:p>
        </w:tc>
      </w:tr>
      <w:tr w14:paraId="5709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E59636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3B1D47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95D9319">
            <w:pPr>
              <w:spacing w:line="300" w:lineRule="exact"/>
              <w:jc w:val="left"/>
              <w:rPr>
                <w:rFonts w:ascii="方正书宋_GBK" w:eastAsia="方正书宋_GBK"/>
              </w:rPr>
            </w:pPr>
            <w:r>
              <w:rPr>
                <w:rFonts w:hint="eastAsia" w:ascii="方正书宋_GBK" w:eastAsia="方正书宋_GBK"/>
              </w:rPr>
              <w:t>完成义务植树株数</w:t>
            </w:r>
          </w:p>
        </w:tc>
        <w:tc>
          <w:tcPr>
            <w:tcW w:w="2891" w:type="dxa"/>
            <w:vAlign w:val="center"/>
          </w:tcPr>
          <w:p w14:paraId="1ECD8F0D">
            <w:pPr>
              <w:spacing w:line="300" w:lineRule="exact"/>
              <w:jc w:val="left"/>
              <w:rPr>
                <w:rFonts w:ascii="方正书宋_GBK" w:eastAsia="方正书宋_GBK"/>
              </w:rPr>
            </w:pPr>
            <w:r>
              <w:rPr>
                <w:rFonts w:hint="eastAsia" w:ascii="方正书宋_GBK" w:eastAsia="方正书宋_GBK"/>
              </w:rPr>
              <w:t>全年完成义务植树株数</w:t>
            </w:r>
          </w:p>
        </w:tc>
        <w:tc>
          <w:tcPr>
            <w:tcW w:w="1276" w:type="dxa"/>
            <w:vAlign w:val="center"/>
          </w:tcPr>
          <w:p w14:paraId="2D1270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万株</w:t>
            </w:r>
          </w:p>
        </w:tc>
        <w:tc>
          <w:tcPr>
            <w:tcW w:w="1701" w:type="dxa"/>
            <w:vAlign w:val="center"/>
          </w:tcPr>
          <w:p w14:paraId="1B915696">
            <w:pPr>
              <w:spacing w:line="300" w:lineRule="exact"/>
              <w:jc w:val="left"/>
              <w:rPr>
                <w:rFonts w:ascii="方正书宋_GBK" w:eastAsia="方正书宋_GBK"/>
              </w:rPr>
            </w:pPr>
            <w:r>
              <w:rPr>
                <w:rFonts w:hint="eastAsia" w:ascii="方正书宋_GBK" w:eastAsia="方正书宋_GBK"/>
              </w:rPr>
              <w:t>河北省绿化条例</w:t>
            </w:r>
          </w:p>
        </w:tc>
      </w:tr>
      <w:tr w14:paraId="7E47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B72B50B">
            <w:pPr>
              <w:spacing w:line="300" w:lineRule="exact"/>
              <w:jc w:val="center"/>
              <w:rPr>
                <w:rFonts w:ascii="方正书宋_GBK" w:eastAsia="方正书宋_GBK"/>
              </w:rPr>
            </w:pPr>
          </w:p>
        </w:tc>
        <w:tc>
          <w:tcPr>
            <w:tcW w:w="1134" w:type="dxa"/>
            <w:vAlign w:val="center"/>
          </w:tcPr>
          <w:p w14:paraId="7164E9D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9BE2D35">
            <w:pPr>
              <w:spacing w:line="300" w:lineRule="exact"/>
              <w:jc w:val="left"/>
              <w:rPr>
                <w:rFonts w:ascii="方正书宋_GBK" w:eastAsia="方正书宋_GBK"/>
              </w:rPr>
            </w:pPr>
            <w:r>
              <w:rPr>
                <w:rFonts w:hint="eastAsia" w:ascii="方正书宋_GBK" w:eastAsia="方正书宋_GBK"/>
              </w:rPr>
              <w:t>义务植树尽责率</w:t>
            </w:r>
          </w:p>
        </w:tc>
        <w:tc>
          <w:tcPr>
            <w:tcW w:w="2891" w:type="dxa"/>
            <w:vAlign w:val="center"/>
          </w:tcPr>
          <w:p w14:paraId="15488C21">
            <w:pPr>
              <w:spacing w:line="300" w:lineRule="exact"/>
              <w:jc w:val="left"/>
              <w:rPr>
                <w:rFonts w:ascii="方正书宋_GBK" w:eastAsia="方正书宋_GBK"/>
              </w:rPr>
            </w:pPr>
            <w:r>
              <w:rPr>
                <w:rFonts w:hint="eastAsia" w:ascii="方正书宋_GBK" w:eastAsia="方正书宋_GBK"/>
              </w:rPr>
              <w:t>义务植树活动参加人数占应尽责人数的比例</w:t>
            </w:r>
          </w:p>
        </w:tc>
        <w:tc>
          <w:tcPr>
            <w:tcW w:w="1276" w:type="dxa"/>
            <w:vAlign w:val="center"/>
          </w:tcPr>
          <w:p w14:paraId="71F974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14:paraId="05817183">
            <w:pPr>
              <w:spacing w:line="300" w:lineRule="exact"/>
              <w:jc w:val="left"/>
              <w:rPr>
                <w:rFonts w:ascii="方正书宋_GBK" w:eastAsia="方正书宋_GBK"/>
              </w:rPr>
            </w:pPr>
            <w:r>
              <w:rPr>
                <w:rFonts w:hint="eastAsia" w:ascii="方正书宋_GBK" w:eastAsia="方正书宋_GBK"/>
              </w:rPr>
              <w:t>河北省绿化条例</w:t>
            </w:r>
          </w:p>
        </w:tc>
      </w:tr>
      <w:tr w14:paraId="598D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FD4E97">
            <w:pPr>
              <w:spacing w:line="300" w:lineRule="exact"/>
              <w:jc w:val="center"/>
              <w:rPr>
                <w:rFonts w:ascii="方正书宋_GBK" w:eastAsia="方正书宋_GBK"/>
              </w:rPr>
            </w:pPr>
          </w:p>
        </w:tc>
        <w:tc>
          <w:tcPr>
            <w:tcW w:w="1134" w:type="dxa"/>
            <w:vAlign w:val="center"/>
          </w:tcPr>
          <w:p w14:paraId="3EE56FE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C058B51">
            <w:pPr>
              <w:spacing w:line="300" w:lineRule="exact"/>
              <w:jc w:val="left"/>
              <w:rPr>
                <w:rFonts w:ascii="方正书宋_GBK" w:eastAsia="方正书宋_GBK"/>
              </w:rPr>
            </w:pPr>
            <w:r>
              <w:rPr>
                <w:rFonts w:hint="eastAsia" w:ascii="方正书宋_GBK" w:eastAsia="方正书宋_GBK"/>
              </w:rPr>
              <w:t>义务植树任务</w:t>
            </w:r>
          </w:p>
        </w:tc>
        <w:tc>
          <w:tcPr>
            <w:tcW w:w="2891" w:type="dxa"/>
            <w:vAlign w:val="center"/>
          </w:tcPr>
          <w:p w14:paraId="3CE045C3">
            <w:pPr>
              <w:spacing w:line="300" w:lineRule="exact"/>
              <w:jc w:val="left"/>
              <w:rPr>
                <w:rFonts w:ascii="方正书宋_GBK" w:eastAsia="方正书宋_GBK"/>
              </w:rPr>
            </w:pPr>
            <w:r>
              <w:rPr>
                <w:rFonts w:hint="eastAsia" w:ascii="方正书宋_GBK" w:eastAsia="方正书宋_GBK"/>
              </w:rPr>
              <w:t>人均植树任务</w:t>
            </w:r>
          </w:p>
        </w:tc>
        <w:tc>
          <w:tcPr>
            <w:tcW w:w="1276" w:type="dxa"/>
            <w:vAlign w:val="center"/>
          </w:tcPr>
          <w:p w14:paraId="533ACC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棵</w:t>
            </w:r>
          </w:p>
        </w:tc>
        <w:tc>
          <w:tcPr>
            <w:tcW w:w="1701" w:type="dxa"/>
            <w:vAlign w:val="center"/>
          </w:tcPr>
          <w:p w14:paraId="3809A383">
            <w:pPr>
              <w:spacing w:line="300" w:lineRule="exact"/>
              <w:jc w:val="left"/>
              <w:rPr>
                <w:rFonts w:ascii="方正书宋_GBK" w:eastAsia="方正书宋_GBK"/>
              </w:rPr>
            </w:pPr>
            <w:r>
              <w:rPr>
                <w:rFonts w:hint="eastAsia" w:ascii="方正书宋_GBK" w:eastAsia="方正书宋_GBK"/>
              </w:rPr>
              <w:t>河北省绿化条例</w:t>
            </w:r>
          </w:p>
        </w:tc>
      </w:tr>
      <w:tr w14:paraId="17FB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3E6609E">
            <w:pPr>
              <w:spacing w:line="300" w:lineRule="exact"/>
              <w:jc w:val="center"/>
              <w:rPr>
                <w:rFonts w:ascii="方正书宋_GBK" w:eastAsia="方正书宋_GBK"/>
              </w:rPr>
            </w:pPr>
          </w:p>
        </w:tc>
        <w:tc>
          <w:tcPr>
            <w:tcW w:w="1134" w:type="dxa"/>
            <w:vAlign w:val="center"/>
          </w:tcPr>
          <w:p w14:paraId="7E5551C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2228CB7">
            <w:pPr>
              <w:spacing w:line="300" w:lineRule="exact"/>
              <w:jc w:val="left"/>
              <w:rPr>
                <w:rFonts w:ascii="方正书宋_GBK" w:eastAsia="方正书宋_GBK"/>
              </w:rPr>
            </w:pPr>
            <w:r>
              <w:rPr>
                <w:rFonts w:hint="eastAsia" w:ascii="方正书宋_GBK" w:eastAsia="方正书宋_GBK"/>
              </w:rPr>
              <w:t>规定时间完成义务植树任务比例</w:t>
            </w:r>
          </w:p>
        </w:tc>
        <w:tc>
          <w:tcPr>
            <w:tcW w:w="2891" w:type="dxa"/>
            <w:vAlign w:val="center"/>
          </w:tcPr>
          <w:p w14:paraId="5A0602E4">
            <w:pPr>
              <w:spacing w:line="300" w:lineRule="exact"/>
              <w:jc w:val="left"/>
              <w:rPr>
                <w:rFonts w:ascii="方正书宋_GBK" w:eastAsia="方正书宋_GBK"/>
              </w:rPr>
            </w:pPr>
            <w:r>
              <w:rPr>
                <w:rFonts w:hint="eastAsia" w:ascii="方正书宋_GBK" w:eastAsia="方正书宋_GBK"/>
              </w:rPr>
              <w:t>规定时间内完成义务植树任务占义务植树总任务的比例</w:t>
            </w:r>
          </w:p>
        </w:tc>
        <w:tc>
          <w:tcPr>
            <w:tcW w:w="1276" w:type="dxa"/>
            <w:vAlign w:val="center"/>
          </w:tcPr>
          <w:p w14:paraId="4FE24F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百分号</w:t>
            </w:r>
          </w:p>
        </w:tc>
        <w:tc>
          <w:tcPr>
            <w:tcW w:w="1701" w:type="dxa"/>
            <w:vAlign w:val="center"/>
          </w:tcPr>
          <w:p w14:paraId="33E97F24">
            <w:pPr>
              <w:spacing w:line="300" w:lineRule="exact"/>
              <w:jc w:val="left"/>
              <w:rPr>
                <w:rFonts w:ascii="方正书宋_GBK" w:eastAsia="方正书宋_GBK"/>
              </w:rPr>
            </w:pPr>
            <w:r>
              <w:rPr>
                <w:rFonts w:hint="eastAsia" w:ascii="方正书宋_GBK" w:eastAsia="方正书宋_GBK"/>
              </w:rPr>
              <w:t>历史标准</w:t>
            </w:r>
          </w:p>
        </w:tc>
      </w:tr>
      <w:tr w14:paraId="0CA4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A1D367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DC53DFE">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54B60E71">
            <w:pPr>
              <w:spacing w:line="300" w:lineRule="exact"/>
              <w:jc w:val="left"/>
              <w:rPr>
                <w:rFonts w:ascii="方正书宋_GBK" w:eastAsia="方正书宋_GBK"/>
              </w:rPr>
            </w:pPr>
            <w:r>
              <w:rPr>
                <w:rFonts w:hint="eastAsia" w:ascii="方正书宋_GBK" w:eastAsia="方正书宋_GBK"/>
              </w:rPr>
              <w:t>通过植树活动每年新增树木</w:t>
            </w:r>
          </w:p>
        </w:tc>
        <w:tc>
          <w:tcPr>
            <w:tcW w:w="2891" w:type="dxa"/>
            <w:vAlign w:val="center"/>
          </w:tcPr>
          <w:p w14:paraId="777B5991">
            <w:pPr>
              <w:spacing w:line="300" w:lineRule="exact"/>
              <w:jc w:val="left"/>
              <w:rPr>
                <w:rFonts w:ascii="方正书宋_GBK" w:eastAsia="方正书宋_GBK"/>
              </w:rPr>
            </w:pPr>
            <w:r>
              <w:rPr>
                <w:rFonts w:hint="eastAsia" w:ascii="方正书宋_GBK" w:eastAsia="方正书宋_GBK"/>
              </w:rPr>
              <w:t>每年栽植树木数量</w:t>
            </w:r>
          </w:p>
        </w:tc>
        <w:tc>
          <w:tcPr>
            <w:tcW w:w="1276" w:type="dxa"/>
            <w:vAlign w:val="center"/>
          </w:tcPr>
          <w:p w14:paraId="620929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万株</w:t>
            </w:r>
          </w:p>
        </w:tc>
        <w:tc>
          <w:tcPr>
            <w:tcW w:w="1701" w:type="dxa"/>
            <w:vAlign w:val="center"/>
          </w:tcPr>
          <w:p w14:paraId="3DB76C83">
            <w:pPr>
              <w:spacing w:line="300" w:lineRule="exact"/>
              <w:jc w:val="left"/>
              <w:rPr>
                <w:rFonts w:ascii="方正书宋_GBK" w:eastAsia="方正书宋_GBK"/>
              </w:rPr>
            </w:pPr>
            <w:r>
              <w:rPr>
                <w:rFonts w:hint="eastAsia" w:ascii="方正书宋_GBK" w:eastAsia="方正书宋_GBK"/>
              </w:rPr>
              <w:t>河北省绿化条例</w:t>
            </w:r>
          </w:p>
        </w:tc>
      </w:tr>
    </w:tbl>
    <w:p w14:paraId="7B29BD62"/>
    <w:p w14:paraId="27D9D09B"/>
    <w:p w14:paraId="13204DF6"/>
    <w:p w14:paraId="34928F5D"/>
    <w:p w14:paraId="02C73C85"/>
    <w:p w14:paraId="015EDDDF"/>
    <w:p w14:paraId="224B5797"/>
    <w:p w14:paraId="2DDB4329"/>
    <w:p w14:paraId="5B182C13"/>
    <w:p w14:paraId="1232991A"/>
    <w:p w14:paraId="0639072B"/>
    <w:p w14:paraId="685490D2"/>
    <w:p w14:paraId="38C892F8"/>
    <w:p w14:paraId="32113448"/>
    <w:p w14:paraId="099B17A5">
      <w:pPr>
        <w:sectPr>
          <w:headerReference r:id="rId5" w:type="first"/>
          <w:footerReference r:id="rId8" w:type="first"/>
          <w:headerReference r:id="rId3" w:type="default"/>
          <w:footerReference r:id="rId6" w:type="default"/>
          <w:headerReference r:id="rId4" w:type="even"/>
          <w:footerReference r:id="rId7" w:type="even"/>
          <w:pgSz w:w="11907" w:h="16839" w:orient="landscape"/>
          <w:pgMar w:top="1701" w:right="1304" w:bottom="1134" w:left="1304" w:header="851" w:footer="992" w:gutter="0"/>
          <w:cols w:space="720" w:num="1"/>
          <w:docGrid w:type="lines" w:linePitch="312" w:charSpace="0"/>
        </w:sectPr>
      </w:pPr>
    </w:p>
    <w:bookmarkEnd w:id="0"/>
    <w:p w14:paraId="36966A7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9A291FE">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50</w:t>
      </w:r>
      <w:r>
        <w:rPr>
          <w:rFonts w:hint="eastAsia" w:ascii="Times New Roman" w:hAnsi="Times New Roman" w:eastAsia="仿宋" w:cs="Times New Roman"/>
          <w:sz w:val="32"/>
          <w:szCs w:val="24"/>
        </w:rPr>
        <w:t>万元。具体内容见下表。</w:t>
      </w:r>
      <w:bookmarkEnd w:id="5"/>
    </w:p>
    <w:p w14:paraId="3B0307FF">
      <w:pPr>
        <w:ind w:firstLine="640" w:firstLineChars="200"/>
        <w:jc w:val="center"/>
        <w:outlineLvl w:val="0"/>
        <w:rPr>
          <w:rFonts w:ascii="方正小标宋_GBK" w:eastAsia="方正小标宋_GBK"/>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ascii="方正小标宋_GBK" w:eastAsia="方正小标宋_GBK"/>
          <w:sz w:val="32"/>
        </w:rPr>
        <w:instrText xml:space="preserve">" \f A \l 0000000001</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4402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5526A0F2">
            <w:pPr>
              <w:spacing w:line="300" w:lineRule="exact"/>
              <w:jc w:val="left"/>
              <w:rPr>
                <w:rFonts w:ascii="方正小标宋_GBK" w:eastAsia="方正小标宋_GBK"/>
                <w:sz w:val="24"/>
              </w:rPr>
            </w:pPr>
            <w:r>
              <w:rPr>
                <w:rFonts w:ascii="方正小标宋_GBK" w:eastAsia="方正小标宋_GBK"/>
                <w:sz w:val="24"/>
              </w:rPr>
              <w:t>328</w:t>
            </w:r>
            <w:r>
              <w:rPr>
                <w:rFonts w:hint="eastAsia" w:ascii="方正小标宋_GBK" w:eastAsia="方正小标宋_GBK"/>
                <w:sz w:val="24"/>
              </w:rPr>
              <w:t>石家庄市鹿泉区太行山绿化工程建设中心</w:t>
            </w:r>
          </w:p>
        </w:tc>
        <w:tc>
          <w:tcPr>
            <w:tcW w:w="6804" w:type="dxa"/>
            <w:gridSpan w:val="6"/>
            <w:tcBorders>
              <w:top w:val="single" w:color="FFFFFF" w:sz="6" w:space="0"/>
              <w:left w:val="single" w:color="FFFFFF" w:sz="6" w:space="0"/>
              <w:right w:val="single" w:color="FFFFFF" w:sz="6" w:space="0"/>
            </w:tcBorders>
            <w:vAlign w:val="center"/>
          </w:tcPr>
          <w:p w14:paraId="2C5519C8">
            <w:pPr>
              <w:spacing w:line="300" w:lineRule="exact"/>
              <w:jc w:val="right"/>
              <w:rPr>
                <w:rFonts w:ascii="方正书宋_GBK" w:eastAsia="方正书宋_GBK"/>
                <w:sz w:val="24"/>
              </w:rPr>
            </w:pPr>
            <w:r>
              <w:rPr>
                <w:rFonts w:hint="eastAsia" w:ascii="方正书宋_GBK" w:eastAsia="方正书宋_GBK"/>
                <w:sz w:val="24"/>
              </w:rPr>
              <w:t>单位：万元</w:t>
            </w:r>
          </w:p>
        </w:tc>
      </w:tr>
      <w:tr w14:paraId="5013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5B15AA98">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14:paraId="46966885">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14:paraId="1E9C9A89">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4B8841FC">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14:paraId="642C43AB">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206F17E2">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3A47728B">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DE1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5D61C1F7">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2C0D0703">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14:paraId="4D1AC786">
            <w:pPr>
              <w:spacing w:line="300" w:lineRule="exact"/>
              <w:jc w:val="left"/>
              <w:outlineLvl w:val="0"/>
              <w:rPr>
                <w:rFonts w:eastAsia="方正仿宋_GBK"/>
                <w:sz w:val="28"/>
              </w:rPr>
            </w:pPr>
          </w:p>
        </w:tc>
        <w:tc>
          <w:tcPr>
            <w:tcW w:w="1531" w:type="dxa"/>
            <w:vMerge w:val="continue"/>
            <w:vAlign w:val="center"/>
          </w:tcPr>
          <w:p w14:paraId="4826B1EB">
            <w:pPr>
              <w:spacing w:line="300" w:lineRule="exact"/>
              <w:jc w:val="left"/>
              <w:outlineLvl w:val="0"/>
              <w:rPr>
                <w:rFonts w:eastAsia="方正仿宋_GBK"/>
                <w:sz w:val="28"/>
              </w:rPr>
            </w:pPr>
          </w:p>
        </w:tc>
        <w:tc>
          <w:tcPr>
            <w:tcW w:w="709" w:type="dxa"/>
            <w:vMerge w:val="continue"/>
            <w:vAlign w:val="center"/>
          </w:tcPr>
          <w:p w14:paraId="3F98E7FD">
            <w:pPr>
              <w:spacing w:line="300" w:lineRule="exact"/>
              <w:jc w:val="left"/>
              <w:outlineLvl w:val="0"/>
              <w:rPr>
                <w:rFonts w:eastAsia="方正仿宋_GBK"/>
                <w:sz w:val="28"/>
              </w:rPr>
            </w:pPr>
          </w:p>
        </w:tc>
        <w:tc>
          <w:tcPr>
            <w:tcW w:w="907" w:type="dxa"/>
            <w:vMerge w:val="continue"/>
            <w:vAlign w:val="center"/>
          </w:tcPr>
          <w:p w14:paraId="02FEBBD0">
            <w:pPr>
              <w:spacing w:line="300" w:lineRule="exact"/>
              <w:jc w:val="left"/>
              <w:outlineLvl w:val="0"/>
              <w:rPr>
                <w:rFonts w:eastAsia="方正仿宋_GBK"/>
                <w:sz w:val="28"/>
              </w:rPr>
            </w:pPr>
          </w:p>
        </w:tc>
        <w:tc>
          <w:tcPr>
            <w:tcW w:w="907" w:type="dxa"/>
            <w:vMerge w:val="continue"/>
            <w:vAlign w:val="center"/>
          </w:tcPr>
          <w:p w14:paraId="6C7A256D">
            <w:pPr>
              <w:spacing w:line="300" w:lineRule="exact"/>
              <w:jc w:val="left"/>
              <w:outlineLvl w:val="0"/>
              <w:rPr>
                <w:rFonts w:eastAsia="方正仿宋_GBK"/>
                <w:sz w:val="28"/>
              </w:rPr>
            </w:pPr>
          </w:p>
        </w:tc>
        <w:tc>
          <w:tcPr>
            <w:tcW w:w="1134" w:type="dxa"/>
            <w:vAlign w:val="center"/>
          </w:tcPr>
          <w:p w14:paraId="3BE723AA">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79B83464">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1E15B1A0">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5C9E45E7">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7C91CD85">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18BBA36D">
            <w:pPr>
              <w:spacing w:line="300" w:lineRule="exact"/>
              <w:jc w:val="center"/>
              <w:rPr>
                <w:rFonts w:ascii="方正书宋_GBK" w:eastAsia="方正书宋_GBK"/>
                <w:b/>
              </w:rPr>
            </w:pPr>
            <w:r>
              <w:rPr>
                <w:rFonts w:hint="eastAsia" w:ascii="方正书宋_GBK" w:eastAsia="方正书宋_GBK"/>
                <w:b/>
              </w:rPr>
              <w:t>其他来源收入</w:t>
            </w:r>
          </w:p>
        </w:tc>
      </w:tr>
      <w:tr w14:paraId="428E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7FAA0EB">
            <w:pPr>
              <w:spacing w:line="300" w:lineRule="exact"/>
              <w:jc w:val="center"/>
              <w:rPr>
                <w:rFonts w:ascii="方正书宋_GBK" w:eastAsia="方正书宋_GBK"/>
                <w:b/>
              </w:rPr>
            </w:pPr>
            <w:r>
              <w:rPr>
                <w:rFonts w:hint="eastAsia" w:ascii="方正书宋_GBK" w:eastAsia="方正书宋_GBK"/>
                <w:b/>
              </w:rPr>
              <w:t>石家庄市鹿泉区太行山绿化工程建设中心小计</w:t>
            </w:r>
          </w:p>
        </w:tc>
        <w:tc>
          <w:tcPr>
            <w:tcW w:w="1134" w:type="dxa"/>
            <w:vAlign w:val="center"/>
          </w:tcPr>
          <w:p w14:paraId="61FB6176">
            <w:pPr>
              <w:spacing w:line="300" w:lineRule="exact"/>
              <w:jc w:val="right"/>
              <w:rPr>
                <w:rFonts w:ascii="方正书宋_GBK" w:eastAsia="方正书宋_GBK"/>
                <w:b/>
              </w:rPr>
            </w:pPr>
          </w:p>
        </w:tc>
        <w:tc>
          <w:tcPr>
            <w:tcW w:w="1531" w:type="dxa"/>
            <w:vAlign w:val="center"/>
          </w:tcPr>
          <w:p w14:paraId="0583AD92">
            <w:pPr>
              <w:spacing w:line="300" w:lineRule="exact"/>
              <w:jc w:val="left"/>
              <w:rPr>
                <w:rFonts w:ascii="方正书宋_GBK" w:eastAsia="方正书宋_GBK"/>
                <w:b/>
              </w:rPr>
            </w:pPr>
          </w:p>
        </w:tc>
        <w:tc>
          <w:tcPr>
            <w:tcW w:w="1531" w:type="dxa"/>
            <w:vAlign w:val="center"/>
          </w:tcPr>
          <w:p w14:paraId="5732237E">
            <w:pPr>
              <w:spacing w:line="300" w:lineRule="exact"/>
              <w:jc w:val="left"/>
              <w:rPr>
                <w:rFonts w:ascii="方正书宋_GBK" w:eastAsia="方正书宋_GBK"/>
                <w:b/>
              </w:rPr>
            </w:pPr>
          </w:p>
        </w:tc>
        <w:tc>
          <w:tcPr>
            <w:tcW w:w="709" w:type="dxa"/>
            <w:vAlign w:val="center"/>
          </w:tcPr>
          <w:p w14:paraId="6ECF717E">
            <w:pPr>
              <w:spacing w:line="300" w:lineRule="exact"/>
              <w:jc w:val="center"/>
              <w:rPr>
                <w:rFonts w:ascii="方正书宋_GBK" w:eastAsia="方正书宋_GBK"/>
                <w:b/>
              </w:rPr>
            </w:pPr>
          </w:p>
        </w:tc>
        <w:tc>
          <w:tcPr>
            <w:tcW w:w="907" w:type="dxa"/>
            <w:vAlign w:val="center"/>
          </w:tcPr>
          <w:p w14:paraId="49C4816E">
            <w:pPr>
              <w:spacing w:line="300" w:lineRule="exact"/>
              <w:jc w:val="right"/>
              <w:rPr>
                <w:rFonts w:ascii="方正书宋_GBK" w:eastAsia="方正书宋_GBK"/>
                <w:b/>
              </w:rPr>
            </w:pPr>
          </w:p>
        </w:tc>
        <w:tc>
          <w:tcPr>
            <w:tcW w:w="907" w:type="dxa"/>
            <w:vAlign w:val="center"/>
          </w:tcPr>
          <w:p w14:paraId="5A8630E8">
            <w:pPr>
              <w:spacing w:line="300" w:lineRule="exact"/>
              <w:jc w:val="right"/>
              <w:rPr>
                <w:rFonts w:ascii="方正书宋_GBK" w:eastAsia="方正书宋_GBK"/>
                <w:b/>
              </w:rPr>
            </w:pPr>
          </w:p>
        </w:tc>
        <w:tc>
          <w:tcPr>
            <w:tcW w:w="1134" w:type="dxa"/>
            <w:vAlign w:val="center"/>
          </w:tcPr>
          <w:p w14:paraId="1B82EA8B">
            <w:pPr>
              <w:spacing w:line="300" w:lineRule="exact"/>
              <w:jc w:val="right"/>
              <w:rPr>
                <w:rFonts w:ascii="方正书宋_GBK" w:eastAsia="方正书宋_GBK"/>
                <w:b/>
              </w:rPr>
            </w:pPr>
            <w:r>
              <w:rPr>
                <w:rFonts w:ascii="方正书宋_GBK" w:eastAsia="方正书宋_GBK"/>
                <w:b/>
              </w:rPr>
              <w:t>50.00</w:t>
            </w:r>
          </w:p>
        </w:tc>
        <w:tc>
          <w:tcPr>
            <w:tcW w:w="1134" w:type="dxa"/>
            <w:vAlign w:val="center"/>
          </w:tcPr>
          <w:p w14:paraId="38E9BA84">
            <w:pPr>
              <w:spacing w:line="300" w:lineRule="exact"/>
              <w:jc w:val="right"/>
              <w:rPr>
                <w:rFonts w:ascii="方正书宋_GBK" w:eastAsia="方正书宋_GBK"/>
                <w:b/>
              </w:rPr>
            </w:pPr>
          </w:p>
        </w:tc>
        <w:tc>
          <w:tcPr>
            <w:tcW w:w="1134" w:type="dxa"/>
            <w:vAlign w:val="center"/>
          </w:tcPr>
          <w:p w14:paraId="6A168755">
            <w:pPr>
              <w:spacing w:line="300" w:lineRule="exact"/>
              <w:jc w:val="right"/>
              <w:rPr>
                <w:rFonts w:ascii="方正书宋_GBK" w:eastAsia="方正书宋_GBK"/>
                <w:b/>
              </w:rPr>
            </w:pPr>
            <w:r>
              <w:rPr>
                <w:rFonts w:ascii="方正书宋_GBK" w:eastAsia="方正书宋_GBK"/>
                <w:b/>
              </w:rPr>
              <w:t>50.00</w:t>
            </w:r>
          </w:p>
        </w:tc>
        <w:tc>
          <w:tcPr>
            <w:tcW w:w="1134" w:type="dxa"/>
            <w:vAlign w:val="center"/>
          </w:tcPr>
          <w:p w14:paraId="57F8AA77">
            <w:pPr>
              <w:spacing w:line="300" w:lineRule="exact"/>
              <w:jc w:val="right"/>
              <w:rPr>
                <w:rFonts w:ascii="方正书宋_GBK" w:eastAsia="方正书宋_GBK"/>
                <w:b/>
              </w:rPr>
            </w:pPr>
          </w:p>
        </w:tc>
        <w:tc>
          <w:tcPr>
            <w:tcW w:w="1134" w:type="dxa"/>
            <w:vAlign w:val="center"/>
          </w:tcPr>
          <w:p w14:paraId="1AC85433">
            <w:pPr>
              <w:spacing w:line="300" w:lineRule="exact"/>
              <w:jc w:val="right"/>
              <w:rPr>
                <w:rFonts w:ascii="方正书宋_GBK" w:eastAsia="方正书宋_GBK"/>
                <w:b/>
              </w:rPr>
            </w:pPr>
          </w:p>
        </w:tc>
        <w:tc>
          <w:tcPr>
            <w:tcW w:w="1134" w:type="dxa"/>
            <w:vAlign w:val="center"/>
          </w:tcPr>
          <w:p w14:paraId="3FCFC828">
            <w:pPr>
              <w:spacing w:line="300" w:lineRule="exact"/>
              <w:jc w:val="right"/>
              <w:rPr>
                <w:rFonts w:ascii="方正书宋_GBK" w:eastAsia="方正书宋_GBK"/>
                <w:b/>
              </w:rPr>
            </w:pPr>
          </w:p>
        </w:tc>
      </w:tr>
      <w:tr w14:paraId="780C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D4CED8A">
            <w:pPr>
              <w:spacing w:line="300" w:lineRule="exact"/>
              <w:jc w:val="left"/>
              <w:rPr>
                <w:rFonts w:ascii="方正书宋_GBK" w:eastAsia="方正书宋_GBK"/>
              </w:rPr>
            </w:pPr>
            <w:r>
              <w:rPr>
                <w:rFonts w:hint="eastAsia" w:ascii="方正书宋_GBK" w:eastAsia="方正书宋_GBK"/>
              </w:rPr>
              <w:t>智慧城市广场花海管护费</w:t>
            </w:r>
          </w:p>
        </w:tc>
        <w:tc>
          <w:tcPr>
            <w:tcW w:w="1134" w:type="dxa"/>
            <w:vAlign w:val="center"/>
          </w:tcPr>
          <w:p w14:paraId="797AD58B">
            <w:pPr>
              <w:spacing w:line="300" w:lineRule="exact"/>
              <w:jc w:val="right"/>
              <w:rPr>
                <w:rFonts w:ascii="方正书宋_GBK" w:eastAsia="方正书宋_GBK"/>
              </w:rPr>
            </w:pPr>
            <w:r>
              <w:rPr>
                <w:rFonts w:ascii="方正书宋_GBK" w:eastAsia="方正书宋_GBK"/>
              </w:rPr>
              <w:t>50.00</w:t>
            </w:r>
          </w:p>
        </w:tc>
        <w:tc>
          <w:tcPr>
            <w:tcW w:w="1531" w:type="dxa"/>
            <w:vAlign w:val="center"/>
          </w:tcPr>
          <w:p w14:paraId="08AC57A6">
            <w:pPr>
              <w:spacing w:line="300" w:lineRule="exact"/>
              <w:jc w:val="left"/>
              <w:rPr>
                <w:rFonts w:ascii="方正书宋_GBK" w:eastAsia="方正书宋_GBK"/>
              </w:rPr>
            </w:pPr>
            <w:r>
              <w:rPr>
                <w:rFonts w:hint="eastAsia" w:ascii="方正书宋_GBK" w:eastAsia="方正书宋_GBK"/>
              </w:rPr>
              <w:t>园林绿化管理服务</w:t>
            </w:r>
          </w:p>
        </w:tc>
        <w:tc>
          <w:tcPr>
            <w:tcW w:w="1531" w:type="dxa"/>
            <w:vAlign w:val="center"/>
          </w:tcPr>
          <w:p w14:paraId="43C17033">
            <w:pPr>
              <w:spacing w:line="300" w:lineRule="exact"/>
              <w:jc w:val="left"/>
              <w:rPr>
                <w:rFonts w:ascii="方正书宋_GBK" w:eastAsia="方正书宋_GBK"/>
              </w:rPr>
            </w:pPr>
            <w:r>
              <w:rPr>
                <w:rFonts w:ascii="方正书宋_GBK" w:eastAsia="方正书宋_GBK"/>
              </w:rPr>
              <w:t>C1303</w:t>
            </w:r>
          </w:p>
        </w:tc>
        <w:tc>
          <w:tcPr>
            <w:tcW w:w="709" w:type="dxa"/>
            <w:vAlign w:val="center"/>
          </w:tcPr>
          <w:p w14:paraId="4BFF8A78">
            <w:pPr>
              <w:spacing w:line="300" w:lineRule="exact"/>
              <w:jc w:val="center"/>
              <w:rPr>
                <w:rFonts w:ascii="方正书宋_GBK" w:eastAsia="方正书宋_GBK"/>
              </w:rPr>
            </w:pPr>
            <w:r>
              <w:rPr>
                <w:rFonts w:hint="eastAsia" w:ascii="方正书宋_GBK" w:eastAsia="方正书宋_GBK"/>
              </w:rPr>
              <w:t>平方米</w:t>
            </w:r>
          </w:p>
        </w:tc>
        <w:tc>
          <w:tcPr>
            <w:tcW w:w="907" w:type="dxa"/>
            <w:vAlign w:val="center"/>
          </w:tcPr>
          <w:p w14:paraId="0D662379">
            <w:pPr>
              <w:spacing w:line="300" w:lineRule="exact"/>
              <w:jc w:val="right"/>
              <w:rPr>
                <w:rFonts w:ascii="方正书宋_GBK" w:eastAsia="方正书宋_GBK"/>
              </w:rPr>
            </w:pPr>
            <w:r>
              <w:rPr>
                <w:rFonts w:ascii="方正书宋_GBK" w:eastAsia="方正书宋_GBK"/>
              </w:rPr>
              <w:t>50.00</w:t>
            </w:r>
          </w:p>
        </w:tc>
        <w:tc>
          <w:tcPr>
            <w:tcW w:w="907" w:type="dxa"/>
            <w:vAlign w:val="center"/>
          </w:tcPr>
          <w:p w14:paraId="1F979386">
            <w:pPr>
              <w:spacing w:line="300" w:lineRule="exact"/>
              <w:jc w:val="right"/>
              <w:rPr>
                <w:rFonts w:ascii="方正书宋_GBK" w:eastAsia="方正书宋_GBK"/>
              </w:rPr>
            </w:pPr>
            <w:r>
              <w:rPr>
                <w:rFonts w:ascii="方正书宋_GBK" w:eastAsia="方正书宋_GBK"/>
              </w:rPr>
              <w:t>1.00</w:t>
            </w:r>
          </w:p>
        </w:tc>
        <w:tc>
          <w:tcPr>
            <w:tcW w:w="1134" w:type="dxa"/>
            <w:vAlign w:val="center"/>
          </w:tcPr>
          <w:p w14:paraId="4EE5F166">
            <w:pPr>
              <w:spacing w:line="300" w:lineRule="exact"/>
              <w:jc w:val="right"/>
              <w:rPr>
                <w:rFonts w:ascii="方正书宋_GBK" w:eastAsia="方正书宋_GBK"/>
              </w:rPr>
            </w:pPr>
            <w:r>
              <w:rPr>
                <w:rFonts w:ascii="方正书宋_GBK" w:eastAsia="方正书宋_GBK"/>
              </w:rPr>
              <w:t>50.00</w:t>
            </w:r>
          </w:p>
        </w:tc>
        <w:tc>
          <w:tcPr>
            <w:tcW w:w="1134" w:type="dxa"/>
            <w:vAlign w:val="center"/>
          </w:tcPr>
          <w:p w14:paraId="0B3CB468">
            <w:pPr>
              <w:spacing w:line="300" w:lineRule="exact"/>
              <w:jc w:val="right"/>
              <w:rPr>
                <w:rFonts w:ascii="方正书宋_GBK" w:eastAsia="方正书宋_GBK"/>
              </w:rPr>
            </w:pPr>
          </w:p>
        </w:tc>
        <w:tc>
          <w:tcPr>
            <w:tcW w:w="1134" w:type="dxa"/>
            <w:vAlign w:val="center"/>
          </w:tcPr>
          <w:p w14:paraId="3F8344A4">
            <w:pPr>
              <w:spacing w:line="300" w:lineRule="exact"/>
              <w:jc w:val="right"/>
              <w:rPr>
                <w:rFonts w:ascii="方正书宋_GBK" w:eastAsia="方正书宋_GBK"/>
              </w:rPr>
            </w:pPr>
            <w:r>
              <w:rPr>
                <w:rFonts w:ascii="方正书宋_GBK" w:eastAsia="方正书宋_GBK"/>
              </w:rPr>
              <w:t>50.00</w:t>
            </w:r>
          </w:p>
        </w:tc>
        <w:tc>
          <w:tcPr>
            <w:tcW w:w="1134" w:type="dxa"/>
            <w:vAlign w:val="center"/>
          </w:tcPr>
          <w:p w14:paraId="391A46DA">
            <w:pPr>
              <w:spacing w:line="300" w:lineRule="exact"/>
              <w:jc w:val="right"/>
              <w:rPr>
                <w:rFonts w:ascii="方正书宋_GBK" w:eastAsia="方正书宋_GBK"/>
              </w:rPr>
            </w:pPr>
          </w:p>
        </w:tc>
        <w:tc>
          <w:tcPr>
            <w:tcW w:w="1134" w:type="dxa"/>
            <w:vAlign w:val="center"/>
          </w:tcPr>
          <w:p w14:paraId="3F4CF9D3">
            <w:pPr>
              <w:spacing w:line="300" w:lineRule="exact"/>
              <w:jc w:val="right"/>
              <w:rPr>
                <w:rFonts w:ascii="方正书宋_GBK" w:eastAsia="方正书宋_GBK"/>
              </w:rPr>
            </w:pPr>
          </w:p>
        </w:tc>
        <w:tc>
          <w:tcPr>
            <w:tcW w:w="1134" w:type="dxa"/>
            <w:vAlign w:val="center"/>
          </w:tcPr>
          <w:p w14:paraId="7C7FE712">
            <w:pPr>
              <w:spacing w:line="300" w:lineRule="exact"/>
              <w:jc w:val="right"/>
              <w:rPr>
                <w:rFonts w:ascii="方正书宋_GBK" w:eastAsia="方正书宋_GBK"/>
              </w:rPr>
            </w:pPr>
          </w:p>
        </w:tc>
      </w:tr>
    </w:tbl>
    <w:p w14:paraId="33059BDF">
      <w:pPr>
        <w:outlineLvl w:val="0"/>
        <w:rPr>
          <w:rFonts w:ascii="Times New Roman" w:hAnsi="宋体"/>
          <w:sz w:val="32"/>
        </w:rPr>
      </w:pPr>
    </w:p>
    <w:p w14:paraId="693806E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0DE3DF9">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2019</w:t>
      </w:r>
      <w:r>
        <w:rPr>
          <w:rFonts w:hint="eastAsia" w:ascii="仿宋_GB2312" w:hAnsi="Times New Roman" w:eastAsia="仿宋_GB2312" w:cs="Times New Roman"/>
          <w:sz w:val="32"/>
          <w:szCs w:val="32"/>
        </w:rPr>
        <w:t>年末固定资产金额为</w:t>
      </w:r>
      <w:r>
        <w:rPr>
          <w:rFonts w:ascii="仿宋_GB2312" w:hAnsi="Times New Roman" w:eastAsia="仿宋_GB2312" w:cs="Times New Roman"/>
          <w:sz w:val="32"/>
          <w:szCs w:val="32"/>
        </w:rPr>
        <w:t>2.6058</w:t>
      </w:r>
      <w:r>
        <w:rPr>
          <w:rFonts w:hint="eastAsia" w:ascii="仿宋_GB2312" w:hAnsi="Times New Roman" w:eastAsia="仿宋_GB2312" w:cs="Times New Roman"/>
          <w:sz w:val="32"/>
          <w:szCs w:val="32"/>
        </w:rPr>
        <w:t>万元（详见下表），其中：房屋</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万元、汽车</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万元、其他固定资产</w:t>
      </w:r>
      <w:r>
        <w:rPr>
          <w:rFonts w:ascii="仿宋_GB2312" w:hAnsi="Times New Roman" w:eastAsia="仿宋_GB2312" w:cs="Times New Roman"/>
          <w:sz w:val="32"/>
          <w:szCs w:val="32"/>
        </w:rPr>
        <w:t>2.6058</w:t>
      </w:r>
      <w:r>
        <w:rPr>
          <w:rFonts w:hint="eastAsia" w:ascii="仿宋_GB2312" w:hAnsi="Times New Roman" w:eastAsia="仿宋_GB2312" w:cs="Times New Roman"/>
          <w:sz w:val="32"/>
          <w:szCs w:val="32"/>
        </w:rPr>
        <w:t>万元。本年度拟购置固定资产总额为</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p>
    <w:p w14:paraId="777CADE4">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1957850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2F30C5B">
            <w:pPr>
              <w:widowControl/>
              <w:jc w:val="center"/>
              <w:rPr>
                <w:rFonts w:ascii="宋体" w:cs="宋体"/>
                <w:b/>
                <w:bCs/>
                <w:kern w:val="0"/>
                <w:sz w:val="32"/>
                <w:szCs w:val="32"/>
              </w:rPr>
            </w:pPr>
            <w:r>
              <w:rPr>
                <w:rFonts w:hint="eastAsia" w:ascii="宋体" w:hAnsi="宋体" w:cs="宋体"/>
                <w:b/>
                <w:bCs/>
                <w:kern w:val="0"/>
                <w:sz w:val="32"/>
                <w:szCs w:val="32"/>
              </w:rPr>
              <w:t>鹿泉区区直部门固定资产占用情况表</w:t>
            </w:r>
          </w:p>
        </w:tc>
      </w:tr>
      <w:tr w14:paraId="395EFA2F">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BDE1502">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编制部门：鹿泉区太行山绿化工程建设中心</w:t>
            </w:r>
          </w:p>
        </w:tc>
        <w:tc>
          <w:tcPr>
            <w:tcW w:w="5103" w:type="dxa"/>
            <w:tcBorders>
              <w:top w:val="nil"/>
              <w:left w:val="nil"/>
              <w:bottom w:val="nil"/>
              <w:right w:val="nil"/>
            </w:tcBorders>
            <w:vAlign w:val="center"/>
          </w:tcPr>
          <w:p w14:paraId="3C2F3096">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67877D0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EA275CE">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526E547">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9D1573E">
            <w:pPr>
              <w:widowControl/>
              <w:jc w:val="center"/>
              <w:rPr>
                <w:rFonts w:ascii="宋体" w:cs="宋体"/>
                <w:b/>
                <w:bCs/>
                <w:kern w:val="0"/>
                <w:sz w:val="22"/>
              </w:rPr>
            </w:pPr>
            <w:r>
              <w:rPr>
                <w:rFonts w:hint="eastAsia" w:ascii="宋体" w:hAnsi="宋体" w:cs="宋体"/>
                <w:b/>
                <w:bCs/>
                <w:kern w:val="0"/>
                <w:sz w:val="22"/>
              </w:rPr>
              <w:t>价值（金额单位：万元）</w:t>
            </w:r>
          </w:p>
        </w:tc>
      </w:tr>
      <w:tr w14:paraId="09BD70F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57B81A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A69E41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5AD952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2.6058</w:t>
            </w:r>
          </w:p>
        </w:tc>
      </w:tr>
      <w:tr w14:paraId="0B9F980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075401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2C9C819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31D68B0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4D4BEF2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36BD1C7">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1AA49F4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7EC75B4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14CF7B6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769A3F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379DF8D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78D1665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56205C0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9BE9B3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14:paraId="013F137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00391C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09DA15C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F01755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6B2223F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A019FF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2.6058</w:t>
            </w:r>
          </w:p>
        </w:tc>
      </w:tr>
    </w:tbl>
    <w:p w14:paraId="28D9858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546FFB34">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、一般公共预算拨款收入：指区级财政当年拨付的资金。</w:t>
      </w:r>
    </w:p>
    <w:p w14:paraId="422C367D">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Times New Roman" w:eastAsia="仿宋_GB2312" w:cs="Times New Roman"/>
          <w:sz w:val="32"/>
          <w:szCs w:val="32"/>
        </w:rPr>
        <w:t>、事业收入：指事业单位开展专业业务活动及辅助活动所取得的收入。</w:t>
      </w:r>
    </w:p>
    <w:p w14:paraId="6F53C75D">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、其他收入：指除“一般公共预算拨款收入”、“事业收入”等以外的收入。主要是按规定动用的租房收入、存款利息收入等。</w:t>
      </w:r>
    </w:p>
    <w:p w14:paraId="3778BD77">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4</w:t>
      </w:r>
      <w:r>
        <w:rPr>
          <w:rFonts w:hint="eastAsia" w:ascii="仿宋_GB2312" w:hAnsi="Times New Roman" w:eastAsia="仿宋_GB2312" w:cs="Times New Roman"/>
          <w:sz w:val="32"/>
          <w:szCs w:val="32"/>
        </w:rPr>
        <w:t>、基本支出：指为保障机构正常运转、完成日常工作任务而发生的人员支出和公用支出。</w:t>
      </w:r>
    </w:p>
    <w:p w14:paraId="0E5A54FD">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5</w:t>
      </w:r>
      <w:r>
        <w:rPr>
          <w:rFonts w:hint="eastAsia" w:ascii="仿宋_GB2312" w:hAnsi="Times New Roman" w:eastAsia="仿宋_GB2312" w:cs="Times New Roman"/>
          <w:sz w:val="32"/>
          <w:szCs w:val="32"/>
        </w:rPr>
        <w:t>、项目支出：指在基本支出之外为完成特定行政任务和事业发展目标所发生的支出。</w:t>
      </w:r>
    </w:p>
    <w:p w14:paraId="1EF8262F">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6</w:t>
      </w:r>
      <w:r>
        <w:rPr>
          <w:rFonts w:hint="eastAsia" w:ascii="仿宋_GB2312" w:hAnsi="Times New Roman" w:eastAsia="仿宋_GB2312" w:cs="Times New Roman"/>
          <w:sz w:val="32"/>
          <w:szCs w:val="32"/>
        </w:rPr>
        <w:t>、上缴上级支出：指下级单位上缴上级的支出。</w:t>
      </w:r>
    </w:p>
    <w:p w14:paraId="14A3CEA0">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7</w:t>
      </w:r>
      <w:r>
        <w:rPr>
          <w:rFonts w:hint="eastAsia" w:ascii="仿宋_GB2312" w:hAnsi="Times New Roman" w:eastAsia="仿宋_GB2312" w:cs="Times New Roman"/>
          <w:sz w:val="32"/>
          <w:szCs w:val="32"/>
        </w:rPr>
        <w:t>、“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376289F">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8</w:t>
      </w:r>
      <w:r>
        <w:rPr>
          <w:rFonts w:hint="eastAsia" w:ascii="仿宋_GB2312" w:hAnsi="Times New Roman" w:eastAsia="仿宋_GB2312"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7248714">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9</w:t>
      </w:r>
      <w:r>
        <w:rPr>
          <w:rFonts w:hint="eastAsia" w:ascii="仿宋_GB2312" w:hAnsi="Times New Roman" w:eastAsia="仿宋_GB2312" w:cs="Times New Roman"/>
          <w:sz w:val="32"/>
          <w:szCs w:val="32"/>
        </w:rPr>
        <w:t>、上年结转：指以前年度尚未完成、结转到本年仍按原规定用途继续使用的资金。</w:t>
      </w:r>
    </w:p>
    <w:p w14:paraId="121C350A">
      <w:pPr>
        <w:spacing w:line="520" w:lineRule="exact"/>
        <w:ind w:firstLine="641"/>
        <w:rPr>
          <w:rFonts w:ascii="仿宋_GB2312" w:hAnsi="Times New Roman" w:eastAsia="仿宋_GB2312" w:cs="Times New Roman"/>
          <w:sz w:val="32"/>
          <w:szCs w:val="32"/>
        </w:rPr>
      </w:pPr>
      <w:r>
        <w:rPr>
          <w:rFonts w:ascii="仿宋_GB2312" w:hAnsi="Times New Roman" w:eastAsia="仿宋_GB2312" w:cs="Times New Roman"/>
          <w:sz w:val="32"/>
          <w:szCs w:val="32"/>
        </w:rPr>
        <w:t>10</w:t>
      </w:r>
      <w:r>
        <w:rPr>
          <w:rFonts w:hint="eastAsia" w:ascii="仿宋_GB2312" w:hAnsi="Times New Roman" w:eastAsia="仿宋_GB2312" w:cs="Times New Roman"/>
          <w:sz w:val="32"/>
          <w:szCs w:val="32"/>
        </w:rPr>
        <w:t>、事业单位经营支出：指事业单位在专业业务活动及其辅助活动之外开展非独立核算经营活动发生的支出。</w:t>
      </w:r>
    </w:p>
    <w:p w14:paraId="0D49C75B">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2A360740">
      <w:pPr>
        <w:spacing w:line="540" w:lineRule="exact"/>
        <w:ind w:firstLine="640" w:firstLineChars="200"/>
        <w:jc w:val="left"/>
        <w:outlineLvl w:val="0"/>
      </w:pPr>
      <w:r>
        <w:rPr>
          <w:rFonts w:ascii="仿宋_GB2312" w:hAnsi="宋体" w:eastAsia="仿宋_GB2312"/>
          <w:sz w:val="32"/>
          <w:szCs w:val="32"/>
        </w:rPr>
        <w:t>1</w:t>
      </w:r>
      <w:r>
        <w:rPr>
          <w:rFonts w:hint="eastAsia" w:ascii="仿宋_GB2312" w:hAnsi="宋体" w:eastAsia="仿宋_GB2312"/>
          <w:sz w:val="32"/>
          <w:szCs w:val="32"/>
        </w:rPr>
        <w:t>、我单位无国有资本经营预算财政拨款支出，所以部门预算国有资本经营预算财政拨款支出表为空表。</w:t>
      </w:r>
    </w:p>
    <w:sectPr>
      <w:footerReference r:id="rId9" w:type="default"/>
      <w:pgSz w:w="16838" w:h="11906" w:orient="landscape"/>
      <w:pgMar w:top="1797" w:right="1440" w:bottom="1797" w:left="144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B858F">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5</w:t>
    </w:r>
    <w:r>
      <w:rPr>
        <w:rStyle w:val="14"/>
      </w:rPr>
      <w:fldChar w:fldCharType="end"/>
    </w:r>
  </w:p>
  <w:p w14:paraId="23A67426">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6901C">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F8E5E">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BC032">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9</w:t>
    </w:r>
    <w:r>
      <w:rPr>
        <w:rStyle w:val="14"/>
      </w:rPr>
      <w:fldChar w:fldCharType="end"/>
    </w:r>
  </w:p>
  <w:p w14:paraId="0D6CE5B9">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BCFE7">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FC4F">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545E5">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VlODBiZDQ1NjJlMjQ4YTgyZjlmZDE5YjNkNzk5NmQifQ=="/>
  </w:docVars>
  <w:rsids>
    <w:rsidRoot w:val="00EE71BA"/>
    <w:rsid w:val="00011E44"/>
    <w:rsid w:val="000C7140"/>
    <w:rsid w:val="00182074"/>
    <w:rsid w:val="001B3D06"/>
    <w:rsid w:val="002016F6"/>
    <w:rsid w:val="00323B29"/>
    <w:rsid w:val="00366CA3"/>
    <w:rsid w:val="0039059E"/>
    <w:rsid w:val="003D3DFF"/>
    <w:rsid w:val="00452C01"/>
    <w:rsid w:val="00453085"/>
    <w:rsid w:val="004549CC"/>
    <w:rsid w:val="00461EC0"/>
    <w:rsid w:val="0048273A"/>
    <w:rsid w:val="004A1324"/>
    <w:rsid w:val="004C3AD5"/>
    <w:rsid w:val="00554818"/>
    <w:rsid w:val="005B3FCC"/>
    <w:rsid w:val="005B4DCC"/>
    <w:rsid w:val="005F3EB7"/>
    <w:rsid w:val="006E19E4"/>
    <w:rsid w:val="006F2941"/>
    <w:rsid w:val="00707FA1"/>
    <w:rsid w:val="00720DC3"/>
    <w:rsid w:val="00723B74"/>
    <w:rsid w:val="00744D7D"/>
    <w:rsid w:val="007A1206"/>
    <w:rsid w:val="007F0341"/>
    <w:rsid w:val="007F5DF8"/>
    <w:rsid w:val="00844768"/>
    <w:rsid w:val="00851006"/>
    <w:rsid w:val="00857C85"/>
    <w:rsid w:val="0089733D"/>
    <w:rsid w:val="008C0F0C"/>
    <w:rsid w:val="0091724C"/>
    <w:rsid w:val="00917C74"/>
    <w:rsid w:val="00923718"/>
    <w:rsid w:val="009A521C"/>
    <w:rsid w:val="009C282A"/>
    <w:rsid w:val="00A810AB"/>
    <w:rsid w:val="00AD05AA"/>
    <w:rsid w:val="00BA5732"/>
    <w:rsid w:val="00BC4483"/>
    <w:rsid w:val="00BF3A4F"/>
    <w:rsid w:val="00C04083"/>
    <w:rsid w:val="00C34999"/>
    <w:rsid w:val="00CE048D"/>
    <w:rsid w:val="00CE7A45"/>
    <w:rsid w:val="00D22397"/>
    <w:rsid w:val="00D607DA"/>
    <w:rsid w:val="00D95D87"/>
    <w:rsid w:val="00DB6C14"/>
    <w:rsid w:val="00DC16F6"/>
    <w:rsid w:val="00DC6EE5"/>
    <w:rsid w:val="00DD4B11"/>
    <w:rsid w:val="00E04DA1"/>
    <w:rsid w:val="00E13742"/>
    <w:rsid w:val="00EC0A3A"/>
    <w:rsid w:val="00EE41C9"/>
    <w:rsid w:val="00EE71BA"/>
    <w:rsid w:val="00F04322"/>
    <w:rsid w:val="00F117EE"/>
    <w:rsid w:val="00F1266D"/>
    <w:rsid w:val="00F65328"/>
    <w:rsid w:val="00F7536B"/>
    <w:rsid w:val="00F867E4"/>
    <w:rsid w:val="056D17C0"/>
    <w:rsid w:val="6C2861CE"/>
    <w:rsid w:val="F9ABFFD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9">
    <w:name w:val="footnote reference"/>
    <w:basedOn w:val="8"/>
    <w:qFormat/>
    <w:uiPriority w:val="99"/>
    <w:rPr>
      <w:rFonts w:cs="Times New Roman"/>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rPr>
  </w:style>
  <w:style w:type="character" w:customStyle="1" w:styleId="11">
    <w:name w:val="Header Char"/>
    <w:basedOn w:val="8"/>
    <w:link w:val="3"/>
    <w:semiHidden/>
    <w:qFormat/>
    <w:locked/>
    <w:uiPriority w:val="99"/>
    <w:rPr>
      <w:rFonts w:ascii="Times New Roman" w:hAnsi="Times New Roman" w:eastAsia="宋体" w:cs="Times New Roman"/>
      <w:sz w:val="18"/>
    </w:rPr>
  </w:style>
  <w:style w:type="character" w:customStyle="1" w:styleId="12">
    <w:name w:val="Footnote Text Char"/>
    <w:basedOn w:val="8"/>
    <w:link w:val="5"/>
    <w:semiHidden/>
    <w:qFormat/>
    <w:locked/>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9</Pages>
  <Words>3475</Words>
  <Characters>3682</Characters>
  <Lines>0</Lines>
  <Paragraphs>0</Paragraphs>
  <TotalTime>108</TotalTime>
  <ScaleCrop>false</ScaleCrop>
  <LinksUpToDate>false</LinksUpToDate>
  <CharactersWithSpaces>3691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2024-09-27T08:31:44Z</dcterms:modified>
  <dc:title>o</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080787861CC94DC08E2EE5634090B248_12</vt:lpwstr>
  </property>
</Properties>
</file>