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Theme="majorEastAsia" w:hAnsiTheme="majorEastAsia" w:eastAsiaTheme="majorEastAsia" w:cstheme="majorEastAsia"/>
          <w:b/>
          <w:bCs/>
          <w:sz w:val="36"/>
          <w:szCs w:val="36"/>
          <w:lang w:eastAsia="zh-CN"/>
        </w:rPr>
        <w:t>到村任职高校毕业生工资</w:t>
      </w:r>
      <w:r>
        <w:rPr>
          <w:rFonts w:hint="eastAsia" w:ascii="宋体"/>
          <w:b/>
          <w:bCs/>
          <w:sz w:val="36"/>
          <w:szCs w:val="32"/>
          <w:lang w:eastAsia="zh-CN"/>
        </w:rPr>
        <w:t>项目</w:t>
      </w:r>
      <w:r>
        <w:rPr>
          <w:rFonts w:hint="eastAsia" w:ascii="宋体"/>
          <w:b/>
          <w:bCs/>
          <w:sz w:val="36"/>
          <w:szCs w:val="32"/>
        </w:rPr>
        <w:t>绩效评价报告</w:t>
      </w:r>
    </w:p>
    <w:p>
      <w:pPr>
        <w:spacing w:line="360" w:lineRule="auto"/>
        <w:ind w:left="0" w:leftChars="0" w:right="0" w:rightChars="0" w:firstLine="0" w:firstLineChars="0"/>
        <w:jc w:val="both"/>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到村任职高校毕业生工资项目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r>
        <w:rPr>
          <w:rFonts w:hint="eastAsia" w:ascii="仿宋_GB2312" w:eastAsia="仿宋_GB2312"/>
          <w:sz w:val="32"/>
          <w:szCs w:val="32"/>
          <w:lang w:val="en-US" w:eastAsia="zh-CN"/>
        </w:rPr>
        <w:t>:</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eastAsia="zh-CN"/>
        </w:rPr>
        <w:t>到村任职高校毕业生工资项目实施单位为鹿泉区山尹村镇人民政府，根据《中共石家庄市鹿泉区委组织部请示报告卡》和《关于调整大学生</w:t>
      </w:r>
      <w:bookmarkStart w:id="0" w:name="_GoBack"/>
      <w:bookmarkEnd w:id="0"/>
      <w:r>
        <w:rPr>
          <w:rFonts w:hint="eastAsia" w:ascii="仿宋_GB2312" w:eastAsia="仿宋_GB2312"/>
          <w:sz w:val="32"/>
          <w:szCs w:val="32"/>
          <w:lang w:eastAsia="zh-CN"/>
        </w:rPr>
        <w:t>村官工资待遇的方案》实施本项目。</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（1）山尹村镇人民政府根据《中共石家庄市鹿泉区委组织部请示报告卡》和《关于调整大学生村官工资待遇的方案》，调整后大学生村干部待遇为：本科4996.87元/月/人；研究生5446.87元/月/人</w:t>
      </w:r>
      <w:r>
        <w:rPr>
          <w:rFonts w:hint="eastAsia" w:ascii="仿宋_GB2312" w:eastAsia="仿宋_GB2312"/>
          <w:sz w:val="32"/>
          <w:szCs w:val="32"/>
          <w:lang w:val="en-US" w:eastAsia="zh-CN"/>
        </w:rPr>
        <w:t>,按照政策要求标准</w:t>
      </w:r>
      <w:r>
        <w:rPr>
          <w:rFonts w:hint="eastAsia" w:ascii="仿宋_GB2312" w:eastAsia="仿宋_GB2312"/>
          <w:sz w:val="32"/>
          <w:szCs w:val="32"/>
          <w:lang w:eastAsia="zh-CN"/>
        </w:rPr>
        <w:t>做好我镇大学生村干部工资发放工作。</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（2）该项目具有紧迫性，及时规范发放大学生村干部工资，调动大学生村干部工作积极性、创造性，优化农村干部队伍。此项目经济效益较高，且具有很高的社会效益。</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eastAsia="zh-CN"/>
        </w:rPr>
        <w:t>（3）项目属于财政支持范围，且经过相关部门充分调研论证，按照立项、勘察各个环节分步实施。对项目立项规范性、绩效目标合理性和绩效指标明确性等情况进行分析后，根据指标体系评分标准计算分值。</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2.项目主要实施内容和范围：</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我镇2019年1-5月有村干部共3人，王晓青本科山尹村副书记、王志艳研究生西郭庄村书记、宋妍研究生东郭庄村副书记。</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我镇7-10月有村干部共2人，王晓青本科山尹村副书记、王志艳研究生西郭庄村书记。</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我镇11-12月有村干部1人，王志艳研究生西郭庄村书记。</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3.项目资金投入情况：我镇全年需支付到村任职高校毕业生工资133722.11元，资金来源为区财政出资。</w:t>
      </w:r>
    </w:p>
    <w:p>
      <w:pPr>
        <w:numPr>
          <w:ilvl w:val="0"/>
          <w:numId w:val="1"/>
        </w:num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numPr>
          <w:ilvl w:val="0"/>
          <w:numId w:val="0"/>
        </w:numPr>
        <w:adjustRightInd w:val="0"/>
        <w:snapToGrid w:val="0"/>
        <w:spacing w:line="360" w:lineRule="auto"/>
        <w:rPr>
          <w:rFonts w:hint="eastAsia" w:ascii="楷体_GB2312" w:hAnsi="楷体_GB2312" w:eastAsia="楷体_GB2312" w:cs="楷体_GB2312"/>
          <w:b w:val="0"/>
          <w:bCs w:val="0"/>
          <w:sz w:val="32"/>
          <w:szCs w:val="32"/>
        </w:rPr>
      </w:pP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lang w:eastAsia="zh-CN"/>
        </w:rPr>
        <w:t>到村任职高校毕业生工资每月需按照实有人数和政策标准通过银行代发的形式及时兑现到大学生村干部手中，调动了大学村干部工作积极性、创造性，优化农村干部队伍，推动新农村建设。</w:t>
      </w:r>
    </w:p>
    <w:p>
      <w:pPr>
        <w:adjustRightInd w:val="0"/>
        <w:snapToGrid w:val="0"/>
        <w:spacing w:line="360" w:lineRule="auto"/>
        <w:ind w:firstLine="642"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lang w:val="en-US" w:eastAsia="zh-CN"/>
        </w:rPr>
        <w:t xml:space="preserve">    通过全面评价2019年到村任职高校毕业生工资项目，形成真实、准确、清晰的绩效评价结论，为后期强化预算绩效管理提供重要依据。一方面考核项目绩效目标的完成程度，增强项目实施单位对财政资金使用的责任感，规范资金管理，确保资金安全与高效使用。另一方面考核评价项目管理工作的运行绩效，分析资金使用后对大学生村干部工作发展的影响。第三通过对预算资金的产出和结果进行评价，发现预算执行、资金使用管理中存在的问题，优化资金资源，提高资金使用效率，为下一年预算安排提供参考依据。</w:t>
      </w:r>
    </w:p>
    <w:p>
      <w:pPr>
        <w:ind w:left="0"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（二）绩效评价的方法和过程</w:t>
      </w:r>
    </w:p>
    <w:p>
      <w:pPr>
        <w:numPr>
          <w:ilvl w:val="0"/>
          <w:numId w:val="2"/>
        </w:numPr>
        <w:ind w:left="481" w:leftChars="0" w:right="0" w:right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评价方法</w:t>
      </w:r>
    </w:p>
    <w:p>
      <w:pPr>
        <w:keepNext w:val="0"/>
        <w:keepLines w:val="0"/>
        <w:pageBreakBefore w:val="0"/>
        <w:widowControl w:val="0"/>
        <w:numPr>
          <w:ilvl w:val="0"/>
          <w:numId w:val="0"/>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本项目从实际情况出发，采取以下方法，同时在运用具体评价方法时，采用定量与定性相结合的技术进行综合评价。</w:t>
      </w:r>
    </w:p>
    <w:p>
      <w:pPr>
        <w:keepNext w:val="0"/>
        <w:keepLines w:val="0"/>
        <w:pageBreakBefore w:val="0"/>
        <w:widowControl w:val="0"/>
        <w:numPr>
          <w:ilvl w:val="0"/>
          <w:numId w:val="3"/>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比较法：通过对绩效目标与实施效果比较，综合分析绩效目标的实现程度；</w:t>
      </w:r>
    </w:p>
    <w:p>
      <w:pPr>
        <w:keepNext w:val="0"/>
        <w:keepLines w:val="0"/>
        <w:pageBreakBefore w:val="0"/>
        <w:widowControl w:val="0"/>
        <w:numPr>
          <w:ilvl w:val="0"/>
          <w:numId w:val="3"/>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因素分析法：通过综合分析影响绩效目标实现、实施效果的内外因素，评价绩效目标的实现程度；</w:t>
      </w:r>
    </w:p>
    <w:p>
      <w:pPr>
        <w:keepNext w:val="0"/>
        <w:keepLines w:val="0"/>
        <w:pageBreakBefore w:val="0"/>
        <w:widowControl w:val="0"/>
        <w:numPr>
          <w:ilvl w:val="0"/>
          <w:numId w:val="3"/>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项目效益分析法：通过项目支出与项目效益进行对比分析，评价绩效目标的实现程度；</w:t>
      </w:r>
    </w:p>
    <w:p>
      <w:pPr>
        <w:ind w:left="0" w:leftChars="0" w:right="0" w:rightChars="0" w:firstLine="640" w:firstLineChars="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（4）公众评价法：通过问卷调查对项目支出效果进行评价目标的实现程度。</w:t>
      </w:r>
    </w:p>
    <w:p>
      <w:pPr>
        <w:keepNext w:val="0"/>
        <w:keepLines w:val="0"/>
        <w:pageBreakBefore w:val="0"/>
        <w:widowControl w:val="0"/>
        <w:numPr>
          <w:ilvl w:val="0"/>
          <w:numId w:val="2"/>
        </w:numPr>
        <w:tabs>
          <w:tab w:val="clear" w:pos="312"/>
        </w:tabs>
        <w:kinsoku/>
        <w:wordWrap/>
        <w:overflowPunct/>
        <w:topLinePunct w:val="0"/>
        <w:autoSpaceDE/>
        <w:autoSpaceDN/>
        <w:bidi w:val="0"/>
        <w:adjustRightInd/>
        <w:snapToGrid/>
        <w:ind w:left="481" w:leftChars="0" w:right="0" w:rightChars="0" w:firstLine="0" w:firstLineChars="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评价过程</w:t>
      </w:r>
    </w:p>
    <w:p>
      <w:pPr>
        <w:keepNext w:val="0"/>
        <w:keepLines w:val="0"/>
        <w:pageBreakBefore w:val="0"/>
        <w:widowControl w:val="0"/>
        <w:numPr>
          <w:ilvl w:val="0"/>
          <w:numId w:val="0"/>
        </w:numPr>
        <w:kinsoku/>
        <w:wordWrap/>
        <w:overflowPunct/>
        <w:topLinePunct w:val="0"/>
        <w:autoSpaceDE/>
        <w:autoSpaceDN/>
        <w:bidi w:val="0"/>
        <w:adjustRightInd/>
        <w:snapToGrid/>
        <w:ind w:left="0" w:leftChars="0"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绩效评价组通过财政部门和资金使用部门收集相关资料对项目深入研究、反复研讨，针对项目的特性设计相关表格进行统计、分析、核实。评价小组进行实地考察，听取项目情况介绍，了解项目的开展、执行及管控，并进行问卷调查，以获取绩效评价业务需要的基础资料。</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在开展预算绩效评价工作时，针对具体绩效评价对象的特点，设计具体的绩效评价指标体系。</w:t>
      </w:r>
      <w:r>
        <w:rPr>
          <w:rFonts w:hint="eastAsia" w:ascii="仿宋_GB2312" w:eastAsia="仿宋_GB2312"/>
          <w:sz w:val="32"/>
          <w:szCs w:val="32"/>
          <w:lang w:val="en-US" w:eastAsia="zh-CN"/>
        </w:rPr>
        <w:t>除共性指标外，必须设置能够体现项目特点和绩效的个性指标；项目产出指标与项目效果指标设置数量在8个（含）以上，分值权重占总体的65%以上。具体为：</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投入的分值30分，包括项目立项15分、资金落实情况15分；</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项目实施过程分值30分，包括业务管理15分、财务管理分值15分；</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产出与效益分值40分，包括项目产出20分、项目效益20分。</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numPr>
          <w:ilvl w:val="0"/>
          <w:numId w:val="4"/>
        </w:numPr>
        <w:ind w:firstLine="640" w:firstLineChars="200"/>
        <w:rPr>
          <w:rFonts w:hint="eastAsia" w:ascii="仿宋_GB2312" w:eastAsia="仿宋_GB2312"/>
          <w:b w:val="0"/>
          <w:bCs w:val="0"/>
          <w:sz w:val="32"/>
          <w:szCs w:val="32"/>
          <w:lang w:val="en-US" w:eastAsia="zh-CN"/>
        </w:rPr>
      </w:pP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项目立项得分</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rPr>
        <w:t>分值</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 xml:space="preserve">) </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）绩效目标合理性指标分值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w:t>
      </w:r>
      <w:r>
        <w:rPr>
          <w:rFonts w:hint="eastAsia" w:ascii="仿宋_GB2312" w:hAnsi="楷体" w:eastAsia="仿宋_GB2312"/>
          <w:sz w:val="32"/>
          <w:szCs w:val="32"/>
          <w:lang w:eastAsia="zh-CN"/>
        </w:rPr>
        <w:t>山尹村镇</w:t>
      </w:r>
      <w:r>
        <w:rPr>
          <w:rFonts w:hint="eastAsia" w:ascii="仿宋_GB2312" w:hAnsi="楷体" w:eastAsia="仿宋_GB2312"/>
          <w:sz w:val="32"/>
          <w:szCs w:val="32"/>
        </w:rPr>
        <w:t>绩效目标能与项目年度任务数相对应的，能与预算确定的资金量相匹配，得满分。</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）绩效指标明确性指标分值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分：能将项目绩效目标细化分解为具体的绩效指标，项目绩效指标清晰、可衡量，得满分。</w:t>
      </w:r>
    </w:p>
    <w:p>
      <w:pPr>
        <w:ind w:firstLine="640" w:firstLineChars="200"/>
        <w:rPr>
          <w:rFonts w:hint="eastAsia" w:ascii="仿宋_GB2312" w:eastAsia="仿宋_GB2312"/>
          <w:b w:val="0"/>
          <w:bCs w:val="0"/>
          <w:sz w:val="32"/>
          <w:szCs w:val="32"/>
          <w:lang w:val="en-US" w:eastAsia="zh-CN"/>
        </w:rPr>
      </w:pPr>
      <w:r>
        <w:rPr>
          <w:rFonts w:hint="eastAsia" w:ascii="仿宋_GB2312" w:hAnsi="楷体" w:eastAsia="仿宋_GB2312"/>
          <w:sz w:val="32"/>
          <w:szCs w:val="32"/>
        </w:rPr>
        <w:t>（</w:t>
      </w:r>
      <w:r>
        <w:rPr>
          <w:rFonts w:ascii="仿宋_GB2312" w:hAnsi="楷体" w:eastAsia="仿宋_GB2312"/>
          <w:sz w:val="32"/>
          <w:szCs w:val="32"/>
        </w:rPr>
        <w:t>3</w:t>
      </w:r>
      <w:r>
        <w:rPr>
          <w:rFonts w:hint="eastAsia" w:ascii="仿宋_GB2312" w:hAnsi="楷体" w:eastAsia="仿宋_GB2312"/>
          <w:sz w:val="32"/>
          <w:szCs w:val="32"/>
        </w:rPr>
        <w:t>）项目立项规范性指标分值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分：项目立项程序规范，所提交的材料、文件符合相关要求，得满分。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资金落实得分15分（分值15分）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（1）资金到位率指标分值5分，得分5分：2019年项目资金计划投入133722.11元，实际到位资金总额为133722.11元，资金到位率100%，得满分。  </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（2）资金到位及时率指标分值5分，得分5分：项目资金及时足额下达，得5分。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（3）资金使用率指标分值5分，得分5分：截止2019年底，项目实施单位实际使用资金总额133722.11元，实际到位资金总额133722.11元，全部用于发放大学生村干部工资，资金使用率为100%，得5分。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5"/>
        </w:numPr>
        <w:spacing w:line="360" w:lineRule="auto"/>
        <w:ind w:firstLine="640"/>
        <w:contextualSpacing/>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业务管理情况分析。</w:t>
      </w:r>
    </w:p>
    <w:p>
      <w:pPr>
        <w:spacing w:line="360" w:lineRule="auto"/>
        <w:ind w:firstLine="640"/>
        <w:contextualSpacing/>
        <w:rPr>
          <w:rFonts w:ascii="仿宋_GB2312" w:hAnsi="楷体" w:eastAsia="仿宋_GB2312"/>
          <w:sz w:val="32"/>
          <w:szCs w:val="32"/>
        </w:rPr>
      </w:pPr>
      <w:r>
        <w:rPr>
          <w:rFonts w:hint="eastAsia" w:ascii="仿宋_GB2312" w:hAnsi="楷体" w:eastAsia="仿宋_GB2312"/>
          <w:sz w:val="32"/>
          <w:szCs w:val="32"/>
          <w:lang w:val="en-US" w:eastAsia="zh-CN"/>
        </w:rPr>
        <w:t xml:space="preserve"> </w:t>
      </w:r>
      <w:r>
        <w:rPr>
          <w:rFonts w:hint="eastAsia" w:ascii="仿宋_GB2312" w:hAnsi="楷体" w:eastAsia="仿宋_GB2312"/>
          <w:sz w:val="32"/>
          <w:szCs w:val="32"/>
        </w:rPr>
        <w:t>业务管理得分</w:t>
      </w:r>
      <w:r>
        <w:rPr>
          <w:rFonts w:hint="eastAsia" w:ascii="仿宋_GB2312" w:hAnsi="楷体" w:eastAsia="仿宋_GB2312"/>
          <w:sz w:val="32"/>
          <w:szCs w:val="32"/>
          <w:lang w:val="en-US" w:eastAsia="zh-CN"/>
        </w:rPr>
        <w:t>13</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lang w:eastAsia="zh-CN"/>
        </w:rPr>
        <w:t>分值</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rPr>
        <w:t>。</w:t>
      </w:r>
    </w:p>
    <w:p>
      <w:pPr>
        <w:ind w:firstLine="640"/>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）组织建设指标分值</w:t>
      </w:r>
      <w:r>
        <w:rPr>
          <w:rFonts w:hint="eastAsia" w:ascii="仿宋_GB2312" w:hAnsi="楷体" w:eastAsia="仿宋_GB2312"/>
          <w:sz w:val="32"/>
          <w:szCs w:val="32"/>
          <w:lang w:val="en-US" w:eastAsia="zh-CN"/>
        </w:rPr>
        <w:t>8</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8</w:t>
      </w:r>
      <w:r>
        <w:rPr>
          <w:rFonts w:hint="eastAsia" w:ascii="仿宋_GB2312" w:hAnsi="楷体" w:eastAsia="仿宋_GB2312"/>
          <w:sz w:val="32"/>
          <w:szCs w:val="32"/>
        </w:rPr>
        <w:t>分。</w:t>
      </w:r>
      <w:r>
        <w:rPr>
          <w:rFonts w:hint="eastAsia" w:ascii="仿宋_GB2312" w:hAnsi="楷体" w:eastAsia="仿宋_GB2312"/>
          <w:sz w:val="32"/>
          <w:szCs w:val="32"/>
          <w:lang w:eastAsia="zh-CN"/>
        </w:rPr>
        <w:t>山尹村镇组织办对大学生村干部</w:t>
      </w:r>
      <w:r>
        <w:rPr>
          <w:rFonts w:hint="eastAsia" w:ascii="仿宋_GB2312" w:hAnsi="楷体" w:eastAsia="仿宋_GB2312"/>
          <w:sz w:val="32"/>
          <w:szCs w:val="32"/>
        </w:rPr>
        <w:t>情况进行审核，满分。</w:t>
      </w:r>
    </w:p>
    <w:p>
      <w:pPr>
        <w:ind w:firstLine="640"/>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）监督管理指标分值</w:t>
      </w:r>
      <w:r>
        <w:rPr>
          <w:rFonts w:hint="eastAsia" w:ascii="仿宋_GB2312" w:hAnsi="楷体" w:eastAsia="仿宋_GB2312"/>
          <w:sz w:val="32"/>
          <w:szCs w:val="32"/>
          <w:lang w:val="en-US" w:eastAsia="zh-CN"/>
        </w:rPr>
        <w:t>7</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w:t>
      </w:r>
      <w:r>
        <w:rPr>
          <w:rFonts w:hint="eastAsia" w:ascii="仿宋_GB2312" w:hAnsi="楷体" w:eastAsia="仿宋_GB2312"/>
          <w:sz w:val="32"/>
          <w:szCs w:val="32"/>
          <w:lang w:eastAsia="zh-CN"/>
        </w:rPr>
        <w:t>山尹村镇定期对大学生村干部出勤情况进行考核</w:t>
      </w:r>
      <w:r>
        <w:rPr>
          <w:rFonts w:hint="eastAsia" w:ascii="仿宋_GB2312" w:hAnsi="楷体" w:eastAsia="仿宋_GB2312"/>
          <w:sz w:val="32"/>
          <w:szCs w:val="32"/>
        </w:rPr>
        <w:t>，得分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分；但未定期对项目资金进行专项审计，得</w:t>
      </w:r>
      <w:r>
        <w:rPr>
          <w:rFonts w:ascii="仿宋_GB2312" w:hAnsi="楷体" w:eastAsia="仿宋_GB2312"/>
          <w:sz w:val="32"/>
          <w:szCs w:val="32"/>
        </w:rPr>
        <w:t>0</w:t>
      </w:r>
      <w:r>
        <w:rPr>
          <w:rFonts w:hint="eastAsia" w:ascii="仿宋_GB2312" w:hAnsi="楷体" w:eastAsia="仿宋_GB2312"/>
          <w:sz w:val="32"/>
          <w:szCs w:val="32"/>
        </w:rPr>
        <w:t>分。</w:t>
      </w:r>
    </w:p>
    <w:p>
      <w:pPr>
        <w:ind w:firstLine="640"/>
        <w:rPr>
          <w:rFonts w:ascii="仿宋_GB2312" w:hAnsi="楷体" w:eastAsia="仿宋_GB2312"/>
          <w:sz w:val="32"/>
          <w:szCs w:val="32"/>
        </w:rPr>
      </w:pPr>
      <w:r>
        <w:rPr>
          <w:rFonts w:hint="eastAsia" w:ascii="仿宋_GB2312" w:hAnsi="楷体" w:eastAsia="仿宋_GB2312"/>
          <w:sz w:val="32"/>
          <w:szCs w:val="32"/>
          <w:lang w:val="en-US" w:eastAsia="zh-CN"/>
        </w:rPr>
        <w:t xml:space="preserve">  </w:t>
      </w:r>
    </w:p>
    <w:p>
      <w:pPr>
        <w:numPr>
          <w:ilvl w:val="0"/>
          <w:numId w:val="5"/>
        </w:numPr>
        <w:ind w:firstLine="640" w:firstLineChars="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财务管理。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财务管理得分15分（分值15分）</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）财务管理制度健全性指标分值</w:t>
      </w:r>
      <w:r>
        <w:rPr>
          <w:rFonts w:hint="eastAsia" w:ascii="仿宋_GB2312" w:hAnsi="楷体" w:eastAsia="仿宋_GB2312"/>
          <w:sz w:val="32"/>
          <w:szCs w:val="32"/>
          <w:lang w:val="en-US" w:eastAsia="zh-CN"/>
        </w:rPr>
        <w:t>4</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4</w:t>
      </w:r>
      <w:r>
        <w:rPr>
          <w:rFonts w:hint="eastAsia" w:ascii="仿宋_GB2312" w:hAnsi="楷体" w:eastAsia="仿宋_GB2312"/>
          <w:sz w:val="32"/>
          <w:szCs w:val="32"/>
        </w:rPr>
        <w:t>分。</w:t>
      </w:r>
      <w:r>
        <w:rPr>
          <w:rFonts w:hint="eastAsia" w:ascii="仿宋_GB2312" w:hAnsi="楷体" w:eastAsia="仿宋_GB2312"/>
          <w:sz w:val="32"/>
          <w:szCs w:val="32"/>
          <w:lang w:eastAsia="zh-CN"/>
        </w:rPr>
        <w:t>山尹村镇建立大学生村干部考核</w:t>
      </w:r>
      <w:r>
        <w:rPr>
          <w:rFonts w:hint="eastAsia" w:ascii="仿宋_GB2312" w:hAnsi="楷体" w:eastAsia="仿宋_GB2312"/>
          <w:sz w:val="32"/>
          <w:szCs w:val="32"/>
        </w:rPr>
        <w:t>制度，形成</w:t>
      </w:r>
      <w:r>
        <w:rPr>
          <w:rFonts w:hint="eastAsia" w:ascii="仿宋_GB2312" w:hAnsi="楷体" w:eastAsia="仿宋_GB2312"/>
          <w:sz w:val="32"/>
          <w:szCs w:val="32"/>
          <w:lang w:eastAsia="zh-CN"/>
        </w:rPr>
        <w:t>山尹村镇组织办、</w:t>
      </w:r>
      <w:r>
        <w:rPr>
          <w:rFonts w:hint="eastAsia" w:ascii="仿宋_GB2312" w:hAnsi="楷体" w:eastAsia="仿宋_GB2312"/>
          <w:sz w:val="32"/>
          <w:szCs w:val="32"/>
        </w:rPr>
        <w:t>财政之间的联通联动机制，对资金发放实现全程监管。</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）资金使用合规性指标分值</w:t>
      </w:r>
      <w:r>
        <w:rPr>
          <w:rFonts w:hint="eastAsia" w:ascii="仿宋_GB2312" w:hAnsi="楷体" w:eastAsia="仿宋_GB2312"/>
          <w:sz w:val="32"/>
          <w:szCs w:val="32"/>
          <w:lang w:val="en-US" w:eastAsia="zh-CN"/>
        </w:rPr>
        <w:t>6</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6</w:t>
      </w:r>
      <w:r>
        <w:rPr>
          <w:rFonts w:hint="eastAsia" w:ascii="仿宋_GB2312" w:hAnsi="楷体" w:eastAsia="仿宋_GB2312"/>
          <w:sz w:val="32"/>
          <w:szCs w:val="32"/>
        </w:rPr>
        <w:t>分。项目资金严格按照</w:t>
      </w:r>
      <w:r>
        <w:rPr>
          <w:rFonts w:hint="eastAsia" w:ascii="仿宋_GB2312" w:hAnsi="楷体" w:eastAsia="仿宋_GB2312"/>
          <w:sz w:val="32"/>
          <w:szCs w:val="32"/>
          <w:lang w:eastAsia="zh-CN"/>
        </w:rPr>
        <w:t>大学生村干部发放标准</w:t>
      </w:r>
      <w:r>
        <w:rPr>
          <w:rFonts w:hint="eastAsia" w:ascii="仿宋_GB2312" w:hAnsi="楷体" w:eastAsia="仿宋_GB2312"/>
          <w:sz w:val="32"/>
          <w:szCs w:val="32"/>
        </w:rPr>
        <w:t>实行，资金拨付手续完整。</w:t>
      </w:r>
    </w:p>
    <w:p>
      <w:pPr>
        <w:spacing w:line="360" w:lineRule="auto"/>
        <w:ind w:firstLine="640" w:firstLineChars="200"/>
        <w:contextualSpacing/>
        <w:rPr>
          <w:rFonts w:hint="eastAsia" w:ascii="仿宋_GB2312" w:eastAsia="仿宋_GB2312"/>
          <w:b w:val="0"/>
          <w:bCs w:val="0"/>
          <w:sz w:val="32"/>
          <w:szCs w:val="32"/>
          <w:lang w:val="en-US" w:eastAsia="zh-CN"/>
        </w:rPr>
      </w:pPr>
      <w:r>
        <w:rPr>
          <w:rFonts w:hint="eastAsia" w:ascii="仿宋_GB2312" w:hAnsi="楷体" w:eastAsia="仿宋_GB2312"/>
          <w:sz w:val="32"/>
          <w:szCs w:val="32"/>
        </w:rPr>
        <w:t>（</w:t>
      </w:r>
      <w:r>
        <w:rPr>
          <w:rFonts w:ascii="仿宋_GB2312" w:hAnsi="楷体" w:eastAsia="仿宋_GB2312"/>
          <w:sz w:val="32"/>
          <w:szCs w:val="32"/>
        </w:rPr>
        <w:t>3</w:t>
      </w:r>
      <w:r>
        <w:rPr>
          <w:rFonts w:hint="eastAsia" w:ascii="仿宋_GB2312" w:hAnsi="楷体" w:eastAsia="仿宋_GB2312"/>
          <w:sz w:val="32"/>
          <w:szCs w:val="32"/>
        </w:rPr>
        <w:t>）资金安全性指标分值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分。项目资金实际支出专款专用并实行社会化发放，实现</w:t>
      </w:r>
      <w:r>
        <w:rPr>
          <w:rFonts w:hint="eastAsia" w:ascii="仿宋_GB2312" w:hAnsi="楷体" w:eastAsia="仿宋_GB2312"/>
          <w:sz w:val="32"/>
          <w:szCs w:val="32"/>
          <w:lang w:eastAsia="zh-CN"/>
        </w:rPr>
        <w:t>工资发放</w:t>
      </w:r>
      <w:r>
        <w:rPr>
          <w:rFonts w:hint="eastAsia" w:ascii="仿宋_GB2312" w:hAnsi="楷体" w:eastAsia="仿宋_GB2312"/>
          <w:sz w:val="32"/>
          <w:szCs w:val="32"/>
        </w:rPr>
        <w:t>对象一人一卡，资金发放直接到卡。</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项目产出得分20分（分值20分）</w:t>
      </w:r>
    </w:p>
    <w:p>
      <w:pPr>
        <w:keepNext w:val="0"/>
        <w:keepLines w:val="0"/>
        <w:pageBreakBefore w:val="0"/>
        <w:widowControl w:val="0"/>
        <w:numPr>
          <w:ilvl w:val="0"/>
          <w:numId w:val="6"/>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项目实际完成率分值10分，得分10分。项目实际发放工资率100%</w:t>
      </w:r>
    </w:p>
    <w:p>
      <w:pPr>
        <w:keepNext w:val="0"/>
        <w:keepLines w:val="0"/>
        <w:pageBreakBefore w:val="0"/>
        <w:widowControl w:val="0"/>
        <w:numPr>
          <w:ilvl w:val="0"/>
          <w:numId w:val="6"/>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项目资金发放及时率分值5分，得分5分。大学生村干部工资每月到帐后立刻按月及时发放。</w:t>
      </w:r>
    </w:p>
    <w:p>
      <w:pPr>
        <w:keepNext w:val="0"/>
        <w:keepLines w:val="0"/>
        <w:pageBreakBefore w:val="0"/>
        <w:widowControl w:val="0"/>
        <w:numPr>
          <w:ilvl w:val="0"/>
          <w:numId w:val="6"/>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项目质量达标率分值5分，得分5分。大学生村干部工资每月足额到账并发放。</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left="481" w:left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项目效益得分17分（分值20分）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（1）社会效益指标分值10分，得分10分。结合问卷调查显示通过项目的实施对改善大学生村干部生活，调动大学生村干部工作积极性、创造性，优化农村干部队伍，推动新农村建设效果显著，满分。</w:t>
      </w:r>
    </w:p>
    <w:p>
      <w:pPr>
        <w:numPr>
          <w:ilvl w:val="0"/>
          <w:numId w:val="0"/>
        </w:numPr>
        <w:ind w:firstLine="640" w:firstLineChars="200"/>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（2）社会公众或服务对象满意度指标分值10分，得分7分。对项目实施而受到影响的部门（单位）、群体或个人，进行满意度调查，采取问卷的方式，调查结果显示，服务对象满意度较高，满意度为94%，得分7分。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sz w:val="32"/>
          <w:szCs w:val="32"/>
          <w:lang w:eastAsia="zh-CN"/>
        </w:rPr>
        <w:t>山尹村镇到村任职高校毕业生工资项目最终得分</w:t>
      </w:r>
      <w:r>
        <w:rPr>
          <w:rFonts w:hint="eastAsia" w:ascii="仿宋_GB2312" w:eastAsia="仿宋_GB2312"/>
          <w:sz w:val="32"/>
          <w:szCs w:val="32"/>
          <w:lang w:val="en-US" w:eastAsia="zh-CN"/>
        </w:rPr>
        <w:t>94分，等级为优秀。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（一）项目存在的主要问题：无</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（二）针对问题提出具体的改进措施或建议：无</w:t>
      </w:r>
    </w:p>
    <w:p>
      <w:pPr>
        <w:numPr>
          <w:ilvl w:val="0"/>
          <w:numId w:val="7"/>
        </w:num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rPr>
        <w:t>评价工作组人员名单及签字</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黑体" w:eastAsia="黑体"/>
          <w:b w:val="0"/>
          <w:bCs w:val="0"/>
          <w:sz w:val="32"/>
          <w:szCs w:val="32"/>
          <w:lang w:val="en-US" w:eastAsia="zh-CN"/>
        </w:rPr>
        <w:t xml:space="preserve">   </w:t>
      </w:r>
      <w:r>
        <w:rPr>
          <w:rFonts w:hint="eastAsia" w:ascii="楷体" w:hAnsi="楷体" w:eastAsia="楷体" w:cs="楷体"/>
          <w:b w:val="0"/>
          <w:bCs w:val="0"/>
          <w:sz w:val="32"/>
          <w:szCs w:val="32"/>
          <w:lang w:val="en-US" w:eastAsia="zh-CN"/>
        </w:rPr>
        <w:t xml:space="preserve"> 姚  敏</w:t>
      </w:r>
      <w:r>
        <w:rPr>
          <w:rFonts w:hint="eastAsia" w:ascii="仿宋_GB2312" w:hAnsi="仿宋_GB2312" w:eastAsia="仿宋_GB2312" w:cs="仿宋_GB2312"/>
          <w:b w:val="0"/>
          <w:bCs w:val="0"/>
          <w:sz w:val="32"/>
          <w:szCs w:val="32"/>
          <w:lang w:eastAsia="zh-CN"/>
        </w:rPr>
        <w:t>，山尹村镇组织委员</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val="en-US" w:eastAsia="zh-CN"/>
        </w:rPr>
        <w:t xml:space="preserve">    白晓青，山尹村</w:t>
      </w:r>
      <w:r>
        <w:rPr>
          <w:rFonts w:hint="eastAsia" w:ascii="仿宋_GB2312" w:hAnsi="仿宋_GB2312" w:eastAsia="仿宋_GB2312" w:cs="仿宋_GB2312"/>
          <w:b w:val="0"/>
          <w:bCs w:val="0"/>
          <w:sz w:val="32"/>
          <w:szCs w:val="32"/>
          <w:lang w:eastAsia="zh-CN"/>
        </w:rPr>
        <w:t>镇组员办成员</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val="en-US" w:eastAsia="zh-CN"/>
        </w:rPr>
        <w:t xml:space="preserve">    王增辉，山尹村</w:t>
      </w:r>
      <w:r>
        <w:rPr>
          <w:rFonts w:hint="eastAsia" w:ascii="仿宋_GB2312" w:hAnsi="仿宋_GB2312" w:eastAsia="仿宋_GB2312" w:cs="仿宋_GB2312"/>
          <w:b w:val="0"/>
          <w:bCs w:val="0"/>
          <w:sz w:val="32"/>
          <w:szCs w:val="32"/>
          <w:lang w:eastAsia="zh-CN"/>
        </w:rPr>
        <w:t>镇财政所所长</w:t>
      </w:r>
    </w:p>
    <w:p>
      <w:pPr>
        <w:numPr>
          <w:ilvl w:val="0"/>
          <w:numId w:val="0"/>
        </w:numPr>
        <w:adjustRightInd w:val="0"/>
        <w:snapToGrid w:val="0"/>
        <w:spacing w:line="360" w:lineRule="auto"/>
        <w:rPr>
          <w:rFonts w:hint="eastAsia" w:ascii="黑体" w:eastAsia="黑体"/>
          <w:b w:val="0"/>
          <w:bCs w:val="0"/>
          <w:sz w:val="32"/>
          <w:szCs w:val="32"/>
          <w:lang w:val="en-US" w:eastAsia="zh-CN"/>
        </w:rPr>
      </w:pP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2"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华文楷体">
    <w:panose1 w:val="02010600040101010101"/>
    <w:charset w:val="86"/>
    <w:family w:val="auto"/>
    <w:pitch w:val="default"/>
    <w:sig w:usb0="00000287" w:usb1="080F0000" w:usb2="00000000" w:usb3="00000000" w:csb0="0004009F" w:csb1="DFD70000"/>
  </w:font>
  <w:font w:name="仿宋">
    <w:altName w:val="宋体"/>
    <w:panose1 w:val="02010609060101010101"/>
    <w:charset w:val="86"/>
    <w:family w:val="auto"/>
    <w:pitch w:val="default"/>
    <w:sig w:usb0="00000000" w:usb1="00000000"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altName w:val="方正楷体_GBK"/>
    <w:panose1 w:val="02010609060101010101"/>
    <w:charset w:val="86"/>
    <w:family w:val="auto"/>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4956B9C"/>
    <w:multiLevelType w:val="singleLevel"/>
    <w:tmpl w:val="C4956B9C"/>
    <w:lvl w:ilvl="0" w:tentative="0">
      <w:start w:val="1"/>
      <w:numFmt w:val="decimal"/>
      <w:suff w:val="nothing"/>
      <w:lvlText w:val="（%1）"/>
      <w:lvlJc w:val="left"/>
    </w:lvl>
  </w:abstractNum>
  <w:abstractNum w:abstractNumId="1">
    <w:nsid w:val="5E16D1B8"/>
    <w:multiLevelType w:val="singleLevel"/>
    <w:tmpl w:val="5E16D1B8"/>
    <w:lvl w:ilvl="0" w:tentative="0">
      <w:start w:val="1"/>
      <w:numFmt w:val="decimal"/>
      <w:suff w:val="nothing"/>
      <w:lvlText w:val="%1."/>
      <w:lvlJc w:val="left"/>
    </w:lvl>
  </w:abstractNum>
  <w:abstractNum w:abstractNumId="2">
    <w:nsid w:val="5E16D310"/>
    <w:multiLevelType w:val="singleLevel"/>
    <w:tmpl w:val="5E16D310"/>
    <w:lvl w:ilvl="0" w:tentative="0">
      <w:start w:val="1"/>
      <w:numFmt w:val="decimal"/>
      <w:suff w:val="nothing"/>
      <w:lvlText w:val="%1."/>
      <w:lvlJc w:val="left"/>
    </w:lvl>
  </w:abstractNum>
  <w:abstractNum w:abstractNumId="3">
    <w:nsid w:val="5E16D435"/>
    <w:multiLevelType w:val="singleLevel"/>
    <w:tmpl w:val="5E16D435"/>
    <w:lvl w:ilvl="0" w:tentative="0">
      <w:start w:val="6"/>
      <w:numFmt w:val="chineseCounting"/>
      <w:suff w:val="nothing"/>
      <w:lvlText w:val="%1、"/>
      <w:lvlJc w:val="left"/>
    </w:lvl>
  </w:abstractNum>
  <w:abstractNum w:abstractNumId="4">
    <w:nsid w:val="5E16D75B"/>
    <w:multiLevelType w:val="singleLevel"/>
    <w:tmpl w:val="5E16D75B"/>
    <w:lvl w:ilvl="0" w:tentative="0">
      <w:start w:val="2"/>
      <w:numFmt w:val="chineseCounting"/>
      <w:suff w:val="nothing"/>
      <w:lvlText w:val="（%1）"/>
      <w:lvlJc w:val="left"/>
    </w:lvl>
  </w:abstractNum>
  <w:abstractNum w:abstractNumId="5">
    <w:nsid w:val="6CC05E52"/>
    <w:multiLevelType w:val="singleLevel"/>
    <w:tmpl w:val="6CC05E52"/>
    <w:lvl w:ilvl="0" w:tentative="0">
      <w:start w:val="1"/>
      <w:numFmt w:val="decimal"/>
      <w:suff w:val="nothing"/>
      <w:lvlText w:val="（%1）"/>
      <w:lvlJc w:val="left"/>
    </w:lvl>
  </w:abstractNum>
  <w:abstractNum w:abstractNumId="6">
    <w:nsid w:val="77311A35"/>
    <w:multiLevelType w:val="singleLevel"/>
    <w:tmpl w:val="77311A35"/>
    <w:lvl w:ilvl="0" w:tentative="0">
      <w:start w:val="1"/>
      <w:numFmt w:val="decimal"/>
      <w:lvlText w:val="%1."/>
      <w:lvlJc w:val="left"/>
      <w:pPr>
        <w:tabs>
          <w:tab w:val="left" w:pos="312"/>
        </w:tabs>
      </w:pPr>
    </w:lvl>
  </w:abstractNum>
  <w:num w:numId="1">
    <w:abstractNumId w:val="4"/>
  </w:num>
  <w:num w:numId="2">
    <w:abstractNumId w:val="6"/>
  </w:num>
  <w:num w:numId="3">
    <w:abstractNumId w:val="5"/>
  </w:num>
  <w:num w:numId="4">
    <w:abstractNumId w:val="1"/>
  </w:num>
  <w:num w:numId="5">
    <w:abstractNumId w:val="2"/>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diNzNlNTg1MGVjZTRlMWI3NWQzYmIwZWYyZDczNzEifQ=="/>
  </w:docVars>
  <w:rsids>
    <w:rsidRoot w:val="2A2941B7"/>
    <w:rsid w:val="023A0A49"/>
    <w:rsid w:val="08D5052B"/>
    <w:rsid w:val="0B58554D"/>
    <w:rsid w:val="0F3665A0"/>
    <w:rsid w:val="2A2941B7"/>
    <w:rsid w:val="2B9C0816"/>
    <w:rsid w:val="33415405"/>
    <w:rsid w:val="346B355E"/>
    <w:rsid w:val="3C204E26"/>
    <w:rsid w:val="3EFB36A7"/>
    <w:rsid w:val="423714B8"/>
    <w:rsid w:val="4BE00312"/>
    <w:rsid w:val="63766B9E"/>
    <w:rsid w:val="6FEF2B66"/>
    <w:rsid w:val="A3B2B14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5210</Words>
  <Characters>5365</Characters>
  <Lines>0</Lines>
  <Paragraphs>0</Paragraphs>
  <TotalTime>4</TotalTime>
  <ScaleCrop>false</ScaleCrop>
  <LinksUpToDate>false</LinksUpToDate>
  <CharactersWithSpaces>5449</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2020-01-02T16:14:00Z</dcterms:created>
  <dc:creator>838</dc:creator>
  <cp:lastModifiedBy>uos</cp:lastModifiedBy>
  <dcterms:modified xsi:type="dcterms:W3CDTF">2024-12-05T17:36:25Z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CD19BBE0F7E94B398B36D1E9AD931B09_12</vt:lpwstr>
  </property>
</Properties>
</file>