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五</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五</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日</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color w:val="000000" w:themeColor="text1"/>
          <w:sz w:val="48"/>
          <w:szCs w:val="48"/>
          <w14:textFill>
            <w14:solidFill>
              <w14:schemeClr w14:val="tx1"/>
            </w14:solidFill>
          </w14:textFill>
        </w:rPr>
      </w:pPr>
      <w:r>
        <w:rPr>
          <w:rFonts w:hint="eastAsia" w:ascii="黑体" w:hAnsi="Times New Roman" w:eastAsia="黑体" w:cs="Times New Roman"/>
          <w:color w:val="000000" w:themeColor="text1"/>
          <w:sz w:val="48"/>
          <w:szCs w:val="48"/>
          <w14:textFill>
            <w14:solidFill>
              <w14:schemeClr w14:val="tx1"/>
            </w14:solidFill>
          </w14:textFill>
        </w:rPr>
        <w:tab/>
      </w:r>
    </w:p>
    <w:p>
      <w:pPr>
        <w:widowControl/>
        <w:spacing w:line="1200" w:lineRule="exact"/>
        <w:jc w:val="center"/>
        <w:rPr>
          <w:rFonts w:hint="eastAsia" w:ascii="黑体" w:hAnsi="黑体" w:eastAsia="黑体" w:cs="黑体"/>
          <w:b/>
          <w:bCs/>
          <w:color w:val="000000" w:themeColor="text1"/>
          <w:sz w:val="72"/>
          <w:szCs w:val="7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b/>
          <w:bCs/>
          <w:color w:val="000000" w:themeColor="text1"/>
          <w:sz w:val="72"/>
          <w:szCs w:val="7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石家庄市鹿泉区</w:t>
      </w:r>
    </w:p>
    <w:p>
      <w:pPr>
        <w:widowControl/>
        <w:spacing w:line="1200" w:lineRule="exact"/>
        <w:jc w:val="center"/>
        <w:rPr>
          <w:rFonts w:hint="eastAsia" w:ascii="黑体" w:hAnsi="黑体" w:eastAsia="黑体" w:cs="黑体"/>
          <w:b/>
          <w:bCs/>
          <w:color w:val="000000" w:themeColor="text1"/>
          <w:sz w:val="72"/>
          <w:szCs w:val="7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b/>
          <w:bCs/>
          <w:color w:val="000000" w:themeColor="text1"/>
          <w:sz w:val="72"/>
          <w:szCs w:val="7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黄壁庄镇人民政府</w:t>
      </w:r>
    </w:p>
    <w:p>
      <w:pPr>
        <w:widowControl/>
        <w:spacing w:line="1200" w:lineRule="exact"/>
        <w:jc w:val="center"/>
        <w:rPr>
          <w:rFonts w:hint="eastAsia" w:ascii="黑体" w:hAnsi="黑体" w:eastAsia="黑体" w:cs="黑体"/>
          <w:color w:val="000000" w:themeColor="text1"/>
          <w:sz w:val="72"/>
          <w:szCs w:val="7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rPr>
          <w:rFonts w:ascii="黑体" w:hAnsi="黑体" w:eastAsia="黑体" w:cs="黑体"/>
          <w:b/>
          <w:bCs/>
          <w:sz w:val="72"/>
          <w:szCs w:val="72"/>
        </w:rPr>
      </w:pPr>
      <w:r>
        <w:rPr>
          <w:rFonts w:hint="eastAsia" w:ascii="黑体" w:hAnsi="黑体" w:eastAsia="黑体" w:cs="黑体"/>
          <w:b/>
          <w:bCs/>
          <w:sz w:val="72"/>
          <w:szCs w:val="72"/>
        </w:rPr>
        <w:t>2019年度部门决算公开文本</w:t>
      </w:r>
    </w:p>
    <w:p>
      <w:pPr>
        <w:spacing w:line="600" w:lineRule="auto"/>
        <w:jc w:val="both"/>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石家庄市鹿泉区黄壁庄镇人民政府</w:t>
      </w: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五日</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（一）各部门职责</w:t>
      </w:r>
    </w:p>
    <w:p>
      <w:pPr>
        <w:widowControl/>
        <w:spacing w:line="600" w:lineRule="exact"/>
        <w:ind w:firstLine="630"/>
        <w:jc w:val="left"/>
        <w:rPr>
          <w:rFonts w:hint="eastAsia" w:ascii="仿宋" w:hAnsi="仿宋" w:eastAsia="仿宋" w:cs="宋体"/>
          <w:kern w:val="0"/>
          <w:sz w:val="32"/>
          <w:szCs w:val="32"/>
        </w:rPr>
      </w:pPr>
      <w:r>
        <w:rPr>
          <w:rFonts w:hint="eastAsia" w:ascii="仿宋_GB2312" w:hAnsi="宋体" w:eastAsia="仿宋_GB2312"/>
          <w:color w:val="000000"/>
          <w:sz w:val="32"/>
          <w:szCs w:val="32"/>
        </w:rPr>
        <w:t>1</w:t>
      </w:r>
      <w:r>
        <w:rPr>
          <w:rFonts w:hint="eastAsia" w:ascii="仿宋" w:hAnsi="仿宋" w:eastAsia="仿宋" w:cs="宋体"/>
          <w:kern w:val="0"/>
          <w:sz w:val="32"/>
          <w:szCs w:val="32"/>
        </w:rPr>
        <w:t>、</w:t>
      </w:r>
      <w:r>
        <w:rPr>
          <w:rFonts w:hint="eastAsia" w:ascii="仿宋" w:hAnsi="仿宋" w:eastAsia="仿宋" w:cs="宋体"/>
          <w:b/>
          <w:kern w:val="0"/>
          <w:sz w:val="32"/>
          <w:szCs w:val="32"/>
        </w:rPr>
        <w:t>机关事务管理</w:t>
      </w:r>
      <w:r>
        <w:rPr>
          <w:rFonts w:hint="eastAsia" w:ascii="仿宋" w:hAnsi="仿宋" w:eastAsia="仿宋" w:cs="宋体"/>
          <w:kern w:val="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pPr>
        <w:widowControl/>
        <w:spacing w:line="600" w:lineRule="exact"/>
        <w:ind w:firstLine="630"/>
        <w:jc w:val="left"/>
        <w:rPr>
          <w:rFonts w:hint="eastAsia" w:ascii="仿宋" w:hAnsi="仿宋" w:eastAsia="仿宋" w:cs="宋体"/>
          <w:b/>
          <w:kern w:val="0"/>
          <w:sz w:val="32"/>
          <w:szCs w:val="32"/>
        </w:rPr>
      </w:pPr>
      <w:r>
        <w:rPr>
          <w:rFonts w:hint="eastAsia" w:ascii="仿宋" w:hAnsi="仿宋" w:eastAsia="仿宋" w:cs="宋体"/>
          <w:b/>
          <w:kern w:val="0"/>
          <w:sz w:val="32"/>
          <w:szCs w:val="32"/>
        </w:rPr>
        <w:t>2、农业综合服务。</w:t>
      </w:r>
      <w:r>
        <w:rPr>
          <w:rFonts w:hint="eastAsia" w:ascii="仿宋" w:hAnsi="仿宋" w:eastAsia="仿宋" w:cs="宋体"/>
          <w:kern w:val="0"/>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600" w:lineRule="exact"/>
        <w:ind w:firstLine="630"/>
        <w:jc w:val="left"/>
        <w:rPr>
          <w:rFonts w:hint="eastAsia" w:ascii="仿宋" w:hAnsi="仿宋" w:eastAsia="仿宋" w:cs="宋体"/>
          <w:kern w:val="0"/>
          <w:sz w:val="32"/>
          <w:szCs w:val="32"/>
        </w:rPr>
      </w:pPr>
      <w:r>
        <w:rPr>
          <w:rFonts w:hint="eastAsia" w:ascii="仿宋" w:hAnsi="仿宋" w:eastAsia="仿宋" w:cs="宋体"/>
          <w:b/>
          <w:kern w:val="0"/>
          <w:sz w:val="32"/>
          <w:szCs w:val="32"/>
        </w:rPr>
        <w:t>3、卫生计生服务</w:t>
      </w:r>
      <w:r>
        <w:rPr>
          <w:rFonts w:hint="eastAsia" w:ascii="仿宋" w:hAnsi="仿宋" w:eastAsia="仿宋" w:cs="宋体"/>
          <w:kern w:val="0"/>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600" w:lineRule="exact"/>
        <w:ind w:firstLine="630"/>
        <w:jc w:val="left"/>
        <w:rPr>
          <w:rFonts w:hint="eastAsia" w:ascii="方正小标宋_GBK" w:hAnsi="宋体" w:eastAsia="方正小标宋_GBK"/>
          <w:sz w:val="44"/>
          <w:szCs w:val="44"/>
        </w:rPr>
      </w:pPr>
      <w:r>
        <w:rPr>
          <w:rFonts w:hint="eastAsia" w:ascii="仿宋" w:hAnsi="仿宋" w:eastAsia="仿宋" w:cs="宋体"/>
          <w:b/>
          <w:kern w:val="0"/>
          <w:sz w:val="32"/>
          <w:szCs w:val="32"/>
        </w:rPr>
        <w:t>4、文化综治服务。</w:t>
      </w:r>
      <w:r>
        <w:rPr>
          <w:rFonts w:hint="eastAsia" w:ascii="仿宋" w:hAnsi="仿宋" w:eastAsia="仿宋" w:cs="宋体"/>
          <w:kern w:val="0"/>
          <w:sz w:val="32"/>
          <w:szCs w:val="32"/>
        </w:rPr>
        <w:t>负责群众文化娱乐、体育活动、广播电视村村通等工作。</w:t>
      </w:r>
    </w:p>
    <w:p>
      <w:pPr>
        <w:pStyle w:val="12"/>
        <w:spacing w:line="600" w:lineRule="exact"/>
        <w:ind w:firstLine="643" w:firstLineChars="200"/>
        <w:jc w:val="both"/>
        <w:rPr>
          <w:rFonts w:hint="eastAsia" w:ascii="仿宋" w:hAnsi="仿宋" w:eastAsia="仿宋"/>
          <w:sz w:val="32"/>
          <w:szCs w:val="32"/>
          <w:lang w:eastAsia="zh-CN"/>
        </w:rPr>
      </w:pPr>
      <w:r>
        <w:rPr>
          <w:rFonts w:hint="eastAsia" w:ascii="仿宋" w:hAnsi="仿宋" w:eastAsia="仿宋"/>
          <w:b/>
          <w:sz w:val="32"/>
          <w:szCs w:val="32"/>
          <w:lang w:eastAsia="zh-CN"/>
        </w:rPr>
        <w:t>5、社会保障服务。</w:t>
      </w:r>
      <w:r>
        <w:rPr>
          <w:rFonts w:hint="eastAsia" w:ascii="仿宋" w:hAnsi="仿宋" w:eastAsia="仿宋"/>
          <w:sz w:val="32"/>
          <w:szCs w:val="32"/>
          <w:lang w:eastAsia="zh-CN"/>
        </w:rPr>
        <w:t>配合劳动保障部门做好劳动法的宣传贯彻、劳动就业、社会保障等工作。配合安全生产监督管理部门做好安全生产监督管理等工作。</w:t>
      </w:r>
    </w:p>
    <w:p>
      <w:pPr>
        <w:widowControl/>
        <w:shd w:val="clear" w:color="000000" w:fill="FFFFFF"/>
        <w:spacing w:line="500" w:lineRule="exact"/>
        <w:ind w:firstLine="643"/>
        <w:jc w:val="left"/>
        <w:rPr>
          <w:rFonts w:ascii="仿宋" w:hAnsi="仿宋" w:eastAsia="仿宋"/>
          <w:b/>
          <w:color w:val="3E3E3E"/>
          <w:sz w:val="32"/>
          <w:szCs w:val="32"/>
        </w:rPr>
      </w:pPr>
      <w:r>
        <w:rPr>
          <w:rFonts w:hint="eastAsia" w:ascii="仿宋" w:hAnsi="仿宋" w:eastAsia="仿宋"/>
          <w:b/>
          <w:color w:val="3E3E3E"/>
          <w:sz w:val="32"/>
          <w:szCs w:val="32"/>
          <w:lang w:eastAsia="zh-CN"/>
        </w:rPr>
        <w:t>（</w:t>
      </w:r>
      <w:r>
        <w:rPr>
          <w:rFonts w:hint="eastAsia" w:ascii="仿宋" w:hAnsi="仿宋" w:eastAsia="仿宋"/>
          <w:b/>
          <w:color w:val="3E3E3E"/>
          <w:sz w:val="32"/>
          <w:szCs w:val="32"/>
        </w:rPr>
        <w:t>二</w:t>
      </w:r>
      <w:r>
        <w:rPr>
          <w:rFonts w:hint="eastAsia" w:ascii="仿宋" w:hAnsi="仿宋" w:eastAsia="仿宋"/>
          <w:b/>
          <w:color w:val="3E3E3E"/>
          <w:sz w:val="32"/>
          <w:szCs w:val="32"/>
          <w:lang w:eastAsia="zh-CN"/>
        </w:rPr>
        <w:t>）</w:t>
      </w:r>
      <w:r>
        <w:rPr>
          <w:rFonts w:hint="eastAsia" w:ascii="仿宋" w:hAnsi="仿宋" w:eastAsia="仿宋"/>
          <w:b/>
          <w:color w:val="3E3E3E"/>
          <w:sz w:val="32"/>
          <w:szCs w:val="32"/>
        </w:rPr>
        <w:t>部门决算单位构成</w:t>
      </w:r>
    </w:p>
    <w:p>
      <w:pPr>
        <w:spacing w:line="500" w:lineRule="exact"/>
        <w:ind w:firstLine="64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、党政机构</w:t>
      </w:r>
      <w:r>
        <w:rPr>
          <w:rFonts w:ascii="仿宋" w:hAnsi="仿宋" w:eastAsia="仿宋"/>
          <w:sz w:val="32"/>
          <w:szCs w:val="32"/>
        </w:rPr>
        <w:t>6</w:t>
      </w:r>
      <w:r>
        <w:rPr>
          <w:rFonts w:hint="eastAsia" w:ascii="仿宋" w:hAnsi="仿宋" w:eastAsia="仿宋"/>
          <w:sz w:val="32"/>
          <w:szCs w:val="32"/>
        </w:rPr>
        <w:t>个，分别为：党政办公室、社会事务办公室、经济发展办公室、综合治理办公室、计划生育办公室、城镇建设办公室。</w:t>
      </w:r>
    </w:p>
    <w:p>
      <w:pPr>
        <w:widowControl/>
        <w:shd w:val="clear" w:color="000000" w:fill="FFFFFF"/>
        <w:spacing w:line="500" w:lineRule="exact"/>
        <w:ind w:firstLine="640"/>
        <w:jc w:val="left"/>
        <w:rPr>
          <w:rFonts w:ascii="仿宋_GB2312" w:hAnsi="Calibri" w:eastAsia="仿宋_GB2312" w:cs="ArialUnicodeMS"/>
          <w:kern w:val="0"/>
          <w:sz w:val="32"/>
          <w:szCs w:val="32"/>
        </w:rPr>
      </w:pPr>
      <w:r>
        <w:rPr>
          <w:rFonts w:ascii="仿宋" w:hAnsi="仿宋" w:eastAsia="仿宋"/>
          <w:sz w:val="32"/>
          <w:szCs w:val="32"/>
        </w:rPr>
        <w:t>2</w:t>
      </w:r>
      <w:r>
        <w:rPr>
          <w:rFonts w:hint="eastAsia" w:ascii="仿宋" w:hAnsi="仿宋" w:eastAsia="仿宋"/>
          <w:sz w:val="32"/>
          <w:szCs w:val="32"/>
        </w:rPr>
        <w:t>、事业单位机构</w:t>
      </w:r>
      <w:r>
        <w:rPr>
          <w:rFonts w:ascii="仿宋" w:hAnsi="仿宋" w:eastAsia="仿宋"/>
          <w:sz w:val="32"/>
          <w:szCs w:val="32"/>
        </w:rPr>
        <w:t>3</w:t>
      </w:r>
      <w:r>
        <w:rPr>
          <w:rFonts w:hint="eastAsia" w:ascii="仿宋" w:hAnsi="仿宋" w:eastAsia="仿宋"/>
          <w:sz w:val="32"/>
          <w:szCs w:val="32"/>
        </w:rPr>
        <w:t>个，分别为：财政所、计划生育服务站、劳动和社会保障服务站。</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tbl>
      <w:tblPr>
        <w:tblStyle w:val="7"/>
        <w:tblpPr w:leftFromText="180" w:rightFromText="180" w:vertAnchor="text" w:horzAnchor="page" w:tblpXSpec="center" w:tblpY="10"/>
        <w:tblOverlap w:val="never"/>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2"/>
        <w:gridCol w:w="3477"/>
        <w:gridCol w:w="2439"/>
        <w:gridCol w:w="26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98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7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3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5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982" w:type="dxa"/>
            <w:vAlign w:val="top"/>
          </w:tcPr>
          <w:p>
            <w:pPr>
              <w:spacing w:after="0" w:line="560" w:lineRule="exact"/>
              <w:jc w:val="center"/>
              <w:rPr>
                <w:rFonts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rPr>
              <w:t>1</w:t>
            </w:r>
          </w:p>
        </w:tc>
        <w:tc>
          <w:tcPr>
            <w:tcW w:w="3477" w:type="dxa"/>
            <w:vAlign w:val="top"/>
          </w:tcPr>
          <w:p>
            <w:pPr>
              <w:spacing w:after="0" w:line="560" w:lineRule="exact"/>
              <w:rPr>
                <w:rFonts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石家庄市鹿泉区黄壁庄镇人民政府</w:t>
            </w:r>
          </w:p>
        </w:tc>
        <w:tc>
          <w:tcPr>
            <w:tcW w:w="2439" w:type="dxa"/>
            <w:vAlign w:val="top"/>
          </w:tcPr>
          <w:p>
            <w:pPr>
              <w:spacing w:after="0"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行政单位</w:t>
            </w:r>
          </w:p>
        </w:tc>
        <w:tc>
          <w:tcPr>
            <w:tcW w:w="2659" w:type="dxa"/>
            <w:vAlign w:val="top"/>
          </w:tcPr>
          <w:p>
            <w:pPr>
              <w:spacing w:after="0"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9557"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jc w:val="both"/>
        <w:rPr>
          <w:rFonts w:ascii="黑体" w:hAnsi="黑体" w:eastAsia="黑体" w:cs="黑体"/>
          <w:sz w:val="56"/>
          <w:szCs w:val="72"/>
        </w:rPr>
      </w:pPr>
    </w:p>
    <w:p>
      <w:pPr>
        <w:jc w:val="both"/>
        <w:rPr>
          <w:rFonts w:ascii="黑体" w:hAnsi="黑体" w:eastAsia="黑体" w:cs="黑体"/>
          <w:sz w:val="56"/>
          <w:szCs w:val="72"/>
        </w:rPr>
      </w:pPr>
    </w:p>
    <w:p>
      <w:pPr>
        <w:jc w:val="both"/>
        <w:rPr>
          <w:rFonts w:ascii="黑体" w:hAnsi="黑体" w:eastAsia="黑体" w:cs="黑体"/>
          <w:sz w:val="56"/>
          <w:szCs w:val="72"/>
        </w:rPr>
      </w:pPr>
    </w:p>
    <w:p>
      <w:pPr>
        <w:jc w:val="both"/>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691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1900.70</w:t>
      </w:r>
      <w:r>
        <w:rPr>
          <w:rFonts w:hint="eastAsia" w:ascii="仿宋_GB2312" w:hAnsi="Times New Roman" w:eastAsia="仿宋_GB2312" w:cs="DengXian-Regular"/>
          <w:sz w:val="32"/>
          <w:szCs w:val="32"/>
        </w:rPr>
        <w:t>万元。与2018年度决算</w:t>
      </w:r>
      <w:r>
        <w:rPr>
          <w:rFonts w:hint="eastAsia" w:ascii="仿宋_GB2312" w:hAnsi="Times New Roman" w:eastAsia="仿宋_GB2312" w:cs="DengXian-Regular"/>
          <w:sz w:val="32"/>
          <w:szCs w:val="32"/>
          <w:lang w:val="en-US" w:eastAsia="zh-CN"/>
        </w:rPr>
        <w:t>1301.96</w:t>
      </w:r>
      <w:r>
        <w:rPr>
          <w:rFonts w:hint="eastAsia" w:ascii="仿宋_GB2312" w:hAnsi="Times New Roman" w:eastAsia="仿宋_GB2312" w:cs="DengXian-Regular"/>
          <w:sz w:val="32"/>
          <w:szCs w:val="32"/>
        </w:rPr>
        <w:t>相比，收支各增加</w:t>
      </w:r>
      <w:r>
        <w:rPr>
          <w:rFonts w:hint="eastAsia" w:ascii="仿宋_GB2312" w:hAnsi="Times New Roman" w:eastAsia="仿宋_GB2312" w:cs="DengXian-Regular"/>
          <w:sz w:val="32"/>
          <w:szCs w:val="32"/>
          <w:lang w:val="en-US" w:eastAsia="zh-CN"/>
        </w:rPr>
        <w:t>598.74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45.99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1879.63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1814.19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96.52</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65.44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3.48</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highlight w:val="yellow"/>
          <w:lang w:eastAsia="zh-CN"/>
        </w:rPr>
        <w:drawing>
          <wp:anchor distT="0" distB="0" distL="114300" distR="114300" simplePos="0" relativeHeight="251691008" behindDoc="0" locked="0" layoutInCell="1" allowOverlap="1">
            <wp:simplePos x="0" y="0"/>
            <wp:positionH relativeFrom="column">
              <wp:posOffset>389890</wp:posOffset>
            </wp:positionH>
            <wp:positionV relativeFrom="paragraph">
              <wp:posOffset>140335</wp:posOffset>
            </wp:positionV>
            <wp:extent cx="4826000" cy="3168015"/>
            <wp:effectExtent l="0" t="0" r="12700" b="1333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1900.68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1562.07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82.18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338.61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17.82</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2032" behindDoc="0" locked="0" layoutInCell="1" allowOverlap="1">
            <wp:simplePos x="0" y="0"/>
            <wp:positionH relativeFrom="column">
              <wp:posOffset>433070</wp:posOffset>
            </wp:positionH>
            <wp:positionV relativeFrom="paragraph">
              <wp:posOffset>153035</wp:posOffset>
            </wp:positionV>
            <wp:extent cx="4683125" cy="3168015"/>
            <wp:effectExtent l="0" t="0" r="3175" b="1333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color w:val="auto"/>
          <w:sz w:val="32"/>
          <w:szCs w:val="32"/>
          <w:highlight w:val="none"/>
        </w:rPr>
        <w:t>四、</w:t>
      </w:r>
      <w:r>
        <w:rPr>
          <w:rFonts w:hint="eastAsia" w:ascii="黑体" w:hAnsi="Cambria" w:eastAsia="黑体" w:cs="黑体"/>
          <w:color w:val="auto"/>
          <w:kern w:val="0"/>
          <w:sz w:val="32"/>
          <w:szCs w:val="32"/>
          <w:highlight w:val="none"/>
        </w:rPr>
        <w:t>财政</w:t>
      </w:r>
      <w:r>
        <w:rPr>
          <w:rFonts w:hint="eastAsia" w:ascii="黑体" w:hAnsi="Calibri" w:eastAsia="黑体" w:cs="Times New Roman"/>
          <w:color w:val="auto"/>
          <w:sz w:val="32"/>
          <w:szCs w:val="32"/>
          <w:highlight w:val="none"/>
        </w:rPr>
        <w:t>拨款</w:t>
      </w:r>
      <w:r>
        <w:rPr>
          <w:rFonts w:hint="eastAsia" w:ascii="黑体" w:hAnsi="Calibri" w:eastAsia="黑体" w:cs="Times New Roman"/>
          <w:sz w:val="32"/>
          <w:szCs w:val="32"/>
          <w:highlight w:val="none"/>
        </w:rPr>
        <w:t>收</w:t>
      </w:r>
      <w:r>
        <w:rPr>
          <w:rFonts w:hint="eastAsia" w:ascii="黑体" w:hAnsi="Calibri" w:eastAsia="黑体" w:cs="Times New Roman"/>
          <w:sz w:val="32"/>
          <w:szCs w:val="32"/>
        </w:rPr>
        <w:t>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1835.26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709.72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63.06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1835.24</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730.77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66.16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441960</wp:posOffset>
            </wp:positionH>
            <wp:positionV relativeFrom="paragraph">
              <wp:posOffset>121285</wp:posOffset>
            </wp:positionV>
            <wp:extent cx="5080000" cy="3810000"/>
            <wp:effectExtent l="0" t="0" r="6350" b="0"/>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1756.19</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630.65</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rPr>
        <w:t>增长</w:t>
      </w:r>
      <w:r>
        <w:rPr>
          <w:rFonts w:hint="eastAsia" w:ascii="仿宋_GB2312" w:eastAsia="仿宋_GB2312" w:cs="DengXian-Regular"/>
          <w:sz w:val="32"/>
          <w:szCs w:val="32"/>
          <w:lang w:val="en-US" w:eastAsia="zh-CN"/>
        </w:rPr>
        <w:t>56.03</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1777.26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672.77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60.91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农村基础设施建设支出；本年支出</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农村基础设施建设支出。</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1835.26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160.91</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694.72</w:t>
      </w:r>
      <w:r>
        <w:rPr>
          <w:rFonts w:hint="eastAsia" w:ascii="仿宋_GB2312" w:hAnsi="Times New Roman" w:eastAsia="仿宋_GB2312" w:cs="DengXian-Regular"/>
          <w:sz w:val="32"/>
          <w:szCs w:val="32"/>
        </w:rPr>
        <w:t>万元，决算数大于（小于）预算数主要原因是主要是</w:t>
      </w:r>
      <w:r>
        <w:rPr>
          <w:rFonts w:hint="eastAsia" w:ascii="仿宋_GB2312" w:hAnsi="Times New Roman" w:eastAsia="仿宋_GB2312" w:cs="DengXian-Regular"/>
          <w:sz w:val="32"/>
          <w:szCs w:val="32"/>
          <w:lang w:eastAsia="zh-CN"/>
        </w:rPr>
        <w:t>增加了对农户的自然生态补贴（生态补贴）和</w:t>
      </w:r>
      <w:r>
        <w:rPr>
          <w:rFonts w:hint="eastAsia" w:ascii="仿宋_GB2312" w:hAnsi="Times New Roman" w:eastAsia="仿宋_GB2312" w:cs="DengXian-Regular"/>
          <w:sz w:val="32"/>
          <w:szCs w:val="32"/>
        </w:rPr>
        <w:t>农村基础设施建设支出；本年支出</w:t>
      </w:r>
      <w:r>
        <w:rPr>
          <w:rFonts w:hint="eastAsia" w:ascii="仿宋_GB2312" w:hAnsi="Times New Roman" w:eastAsia="仿宋_GB2312" w:cs="DengXian-Regular"/>
          <w:sz w:val="32"/>
          <w:szCs w:val="32"/>
          <w:lang w:val="en-US" w:eastAsia="zh-CN"/>
        </w:rPr>
        <w:t>1835.24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160.91</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694.7</w:t>
      </w:r>
      <w:r>
        <w:rPr>
          <w:rFonts w:hint="eastAsia" w:ascii="仿宋_GB2312" w:hAnsi="Times New Roman" w:eastAsia="仿宋_GB2312" w:cs="DengXian-Regular"/>
          <w:sz w:val="32"/>
          <w:szCs w:val="32"/>
        </w:rPr>
        <w:t>万元，决算数大于（小于）预算数主要原因是主要是</w:t>
      </w:r>
      <w:r>
        <w:rPr>
          <w:rFonts w:hint="eastAsia" w:ascii="仿宋_GB2312" w:hAnsi="Times New Roman" w:eastAsia="仿宋_GB2312" w:cs="DengXian-Regular"/>
          <w:sz w:val="32"/>
          <w:szCs w:val="32"/>
          <w:lang w:eastAsia="zh-CN"/>
        </w:rPr>
        <w:t>增加了对农户的自然生态补贴（生态补贴）和</w:t>
      </w:r>
      <w:r>
        <w:rPr>
          <w:rFonts w:hint="eastAsia" w:ascii="仿宋_GB2312" w:hAnsi="Times New Roman" w:eastAsia="仿宋_GB2312" w:cs="DengXian-Regular"/>
          <w:sz w:val="32"/>
          <w:szCs w:val="32"/>
        </w:rPr>
        <w:t>农村基础设施建设支出。</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95104" behindDoc="0" locked="0" layoutInCell="1" allowOverlap="1">
            <wp:simplePos x="0" y="0"/>
            <wp:positionH relativeFrom="column">
              <wp:posOffset>322580</wp:posOffset>
            </wp:positionH>
            <wp:positionV relativeFrom="paragraph">
              <wp:posOffset>184785</wp:posOffset>
            </wp:positionV>
            <wp:extent cx="5080000" cy="3810000"/>
            <wp:effectExtent l="0" t="0" r="6350" b="0"/>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153.98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615.65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155.82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636.7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政府性基金预算财政拨款本年收入比年初预算增加</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农村基础设施建设支出；支出比年初预算增加</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农村基础设施建设支出。</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1835.24</w:t>
      </w:r>
      <w:r>
        <w:rPr>
          <w:rFonts w:hint="eastAsia" w:ascii="仿宋_GB2312" w:hAnsi="Times New Roman" w:eastAsia="仿宋_GB2312" w:cs="DengXian-Regular"/>
          <w:sz w:val="32"/>
          <w:szCs w:val="32"/>
        </w:rPr>
        <w:t>万元，主要用于以下方面一般公共服务（类）支出928.2万元，占</w:t>
      </w:r>
      <w:r>
        <w:rPr>
          <w:rFonts w:hint="eastAsia" w:ascii="仿宋_GB2312" w:hAnsi="Times New Roman" w:eastAsia="仿宋_GB2312" w:cs="DengXian-Regular"/>
          <w:sz w:val="32"/>
          <w:szCs w:val="32"/>
          <w:lang w:val="en-US" w:eastAsia="zh-CN"/>
        </w:rPr>
        <w:t>50.58</w:t>
      </w:r>
      <w:r>
        <w:rPr>
          <w:rFonts w:hint="eastAsia" w:ascii="仿宋_GB2312" w:hAnsi="Times New Roman" w:eastAsia="仿宋_GB2312" w:cs="DengXian-Regular"/>
          <w:sz w:val="32"/>
          <w:szCs w:val="32"/>
        </w:rPr>
        <w:t>%，；社会保障和就业（类）支出 37.47万元，占</w:t>
      </w:r>
      <w:r>
        <w:rPr>
          <w:rFonts w:hint="eastAsia" w:ascii="仿宋_GB2312" w:hAnsi="Times New Roman" w:eastAsia="仿宋_GB2312" w:cs="DengXian-Regular"/>
          <w:sz w:val="32"/>
          <w:szCs w:val="32"/>
          <w:lang w:val="en-US" w:eastAsia="zh-CN"/>
        </w:rPr>
        <w:t>2.04</w:t>
      </w:r>
      <w:r>
        <w:rPr>
          <w:rFonts w:hint="eastAsia" w:ascii="仿宋_GB2312" w:hAnsi="Times New Roman" w:eastAsia="仿宋_GB2312" w:cs="DengXian-Regular"/>
          <w:sz w:val="32"/>
          <w:szCs w:val="32"/>
        </w:rPr>
        <w:t>%；卫生健康支出41.6</w:t>
      </w:r>
      <w:r>
        <w:rPr>
          <w:rFonts w:hint="eastAsia" w:ascii="仿宋_GB2312" w:hAnsi="Times New Roman" w:eastAsia="仿宋_GB2312" w:cs="DengXian-Regular"/>
          <w:sz w:val="32"/>
          <w:szCs w:val="32"/>
          <w:lang w:eastAsia="zh-CN"/>
        </w:rPr>
        <w:t>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；节能环保支出696.12万元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37.93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；城乡社区支出99.15万元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5.4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；农林水支出</w:t>
      </w:r>
      <w:r>
        <w:rPr>
          <w:rFonts w:hint="eastAsia" w:ascii="仿宋_GB2312" w:hAnsi="Times New Roman" w:eastAsia="仿宋_GB2312" w:cs="DengXian-Regular"/>
          <w:sz w:val="32"/>
          <w:szCs w:val="32"/>
          <w:lang w:val="en-US" w:eastAsia="zh-CN"/>
        </w:rPr>
        <w:t>27.7万元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1.51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；灾害防治及应急管理支出</w:t>
      </w:r>
      <w:r>
        <w:rPr>
          <w:rFonts w:hint="eastAsia" w:ascii="仿宋_GB2312" w:hAnsi="Times New Roman" w:eastAsia="仿宋_GB2312" w:cs="DengXian-Regular"/>
          <w:sz w:val="32"/>
          <w:szCs w:val="32"/>
          <w:lang w:val="en-US" w:eastAsia="zh-CN"/>
        </w:rPr>
        <w:t>5万元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0.27</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93056" behindDoc="0" locked="0" layoutInCell="1" allowOverlap="1">
            <wp:simplePos x="0" y="0"/>
            <wp:positionH relativeFrom="column">
              <wp:posOffset>593090</wp:posOffset>
            </wp:positionH>
            <wp:positionV relativeFrom="paragraph">
              <wp:posOffset>41910</wp:posOffset>
            </wp:positionV>
            <wp:extent cx="4636135" cy="3056255"/>
            <wp:effectExtent l="0" t="0" r="12065" b="10795"/>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1562.06</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1114.99</w:t>
      </w:r>
      <w:r>
        <w:rPr>
          <w:rFonts w:hint="eastAsia" w:ascii="仿宋_GB2312" w:hAnsi="Times New Roman" w:eastAsia="仿宋_GB2312" w:cs="DengXian-Regular"/>
          <w:sz w:val="32"/>
          <w:szCs w:val="32"/>
        </w:rPr>
        <w:t>万元，主要包括基本工资</w:t>
      </w:r>
      <w:r>
        <w:rPr>
          <w:rFonts w:hint="eastAsia" w:ascii="仿宋_GB2312" w:hAnsi="Times New Roman" w:eastAsia="仿宋_GB2312" w:cs="DengXian-Regular"/>
          <w:sz w:val="32"/>
          <w:szCs w:val="32"/>
          <w:lang w:val="en-US" w:eastAsia="zh-CN"/>
        </w:rPr>
        <w:t>148.99万元</w:t>
      </w:r>
      <w:r>
        <w:rPr>
          <w:rFonts w:hint="eastAsia" w:ascii="仿宋_GB2312" w:hAnsi="Times New Roman" w:eastAsia="仿宋_GB2312" w:cs="DengXian-Regular"/>
          <w:sz w:val="32"/>
          <w:szCs w:val="32"/>
        </w:rPr>
        <w:t>、津贴补贴</w:t>
      </w:r>
      <w:r>
        <w:rPr>
          <w:rFonts w:hint="eastAsia" w:ascii="仿宋_GB2312" w:hAnsi="Times New Roman" w:eastAsia="仿宋_GB2312" w:cs="DengXian-Regular"/>
          <w:sz w:val="32"/>
          <w:szCs w:val="32"/>
          <w:lang w:val="en-US" w:eastAsia="zh-CN"/>
        </w:rPr>
        <w:t>142.4万元</w:t>
      </w:r>
      <w:r>
        <w:rPr>
          <w:rFonts w:hint="eastAsia" w:ascii="仿宋_GB2312" w:hAnsi="Times New Roman" w:eastAsia="仿宋_GB2312" w:cs="DengXian-Regular"/>
          <w:sz w:val="32"/>
          <w:szCs w:val="32"/>
        </w:rPr>
        <w:t>、奖金</w:t>
      </w:r>
      <w:r>
        <w:rPr>
          <w:rFonts w:hint="eastAsia" w:ascii="仿宋_GB2312" w:hAnsi="Times New Roman" w:eastAsia="仿宋_GB2312" w:cs="DengXian-Regular"/>
          <w:sz w:val="32"/>
          <w:szCs w:val="32"/>
          <w:lang w:val="en-US" w:eastAsia="zh-CN"/>
        </w:rPr>
        <w:t>137.96万元</w:t>
      </w:r>
      <w:r>
        <w:rPr>
          <w:rFonts w:hint="eastAsia" w:ascii="仿宋_GB2312" w:hAnsi="Times New Roman" w:eastAsia="仿宋_GB2312" w:cs="DengXian-Regular"/>
          <w:sz w:val="32"/>
          <w:szCs w:val="32"/>
        </w:rPr>
        <w:t>、机关事业单位基本养老保险缴费</w:t>
      </w:r>
      <w:r>
        <w:rPr>
          <w:rFonts w:hint="eastAsia" w:ascii="仿宋_GB2312" w:hAnsi="Times New Roman" w:eastAsia="仿宋_GB2312" w:cs="DengXian-Regular"/>
          <w:sz w:val="32"/>
          <w:szCs w:val="32"/>
          <w:lang w:val="en-US" w:eastAsia="zh-CN"/>
        </w:rPr>
        <w:t>41.5万元</w:t>
      </w:r>
      <w:r>
        <w:rPr>
          <w:rFonts w:hint="eastAsia" w:ascii="仿宋_GB2312" w:hAnsi="Times New Roman" w:eastAsia="仿宋_GB2312" w:cs="DengXian-Regular"/>
          <w:sz w:val="32"/>
          <w:szCs w:val="32"/>
        </w:rPr>
        <w:t>、职工基本医疗保险缴费</w:t>
      </w:r>
      <w:r>
        <w:rPr>
          <w:rFonts w:hint="eastAsia" w:ascii="仿宋_GB2312" w:hAnsi="Times New Roman" w:eastAsia="仿宋_GB2312" w:cs="DengXian-Regular"/>
          <w:sz w:val="32"/>
          <w:szCs w:val="32"/>
          <w:lang w:val="en-US" w:eastAsia="zh-CN"/>
        </w:rPr>
        <w:t>42.84万元</w:t>
      </w:r>
      <w:r>
        <w:rPr>
          <w:rFonts w:hint="eastAsia" w:ascii="仿宋_GB2312" w:hAnsi="Times New Roman" w:eastAsia="仿宋_GB2312" w:cs="DengXian-Regular"/>
          <w:sz w:val="32"/>
          <w:szCs w:val="32"/>
        </w:rPr>
        <w:t>、住房公积金</w:t>
      </w:r>
      <w:r>
        <w:rPr>
          <w:rFonts w:hint="eastAsia" w:ascii="仿宋_GB2312" w:hAnsi="Times New Roman" w:eastAsia="仿宋_GB2312" w:cs="DengXian-Regular"/>
          <w:sz w:val="32"/>
          <w:szCs w:val="32"/>
          <w:lang w:val="en-US" w:eastAsia="zh-CN"/>
        </w:rPr>
        <w:t>34.85万元</w:t>
      </w:r>
      <w:r>
        <w:rPr>
          <w:rFonts w:hint="eastAsia" w:ascii="仿宋_GB2312" w:hAnsi="Times New Roman" w:eastAsia="仿宋_GB2312" w:cs="DengXian-Regular"/>
          <w:sz w:val="32"/>
          <w:szCs w:val="32"/>
        </w:rPr>
        <w:t>、其他社会保障缴费</w:t>
      </w:r>
      <w:r>
        <w:rPr>
          <w:rFonts w:hint="eastAsia" w:ascii="仿宋_GB2312" w:hAnsi="Times New Roman" w:eastAsia="仿宋_GB2312" w:cs="DengXian-Regular"/>
          <w:sz w:val="32"/>
          <w:szCs w:val="32"/>
          <w:lang w:val="en-US" w:eastAsia="zh-CN"/>
        </w:rPr>
        <w:t>1.17万元</w:t>
      </w:r>
      <w:r>
        <w:rPr>
          <w:rFonts w:hint="eastAsia" w:ascii="仿宋_GB2312" w:hAnsi="Times New Roman" w:eastAsia="仿宋_GB2312" w:cs="DengXian-Regular"/>
          <w:sz w:val="32"/>
          <w:szCs w:val="32"/>
        </w:rPr>
        <w:t>、退休费</w:t>
      </w:r>
      <w:r>
        <w:rPr>
          <w:rFonts w:hint="eastAsia" w:ascii="仿宋_GB2312" w:hAnsi="Times New Roman" w:eastAsia="仿宋_GB2312" w:cs="DengXian-Regular"/>
          <w:sz w:val="32"/>
          <w:szCs w:val="32"/>
          <w:lang w:val="en-US" w:eastAsia="zh-CN"/>
        </w:rPr>
        <w:t>3.83万元</w:t>
      </w:r>
      <w:r>
        <w:rPr>
          <w:rFonts w:hint="eastAsia" w:ascii="仿宋_GB2312" w:hAnsi="Times New Roman" w:eastAsia="仿宋_GB2312" w:cs="DengXian-Regular"/>
          <w:sz w:val="32"/>
          <w:szCs w:val="32"/>
        </w:rPr>
        <w:t>、生活补助</w:t>
      </w:r>
      <w:r>
        <w:rPr>
          <w:rFonts w:hint="eastAsia" w:ascii="仿宋_GB2312" w:hAnsi="Times New Roman" w:eastAsia="仿宋_GB2312" w:cs="DengXian-Regular"/>
          <w:sz w:val="32"/>
          <w:szCs w:val="32"/>
          <w:lang w:val="en-US" w:eastAsia="zh-CN"/>
        </w:rPr>
        <w:t>1万元</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个人农业生产补贴支出</w:t>
      </w:r>
      <w:r>
        <w:rPr>
          <w:rFonts w:hint="eastAsia" w:ascii="仿宋_GB2312" w:hAnsi="Times New Roman" w:eastAsia="仿宋_GB2312" w:cs="DengXian-Regular"/>
          <w:sz w:val="32"/>
          <w:szCs w:val="32"/>
          <w:lang w:val="en-US" w:eastAsia="zh-CN"/>
        </w:rPr>
        <w:t>565.28</w:t>
      </w:r>
      <w:r>
        <w:rPr>
          <w:rFonts w:hint="eastAsia" w:ascii="仿宋_GB2312" w:hAnsi="Times New Roman" w:eastAsia="仿宋_GB2312" w:cs="DengXian-Regular"/>
          <w:sz w:val="32"/>
          <w:szCs w:val="32"/>
        </w:rPr>
        <w:t>、其他对个人和家庭的补助支出</w:t>
      </w:r>
      <w:r>
        <w:rPr>
          <w:rFonts w:hint="eastAsia" w:ascii="仿宋_GB2312" w:hAnsi="Times New Roman" w:eastAsia="仿宋_GB2312" w:cs="DengXian-Regular"/>
          <w:sz w:val="32"/>
          <w:szCs w:val="32"/>
          <w:lang w:val="en-US" w:eastAsia="zh-CN"/>
        </w:rPr>
        <w:t>1.42万元</w:t>
      </w: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447.07</w:t>
      </w:r>
      <w:r>
        <w:rPr>
          <w:rFonts w:hint="eastAsia" w:ascii="仿宋_GB2312" w:hAnsi="Times New Roman" w:eastAsia="仿宋_GB2312" w:cs="DengXian-Regular"/>
          <w:sz w:val="32"/>
          <w:szCs w:val="32"/>
        </w:rPr>
        <w:t>万元，主要包括办公费</w:t>
      </w:r>
      <w:r>
        <w:rPr>
          <w:rFonts w:hint="eastAsia" w:ascii="仿宋_GB2312" w:hAnsi="Times New Roman" w:eastAsia="仿宋_GB2312" w:cs="DengXian-Regular"/>
          <w:sz w:val="32"/>
          <w:szCs w:val="32"/>
          <w:lang w:val="en-US" w:eastAsia="zh-CN"/>
        </w:rPr>
        <w:t>33.62万元</w:t>
      </w:r>
      <w:r>
        <w:rPr>
          <w:rFonts w:hint="eastAsia" w:ascii="仿宋_GB2312" w:hAnsi="Times New Roman" w:eastAsia="仿宋_GB2312" w:cs="DengXian-Regular"/>
          <w:sz w:val="32"/>
          <w:szCs w:val="32"/>
        </w:rPr>
        <w:t>、印刷费</w:t>
      </w:r>
      <w:r>
        <w:rPr>
          <w:rFonts w:hint="eastAsia" w:ascii="仿宋_GB2312" w:hAnsi="Times New Roman" w:eastAsia="仿宋_GB2312" w:cs="DengXian-Regular"/>
          <w:sz w:val="32"/>
          <w:szCs w:val="32"/>
          <w:lang w:val="en-US" w:eastAsia="zh-CN"/>
        </w:rPr>
        <w:t>1.7万元</w:t>
      </w:r>
      <w:r>
        <w:rPr>
          <w:rFonts w:hint="eastAsia" w:ascii="仿宋_GB2312" w:hAnsi="Times New Roman" w:eastAsia="仿宋_GB2312" w:cs="DengXian-Regular"/>
          <w:sz w:val="32"/>
          <w:szCs w:val="32"/>
        </w:rPr>
        <w:t>、电费</w:t>
      </w:r>
      <w:r>
        <w:rPr>
          <w:rFonts w:hint="eastAsia" w:ascii="仿宋_GB2312" w:hAnsi="Times New Roman" w:eastAsia="仿宋_GB2312" w:cs="DengXian-Regular"/>
          <w:sz w:val="32"/>
          <w:szCs w:val="32"/>
          <w:lang w:val="en-US" w:eastAsia="zh-CN"/>
        </w:rPr>
        <w:t>19.24万元</w:t>
      </w:r>
      <w:r>
        <w:rPr>
          <w:rFonts w:hint="eastAsia" w:ascii="仿宋_GB2312" w:hAnsi="Times New Roman" w:eastAsia="仿宋_GB2312" w:cs="DengXian-Regular"/>
          <w:sz w:val="32"/>
          <w:szCs w:val="32"/>
        </w:rPr>
        <w:t>、邮电费</w:t>
      </w:r>
      <w:r>
        <w:rPr>
          <w:rFonts w:hint="eastAsia" w:ascii="仿宋_GB2312" w:hAnsi="Times New Roman" w:eastAsia="仿宋_GB2312" w:cs="DengXian-Regular"/>
          <w:sz w:val="32"/>
          <w:szCs w:val="32"/>
          <w:lang w:val="en-US" w:eastAsia="zh-CN"/>
        </w:rPr>
        <w:t>22.74万元</w:t>
      </w:r>
      <w:r>
        <w:rPr>
          <w:rFonts w:hint="eastAsia" w:ascii="仿宋_GB2312" w:hAnsi="Times New Roman" w:eastAsia="仿宋_GB2312" w:cs="DengXian-Regular"/>
          <w:sz w:val="32"/>
          <w:szCs w:val="32"/>
        </w:rPr>
        <w:t>、取暖费</w:t>
      </w:r>
      <w:r>
        <w:rPr>
          <w:rFonts w:hint="eastAsia" w:ascii="仿宋_GB2312" w:hAnsi="Times New Roman" w:eastAsia="仿宋_GB2312" w:cs="DengXian-Regular"/>
          <w:sz w:val="32"/>
          <w:szCs w:val="32"/>
          <w:lang w:val="en-US" w:eastAsia="zh-CN"/>
        </w:rPr>
        <w:t>6万元</w:t>
      </w:r>
      <w:r>
        <w:rPr>
          <w:rFonts w:hint="eastAsia" w:ascii="仿宋_GB2312" w:hAnsi="Times New Roman" w:eastAsia="仿宋_GB2312" w:cs="DengXian-Regular"/>
          <w:sz w:val="32"/>
          <w:szCs w:val="32"/>
        </w:rPr>
        <w:t>、差旅费</w:t>
      </w:r>
      <w:r>
        <w:rPr>
          <w:rFonts w:hint="eastAsia" w:ascii="仿宋_GB2312" w:hAnsi="Times New Roman" w:eastAsia="仿宋_GB2312" w:cs="DengXian-Regular"/>
          <w:sz w:val="32"/>
          <w:szCs w:val="32"/>
          <w:lang w:val="en-US" w:eastAsia="zh-CN"/>
        </w:rPr>
        <w:t>34.1万元</w:t>
      </w:r>
      <w:r>
        <w:rPr>
          <w:rFonts w:hint="eastAsia" w:ascii="仿宋_GB2312" w:hAnsi="Times New Roman" w:eastAsia="仿宋_GB2312" w:cs="DengXian-Regular"/>
          <w:sz w:val="32"/>
          <w:szCs w:val="32"/>
        </w:rPr>
        <w:t>、维修（护）费</w:t>
      </w:r>
      <w:r>
        <w:rPr>
          <w:rFonts w:hint="eastAsia" w:ascii="仿宋_GB2312" w:hAnsi="Times New Roman" w:eastAsia="仿宋_GB2312" w:cs="DengXian-Regular"/>
          <w:sz w:val="32"/>
          <w:szCs w:val="32"/>
          <w:lang w:val="en-US" w:eastAsia="zh-CN"/>
        </w:rPr>
        <w:t>13.86万元</w:t>
      </w:r>
      <w:r>
        <w:rPr>
          <w:rFonts w:hint="eastAsia" w:ascii="仿宋_GB2312" w:hAnsi="Times New Roman" w:eastAsia="仿宋_GB2312" w:cs="DengXian-Regular"/>
          <w:sz w:val="32"/>
          <w:szCs w:val="32"/>
        </w:rPr>
        <w:t>、培训费</w:t>
      </w:r>
      <w:r>
        <w:rPr>
          <w:rFonts w:hint="eastAsia" w:ascii="仿宋_GB2312" w:hAnsi="Times New Roman" w:eastAsia="仿宋_GB2312" w:cs="DengXian-Regular"/>
          <w:sz w:val="32"/>
          <w:szCs w:val="32"/>
          <w:lang w:val="en-US" w:eastAsia="zh-CN"/>
        </w:rPr>
        <w:t>0.05万元</w:t>
      </w:r>
      <w:r>
        <w:rPr>
          <w:rFonts w:hint="eastAsia" w:ascii="仿宋_GB2312" w:hAnsi="Times New Roman" w:eastAsia="仿宋_GB2312" w:cs="DengXian-Regular"/>
          <w:sz w:val="32"/>
          <w:szCs w:val="32"/>
        </w:rPr>
        <w:t>、劳务费</w:t>
      </w:r>
      <w:r>
        <w:rPr>
          <w:rFonts w:hint="eastAsia" w:ascii="仿宋_GB2312" w:hAnsi="Times New Roman" w:eastAsia="仿宋_GB2312" w:cs="DengXian-Regular"/>
          <w:sz w:val="32"/>
          <w:szCs w:val="32"/>
          <w:lang w:val="en-US" w:eastAsia="zh-CN"/>
        </w:rPr>
        <w:t>59.08万元</w:t>
      </w:r>
      <w:r>
        <w:rPr>
          <w:rFonts w:hint="eastAsia" w:ascii="仿宋_GB2312" w:hAnsi="Times New Roman" w:eastAsia="仿宋_GB2312" w:cs="DengXian-Regular"/>
          <w:sz w:val="32"/>
          <w:szCs w:val="32"/>
        </w:rPr>
        <w:t>、委托业务费</w:t>
      </w:r>
      <w:r>
        <w:rPr>
          <w:rFonts w:hint="eastAsia" w:ascii="仿宋_GB2312" w:hAnsi="Times New Roman" w:eastAsia="仿宋_GB2312" w:cs="DengXian-Regular"/>
          <w:sz w:val="32"/>
          <w:szCs w:val="32"/>
          <w:lang w:val="en-US" w:eastAsia="zh-CN"/>
        </w:rPr>
        <w:t>227.95万元</w:t>
      </w:r>
      <w:r>
        <w:rPr>
          <w:rFonts w:hint="eastAsia" w:ascii="仿宋_GB2312" w:hAnsi="Times New Roman" w:eastAsia="仿宋_GB2312" w:cs="DengXian-Regular"/>
          <w:sz w:val="32"/>
          <w:szCs w:val="32"/>
        </w:rPr>
        <w:t>、工会经费</w:t>
      </w:r>
      <w:r>
        <w:rPr>
          <w:rFonts w:hint="eastAsia" w:ascii="仿宋_GB2312" w:hAnsi="Times New Roman" w:eastAsia="仿宋_GB2312" w:cs="DengXian-Regular"/>
          <w:sz w:val="32"/>
          <w:szCs w:val="32"/>
          <w:lang w:val="en-US" w:eastAsia="zh-CN"/>
        </w:rPr>
        <w:t>3.03万元</w:t>
      </w:r>
      <w:r>
        <w:rPr>
          <w:rFonts w:hint="eastAsia" w:ascii="仿宋_GB2312" w:hAnsi="Times New Roman" w:eastAsia="仿宋_GB2312" w:cs="DengXian-Regular"/>
          <w:sz w:val="32"/>
          <w:szCs w:val="32"/>
        </w:rPr>
        <w:t>、福利费</w:t>
      </w:r>
      <w:r>
        <w:rPr>
          <w:rFonts w:hint="eastAsia" w:ascii="仿宋_GB2312" w:hAnsi="Times New Roman" w:eastAsia="仿宋_GB2312" w:cs="DengXian-Regular"/>
          <w:sz w:val="32"/>
          <w:szCs w:val="32"/>
          <w:lang w:val="en-US" w:eastAsia="zh-CN"/>
        </w:rPr>
        <w:t>3.67万元</w:t>
      </w:r>
      <w:r>
        <w:rPr>
          <w:rFonts w:hint="eastAsia" w:ascii="仿宋_GB2312" w:hAnsi="Times New Roman" w:eastAsia="仿宋_GB2312" w:cs="DengXian-Regular"/>
          <w:sz w:val="32"/>
          <w:szCs w:val="32"/>
        </w:rPr>
        <w:t>、公务用车运行维护费</w:t>
      </w:r>
      <w:r>
        <w:rPr>
          <w:rFonts w:hint="eastAsia" w:ascii="仿宋_GB2312" w:hAnsi="Times New Roman" w:eastAsia="仿宋_GB2312" w:cs="DengXian-Regular"/>
          <w:sz w:val="32"/>
          <w:szCs w:val="32"/>
          <w:lang w:val="en-US" w:eastAsia="zh-CN"/>
        </w:rPr>
        <w:t>1.76万元</w:t>
      </w:r>
      <w:r>
        <w:rPr>
          <w:rFonts w:hint="eastAsia" w:ascii="仿宋_GB2312" w:hAnsi="Times New Roman" w:eastAsia="仿宋_GB2312" w:cs="DengXian-Regular"/>
          <w:sz w:val="32"/>
          <w:szCs w:val="32"/>
        </w:rPr>
        <w:t>、其他交通费用</w:t>
      </w:r>
      <w:r>
        <w:rPr>
          <w:rFonts w:hint="eastAsia" w:ascii="仿宋_GB2312" w:hAnsi="Times New Roman" w:eastAsia="仿宋_GB2312" w:cs="DengXian-Regular"/>
          <w:sz w:val="32"/>
          <w:szCs w:val="32"/>
          <w:lang w:val="en-US" w:eastAsia="zh-CN"/>
        </w:rPr>
        <w:t>12.94万元</w:t>
      </w:r>
      <w:r>
        <w:rPr>
          <w:rFonts w:hint="eastAsia" w:ascii="仿宋_GB2312" w:hAnsi="Times New Roman" w:eastAsia="仿宋_GB2312" w:cs="DengXian-Regular"/>
          <w:sz w:val="32"/>
          <w:szCs w:val="32"/>
        </w:rPr>
        <w:t>、其他商品和服务支出</w:t>
      </w:r>
      <w:r>
        <w:rPr>
          <w:rFonts w:hint="eastAsia" w:ascii="仿宋_GB2312" w:hAnsi="Times New Roman" w:eastAsia="仿宋_GB2312" w:cs="DengXian-Regular"/>
          <w:sz w:val="32"/>
          <w:szCs w:val="32"/>
          <w:lang w:val="en-US" w:eastAsia="zh-CN"/>
        </w:rPr>
        <w:t>6.92万元</w:t>
      </w:r>
      <w:r>
        <w:rPr>
          <w:rFonts w:hint="eastAsia" w:ascii="仿宋_GB2312" w:hAnsi="Times New Roman" w:eastAsia="仿宋_GB2312" w:cs="DengXian-Regular"/>
          <w:sz w:val="32"/>
          <w:szCs w:val="32"/>
        </w:rPr>
        <w:t>、办公设备购置</w:t>
      </w:r>
      <w:r>
        <w:rPr>
          <w:rFonts w:hint="eastAsia" w:ascii="仿宋_GB2312" w:hAnsi="Times New Roman" w:eastAsia="仿宋_GB2312" w:cs="DengXian-Regular"/>
          <w:sz w:val="32"/>
          <w:szCs w:val="32"/>
          <w:lang w:val="en-US" w:eastAsia="zh-CN"/>
        </w:rPr>
        <w:t>0.41万元</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1.76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21.73</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6.34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78.27</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2.71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60.63</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w:t>
      </w:r>
      <w:r>
        <w:rPr>
          <w:rFonts w:hint="eastAsia" w:ascii="楷体_GB2312" w:eastAsia="楷体_GB2312" w:cs="DengXian-Bold"/>
          <w:b/>
          <w:bCs/>
          <w:sz w:val="32"/>
          <w:szCs w:val="32"/>
        </w:rPr>
        <w:t>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仿宋_GB2312" w:eastAsia="仿宋_GB2312" w:cs="DengXian-Regular"/>
          <w:sz w:val="32"/>
          <w:szCs w:val="32"/>
          <w:lang w:eastAsia="zh-CN"/>
        </w:rPr>
        <w:t>，我单位未发生此类业务</w:t>
      </w:r>
      <w:r>
        <w:rPr>
          <w:rFonts w:hint="eastAsia" w:ascii="仿宋_GB2312" w:eastAsia="仿宋_GB2312" w:cs="DengXian-Regular"/>
          <w:sz w:val="32"/>
          <w:szCs w:val="32"/>
        </w:rPr>
        <w:t>。因公出国（境）费支出较年初预算增加</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我单位没有安排</w:t>
      </w:r>
      <w:r>
        <w:rPr>
          <w:rFonts w:hint="eastAsia" w:ascii="仿宋_GB2312" w:eastAsia="仿宋_GB2312" w:cs="DengXian-Regular"/>
          <w:sz w:val="32"/>
          <w:szCs w:val="32"/>
        </w:rPr>
        <w:t>因公出国（境）费支出。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1.76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6.34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78.27</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60.63</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w:t>
      </w:r>
      <w:bookmarkStart w:id="0" w:name="_GoBack"/>
      <w:bookmarkEnd w:id="0"/>
      <w:r>
        <w:rPr>
          <w:rFonts w:hint="eastAsia" w:ascii="仿宋_GB2312" w:eastAsia="仿宋_GB2312" w:cs="DengXian-Regular"/>
          <w:sz w:val="32"/>
          <w:szCs w:val="32"/>
        </w:rPr>
        <w:t>算有所节约。</w:t>
      </w:r>
      <w:r>
        <w:rPr>
          <w:rFonts w:hint="eastAsia" w:ascii="仿宋_GB2312" w:hAnsi="Times New Roman" w:eastAsia="仿宋_GB2312" w:cs="DengXian-Bold"/>
          <w:b/>
          <w:bCs/>
          <w:sz w:val="32"/>
          <w:szCs w:val="32"/>
        </w:rPr>
        <w:t>其中：</w:t>
      </w:r>
    </w:p>
    <w:p>
      <w:pPr>
        <w:adjustRightInd w:val="0"/>
        <w:snapToGrid w:val="0"/>
        <w:spacing w:after="0"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eastAsia="仿宋_GB2312" w:cs="DengXian-Regular"/>
          <w:sz w:val="32"/>
          <w:szCs w:val="32"/>
        </w:rPr>
        <w:t>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，我单位未发生此类业务</w:t>
      </w:r>
      <w:r>
        <w:rPr>
          <w:rFonts w:hint="eastAsia" w:ascii="仿宋_GB2312" w:eastAsia="仿宋_GB2312" w:cs="DengXian-Regular"/>
          <w:sz w:val="32"/>
          <w:szCs w:val="32"/>
        </w:rPr>
        <w:t>。公务用车购置费支出较年初预算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我单位没有安排公务车购置支出</w:t>
      </w:r>
      <w:r>
        <w:rPr>
          <w:rFonts w:hint="eastAsia" w:ascii="仿宋_GB2312"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6.34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78.27</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2.71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60.63</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eastAsia="楷体_GB2312" w:cs="DengXian-Bold"/>
          <w:b/>
          <w:bCs/>
          <w:sz w:val="32"/>
          <w:szCs w:val="32"/>
          <w:lang w:eastAsia="zh-CN"/>
        </w:rPr>
        <w:t>（三）</w:t>
      </w:r>
      <w:r>
        <w:rPr>
          <w:rFonts w:hint="eastAsia" w:ascii="楷体_GB2312" w:eastAsia="楷体_GB2312" w:cs="DengXian-Bold"/>
          <w:b/>
          <w:bCs/>
          <w:sz w:val="32"/>
          <w:szCs w:val="32"/>
        </w:rPr>
        <w:t>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 w:hAnsi="仿宋" w:eastAsia="仿宋" w:cs="仿宋"/>
          <w:sz w:val="32"/>
          <w:szCs w:val="32"/>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1KFV1L0AAADb&#10;AAAADwAAAGRycy9kb3ducmV2LnhtbEWPQWsCMRSE7wX/Q3hCbzVRYStbowdR9NRa7cHjY/O6Wbp5&#10;WZOo23/fFASPw8x8w8yXvWvFlUJsPGsYjxQI4sqbhmsNX8fNywxETMgGW8+k4ZciLBeDpzmWxt/4&#10;k66HVIsM4ViiBptSV0oZK0sO48h3xNn79sFhyjLU0gS8Zbhr5USpQjpsOC9Y7Ghlqfo5XJyG/eXd&#10;1tNTeD2mbdevT6rYm4+z1s/DsXoDkahPj/C9vTMaZgX8f8k/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oVXU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NgXW7cAAADb&#10;AAAADwAAAGRycy9kb3ducmV2LnhtbEWPMQvCMBSEd8H/EJ7gZlMdtFTTDoLg4KIW52fzbIvNS2mi&#10;1X9vBMHxuLvvuE3+Mq14Uu8aywrmUQyCuLS64UpBcd7NEhDOI2tsLZOCNznIs/Fog6m2Ax/pefKV&#10;CBB2KSqove9SKV1Zk0EX2Y44eDfbG/RB9pXUPQ4Bblq5iOOlNNhwWKixo21N5f30MApMs7o9rpdD&#10;e3TykJRUVLbYDkpNJ/N4DcLTy//Dv/ZeK0hW8P0SfoDM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k2BdbtwAAANsAAAAP&#10;AAAAAAAAAAEAIAAAACIAAABkcnMvZG93bnJldi54bWxQSwECFAAUAAAACACHTuJAMy8FnjsAAAA5&#10;AAAAEAAAAAAAAAABACAAAAAGAQAAZHJzL3NoYXBleG1sLnhtbFBLBQYAAAAABgAGAFsBAACwAwAA&#10;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 w:hAnsi="仿宋" w:eastAsia="仿宋" w:cs="仿宋"/>
          <w:sz w:val="32"/>
          <w:szCs w:val="32"/>
          <w:lang w:eastAsia="zh-CN"/>
        </w:rPr>
        <w:t>黄壁庄镇</w:t>
      </w:r>
      <w:r>
        <w:rPr>
          <w:rFonts w:hint="eastAsia" w:ascii="仿宋" w:hAnsi="仿宋" w:eastAsia="仿宋" w:cs="仿宋"/>
          <w:sz w:val="32"/>
          <w:szCs w:val="32"/>
        </w:rPr>
        <w:t>2</w:t>
      </w:r>
      <w:r>
        <w:rPr>
          <w:rFonts w:hint="eastAsia" w:ascii="仿宋_GB2312" w:eastAsia="仿宋_GB2312" w:cs="DengXian-Regular"/>
          <w:sz w:val="32"/>
          <w:szCs w:val="32"/>
        </w:rPr>
        <w:t>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w:t>
      </w:r>
      <w:r>
        <w:rPr>
          <w:rFonts w:hint="eastAsia" w:ascii="仿宋_GB2312" w:eastAsia="仿宋_GB2312" w:cs="DengXian-Regular"/>
          <w:sz w:val="32"/>
          <w:szCs w:val="32"/>
          <w:lang w:eastAsia="zh-CN"/>
        </w:rPr>
        <w:t>，我单位为发生此类业务</w:t>
      </w:r>
      <w:r>
        <w:rPr>
          <w:rFonts w:hint="eastAsia" w:ascii="仿宋_GB2312" w:eastAsia="仿宋_GB2312" w:cs="DengXian-Regular"/>
          <w:sz w:val="32"/>
          <w:szCs w:val="32"/>
        </w:rPr>
        <w:t>。公务接待费支出较年初预算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我单位没有安排公务接待费支出</w:t>
      </w:r>
      <w:r>
        <w:rPr>
          <w:rFonts w:hint="eastAsia" w:ascii="仿宋_GB2312"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color w:val="auto"/>
          <w:sz w:val="32"/>
          <w:szCs w:val="40"/>
        </w:rPr>
      </w:pPr>
      <w:r>
        <w:rPr>
          <w:rFonts w:hint="eastAsia" w:ascii="黑体" w:hAnsi="Times New Roman" w:eastAsia="黑体" w:cs="Times New Roman"/>
          <w:color w:val="auto"/>
          <w:sz w:val="32"/>
          <w:szCs w:val="40"/>
        </w:rPr>
        <w:t>六、预算绩效情况说明</w:t>
      </w:r>
    </w:p>
    <w:p>
      <w:pPr>
        <w:adjustRightInd w:val="0"/>
        <w:snapToGrid w:val="0"/>
        <w:spacing w:line="580" w:lineRule="exact"/>
        <w:ind w:firstLine="643" w:firstLineChars="200"/>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1. 预算绩效管理工作开展情况。</w:t>
      </w:r>
    </w:p>
    <w:p>
      <w:pPr>
        <w:keepNext w:val="0"/>
        <w:keepLines w:val="0"/>
        <w:pageBreakBefore w:val="0"/>
        <w:widowControl w:val="0"/>
        <w:kinsoku/>
        <w:wordWrap/>
        <w:overflowPunct/>
        <w:topLinePunct w:val="0"/>
        <w:autoSpaceDE/>
        <w:autoSpaceDN/>
        <w:bidi w:val="0"/>
        <w:spacing w:line="360" w:lineRule="auto"/>
        <w:ind w:firstLine="800" w:firstLineChars="25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color w:val="auto"/>
          <w:sz w:val="32"/>
          <w:szCs w:val="32"/>
        </w:rPr>
        <w:t>根据预算绩效管理要求，本部门组织对2019年度一般公共预算项目支出全面开展绩效自评</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sz w:val="32"/>
          <w:szCs w:val="32"/>
        </w:rPr>
        <w:t>其中，一般公共预算项目支出</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主要是更换采暖锅炉、退役军人公益岗位工资、环保、水源保护区餐饮企业关停奖励资金</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186.51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55.08%</w:t>
      </w:r>
      <w:r>
        <w:rPr>
          <w:rFonts w:hint="eastAsia" w:ascii="仿宋_GB2312" w:hAnsi="仿宋_GB2312" w:eastAsia="仿宋_GB2312" w:cs="仿宋_GB2312"/>
          <w:sz w:val="32"/>
          <w:szCs w:val="32"/>
        </w:rPr>
        <w:t>。</w:t>
      </w:r>
      <w:r>
        <w:rPr>
          <w:rFonts w:hint="eastAsia" w:ascii="仿宋_GB2312" w:hAnsi="仿宋_GB2312" w:eastAsia="仿宋_GB2312" w:cs="仿宋_GB2312"/>
          <w:color w:val="auto"/>
          <w:sz w:val="32"/>
          <w:szCs w:val="32"/>
        </w:rPr>
        <w:t>组织对2019年度</w:t>
      </w:r>
      <w:r>
        <w:rPr>
          <w:rFonts w:hint="eastAsia" w:ascii="仿宋_GB2312" w:hAnsi="仿宋_GB2312" w:eastAsia="仿宋_GB2312" w:cs="仿宋_GB2312"/>
          <w:sz w:val="32"/>
          <w:szCs w:val="32"/>
          <w:lang w:eastAsia="zh-CN"/>
        </w:rPr>
        <w:t>整治回填滹沱河右岸沙坑清理树障并拆除工程</w:t>
      </w:r>
      <w:r>
        <w:rPr>
          <w:rFonts w:hint="eastAsia" w:ascii="仿宋_GB2312" w:hAnsi="仿宋_GB2312" w:eastAsia="仿宋_GB2312" w:cs="仿宋_GB2312"/>
          <w:color w:val="auto"/>
          <w:sz w:val="32"/>
          <w:szCs w:val="32"/>
        </w:rPr>
        <w:t>等</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个政府性基金预算项目支出开展绩效自评，共涉及资金</w:t>
      </w:r>
      <w:r>
        <w:rPr>
          <w:rFonts w:hint="eastAsia" w:ascii="仿宋_GB2312" w:hAnsi="仿宋_GB2312" w:eastAsia="仿宋_GB2312" w:cs="仿宋_GB2312"/>
          <w:color w:val="auto"/>
          <w:sz w:val="32"/>
          <w:szCs w:val="32"/>
          <w:lang w:val="en-US" w:eastAsia="zh-CN"/>
        </w:rPr>
        <w:t>13</w:t>
      </w:r>
      <w:r>
        <w:rPr>
          <w:rFonts w:hint="eastAsia" w:ascii="仿宋_GB2312" w:hAnsi="仿宋_GB2312" w:eastAsia="仿宋_GB2312" w:cs="仿宋_GB2312"/>
          <w:color w:val="auto"/>
          <w:sz w:val="32"/>
          <w:szCs w:val="32"/>
        </w:rPr>
        <w:t>万元，占政府性基金预算项目支出总额的</w:t>
      </w:r>
      <w:r>
        <w:rPr>
          <w:rFonts w:hint="eastAsia" w:ascii="仿宋_GB2312" w:hAnsi="仿宋_GB2312" w:eastAsia="仿宋_GB2312" w:cs="仿宋_GB2312"/>
          <w:color w:val="auto"/>
          <w:sz w:val="32"/>
          <w:szCs w:val="32"/>
          <w:lang w:val="en-US" w:eastAsia="zh-CN"/>
        </w:rPr>
        <w:t>22.41%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春季防火、更换镇采暖锅炉、修缮镇政府院内塌陷路面、</w:t>
      </w:r>
      <w:r>
        <w:rPr>
          <w:rFonts w:hint="eastAsia" w:ascii="仿宋_GB2312" w:hAnsi="仿宋_GB2312" w:eastAsia="仿宋_GB2312" w:cs="仿宋_GB2312"/>
          <w:sz w:val="32"/>
          <w:szCs w:val="32"/>
          <w:lang w:val="en-US" w:eastAsia="zh-CN"/>
        </w:rPr>
        <w:t>2019水源保护区生态发展经济补贴、</w:t>
      </w:r>
      <w:r>
        <w:rPr>
          <w:rFonts w:hint="eastAsia" w:ascii="仿宋_GB2312" w:hAnsi="仿宋_GB2312" w:eastAsia="仿宋_GB2312" w:cs="仿宋_GB2312"/>
          <w:sz w:val="32"/>
          <w:szCs w:val="32"/>
        </w:rPr>
        <w:t>农村</w:t>
      </w:r>
      <w:r>
        <w:rPr>
          <w:rFonts w:hint="eastAsia" w:ascii="仿宋_GB2312" w:hAnsi="仿宋_GB2312" w:eastAsia="仿宋_GB2312" w:cs="仿宋_GB2312"/>
          <w:sz w:val="32"/>
          <w:szCs w:val="32"/>
          <w:lang w:eastAsia="zh-CN"/>
        </w:rPr>
        <w:t>人居环境（路灯亮化升级）工程</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黄壁庄镇污水管网改造工程</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滹沱河大桥东侧违建清理整治</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农村文化建设专项、退役军人公益岗位工资</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整治回填滹沱河右岸沙坑清理树障并拆除工程</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修缮田村地道路面农户围墙工程</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学校临时聘用人员劳务费</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环保资金</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水源保护区餐饮企业关停项目</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186.51</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本部门在今年部门决算公开中反映 </w:t>
      </w:r>
      <w:r>
        <w:rPr>
          <w:rFonts w:hint="eastAsia" w:ascii="仿宋_GB2312" w:hAnsi="仿宋_GB2312" w:eastAsia="仿宋_GB2312" w:cs="仿宋_GB2312"/>
          <w:sz w:val="32"/>
          <w:szCs w:val="32"/>
          <w:lang w:eastAsia="zh-CN"/>
        </w:rPr>
        <w:t>水源保护区餐饮企业关停奖励资金</w:t>
      </w:r>
      <w:r>
        <w:rPr>
          <w:rFonts w:hint="eastAsia" w:ascii="仿宋_GB2312" w:hAnsi="仿宋_GB2312" w:eastAsia="仿宋_GB2312" w:cs="仿宋_GB2312"/>
          <w:color w:val="auto"/>
          <w:sz w:val="32"/>
          <w:szCs w:val="32"/>
        </w:rPr>
        <w:t>项目项目及</w:t>
      </w:r>
      <w:r>
        <w:rPr>
          <w:rFonts w:hint="eastAsia" w:ascii="仿宋_GB2312" w:hAnsi="仿宋_GB2312" w:eastAsia="仿宋_GB2312" w:cs="仿宋_GB2312"/>
          <w:sz w:val="32"/>
          <w:szCs w:val="32"/>
          <w:lang w:eastAsia="zh-CN"/>
        </w:rPr>
        <w:t>整治回填滹沱河右岸沙坑清理树障并拆除</w:t>
      </w:r>
      <w:r>
        <w:rPr>
          <w:rFonts w:hint="eastAsia" w:ascii="仿宋_GB2312" w:hAnsi="仿宋_GB2312" w:eastAsia="仿宋_GB2312" w:cs="仿宋_GB2312"/>
          <w:color w:val="auto"/>
          <w:sz w:val="32"/>
          <w:szCs w:val="32"/>
        </w:rPr>
        <w:t>项目等</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个项目绩效自评结果。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）水源保护区餐饮企业关停奖励资金</w:t>
      </w:r>
      <w:r>
        <w:rPr>
          <w:rFonts w:hint="eastAsia" w:ascii="仿宋_GB2312" w:hAnsi="仿宋_GB2312" w:eastAsia="仿宋_GB2312" w:cs="仿宋_GB2312"/>
          <w:color w:val="auto"/>
          <w:sz w:val="32"/>
          <w:szCs w:val="32"/>
        </w:rPr>
        <w:t>项目自评综述：</w:t>
      </w:r>
      <w:r>
        <w:rPr>
          <w:rFonts w:hint="eastAsia" w:ascii="仿宋_GB2312" w:hAnsi="仿宋_GB2312" w:eastAsia="仿宋_GB2312" w:cs="仿宋_GB2312"/>
          <w:sz w:val="32"/>
          <w:szCs w:val="32"/>
          <w:lang w:val="en-US" w:eastAsia="zh-CN"/>
        </w:rPr>
        <w:t>聚福楼等16家水源保护区餐饮单位</w:t>
      </w:r>
      <w:r>
        <w:rPr>
          <w:rFonts w:hint="eastAsia" w:ascii="仿宋_GB2312" w:hAnsi="仿宋_GB2312" w:eastAsia="仿宋_GB2312" w:cs="仿宋_GB2312"/>
          <w:sz w:val="32"/>
          <w:szCs w:val="32"/>
          <w:lang w:eastAsia="zh-CN"/>
        </w:rPr>
        <w:t>达到了“三清”（即清理固定餐厨设备、清理移动餐厨设备、清理就餐设施）的标准，并通过了区市场监管局、区环保局和黄壁庄镇政府的验收。项目</w:t>
      </w:r>
      <w:r>
        <w:rPr>
          <w:rFonts w:hint="eastAsia" w:ascii="仿宋_GB2312" w:hAnsi="仿宋_GB2312" w:eastAsia="仿宋_GB2312" w:cs="仿宋_GB2312"/>
          <w:color w:val="auto"/>
          <w:sz w:val="32"/>
          <w:szCs w:val="32"/>
        </w:rPr>
        <w:t>全年预算数为</w:t>
      </w:r>
      <w:r>
        <w:rPr>
          <w:rFonts w:hint="eastAsia" w:ascii="仿宋_GB2312" w:hAnsi="仿宋_GB2312" w:eastAsia="仿宋_GB2312" w:cs="仿宋_GB2312"/>
          <w:color w:val="auto"/>
          <w:sz w:val="32"/>
          <w:szCs w:val="32"/>
          <w:lang w:val="en-US" w:eastAsia="zh-CN"/>
        </w:rPr>
        <w:t>54.29</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54.29</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w:t>
      </w: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，经评价，本项目综合评价得分</w:t>
      </w:r>
      <w:r>
        <w:rPr>
          <w:rFonts w:hint="eastAsia" w:ascii="仿宋_GB2312" w:eastAsia="仿宋_GB2312"/>
          <w:sz w:val="32"/>
          <w:szCs w:val="32"/>
          <w:lang w:val="en-US" w:eastAsia="zh-CN"/>
        </w:rPr>
        <w:t>99分为优秀</w:t>
      </w:r>
      <w:r>
        <w:rPr>
          <w:rFonts w:hint="eastAsia" w:ascii="仿宋_GB2312" w:eastAsia="仿宋_GB2312"/>
          <w:sz w:val="32"/>
          <w:szCs w:val="32"/>
        </w:rPr>
        <w:t>。</w:t>
      </w:r>
    </w:p>
    <w:p>
      <w:pPr>
        <w:numPr>
          <w:ilvl w:val="0"/>
          <w:numId w:val="0"/>
        </w:numPr>
        <w:adjustRightInd w:val="0"/>
        <w:snapToGrid w:val="0"/>
        <w:spacing w:line="580" w:lineRule="exact"/>
        <w:ind w:firstLine="640" w:firstLineChars="200"/>
        <w:rPr>
          <w:rFonts w:ascii="仿宋_GB2312" w:hAnsi="仿宋_GB2312" w:eastAsia="仿宋_GB2312" w:cs="仿宋_GB2312"/>
          <w:b/>
          <w:bCs/>
          <w:color w:val="auto"/>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）整治回填滹沱河右岸沙坑清理树障并拆除</w:t>
      </w:r>
      <w:r>
        <w:rPr>
          <w:rFonts w:hint="eastAsia" w:ascii="仿宋_GB2312" w:hAnsi="仿宋_GB2312" w:eastAsia="仿宋_GB2312" w:cs="仿宋_GB2312"/>
          <w:color w:val="auto"/>
          <w:sz w:val="32"/>
          <w:szCs w:val="32"/>
        </w:rPr>
        <w:t>项目绩效自评综述：</w:t>
      </w:r>
      <w:r>
        <w:rPr>
          <w:rFonts w:hint="eastAsia" w:ascii="仿宋_GB2312" w:hAnsi="仿宋_GB2312" w:eastAsia="仿宋_GB2312" w:cs="仿宋_GB2312"/>
          <w:sz w:val="32"/>
          <w:szCs w:val="32"/>
          <w:lang w:eastAsia="zh-CN"/>
        </w:rPr>
        <w:t>整治回填滹沱河右岸沙坑清理树障并拆除项目：</w:t>
      </w:r>
      <w:r>
        <w:rPr>
          <w:rFonts w:hint="eastAsia" w:ascii="仿宋_GB2312" w:hAnsi="仿宋_GB2312" w:eastAsia="仿宋_GB2312" w:cs="仿宋_GB2312"/>
          <w:sz w:val="32"/>
          <w:szCs w:val="32"/>
          <w:lang w:val="en-US" w:eastAsia="zh-CN"/>
        </w:rPr>
        <w:t>回填滹沱河下黄壁段右岸1处18万立方米大沙坑、清理树障、拆除1个水塔和1处养殖场。</w:t>
      </w:r>
      <w:r>
        <w:rPr>
          <w:rFonts w:hint="eastAsia" w:ascii="仿宋_GB2312" w:hAnsi="仿宋_GB2312" w:eastAsia="仿宋_GB2312" w:cs="仿宋_GB2312"/>
          <w:sz w:val="32"/>
          <w:szCs w:val="32"/>
        </w:rPr>
        <w:t>项目绩效目标完成情况：</w:t>
      </w:r>
      <w:r>
        <w:rPr>
          <w:rFonts w:hint="eastAsia" w:ascii="仿宋" w:hAnsi="仿宋" w:eastAsia="仿宋" w:cs="仿宋"/>
          <w:sz w:val="32"/>
          <w:szCs w:val="32"/>
          <w:lang w:val="en-US" w:eastAsia="zh-CN"/>
        </w:rPr>
        <w:t>通过此次专项行动，按期按要求圆满完成河北省河湖长制工作督办单（冀河办督〔2018〕1号）整治工作</w:t>
      </w:r>
      <w:r>
        <w:rPr>
          <w:rFonts w:hint="eastAsia" w:ascii="仿宋" w:hAnsi="仿宋" w:eastAsia="仿宋" w:cs="仿宋"/>
          <w:sz w:val="32"/>
          <w:szCs w:val="32"/>
        </w:rPr>
        <w:t>。</w:t>
      </w:r>
      <w:r>
        <w:rPr>
          <w:rFonts w:hint="eastAsia" w:ascii="仿宋" w:hAnsi="仿宋" w:eastAsia="仿宋" w:cs="仿宋"/>
          <w:b w:val="0"/>
          <w:bCs w:val="0"/>
          <w:sz w:val="32"/>
          <w:szCs w:val="32"/>
          <w:lang w:val="en-US" w:eastAsia="zh-CN"/>
        </w:rPr>
        <w:t>根据项目执行情况和项目绩效情况，该项总得分为</w:t>
      </w:r>
      <w:r>
        <w:rPr>
          <w:rFonts w:hint="eastAsia" w:ascii="仿宋" w:hAnsi="仿宋" w:eastAsia="仿宋" w:cs="仿宋"/>
          <w:sz w:val="32"/>
          <w:szCs w:val="32"/>
          <w:lang w:val="en-US" w:eastAsia="zh-CN"/>
        </w:rPr>
        <w:t>90</w:t>
      </w:r>
      <w:r>
        <w:rPr>
          <w:rFonts w:hint="eastAsia" w:ascii="仿宋" w:hAnsi="仿宋" w:eastAsia="仿宋" w:cs="仿宋"/>
          <w:sz w:val="32"/>
          <w:szCs w:val="32"/>
        </w:rPr>
        <w:t>分，</w:t>
      </w:r>
      <w:r>
        <w:rPr>
          <w:rFonts w:hint="eastAsia" w:ascii="仿宋" w:hAnsi="仿宋" w:eastAsia="仿宋" w:cs="仿宋"/>
          <w:b w:val="0"/>
          <w:bCs w:val="0"/>
          <w:sz w:val="32"/>
          <w:szCs w:val="32"/>
          <w:lang w:val="en-US" w:eastAsia="zh-CN"/>
        </w:rPr>
        <w:t>项目综合绩效评价分为优秀等级</w:t>
      </w:r>
      <w:r>
        <w:rPr>
          <w:rFonts w:hint="eastAsia" w:ascii="仿宋" w:hAnsi="仿宋" w:eastAsia="仿宋" w:cs="仿宋"/>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447.07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107.13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31.51</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lang w:eastAsia="zh-CN"/>
        </w:rPr>
        <w:t>人员增加相应的机关运行经费增加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73.8</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73.8</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共有车辆</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辆</w:t>
      </w:r>
      <w:r>
        <w:rPr>
          <w:rFonts w:hint="eastAsia" w:ascii="仿宋_GB2312" w:hAnsi="Times New Roman" w:eastAsia="仿宋_GB2312" w:cs="DengXian-Regular"/>
          <w:sz w:val="32"/>
          <w:szCs w:val="32"/>
        </w:rPr>
        <w:t>，比上年增加</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上级调拨执法执勤电车</w:t>
      </w:r>
      <w:r>
        <w:rPr>
          <w:rFonts w:hint="eastAsia" w:ascii="仿宋_GB2312" w:hAnsi="Times New Roman" w:eastAsia="仿宋_GB2312" w:cs="DengXian-Regular"/>
          <w:sz w:val="32"/>
          <w:szCs w:val="32"/>
          <w:lang w:val="en-US" w:eastAsia="zh-CN"/>
        </w:rPr>
        <w:t>1辆，垃圾清运车2辆</w:t>
      </w:r>
      <w:r>
        <w:rPr>
          <w:rFonts w:hint="eastAsia" w:ascii="仿宋_GB2312" w:eastAsia="仿宋_GB2312" w:cs="DengXian-Regular"/>
          <w:sz w:val="32"/>
          <w:szCs w:val="32"/>
        </w:rPr>
        <w:t>。其中应急保障用车</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垃圾清运车</w:t>
      </w:r>
      <w:r>
        <w:rPr>
          <w:rFonts w:hint="eastAsia" w:ascii="仿宋_GB2312"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台，比上年增加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更换单位取暖锅炉</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ind w:firstLine="640" w:firstLineChars="200"/>
        <w:rPr>
          <w:rFonts w:ascii="仿宋_GB2312" w:hAnsi="Times New Roman" w:eastAsia="仿宋_GB2312" w:cs="DengXian-Regular"/>
          <w:sz w:val="32"/>
          <w:szCs w:val="32"/>
        </w:rPr>
      </w:pPr>
      <w:r>
        <w:rPr>
          <w:rFonts w:hint="eastAsia" w:ascii="仿宋" w:hAnsi="仿宋" w:eastAsia="仿宋" w:cs="仿宋"/>
          <w:sz w:val="32"/>
          <w:szCs w:val="32"/>
          <w:lang w:val="en-US" w:eastAsia="zh-CN"/>
        </w:rPr>
        <w:t>1、</w:t>
      </w:r>
      <w:r>
        <w:rPr>
          <w:rFonts w:hint="eastAsia" w:ascii="仿宋" w:hAnsi="仿宋" w:eastAsia="仿宋" w:cs="仿宋"/>
          <w:color w:val="000000"/>
          <w:sz w:val="32"/>
          <w:szCs w:val="32"/>
          <w:lang w:eastAsia="zh-CN"/>
        </w:rPr>
        <w:t>黄壁庄镇本年度无相关</w:t>
      </w:r>
      <w:r>
        <w:rPr>
          <w:rFonts w:hint="eastAsia" w:ascii="仿宋" w:hAnsi="仿宋" w:eastAsia="仿宋" w:cs="仿宋"/>
          <w:color w:val="000000"/>
          <w:kern w:val="0"/>
          <w:sz w:val="32"/>
          <w:szCs w:val="32"/>
          <w:lang w:bidi="ar"/>
        </w:rPr>
        <w:t>国有资本经营预算财政拨款支出情况</w:t>
      </w:r>
      <w:r>
        <w:rPr>
          <w:rFonts w:hint="eastAsia" w:ascii="仿宋" w:hAnsi="仿宋" w:eastAsia="仿宋" w:cs="仿宋"/>
          <w:color w:val="000000"/>
          <w:kern w:val="0"/>
          <w:sz w:val="32"/>
          <w:szCs w:val="32"/>
          <w:lang w:eastAsia="zh-CN" w:bidi="ar"/>
        </w:rPr>
        <w:t>，按要求空表列示。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0"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896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642"/>
        <w:gridCol w:w="900"/>
        <w:gridCol w:w="335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3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石家庄市鹿泉区黄壁庄镇人民政府</w:t>
            </w:r>
          </w:p>
        </w:tc>
        <w:tc>
          <w:tcPr>
            <w:tcW w:w="64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3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7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1756.19</w:t>
            </w: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928.2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58</w:t>
            </w: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65.44</w:t>
            </w: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20" w:firstLineChars="100"/>
              <w:jc w:val="both"/>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37.47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41.6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708.12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105.15</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75.14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1879.63</w:t>
            </w: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1900.68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21.07</w:t>
            </w: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0.02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6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1900.7</w:t>
            </w:r>
            <w:r>
              <w:rPr>
                <w:rFonts w:hint="eastAsia" w:ascii="宋体" w:hAnsi="宋体" w:eastAsia="宋体" w:cs="宋体"/>
                <w:color w:val="000000"/>
                <w:kern w:val="0"/>
                <w:sz w:val="22"/>
                <w:lang w:bidi="ar"/>
              </w:rPr>
              <w:t>　</w:t>
            </w:r>
          </w:p>
        </w:tc>
        <w:tc>
          <w:tcPr>
            <w:tcW w:w="3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1900.7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autofit"/>
        <w:tblCellMar>
          <w:top w:w="0" w:type="dxa"/>
          <w:left w:w="0" w:type="dxa"/>
          <w:bottom w:w="0" w:type="dxa"/>
          <w:right w:w="0" w:type="dxa"/>
        </w:tblCellMar>
      </w:tblPr>
      <w:tblGrid>
        <w:gridCol w:w="733"/>
        <w:gridCol w:w="42"/>
        <w:gridCol w:w="42"/>
        <w:gridCol w:w="3083"/>
        <w:gridCol w:w="1515"/>
        <w:gridCol w:w="1077"/>
        <w:gridCol w:w="554"/>
        <w:gridCol w:w="554"/>
        <w:gridCol w:w="554"/>
        <w:gridCol w:w="554"/>
        <w:gridCol w:w="872"/>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51"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宋体" w:hAnsi="宋体" w:eastAsia="宋体" w:cs="宋体"/>
                <w:color w:val="000000"/>
                <w:kern w:val="0"/>
                <w:sz w:val="20"/>
                <w:szCs w:val="20"/>
                <w:lang w:eastAsia="zh-CN" w:bidi="ar"/>
              </w:rPr>
              <w:t>石家庄市鹿泉区黄壁庄镇人民政府</w:t>
            </w:r>
          </w:p>
        </w:tc>
        <w:tc>
          <w:tcPr>
            <w:tcW w:w="130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351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30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7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7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7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7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9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86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5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30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6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5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30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6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5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30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5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3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35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1879.63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1814.19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65.44</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一般公共服务支出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925.82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925.82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20103</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政府办公厅（室）及相关机构事务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870.28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870.28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2010302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一般行政管理事务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869.28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869.28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2010308</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信访事务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20105</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统计信息事务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2010502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一般行政管理事务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20106</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财政事务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2010602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一般行政管理事务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社会保障和就业支出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行政事业单位离退休</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机关事业单位基本养老保险缴费支出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退役安置</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退役士兵安置</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卫生健康支出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21007</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计划生育事务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2100717</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计划生育服务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节能环保支出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708.12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708.12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21103</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污染防治</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3110301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大气</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2100302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水体</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56.29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56.29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21104</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自然生态保护</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569.03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569.03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2110401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生态保护</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559.03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559.03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2110402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农村环境保护</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城乡社区支出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86.48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86.48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城乡社区管理事务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2120101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一般行政事务管理</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城乡社区规划和管理</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2120201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城乡社区规划和管理</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21203</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城乡社区公共设施</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2120303</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小城镇基础设施建设</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21205</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城乡社区环境卫生</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2120501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城乡社区环境卫生</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21208</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国有土地使用出让收入及对应专项债务收入安排的支出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2120804</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农村基础设施建设支出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农林水支出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47.44</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农业</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65.14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37.44</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2130102</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一般行政事务管理</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2130126</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农村公益事业</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37.44</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21307</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农村综合改革</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2130706</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对村集体经济组织的补助</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灾害防治及应急管理支出</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22403</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森林消防事务</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2240304</w:t>
            </w:r>
          </w:p>
        </w:tc>
        <w:tc>
          <w:tcPr>
            <w:tcW w:w="26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森林消防应急救援</w:t>
            </w:r>
          </w:p>
        </w:tc>
        <w:tc>
          <w:tcPr>
            <w:tcW w:w="13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405" w:type="dxa"/>
        <w:jc w:val="center"/>
        <w:tblLayout w:type="fixed"/>
        <w:tblCellMar>
          <w:top w:w="0" w:type="dxa"/>
          <w:left w:w="0" w:type="dxa"/>
          <w:bottom w:w="0" w:type="dxa"/>
          <w:right w:w="0" w:type="dxa"/>
        </w:tblCellMar>
      </w:tblPr>
      <w:tblGrid>
        <w:gridCol w:w="472"/>
        <w:gridCol w:w="473"/>
        <w:gridCol w:w="259"/>
        <w:gridCol w:w="1125"/>
        <w:gridCol w:w="950"/>
        <w:gridCol w:w="1025"/>
        <w:gridCol w:w="800"/>
        <w:gridCol w:w="838"/>
        <w:gridCol w:w="800"/>
        <w:gridCol w:w="2663"/>
      </w:tblGrid>
      <w:tr>
        <w:tblPrEx>
          <w:tblCellMar>
            <w:top w:w="0" w:type="dxa"/>
            <w:left w:w="0" w:type="dxa"/>
            <w:bottom w:w="0" w:type="dxa"/>
            <w:right w:w="0" w:type="dxa"/>
          </w:tblCellMar>
        </w:tblPrEx>
        <w:trPr>
          <w:trHeight w:val="612" w:hRule="atLeast"/>
          <w:jc w:val="center"/>
        </w:trPr>
        <w:tc>
          <w:tcPr>
            <w:tcW w:w="9405"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color w:val="000000"/>
                <w:sz w:val="32"/>
                <w:szCs w:val="32"/>
              </w:rPr>
            </w:pPr>
            <w:r>
              <w:rPr>
                <w:rFonts w:hint="eastAsia" w:ascii="黑体" w:hAnsi="宋体" w:eastAsia="黑体" w:cs="黑体"/>
                <w:i w:val="0"/>
                <w:color w:val="000000"/>
                <w:kern w:val="0"/>
                <w:sz w:val="32"/>
                <w:szCs w:val="32"/>
                <w:u w:val="none"/>
                <w:lang w:val="en-US" w:eastAsia="zh-CN" w:bidi="ar"/>
              </w:rPr>
              <w:t>支出决算表</w:t>
            </w:r>
          </w:p>
        </w:tc>
      </w:tr>
      <w:tr>
        <w:tblPrEx>
          <w:tblCellMar>
            <w:top w:w="0" w:type="dxa"/>
            <w:left w:w="0" w:type="dxa"/>
            <w:bottom w:w="0" w:type="dxa"/>
            <w:right w:w="0" w:type="dxa"/>
          </w:tblCellMar>
        </w:tblPrEx>
        <w:trPr>
          <w:trHeight w:val="313" w:hRule="atLeast"/>
          <w:jc w:val="center"/>
        </w:trPr>
        <w:tc>
          <w:tcPr>
            <w:tcW w:w="472"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73"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259"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1125"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950"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1025"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800"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838"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800"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266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公开03表</w:t>
            </w:r>
          </w:p>
        </w:tc>
      </w:tr>
      <w:tr>
        <w:tblPrEx>
          <w:tblCellMar>
            <w:top w:w="0" w:type="dxa"/>
            <w:left w:w="0" w:type="dxa"/>
            <w:bottom w:w="0" w:type="dxa"/>
            <w:right w:w="0" w:type="dxa"/>
          </w:tblCellMar>
        </w:tblPrEx>
        <w:trPr>
          <w:trHeight w:val="313" w:hRule="atLeast"/>
          <w:jc w:val="center"/>
        </w:trPr>
        <w:tc>
          <w:tcPr>
            <w:tcW w:w="47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部门：</w:t>
            </w:r>
          </w:p>
        </w:tc>
        <w:tc>
          <w:tcPr>
            <w:tcW w:w="473"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石家庄市鹿泉区黄壁庄镇人民政府</w:t>
            </w:r>
          </w:p>
        </w:tc>
        <w:tc>
          <w:tcPr>
            <w:tcW w:w="259"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1125"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950"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1025"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800"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838"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3463"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23" w:hRule="atLeast"/>
          <w:jc w:val="center"/>
        </w:trPr>
        <w:tc>
          <w:tcPr>
            <w:tcW w:w="232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9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本年支出合计</w:t>
            </w:r>
          </w:p>
        </w:tc>
        <w:tc>
          <w:tcPr>
            <w:tcW w:w="10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基本支出</w:t>
            </w:r>
          </w:p>
        </w:tc>
        <w:tc>
          <w:tcPr>
            <w:tcW w:w="8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c>
          <w:tcPr>
            <w:tcW w:w="83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上缴上级支出</w:t>
            </w:r>
          </w:p>
        </w:tc>
        <w:tc>
          <w:tcPr>
            <w:tcW w:w="8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经营支出</w:t>
            </w:r>
          </w:p>
        </w:tc>
        <w:tc>
          <w:tcPr>
            <w:tcW w:w="26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对附属单位补助支出</w:t>
            </w:r>
          </w:p>
        </w:tc>
      </w:tr>
      <w:tr>
        <w:tblPrEx>
          <w:tblCellMar>
            <w:top w:w="0" w:type="dxa"/>
            <w:left w:w="0" w:type="dxa"/>
            <w:bottom w:w="0" w:type="dxa"/>
            <w:right w:w="0" w:type="dxa"/>
          </w:tblCellMar>
        </w:tblPrEx>
        <w:trPr>
          <w:trHeight w:val="319"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95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pPr>
          </w:p>
        </w:tc>
        <w:tc>
          <w:tcPr>
            <w:tcW w:w="10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8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26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232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02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80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83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w:t>
            </w:r>
          </w:p>
        </w:tc>
        <w:tc>
          <w:tcPr>
            <w:tcW w:w="80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w:t>
            </w:r>
          </w:p>
        </w:tc>
        <w:tc>
          <w:tcPr>
            <w:tcW w:w="266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319" w:hRule="atLeast"/>
          <w:jc w:val="center"/>
        </w:trPr>
        <w:tc>
          <w:tcPr>
            <w:tcW w:w="232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1,900.68</w:t>
            </w:r>
          </w:p>
        </w:tc>
        <w:tc>
          <w:tcPr>
            <w:tcW w:w="102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1,562.07</w:t>
            </w:r>
          </w:p>
        </w:tc>
        <w:tc>
          <w:tcPr>
            <w:tcW w:w="80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338.61</w:t>
            </w:r>
          </w:p>
        </w:tc>
        <w:tc>
          <w:tcPr>
            <w:tcW w:w="83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b/>
                <w:i w:val="0"/>
                <w:color w:val="000000"/>
                <w:kern w:val="0"/>
                <w:sz w:val="22"/>
                <w:szCs w:val="22"/>
                <w:u w:val="none"/>
                <w:lang w:val="en-US" w:eastAsia="zh-CN" w:bidi="ar"/>
              </w:rPr>
              <w:t>0.00</w:t>
            </w:r>
          </w:p>
        </w:tc>
        <w:tc>
          <w:tcPr>
            <w:tcW w:w="80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b/>
                <w:i w:val="0"/>
                <w:color w:val="000000"/>
                <w:kern w:val="0"/>
                <w:sz w:val="22"/>
                <w:szCs w:val="22"/>
                <w:u w:val="none"/>
                <w:lang w:val="en-US" w:eastAsia="zh-CN" w:bidi="ar"/>
              </w:rPr>
              <w:t>0.00</w:t>
            </w:r>
          </w:p>
        </w:tc>
        <w:tc>
          <w:tcPr>
            <w:tcW w:w="266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1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pPr>
            <w:r>
              <w:rPr>
                <w:rFonts w:hint="eastAsia" w:ascii="宋体" w:hAnsi="宋体" w:eastAsia="宋体" w:cs="宋体"/>
                <w:i w:val="0"/>
                <w:color w:val="000000"/>
                <w:kern w:val="0"/>
                <w:sz w:val="22"/>
                <w:szCs w:val="22"/>
                <w:u w:val="none"/>
                <w:lang w:val="en-US" w:eastAsia="zh-CN" w:bidi="ar"/>
              </w:rPr>
              <w:t>一般公共服务支出</w:t>
            </w:r>
          </w:p>
        </w:tc>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928.20</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919.69</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8.51</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1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pPr>
            <w:r>
              <w:rPr>
                <w:rFonts w:hint="eastAsia" w:ascii="宋体" w:hAnsi="宋体" w:eastAsia="宋体" w:cs="宋体"/>
                <w:i w:val="0"/>
                <w:color w:val="000000"/>
                <w:kern w:val="0"/>
                <w:sz w:val="22"/>
                <w:szCs w:val="22"/>
                <w:u w:val="none"/>
                <w:lang w:val="en-US" w:eastAsia="zh-CN" w:bidi="ar"/>
              </w:rPr>
              <w:t>政府办公厅（室）及相关机构事务</w:t>
            </w:r>
          </w:p>
        </w:tc>
        <w:tc>
          <w:tcPr>
            <w:tcW w:w="9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872.66</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color w:val="000000"/>
                <w:sz w:val="22"/>
                <w:lang w:val="en-US" w:eastAsia="zh-CN"/>
              </w:rPr>
            </w:pPr>
            <w:r>
              <w:rPr>
                <w:rFonts w:hint="eastAsia" w:ascii="宋体" w:hAnsi="宋体" w:eastAsia="宋体" w:cs="宋体"/>
                <w:i w:val="0"/>
                <w:color w:val="000000"/>
                <w:kern w:val="0"/>
                <w:sz w:val="22"/>
                <w:szCs w:val="22"/>
                <w:u w:val="none"/>
                <w:lang w:val="en-US" w:eastAsia="zh-CN" w:bidi="ar"/>
              </w:rPr>
              <w:t>866.15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color w:val="000000"/>
                <w:sz w:val="22"/>
                <w:lang w:val="en-US" w:eastAsia="zh-CN"/>
              </w:rPr>
            </w:pPr>
            <w:r>
              <w:rPr>
                <w:rFonts w:hint="eastAsia" w:ascii="宋体" w:hAnsi="宋体" w:eastAsia="宋体" w:cs="宋体"/>
                <w:i w:val="0"/>
                <w:color w:val="000000"/>
                <w:kern w:val="0"/>
                <w:sz w:val="22"/>
                <w:szCs w:val="22"/>
                <w:u w:val="none"/>
                <w:lang w:val="en-US" w:eastAsia="zh-CN" w:bidi="ar"/>
              </w:rPr>
              <w:t>6.51</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2010302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871.66</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865.15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6.51</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2010308</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信访事务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20105</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统计信息事务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32.50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2010502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32.50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20106</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23.04</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2010602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23.04</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208</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37.47</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37.47</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20805</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10.60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2080505</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10.60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10.60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20809</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26.87</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26.87</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2080901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26.87</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26.87</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210</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41.60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41.60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21007</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计划生育事务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41.60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41.60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2100717</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计划生育服务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41.60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41.60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211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708.12</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559.03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149.09</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21103</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139.09</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139.09</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82.80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82.80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水体</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56.29</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56.29</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自然生态保护</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569.03</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559.03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生态保护</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559.03</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559.03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农村环境保护</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105.15</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91.11</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26.68</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18.67</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8.01</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2120104</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城管执法</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18.67</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18.67</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城乡社区规划与管理</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8.43</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8.43</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2120201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8.43</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8.43</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6.00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6.00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6.03</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6.03</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12"/>
                <w:szCs w:val="12"/>
                <w:u w:val="none"/>
                <w:lang w:val="en-US" w:eastAsia="zh-CN" w:bidi="ar"/>
              </w:rPr>
              <w:t>国有土地使用权出让收入及对应专项债务收入安排的支出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58.00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2120804</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58.00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75.14</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27.70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47.44</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农业</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65.14</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27.70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37.44</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2130102</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27.70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27.70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2130126</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农村公益事业</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37.44</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37.44</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21307</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农村综合改革</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2130706</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森林消防事务</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120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11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5.00</w:t>
            </w:r>
          </w:p>
        </w:tc>
        <w:tc>
          <w:tcPr>
            <w:tcW w:w="10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c>
          <w:tcPr>
            <w:tcW w:w="8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26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9405" w:type="dxa"/>
            <w:gridSpan w:val="10"/>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986"/>
        <w:gridCol w:w="400"/>
        <w:gridCol w:w="855"/>
        <w:gridCol w:w="1620"/>
        <w:gridCol w:w="488"/>
        <w:gridCol w:w="1687"/>
        <w:gridCol w:w="1325"/>
        <w:gridCol w:w="215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ascii="黑体" w:hAnsi="宋体" w:eastAsia="黑体" w:cs="黑体"/>
                <w:color w:val="000000"/>
                <w:sz w:val="32"/>
                <w:szCs w:val="32"/>
              </w:rPr>
            </w:pPr>
            <w:r>
              <w:rPr>
                <w:rFonts w:hint="eastAsia" w:ascii="黑体" w:hAnsi="宋体" w:eastAsia="黑体" w:cs="黑体"/>
                <w:i w:val="0"/>
                <w:color w:val="000000"/>
                <w:kern w:val="0"/>
                <w:sz w:val="32"/>
                <w:szCs w:val="32"/>
                <w:u w:val="none"/>
                <w:lang w:val="en-US" w:eastAsia="zh-CN" w:bidi="ar"/>
              </w:rPr>
              <w:t>财政拨款收入支出决算总表</w:t>
            </w:r>
          </w:p>
        </w:tc>
      </w:tr>
      <w:tr>
        <w:tblPrEx>
          <w:tblCellMar>
            <w:top w:w="0" w:type="dxa"/>
            <w:left w:w="0" w:type="dxa"/>
            <w:bottom w:w="0" w:type="dxa"/>
            <w:right w:w="0" w:type="dxa"/>
          </w:tblCellMar>
        </w:tblPrEx>
        <w:trPr>
          <w:trHeight w:val="302" w:hRule="atLeast"/>
          <w:jc w:val="center"/>
        </w:trPr>
        <w:tc>
          <w:tcPr>
            <w:tcW w:w="986"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00"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855"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1620"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88"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5171"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公开04表</w:t>
            </w:r>
          </w:p>
        </w:tc>
      </w:tr>
      <w:tr>
        <w:tblPrEx>
          <w:tblCellMar>
            <w:top w:w="0" w:type="dxa"/>
            <w:left w:w="0" w:type="dxa"/>
            <w:bottom w:w="0" w:type="dxa"/>
            <w:right w:w="0" w:type="dxa"/>
          </w:tblCellMar>
        </w:tblPrEx>
        <w:trPr>
          <w:trHeight w:val="90" w:hRule="atLeast"/>
          <w:jc w:val="center"/>
        </w:trPr>
        <w:tc>
          <w:tcPr>
            <w:tcW w:w="98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部门：</w:t>
            </w:r>
            <w:r>
              <w:rPr>
                <w:rFonts w:hint="eastAsia" w:ascii="宋体" w:hAnsi="宋体" w:eastAsia="宋体" w:cs="宋体"/>
                <w:color w:val="000000"/>
                <w:kern w:val="0"/>
                <w:sz w:val="20"/>
                <w:szCs w:val="20"/>
                <w:lang w:eastAsia="zh-CN" w:bidi="ar"/>
              </w:rPr>
              <w:t>石家庄市鹿泉区黄壁庄镇人民政府</w:t>
            </w:r>
          </w:p>
        </w:tc>
        <w:tc>
          <w:tcPr>
            <w:tcW w:w="400"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855"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1620"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88"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5171"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90" w:hRule="atLeast"/>
          <w:jc w:val="center"/>
        </w:trPr>
        <w:tc>
          <w:tcPr>
            <w:tcW w:w="22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     入</w:t>
            </w:r>
          </w:p>
        </w:tc>
        <w:tc>
          <w:tcPr>
            <w:tcW w:w="727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     出</w:t>
            </w:r>
          </w:p>
        </w:tc>
      </w:tr>
      <w:tr>
        <w:tblPrEx>
          <w:tblCellMar>
            <w:top w:w="0" w:type="dxa"/>
            <w:left w:w="0" w:type="dxa"/>
            <w:bottom w:w="0" w:type="dxa"/>
            <w:right w:w="0" w:type="dxa"/>
          </w:tblCellMar>
        </w:tblPrEx>
        <w:trPr>
          <w:trHeight w:val="312" w:hRule="atLeast"/>
          <w:jc w:val="center"/>
        </w:trPr>
        <w:tc>
          <w:tcPr>
            <w:tcW w:w="98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4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85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金额</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4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行次</w:t>
            </w:r>
          </w:p>
        </w:tc>
        <w:tc>
          <w:tcPr>
            <w:tcW w:w="1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合计</w:t>
            </w:r>
          </w:p>
        </w:tc>
        <w:tc>
          <w:tcPr>
            <w:tcW w:w="1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一般公共预算财政拨款</w:t>
            </w:r>
          </w:p>
        </w:tc>
        <w:tc>
          <w:tcPr>
            <w:tcW w:w="2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政府性基金预算财政拨款</w:t>
            </w:r>
          </w:p>
        </w:tc>
      </w:tr>
      <w:tr>
        <w:tblPrEx>
          <w:tblCellMar>
            <w:top w:w="0" w:type="dxa"/>
            <w:left w:w="0" w:type="dxa"/>
            <w:bottom w:w="0" w:type="dxa"/>
            <w:right w:w="0" w:type="dxa"/>
          </w:tblCellMar>
        </w:tblPrEx>
        <w:trPr>
          <w:trHeight w:val="312" w:hRule="atLeast"/>
          <w:jc w:val="center"/>
        </w:trPr>
        <w:tc>
          <w:tcPr>
            <w:tcW w:w="98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4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jc w:val="center"/>
            </w:pPr>
          </w:p>
        </w:tc>
        <w:tc>
          <w:tcPr>
            <w:tcW w:w="85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1"/>
                <w:szCs w:val="21"/>
                <w:u w:val="none"/>
                <w:lang w:val="en-US" w:eastAsia="zh-CN" w:bidi="ar"/>
              </w:rPr>
              <w:t>栏次</w:t>
            </w:r>
          </w:p>
        </w:tc>
        <w:tc>
          <w:tcPr>
            <w:tcW w:w="48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jc w:val="center"/>
              <w:rPr>
                <w:rFonts w:ascii="宋体" w:hAnsi="宋体" w:eastAsia="宋体" w:cs="宋体"/>
                <w:color w:val="000000"/>
                <w:sz w:val="22"/>
              </w:rPr>
            </w:pPr>
          </w:p>
        </w:tc>
        <w:tc>
          <w:tcPr>
            <w:tcW w:w="1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1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2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1,756.19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一、一般公共服务支出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928.20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928.20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58.00</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6</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7</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8</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37.47</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37.47</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9</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41.60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41.60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10</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696.12</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696.12</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11</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99.15</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41.15</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12</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27.70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27.70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13</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14</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15</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16</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17</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18</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1"/>
                <w:szCs w:val="21"/>
                <w:u w:val="none"/>
                <w:lang w:val="en-US" w:eastAsia="zh-CN" w:bidi="ar"/>
              </w:rPr>
              <w:t>十八、自然资源海洋气象等支出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47</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19</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十九、住房保障支出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48</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20</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21</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0"/>
                <w:szCs w:val="20"/>
                <w:u w:val="none"/>
                <w:lang w:val="en-US" w:eastAsia="zh-CN" w:bidi="ar"/>
              </w:rPr>
              <w:t>二十一、灾害防治及应急管理支出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5.00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22</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二十二、其他支出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23</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24</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1,835.24</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1,777.24</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年初财政拨款结转和结余</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25</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年末财政拨款结转和结余</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0.02</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0.02</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26</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pP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27</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pP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28</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left"/>
              <w:rPr>
                <w:rFonts w:ascii="宋体" w:hAnsi="宋体" w:eastAsia="宋体" w:cs="宋体"/>
                <w:color w:val="000000"/>
                <w:sz w:val="22"/>
              </w:rPr>
            </w:pP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pP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4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29</w:t>
            </w:r>
          </w:p>
        </w:tc>
        <w:tc>
          <w:tcPr>
            <w:tcW w:w="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w:t>
            </w:r>
          </w:p>
        </w:tc>
        <w:tc>
          <w:tcPr>
            <w:tcW w:w="1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1,835.26</w:t>
            </w:r>
          </w:p>
        </w:tc>
        <w:tc>
          <w:tcPr>
            <w:tcW w:w="1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1,777.26</w:t>
            </w:r>
          </w:p>
        </w:tc>
        <w:tc>
          <w:tcPr>
            <w:tcW w:w="21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58.00</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r>
        <w:br w:type="page"/>
      </w:r>
    </w:p>
    <w:tbl>
      <w:tblPr>
        <w:tblStyle w:val="6"/>
        <w:tblW w:w="10121" w:type="dxa"/>
        <w:jc w:val="center"/>
        <w:tblLayout w:type="fixed"/>
        <w:tblCellMar>
          <w:top w:w="0" w:type="dxa"/>
          <w:left w:w="0" w:type="dxa"/>
          <w:bottom w:w="0" w:type="dxa"/>
          <w:right w:w="0" w:type="dxa"/>
        </w:tblCellMar>
      </w:tblPr>
      <w:tblGrid>
        <w:gridCol w:w="763"/>
        <w:gridCol w:w="31"/>
        <w:gridCol w:w="753"/>
        <w:gridCol w:w="41"/>
        <w:gridCol w:w="469"/>
        <w:gridCol w:w="1475"/>
        <w:gridCol w:w="59"/>
        <w:gridCol w:w="783"/>
        <w:gridCol w:w="655"/>
        <w:gridCol w:w="41"/>
        <w:gridCol w:w="1558"/>
        <w:gridCol w:w="667"/>
        <w:gridCol w:w="101"/>
        <w:gridCol w:w="744"/>
        <w:gridCol w:w="1046"/>
        <w:gridCol w:w="313"/>
        <w:gridCol w:w="622"/>
      </w:tblGrid>
      <w:tr>
        <w:tblPrEx>
          <w:tblCellMar>
            <w:top w:w="0" w:type="dxa"/>
            <w:left w:w="0" w:type="dxa"/>
            <w:bottom w:w="0" w:type="dxa"/>
            <w:right w:w="0" w:type="dxa"/>
          </w:tblCellMar>
        </w:tblPrEx>
        <w:trPr>
          <w:gridAfter w:val="1"/>
          <w:wAfter w:w="622" w:type="dxa"/>
          <w:trHeight w:val="600" w:hRule="atLeast"/>
          <w:jc w:val="center"/>
        </w:trPr>
        <w:tc>
          <w:tcPr>
            <w:tcW w:w="9499" w:type="dxa"/>
            <w:gridSpan w:val="1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color w:val="000000"/>
                <w:sz w:val="32"/>
                <w:szCs w:val="32"/>
              </w:rPr>
            </w:pPr>
            <w:r>
              <w:rPr>
                <w:rFonts w:hint="eastAsia" w:ascii="黑体" w:hAnsi="宋体" w:eastAsia="黑体" w:cs="黑体"/>
                <w:i w:val="0"/>
                <w:color w:val="000000"/>
                <w:kern w:val="0"/>
                <w:sz w:val="32"/>
                <w:szCs w:val="32"/>
                <w:u w:val="none"/>
                <w:lang w:val="en-US" w:eastAsia="zh-CN" w:bidi="ar"/>
              </w:rPr>
              <w:t>一般公共预算财政拨款支出决算表</w:t>
            </w:r>
          </w:p>
        </w:tc>
      </w:tr>
      <w:tr>
        <w:tblPrEx>
          <w:tblCellMar>
            <w:top w:w="0" w:type="dxa"/>
            <w:left w:w="0" w:type="dxa"/>
            <w:bottom w:w="0" w:type="dxa"/>
            <w:right w:w="0" w:type="dxa"/>
          </w:tblCellMar>
        </w:tblPrEx>
        <w:trPr>
          <w:gridAfter w:val="1"/>
          <w:wAfter w:w="622" w:type="dxa"/>
          <w:trHeight w:val="255" w:hRule="atLeast"/>
          <w:jc w:val="center"/>
        </w:trPr>
        <w:tc>
          <w:tcPr>
            <w:tcW w:w="794" w:type="dxa"/>
            <w:gridSpan w:val="2"/>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794" w:type="dxa"/>
            <w:gridSpan w:val="2"/>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69"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1475"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1538" w:type="dxa"/>
            <w:gridSpan w:val="4"/>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429" w:type="dxa"/>
            <w:gridSpan w:val="6"/>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公开05表</w:t>
            </w:r>
          </w:p>
        </w:tc>
      </w:tr>
      <w:tr>
        <w:tblPrEx>
          <w:tblCellMar>
            <w:top w:w="0" w:type="dxa"/>
            <w:left w:w="0" w:type="dxa"/>
            <w:bottom w:w="0" w:type="dxa"/>
            <w:right w:w="0" w:type="dxa"/>
          </w:tblCellMar>
        </w:tblPrEx>
        <w:trPr>
          <w:gridAfter w:val="1"/>
          <w:wAfter w:w="622" w:type="dxa"/>
          <w:trHeight w:val="255" w:hRule="atLeast"/>
          <w:jc w:val="center"/>
        </w:trPr>
        <w:tc>
          <w:tcPr>
            <w:tcW w:w="794"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部门：</w:t>
            </w:r>
          </w:p>
        </w:tc>
        <w:tc>
          <w:tcPr>
            <w:tcW w:w="794" w:type="dxa"/>
            <w:gridSpan w:val="2"/>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石家庄市鹿泉区黄壁庄镇人民政府</w:t>
            </w:r>
          </w:p>
        </w:tc>
        <w:tc>
          <w:tcPr>
            <w:tcW w:w="469" w:type="dxa"/>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1475" w:type="dxa"/>
            <w:tcBorders>
              <w:top w:val="nil"/>
              <w:left w:val="nil"/>
              <w:bottom w:val="nil"/>
              <w:right w:val="nil"/>
            </w:tcBorders>
            <w:shd w:val="clear" w:color="auto" w:fill="auto"/>
            <w:noWrap/>
            <w:tcMar>
              <w:top w:w="15" w:type="dxa"/>
              <w:left w:w="15" w:type="dxa"/>
              <w:right w:w="15" w:type="dxa"/>
            </w:tcMar>
            <w:vAlign w:val="bottom"/>
          </w:tcPr>
          <w:p>
            <w:pPr>
              <w:jc w:val="both"/>
            </w:pPr>
          </w:p>
        </w:tc>
        <w:tc>
          <w:tcPr>
            <w:tcW w:w="1538" w:type="dxa"/>
            <w:gridSpan w:val="4"/>
            <w:tcBorders>
              <w:top w:val="nil"/>
              <w:left w:val="nil"/>
              <w:bottom w:val="nil"/>
              <w:right w:val="nil"/>
            </w:tcBorders>
            <w:shd w:val="clear" w:color="auto" w:fill="auto"/>
            <w:noWrap/>
            <w:tcMar>
              <w:top w:w="15" w:type="dxa"/>
              <w:left w:w="15" w:type="dxa"/>
              <w:right w:w="15" w:type="dxa"/>
            </w:tcMar>
            <w:vAlign w:val="bottom"/>
          </w:tcPr>
          <w:p>
            <w:pPr>
              <w:jc w:val="both"/>
              <w:rPr>
                <w:rFonts w:ascii="Arial" w:hAnsi="Arial" w:cs="Arial"/>
                <w:color w:val="000000"/>
                <w:sz w:val="20"/>
                <w:szCs w:val="20"/>
              </w:rPr>
            </w:pPr>
          </w:p>
        </w:tc>
        <w:tc>
          <w:tcPr>
            <w:tcW w:w="4429" w:type="dxa"/>
            <w:gridSpan w:val="6"/>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gridAfter w:val="1"/>
          <w:wAfter w:w="622" w:type="dxa"/>
          <w:trHeight w:val="308" w:hRule="atLeast"/>
          <w:jc w:val="center"/>
        </w:trPr>
        <w:tc>
          <w:tcPr>
            <w:tcW w:w="353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5967" w:type="dxa"/>
            <w:gridSpan w:val="10"/>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本年支出</w:t>
            </w:r>
          </w:p>
        </w:tc>
      </w:tr>
      <w:tr>
        <w:tblPrEx>
          <w:tblCellMar>
            <w:top w:w="0" w:type="dxa"/>
            <w:left w:w="0" w:type="dxa"/>
            <w:bottom w:w="0" w:type="dxa"/>
            <w:right w:w="0" w:type="dxa"/>
          </w:tblCellMar>
        </w:tblPrEx>
        <w:trPr>
          <w:gridAfter w:val="1"/>
          <w:wAfter w:w="622" w:type="dxa"/>
          <w:trHeight w:val="312"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4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53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小计</w:t>
            </w:r>
          </w:p>
        </w:tc>
        <w:tc>
          <w:tcPr>
            <w:tcW w:w="22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基本支出</w:t>
            </w:r>
          </w:p>
        </w:tc>
        <w:tc>
          <w:tcPr>
            <w:tcW w:w="220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gridAfter w:val="1"/>
          <w:wAfter w:w="622" w:type="dxa"/>
          <w:trHeight w:val="312" w:hRule="atLeast"/>
          <w:jc w:val="center"/>
        </w:trPr>
        <w:tc>
          <w:tcPr>
            <w:tcW w:w="3532"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53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22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220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r>
      <w:tr>
        <w:tblPrEx>
          <w:tblCellMar>
            <w:top w:w="0" w:type="dxa"/>
            <w:left w:w="0" w:type="dxa"/>
            <w:bottom w:w="0" w:type="dxa"/>
            <w:right w:w="0" w:type="dxa"/>
          </w:tblCellMar>
        </w:tblPrEx>
        <w:trPr>
          <w:gridAfter w:val="1"/>
          <w:wAfter w:w="622" w:type="dxa"/>
          <w:trHeight w:val="312" w:hRule="atLeast"/>
          <w:jc w:val="center"/>
        </w:trPr>
        <w:tc>
          <w:tcPr>
            <w:tcW w:w="3532"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53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1,777.24</w:t>
            </w:r>
          </w:p>
        </w:tc>
        <w:tc>
          <w:tcPr>
            <w:tcW w:w="22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b/>
                <w:i w:val="0"/>
                <w:color w:val="000000"/>
                <w:kern w:val="0"/>
                <w:sz w:val="22"/>
                <w:szCs w:val="22"/>
                <w:u w:val="none"/>
                <w:lang w:val="en-US" w:eastAsia="zh-CN" w:bidi="ar"/>
              </w:rPr>
              <w:t>1,562.07</w:t>
            </w:r>
          </w:p>
        </w:tc>
        <w:tc>
          <w:tcPr>
            <w:tcW w:w="220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215.17</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47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一般公共服务支出</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928.20</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919.69</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8.51</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47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2"/>
                <w:szCs w:val="22"/>
                <w:u w:val="none"/>
                <w:lang w:val="en-US" w:eastAsia="zh-CN" w:bidi="ar"/>
              </w:rPr>
              <w:t>政府办公厅（室）及相关机构事务</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872.66</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866.15</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6.51</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2010302</w:t>
            </w:r>
          </w:p>
        </w:tc>
        <w:tc>
          <w:tcPr>
            <w:tcW w:w="14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871.66</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865.15</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6.51</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2010308</w:t>
            </w:r>
          </w:p>
        </w:tc>
        <w:tc>
          <w:tcPr>
            <w:tcW w:w="14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信访事务</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1.00</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20105</w:t>
            </w:r>
          </w:p>
        </w:tc>
        <w:tc>
          <w:tcPr>
            <w:tcW w:w="14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统计信息事务</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32.50</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32.50</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2010502</w:t>
            </w:r>
          </w:p>
        </w:tc>
        <w:tc>
          <w:tcPr>
            <w:tcW w:w="14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32.50</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32.50</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14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53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23.04</w:t>
            </w:r>
          </w:p>
        </w:tc>
        <w:tc>
          <w:tcPr>
            <w:tcW w:w="22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21.04</w:t>
            </w:r>
          </w:p>
        </w:tc>
        <w:tc>
          <w:tcPr>
            <w:tcW w:w="220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23.04</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21.04</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社会保障和就业支出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37.47</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37.47</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20805</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行政事业单位离退休</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10.60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10.60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2080505</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10.60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10.60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20809</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退役安置</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26.87</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26.87</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2080901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退役士兵安置</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26.87</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26.87</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卫生健康支出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41.60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41.60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21007</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计划生育事务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41.60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41.60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2100717</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计划生育服务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41.60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41.60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节能环保支出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696.12</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559.03</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137.09</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污染防治</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137.09</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137.09</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大气</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82.80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82.80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2110302</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水体</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54.29</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54.29</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21104</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自然生态保护</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559.03</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559.03</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2110401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生态保护</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559.03</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559.03</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41.15</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14.04</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27.11</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城乡社区管理事务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26.68</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8.01</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18.67</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2120102</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8.01</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8.01</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2120104</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城管执法</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18.67</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18.67</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21202</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城乡社区规划与管理</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8.43</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8.43</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2120201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8.43</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8.43</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21205</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城乡社区环境卫生</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6.03</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6.03</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2120501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6.03</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6.03</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农林水支出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27.70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27.70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农业</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27.70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27.70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2130102</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27.70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27.70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224</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灾害防治及应急管理支出</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5.00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gridAfter w:val="1"/>
          <w:wAfter w:w="622" w:type="dxa"/>
          <w:trHeight w:val="308"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22403</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森林消防事务</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5.00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gridAfter w:val="1"/>
          <w:wAfter w:w="622" w:type="dxa"/>
          <w:trHeight w:val="90" w:hRule="atLeast"/>
          <w:jc w:val="center"/>
        </w:trPr>
        <w:tc>
          <w:tcPr>
            <w:tcW w:w="2057" w:type="dxa"/>
            <w:gridSpan w:val="5"/>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2240304</w:t>
            </w:r>
          </w:p>
        </w:tc>
        <w:tc>
          <w:tcPr>
            <w:tcW w:w="1475"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538"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5.00</w:t>
            </w:r>
          </w:p>
        </w:tc>
        <w:tc>
          <w:tcPr>
            <w:tcW w:w="2225"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2204" w:type="dxa"/>
            <w:gridSpan w:val="4"/>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gridBefore w:val="1"/>
          <w:gridAfter w:val="1"/>
          <w:wBefore w:w="763" w:type="dxa"/>
          <w:wAfter w:w="622" w:type="dxa"/>
          <w:trHeight w:val="8878" w:hRule="atLeast"/>
          <w:jc w:val="center"/>
        </w:trPr>
        <w:tc>
          <w:tcPr>
            <w:tcW w:w="8736" w:type="dxa"/>
            <w:gridSpan w:val="15"/>
            <w:tcBorders>
              <w:top w:val="nil"/>
              <w:left w:val="nil"/>
              <w:bottom w:val="nil"/>
              <w:right w:val="nil"/>
            </w:tcBorders>
            <w:shd w:val="clear" w:color="auto" w:fill="auto"/>
            <w:tcMar>
              <w:top w:w="15" w:type="dxa"/>
              <w:left w:w="15" w:type="dxa"/>
              <w:right w:w="15" w:type="dxa"/>
            </w:tcMar>
            <w:vAlign w:val="center"/>
          </w:tcPr>
          <w:p>
            <w:pPr>
              <w:widowControl/>
              <w:jc w:val="both"/>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gridBefore w:val="1"/>
          <w:gridAfter w:val="1"/>
          <w:wBefore w:w="763" w:type="dxa"/>
          <w:wAfter w:w="622" w:type="dxa"/>
          <w:trHeight w:val="339" w:hRule="atLeast"/>
          <w:jc w:val="center"/>
        </w:trPr>
        <w:tc>
          <w:tcPr>
            <w:tcW w:w="78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4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gridBefore w:val="1"/>
          <w:gridAfter w:val="1"/>
          <w:wBefore w:w="763" w:type="dxa"/>
          <w:wAfter w:w="622" w:type="dxa"/>
          <w:trHeight w:val="339" w:hRule="atLeast"/>
          <w:jc w:val="center"/>
        </w:trPr>
        <w:tc>
          <w:tcPr>
            <w:tcW w:w="784" w:type="dxa"/>
            <w:gridSpan w:val="2"/>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04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石家庄市鹿泉区黄壁庄镇人民政府</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gridBefore w:val="1"/>
          <w:gridAfter w:val="1"/>
          <w:wBefore w:w="763" w:type="dxa"/>
          <w:wAfter w:w="622" w:type="dxa"/>
          <w:trHeight w:val="362" w:hRule="atLeast"/>
          <w:jc w:val="center"/>
        </w:trPr>
        <w:tc>
          <w:tcPr>
            <w:tcW w:w="361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5125" w:type="dxa"/>
            <w:gridSpan w:val="8"/>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gridBefore w:val="1"/>
          <w:wBefore w:w="763" w:type="dxa"/>
          <w:trHeight w:val="362" w:hRule="atLeast"/>
          <w:jc w:val="center"/>
        </w:trPr>
        <w:tc>
          <w:tcPr>
            <w:tcW w:w="784"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2044"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0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3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gridBefore w:val="1"/>
          <w:wBefore w:w="763" w:type="dxa"/>
          <w:trHeight w:val="349" w:hRule="atLeast"/>
          <w:jc w:val="center"/>
        </w:trPr>
        <w:tc>
          <w:tcPr>
            <w:tcW w:w="784"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4"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549.71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商品和服务支出</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446.66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307</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债务利息及费用支出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30101</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148.99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办公费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33.62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30701</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国内债务付息</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30102</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142.4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印刷费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30702</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国外债务付息</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30103</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137.96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30203</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咨询费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资本性支出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0.41</w:t>
            </w: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30106</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手续费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31001</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房屋建筑物购建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30107</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水费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31002</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办公设备购置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0.41</w:t>
            </w: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30108</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41.5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电费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19.24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31003</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专用设备购置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30109</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30207</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邮电费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22.74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31005</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基础设施建设</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30110</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42.84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取暖费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31006</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大型修缮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30111</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30209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物业管理费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31007</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信息网络及软件购置更新</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30112</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1.17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差旅费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34.1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31008</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物资储备</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30113</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34.85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因公出国（境）费用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31009</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土地补偿</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30114</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30213</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维修（护）费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13.86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31010</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安置补助</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30199</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租赁费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31011</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地上附着物和青苗补偿</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565.28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会议费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31012</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拆迁补偿</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30301</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培训费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0.05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31013</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公务用车购置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30302</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3.83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公务接待费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31019</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其他交通工具购置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30303</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30218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专用材料费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31021</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文物和陈列品购置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30304</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30224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被装购置费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31022</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无形资产购置</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30305</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30225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专用燃料费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31099</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其他资本性支出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30306</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30226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劳务费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59.08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399</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其他支出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30307</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30227</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委托业务费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227.95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39906</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赠与</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2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30308</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30228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工会经费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3.03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39907</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国家赔偿费用支出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30309</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30229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福利费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3.67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39908</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对民间非营利组织和群众性自治组织补贴</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30310</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559.03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30231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公务用车运行维护费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1.76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39999</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其他支出</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30399</w:t>
            </w: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30239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其他交通费用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12.94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30240</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税金及附加费用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482" w:hRule="atLeast"/>
          <w:jc w:val="center"/>
        </w:trPr>
        <w:tc>
          <w:tcPr>
            <w:tcW w:w="7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204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30299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其他商品和服务支出</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6.92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p>
        </w:tc>
      </w:tr>
      <w:tr>
        <w:tblPrEx>
          <w:tblCellMar>
            <w:top w:w="0" w:type="dxa"/>
            <w:left w:w="0" w:type="dxa"/>
            <w:bottom w:w="0" w:type="dxa"/>
            <w:right w:w="0" w:type="dxa"/>
          </w:tblCellMar>
        </w:tblPrEx>
        <w:trPr>
          <w:gridBefore w:val="1"/>
          <w:wBefore w:w="763" w:type="dxa"/>
          <w:trHeight w:val="317" w:hRule="atLeast"/>
          <w:jc w:val="center"/>
        </w:trPr>
        <w:tc>
          <w:tcPr>
            <w:tcW w:w="2828"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1114.99</w:t>
            </w:r>
          </w:p>
        </w:tc>
        <w:tc>
          <w:tcPr>
            <w:tcW w:w="4812"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公用经费合计</w:t>
            </w:r>
          </w:p>
        </w:tc>
        <w:tc>
          <w:tcPr>
            <w:tcW w:w="9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center"/>
              <w:rPr>
                <w:rFonts w:hint="eastAsia" w:ascii="宋体" w:hAnsi="宋体" w:eastAsia="宋体" w:cs="宋体"/>
                <w:color w:val="000000"/>
                <w:sz w:val="22"/>
                <w:szCs w:val="22"/>
              </w:rPr>
            </w:pPr>
            <w:r>
              <w:rPr>
                <w:rFonts w:hint="eastAsia" w:ascii="宋体" w:hAnsi="宋体" w:eastAsia="宋体" w:cs="宋体"/>
                <w:color w:val="000000"/>
                <w:sz w:val="22"/>
                <w:szCs w:val="22"/>
              </w:rPr>
              <w:t>447.07</w:t>
            </w:r>
          </w:p>
        </w:tc>
      </w:tr>
    </w:tbl>
    <w:p>
      <w:pPr>
        <w:jc w:val="center"/>
      </w:pPr>
      <w:r>
        <w:rPr>
          <w:rFonts w:hint="eastAsia" w:ascii="宋体" w:hAnsi="宋体" w:eastAsia="宋体" w:cs="宋体"/>
          <w:sz w:val="22"/>
          <w:szCs w:val="22"/>
        </w:rPr>
        <w:br w:type="page"/>
      </w:r>
    </w:p>
    <w:tbl>
      <w:tblPr>
        <w:tblStyle w:val="6"/>
        <w:tblW w:w="9220" w:type="dxa"/>
        <w:jc w:val="center"/>
        <w:tblLayout w:type="autofit"/>
        <w:tblCellMar>
          <w:top w:w="0" w:type="dxa"/>
          <w:left w:w="0" w:type="dxa"/>
          <w:bottom w:w="0" w:type="dxa"/>
          <w:right w:w="0" w:type="dxa"/>
        </w:tblCellMar>
      </w:tblPr>
      <w:tblGrid>
        <w:gridCol w:w="3630"/>
        <w:gridCol w:w="1305"/>
        <w:gridCol w:w="997"/>
        <w:gridCol w:w="720"/>
        <w:gridCol w:w="997"/>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石家庄市鹿泉区黄壁庄镇人民政府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8.1</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1.76</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1.76</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1.76</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718"/>
        <w:gridCol w:w="41"/>
        <w:gridCol w:w="41"/>
        <w:gridCol w:w="5530"/>
        <w:gridCol w:w="545"/>
        <w:gridCol w:w="548"/>
        <w:gridCol w:w="548"/>
        <w:gridCol w:w="545"/>
        <w:gridCol w:w="759"/>
        <w:gridCol w:w="671"/>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石家庄市鹿泉区黄壁庄镇人民政府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城乡社区支出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21208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2120804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农村基础设施建设支出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bl>
    <w:p>
      <w:r>
        <w:br w:type="page"/>
      </w:r>
    </w:p>
    <w:tbl>
      <w:tblPr>
        <w:tblStyle w:val="6"/>
        <w:tblW w:w="9915" w:type="dxa"/>
        <w:jc w:val="center"/>
        <w:tblLayout w:type="autofit"/>
        <w:tblCellMar>
          <w:top w:w="0" w:type="dxa"/>
          <w:left w:w="0" w:type="dxa"/>
          <w:bottom w:w="0" w:type="dxa"/>
          <w:right w:w="0" w:type="dxa"/>
        </w:tblCellMar>
      </w:tblPr>
      <w:tblGrid>
        <w:gridCol w:w="4585"/>
        <w:gridCol w:w="45"/>
        <w:gridCol w:w="45"/>
        <w:gridCol w:w="2347"/>
        <w:gridCol w:w="594"/>
        <w:gridCol w:w="1149"/>
        <w:gridCol w:w="115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石家庄市鹿泉区黄壁庄镇人民政府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spacing w:after="0" w:line="240" w:lineRule="auto"/>
        <w:jc w:val="left"/>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注：本表反映部门本年度国有资本经营预算财政拨款支出情况。</w:t>
      </w:r>
    </w:p>
    <w:p>
      <w:r>
        <w:rPr>
          <w:rFonts w:hint="eastAsia" w:ascii="宋体" w:hAnsi="宋体" w:cs="宋体"/>
          <w:color w:val="000000"/>
          <w:kern w:val="0"/>
          <w:sz w:val="22"/>
          <w:szCs w:val="22"/>
          <w:lang w:val="en-US" w:eastAsia="zh-CN" w:bidi="ar"/>
        </w:rPr>
        <w:t xml:space="preserve">    </w:t>
      </w:r>
      <w:r>
        <w:rPr>
          <w:rFonts w:hint="eastAsia" w:ascii="宋体" w:hAnsi="宋体" w:cs="宋体"/>
          <w:color w:val="000000"/>
          <w:szCs w:val="21"/>
          <w:lang w:eastAsia="zh-CN"/>
        </w:rPr>
        <w:t>黄壁庄镇本年度无相关</w:t>
      </w:r>
      <w:r>
        <w:rPr>
          <w:rFonts w:hint="eastAsia" w:ascii="宋体" w:hAnsi="宋体" w:cs="宋体"/>
          <w:color w:val="000000"/>
          <w:kern w:val="0"/>
          <w:sz w:val="22"/>
          <w:szCs w:val="22"/>
          <w:lang w:bidi="ar"/>
        </w:rPr>
        <w:t>国有资本经营预算财政拨款支出情况</w:t>
      </w:r>
      <w:r>
        <w:rPr>
          <w:rFonts w:hint="eastAsia" w:ascii="宋体" w:hAnsi="宋体" w:cs="宋体"/>
          <w:color w:val="000000"/>
          <w:kern w:val="0"/>
          <w:szCs w:val="21"/>
          <w:lang w:eastAsia="zh-CN" w:bidi="ar"/>
        </w:rPr>
        <w:t>，按要求空表列示。</w: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564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564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667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667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769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872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179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179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486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588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281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384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7974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076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3MGQzZDAxYmY5NDgyOTRjZTNkNWI5NThlNzk0MGU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2DB5"/>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3B2ACE"/>
    <w:rsid w:val="040C3458"/>
    <w:rsid w:val="05353361"/>
    <w:rsid w:val="05AE6B0B"/>
    <w:rsid w:val="05B00A30"/>
    <w:rsid w:val="05F71579"/>
    <w:rsid w:val="06C97472"/>
    <w:rsid w:val="08B27F02"/>
    <w:rsid w:val="08F24FD0"/>
    <w:rsid w:val="0AAE63D8"/>
    <w:rsid w:val="0AE641C8"/>
    <w:rsid w:val="0B011416"/>
    <w:rsid w:val="0B221D88"/>
    <w:rsid w:val="0D3436E0"/>
    <w:rsid w:val="0D5C7BB8"/>
    <w:rsid w:val="0DD66BCA"/>
    <w:rsid w:val="0E253C17"/>
    <w:rsid w:val="11F102CB"/>
    <w:rsid w:val="15033BB1"/>
    <w:rsid w:val="16222D14"/>
    <w:rsid w:val="19EE2A43"/>
    <w:rsid w:val="1B1F7D5A"/>
    <w:rsid w:val="1B367DA8"/>
    <w:rsid w:val="1C3B19D6"/>
    <w:rsid w:val="1DD6458E"/>
    <w:rsid w:val="1DEC7DF1"/>
    <w:rsid w:val="224D4CBA"/>
    <w:rsid w:val="22BC60FC"/>
    <w:rsid w:val="2407769D"/>
    <w:rsid w:val="24AC153A"/>
    <w:rsid w:val="25156825"/>
    <w:rsid w:val="25F70AA3"/>
    <w:rsid w:val="2667422A"/>
    <w:rsid w:val="26F84C56"/>
    <w:rsid w:val="276F45E2"/>
    <w:rsid w:val="27F24E2F"/>
    <w:rsid w:val="27F80C1A"/>
    <w:rsid w:val="29812DD5"/>
    <w:rsid w:val="2DFE137B"/>
    <w:rsid w:val="317F3802"/>
    <w:rsid w:val="31C2036A"/>
    <w:rsid w:val="320D02A5"/>
    <w:rsid w:val="330C1588"/>
    <w:rsid w:val="336F1207"/>
    <w:rsid w:val="348E566F"/>
    <w:rsid w:val="354E09EB"/>
    <w:rsid w:val="3652120C"/>
    <w:rsid w:val="373916F7"/>
    <w:rsid w:val="3A1B4B21"/>
    <w:rsid w:val="3A226944"/>
    <w:rsid w:val="3AEE6A48"/>
    <w:rsid w:val="3B367333"/>
    <w:rsid w:val="3C1620AA"/>
    <w:rsid w:val="3D7914F4"/>
    <w:rsid w:val="3D8F080F"/>
    <w:rsid w:val="3E817AC2"/>
    <w:rsid w:val="40517FF7"/>
    <w:rsid w:val="41A20C7D"/>
    <w:rsid w:val="42843416"/>
    <w:rsid w:val="42953AF5"/>
    <w:rsid w:val="430D0F59"/>
    <w:rsid w:val="44CE1FA4"/>
    <w:rsid w:val="487F73ED"/>
    <w:rsid w:val="495949A5"/>
    <w:rsid w:val="4A347EAE"/>
    <w:rsid w:val="4D5D6881"/>
    <w:rsid w:val="4D97063E"/>
    <w:rsid w:val="52600405"/>
    <w:rsid w:val="529B4319"/>
    <w:rsid w:val="53024D1C"/>
    <w:rsid w:val="534A29DF"/>
    <w:rsid w:val="540275CB"/>
    <w:rsid w:val="57773DD6"/>
    <w:rsid w:val="578B79AB"/>
    <w:rsid w:val="5CCD3FD5"/>
    <w:rsid w:val="61F87B0D"/>
    <w:rsid w:val="61FA5F9D"/>
    <w:rsid w:val="6217555D"/>
    <w:rsid w:val="638B0B53"/>
    <w:rsid w:val="64CD6910"/>
    <w:rsid w:val="6789158D"/>
    <w:rsid w:val="67D81BA4"/>
    <w:rsid w:val="685E2A6B"/>
    <w:rsid w:val="687337F4"/>
    <w:rsid w:val="69337029"/>
    <w:rsid w:val="697F36EA"/>
    <w:rsid w:val="69D011CE"/>
    <w:rsid w:val="6A1819BB"/>
    <w:rsid w:val="6AAF1C96"/>
    <w:rsid w:val="6C5372F5"/>
    <w:rsid w:val="6CE019D6"/>
    <w:rsid w:val="6EC32264"/>
    <w:rsid w:val="70CD113B"/>
    <w:rsid w:val="75681757"/>
    <w:rsid w:val="75A346A8"/>
    <w:rsid w:val="75E0505B"/>
    <w:rsid w:val="767065B4"/>
    <w:rsid w:val="76A26035"/>
    <w:rsid w:val="79B9382C"/>
    <w:rsid w:val="7A6D2ADD"/>
    <w:rsid w:val="7AA36C1E"/>
    <w:rsid w:val="7AE358BD"/>
    <w:rsid w:val="7B043B76"/>
    <w:rsid w:val="7B29387E"/>
    <w:rsid w:val="7C041A6A"/>
    <w:rsid w:val="7C1602E2"/>
    <w:rsid w:val="7D4E1F1C"/>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unhideWhenUsed/>
    <w:qFormat/>
    <w:uiPriority w:val="99"/>
    <w:rPr>
      <w:rFonts w:ascii="仿宋_GB2312" w:hAnsi="仿宋_GB2312" w:eastAsia="仿宋_GB2312" w:cs="仿宋_GB2312"/>
      <w:sz w:val="32"/>
      <w:szCs w:val="32"/>
      <w:lang w:val="zh-CN" w:bidi="zh-CN"/>
    </w:rPr>
  </w:style>
  <w:style w:type="paragraph" w:styleId="4">
    <w:name w:val="footer"/>
    <w:basedOn w:val="1"/>
    <w:link w:val="10"/>
    <w:autoRedefine/>
    <w:unhideWhenUsed/>
    <w:qFormat/>
    <w:uiPriority w:val="99"/>
    <w:pPr>
      <w:tabs>
        <w:tab w:val="center" w:pos="4153"/>
        <w:tab w:val="right" w:pos="8306"/>
      </w:tabs>
      <w:snapToGrid w:val="0"/>
      <w:jc w:val="left"/>
    </w:pPr>
    <w:rPr>
      <w:sz w:val="18"/>
      <w:szCs w:val="18"/>
    </w:rPr>
  </w:style>
  <w:style w:type="paragraph" w:styleId="5">
    <w:name w:val="header"/>
    <w:basedOn w:val="1"/>
    <w:link w:val="9"/>
    <w:autoRedefine/>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autoRedefine/>
    <w:qFormat/>
    <w:uiPriority w:val="99"/>
    <w:rPr>
      <w:rFonts w:asciiTheme="minorHAnsi" w:hAnsiTheme="minorHAnsi" w:eastAsiaTheme="minorEastAsia"/>
      <w:sz w:val="18"/>
      <w:szCs w:val="18"/>
    </w:rPr>
  </w:style>
  <w:style w:type="character" w:customStyle="1" w:styleId="10">
    <w:name w:val="页脚 Char"/>
    <w:basedOn w:val="8"/>
    <w:link w:val="4"/>
    <w:autoRedefine/>
    <w:qFormat/>
    <w:uiPriority w:val="99"/>
    <w:rPr>
      <w:sz w:val="18"/>
      <w:szCs w:val="18"/>
    </w:rPr>
  </w:style>
  <w:style w:type="paragraph" w:customStyle="1" w:styleId="11">
    <w:name w:val="列出段落1"/>
    <w:basedOn w:val="1"/>
    <w:autoRedefine/>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Normal]"/>
    <w:autoRedefine/>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收入决算情况说明表</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tLang="zh-CN"/>
                      <a:t>财政拨款收入</a:t>
                    </a:r>
                    <a:r>
                      <a:rPr lang="en-US" altLang="zh-CN"/>
                      <a:t>96.52%</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0101042849956006"/>
                  <c:y val="0.0271200955395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tLang="en-US"/>
                      <a:t>其他收入</a:t>
                    </a:r>
                    <a:endParaRPr altLang="en-US"/>
                  </a:p>
                  <a:p>
                    <a:pPr defTabSz="914400">
                      <a:defRPr lang="zh-CN" sz="900" b="0" i="0" u="none" strike="noStrike" kern="1200" baseline="0">
                        <a:solidFill>
                          <a:schemeClr val="tx1">
                            <a:lumMod val="75000"/>
                            <a:lumOff val="25000"/>
                          </a:schemeClr>
                        </a:solidFill>
                        <a:latin typeface="+mn-lt"/>
                        <a:ea typeface="+mn-ea"/>
                        <a:cs typeface="+mn-cs"/>
                      </a:defRPr>
                    </a:pPr>
                    <a:r>
                      <a:rPr lang="en-US" altLang="zh-CN"/>
                      <a:t>3.48%</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1814.19</c:v>
                </c:pt>
                <c:pt idx="1">
                  <c:v>65.44</c:v>
                </c:pt>
              </c:numCache>
            </c:numRef>
          </c:val>
        </c:ser>
        <c:ser>
          <c:idx val="1"/>
          <c:order val="1"/>
          <c:tx>
            <c:strRef>
              <c:f>Sheet1!$C$1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财政拨款收入</c:v>
                </c:pt>
                <c:pt idx="1">
                  <c:v>其他收入</c:v>
                </c:pt>
              </c:strCache>
            </c:strRef>
          </c:cat>
          <c:val>
            <c:numRef>
              <c:f>Sheet1!$C$2:$C$3</c:f>
              <c:numCache>
                <c:formatCode>General</c:formatCode>
                <c:ptCount val="2"/>
              </c:numCache>
            </c:numRef>
          </c:val>
        </c:ser>
        <c:ser>
          <c:idx val="2"/>
          <c:order val="2"/>
          <c:tx>
            <c:strRef>
              <c:f>Sheet1!$D$1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财政拨款收入</c:v>
                </c:pt>
                <c:pt idx="1">
                  <c:v>其他收入</c:v>
                </c:pt>
              </c:strCache>
            </c:strRef>
          </c:cat>
          <c:val>
            <c:numRef>
              <c:f>Sheet1!$D$2:$D$3</c:f>
              <c:numCache>
                <c:formatCode>General</c:formatCode>
                <c:ptCount val="2"/>
              </c:numCache>
            </c:numRef>
          </c:val>
        </c:ser>
        <c:ser>
          <c:idx val="3"/>
          <c:order val="3"/>
          <c:tx>
            <c:strRef>
              <c:f>Sheet1!$E$1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财政拨款收入</c:v>
                </c:pt>
                <c:pt idx="1">
                  <c:v>其他收入</c:v>
                </c:pt>
              </c:strCache>
            </c:strRef>
          </c:cat>
          <c:val>
            <c:numRef>
              <c:f>Sheet1!$E$2:$E$3</c:f>
              <c:numCache>
                <c:formatCode>General</c:formatCode>
                <c:ptCount val="2"/>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支出决算情况说明表</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17.82%</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82.18%</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40338983050847"/>
                      <c:h val="0.126678693124875"/>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strCache>
            </c:strRef>
          </c:cat>
          <c:val>
            <c:numRef>
              <c:f>Sheet1!$B$2:$B$6</c:f>
              <c:numCache>
                <c:formatCode>General</c:formatCode>
                <c:ptCount val="5"/>
                <c:pt idx="0">
                  <c:v>1562.07</c:v>
                </c:pt>
                <c:pt idx="1">
                  <c:v>338.61</c:v>
                </c:pt>
              </c:numCache>
            </c:numRef>
          </c:val>
        </c:ser>
        <c:ser>
          <c:idx val="1"/>
          <c:order val="1"/>
          <c:tx>
            <c:strRef>
              <c:f>Sheet1!$C$1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基本支出</c:v>
                </c:pt>
                <c:pt idx="1">
                  <c:v>项目支出</c:v>
                </c:pt>
              </c:strCache>
            </c:strRef>
          </c:cat>
          <c:val>
            <c:numRef>
              <c:f>Sheet1!$C$2:$C$6</c:f>
              <c:numCache>
                <c:formatCode>General</c:formatCode>
                <c:ptCount val="5"/>
              </c:numCache>
            </c:numRef>
          </c:val>
        </c:ser>
        <c:ser>
          <c:idx val="2"/>
          <c:order val="2"/>
          <c:tx>
            <c:strRef>
              <c:f>Sheet1!$D$1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基本支出</c:v>
                </c:pt>
                <c:pt idx="1">
                  <c:v>项目支出</c:v>
                </c:pt>
              </c:strCache>
            </c:strRef>
          </c:cat>
          <c:val>
            <c:numRef>
              <c:f>Sheet1!$D$2:$D$6</c:f>
              <c:numCache>
                <c:formatCode>General</c:formatCode>
                <c:ptCount val="5"/>
              </c:numCache>
            </c:numRef>
          </c:val>
        </c:ser>
        <c:ser>
          <c:idx val="3"/>
          <c:order val="3"/>
          <c:tx>
            <c:strRef>
              <c:f>Sheet1!$E$1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基本支出</c:v>
                </c:pt>
                <c:pt idx="1">
                  <c:v>项目支出</c:v>
                </c:pt>
              </c:strCache>
            </c:strRef>
          </c:cat>
          <c:val>
            <c:numRef>
              <c:f>Sheet1!$E$2:$E$6</c:f>
              <c:numCache>
                <c:formatCode>General</c:formatCode>
                <c:ptCount val="5"/>
              </c:numCache>
            </c:numRef>
          </c:val>
        </c:ser>
        <c:ser>
          <c:idx val="4"/>
          <c:order val="4"/>
          <c:tx>
            <c:strRef>
              <c:f>Sheet1!$F$1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基本支出</c:v>
                </c:pt>
                <c:pt idx="1">
                  <c:v>项目支出</c:v>
                </c:pt>
              </c:strCache>
            </c:strRef>
          </c:cat>
          <c:val>
            <c:numRef>
              <c:f>Sheet1!$F$2:$F$6</c:f>
              <c:numCache>
                <c:formatCode>General</c:formatCode>
                <c:ptCount val="5"/>
              </c:numCache>
            </c:numRef>
          </c:val>
        </c:ser>
        <c:ser>
          <c:idx val="5"/>
          <c:order val="5"/>
          <c:tx>
            <c:strRef>
              <c:f>Sheet1!$G$1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基本支出</c:v>
                </c:pt>
                <c:pt idx="1">
                  <c:v>项目支出</c:v>
                </c:pt>
              </c:strCache>
            </c:strRef>
          </c:cat>
          <c:val>
            <c:numRef>
              <c:f>Sheet1!$G$2:$G$6</c:f>
              <c:numCache>
                <c:formatCode>General</c:formatCode>
                <c:ptCount val="5"/>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a:t>
            </a:r>
            <a:r>
              <a:rPr lang="en-US" altLang="zh-CN"/>
              <a:t>2018</a:t>
            </a:r>
            <a:r>
              <a:rPr altLang="en-US"/>
              <a:t>年度决算</a:t>
            </a:r>
            <a:r>
              <a:t>对比情况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1835.26</c:v>
                </c:pt>
                <c:pt idx="1">
                  <c:v>1835.24</c:v>
                </c:pt>
              </c:numCache>
            </c:numRef>
          </c:val>
        </c:ser>
        <c:ser>
          <c:idx val="1"/>
          <c:order val="1"/>
          <c:tx>
            <c:strRef>
              <c:f>Sheet1!$C$1</c:f>
              <c:strCache>
                <c:ptCount val="1"/>
                <c:pt idx="0">
                  <c:v>2018</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1125.54</c:v>
                </c:pt>
                <c:pt idx="1">
                  <c:v>1104.47</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727919711"/>
        <c:axId val="794238852"/>
      </c:barChart>
      <c:catAx>
        <c:axId val="72791971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4238852"/>
        <c:crosses val="autoZero"/>
        <c:auto val="1"/>
        <c:lblAlgn val="ctr"/>
        <c:lblOffset val="100"/>
        <c:noMultiLvlLbl val="0"/>
      </c:catAx>
      <c:valAx>
        <c:axId val="7942388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791971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财政拨款收支与年初预算对比情况表</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1835.26</c:v>
                </c:pt>
                <c:pt idx="1">
                  <c:v>1835.24</c:v>
                </c:pt>
              </c:numCache>
            </c:numRef>
          </c:val>
        </c:ser>
        <c:ser>
          <c:idx val="1"/>
          <c:order val="1"/>
          <c:tx>
            <c:strRef>
              <c:f>Sheet1!$C$1</c:f>
              <c:strCache>
                <c:ptCount val="1"/>
                <c:pt idx="0">
                  <c:v>年初预算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1140.54</c:v>
                </c:pt>
                <c:pt idx="1">
                  <c:v>1140.54</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72341297"/>
        <c:axId val="464083888"/>
      </c:barChart>
      <c:catAx>
        <c:axId val="7234129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083888"/>
        <c:crosses val="autoZero"/>
        <c:auto val="1"/>
        <c:lblAlgn val="ctr"/>
        <c:lblOffset val="100"/>
        <c:noMultiLvlLbl val="0"/>
      </c:catAx>
      <c:valAx>
        <c:axId val="464083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34129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财政拨款支出决算结构情况表</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dLbl>
              <c:idx val="1"/>
              <c:layout>
                <c:manualLayout>
                  <c:x val="0.00884407261841279"/>
                  <c:y val="-0.0025945923104823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169623758693975"/>
                  <c:y val="0.00484952993427654"/>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877961923024243"/>
                      <c:h val="0.05547475586952"/>
                    </c:manualLayout>
                  </c15:layout>
                </c:ext>
              </c:extLst>
            </c:dLbl>
            <c:dLbl>
              <c:idx val="4"/>
              <c:layout>
                <c:manualLayout>
                  <c:x val="-0.0898440499447569"/>
                  <c:y val="-0.029312346891801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104180947026462"/>
                  <c:y val="-0.015455161850441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905700011033854"/>
                  <c:y val="0.0046478730164144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一般公共服务（类）支出</c:v>
                </c:pt>
                <c:pt idx="1">
                  <c:v>社会保障和就业（类）支出</c:v>
                </c:pt>
                <c:pt idx="2">
                  <c:v>卫生健康支出</c:v>
                </c:pt>
                <c:pt idx="3">
                  <c:v>节能环保支出</c:v>
                </c:pt>
                <c:pt idx="4">
                  <c:v>城乡社区支出</c:v>
                </c:pt>
                <c:pt idx="5">
                  <c:v>农林水支出</c:v>
                </c:pt>
                <c:pt idx="6">
                  <c:v>灾害防治及应急管理支出</c:v>
                </c:pt>
              </c:strCache>
            </c:strRef>
          </c:cat>
          <c:val>
            <c:numRef>
              <c:f>Sheet1!$B$2:$B$8</c:f>
              <c:numCache>
                <c:formatCode>0.00%</c:formatCode>
                <c:ptCount val="7"/>
                <c:pt idx="0">
                  <c:v>0.5058</c:v>
                </c:pt>
                <c:pt idx="1">
                  <c:v>0.0204</c:v>
                </c:pt>
                <c:pt idx="2">
                  <c:v>0.0227</c:v>
                </c:pt>
                <c:pt idx="3">
                  <c:v>0.3793</c:v>
                </c:pt>
                <c:pt idx="4">
                  <c:v>0.054</c:v>
                </c:pt>
                <c:pt idx="5">
                  <c:v>0.0151</c:v>
                </c:pt>
                <c:pt idx="6">
                  <c:v>0.0027</c:v>
                </c:pt>
              </c:numCache>
            </c:numRef>
          </c:val>
        </c:ser>
        <c:ser>
          <c:idx val="1"/>
          <c:order val="1"/>
          <c:tx>
            <c:strRef>
              <c:f>Sheet1!#REF!</c:f>
              <c:strCache>
                <c:ptCount val="1"/>
                <c:pt idx="0">
                  <c:v/>
                </c:pt>
              </c:strCache>
            </c:strRef>
          </c:tx>
          <c:spPr/>
          <c:explosion val="0"/>
          <c:dPt>
            <c:idx val="0"/>
            <c:bubble3D val="0"/>
            <c:spPr>
              <a:solidFill>
                <a:schemeClr val="accent1"/>
              </a:solidFill>
              <a:ln w="19050">
                <a:solidFill>
                  <a:schemeClr val="lt1"/>
                </a:solidFill>
              </a:ln>
              <a:effectLst/>
            </c:spPr>
          </c:dPt>
          <c:dLbls>
            <c:delete val="1"/>
          </c:dLbls>
          <c:cat>
            <c:strRef>
              <c:f>Sheet1!$A$2:$A$8</c:f>
              <c:strCache>
                <c:ptCount val="7"/>
                <c:pt idx="0">
                  <c:v>一般公共服务（类）支出</c:v>
                </c:pt>
                <c:pt idx="1">
                  <c:v>社会保障和就业（类）支出</c:v>
                </c:pt>
                <c:pt idx="2">
                  <c:v>卫生健康支出</c:v>
                </c:pt>
                <c:pt idx="3">
                  <c:v>节能环保支出</c:v>
                </c:pt>
                <c:pt idx="4">
                  <c:v>城乡社区支出</c:v>
                </c:pt>
                <c:pt idx="5">
                  <c:v>农林水支出</c:v>
                </c:pt>
                <c:pt idx="6">
                  <c:v>灾害防治及应急管理支出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c:explosion val="0"/>
          <c:dPt>
            <c:idx val="0"/>
            <c:bubble3D val="0"/>
            <c:spPr>
              <a:solidFill>
                <a:schemeClr val="accent1"/>
              </a:solidFill>
              <a:ln w="19050">
                <a:solidFill>
                  <a:schemeClr val="lt1"/>
                </a:solidFill>
              </a:ln>
              <a:effectLst/>
            </c:spPr>
          </c:dPt>
          <c:dLbls>
            <c:delete val="1"/>
          </c:dLbls>
          <c:cat>
            <c:strRef>
              <c:f>Sheet1!$A$2:$A$8</c:f>
              <c:strCache>
                <c:ptCount val="7"/>
                <c:pt idx="0">
                  <c:v>一般公共服务（类）支出</c:v>
                </c:pt>
                <c:pt idx="1">
                  <c:v>社会保障和就业（类）支出</c:v>
                </c:pt>
                <c:pt idx="2">
                  <c:v>卫生健康支出</c:v>
                </c:pt>
                <c:pt idx="3">
                  <c:v>节能环保支出</c:v>
                </c:pt>
                <c:pt idx="4">
                  <c:v>城乡社区支出</c:v>
                </c:pt>
                <c:pt idx="5">
                  <c:v>农林水支出</c:v>
                </c:pt>
                <c:pt idx="6">
                  <c:v>灾害防治及应急管理支出</c:v>
                </c:pt>
              </c:strCache>
            </c:strRef>
          </c:cat>
          <c:val>
            <c:numRef>
              <c:f>Sheet1!#REF!</c:f>
              <c:numCache>
                <c:formatCode>General</c:formatCode>
                <c:ptCount val="1"/>
                <c:pt idx="0">
                  <c:v>1</c:v>
                </c:pt>
              </c:numCache>
            </c:numRef>
          </c:val>
        </c:ser>
        <c:ser>
          <c:idx val="3"/>
          <c:order val="3"/>
          <c:tx>
            <c:strRef>
              <c:f>Sheet1!#REF!</c:f>
              <c:strCache>
                <c:ptCount val="1"/>
                <c:pt idx="0">
                  <c:v/>
                </c:pt>
              </c:strCache>
            </c:strRef>
          </c:tx>
          <c:spPr/>
          <c:explosion val="0"/>
          <c:dPt>
            <c:idx val="0"/>
            <c:bubble3D val="0"/>
            <c:spPr>
              <a:solidFill>
                <a:schemeClr val="accent1"/>
              </a:solidFill>
              <a:ln w="19050">
                <a:solidFill>
                  <a:schemeClr val="lt1"/>
                </a:solidFill>
              </a:ln>
              <a:effectLst/>
            </c:spPr>
          </c:dPt>
          <c:dLbls>
            <c:delete val="1"/>
          </c:dLbls>
          <c:cat>
            <c:strRef>
              <c:f>Sheet1!$A$2:$A$8</c:f>
              <c:strCache>
                <c:ptCount val="7"/>
                <c:pt idx="0">
                  <c:v>一般公共服务（类）支出</c:v>
                </c:pt>
                <c:pt idx="1">
                  <c:v>社会保障和就业（类）支出</c:v>
                </c:pt>
                <c:pt idx="2">
                  <c:v>卫生健康支出</c:v>
                </c:pt>
                <c:pt idx="3">
                  <c:v>节能环保支出</c:v>
                </c:pt>
                <c:pt idx="4">
                  <c:v>城乡社区支出</c:v>
                </c:pt>
                <c:pt idx="5">
                  <c:v>农林水支出</c:v>
                </c:pt>
                <c:pt idx="6">
                  <c:v>灾害防治及应急管理支出</c:v>
                </c:pt>
              </c:strCache>
            </c:strRef>
          </c:cat>
          <c:val>
            <c:numRef>
              <c:f>Sheet1!#REF!</c:f>
              <c:numCache>
                <c:formatCode>General</c:formatCode>
                <c:ptCount val="1"/>
                <c:pt idx="0">
                  <c:v>1</c:v>
                </c:pt>
              </c:numCache>
            </c:numRef>
          </c:val>
        </c:ser>
        <c:ser>
          <c:idx val="4"/>
          <c:order val="4"/>
          <c:tx>
            <c:strRef>
              <c:f>Sheet1!#REF!</c:f>
              <c:strCache>
                <c:ptCount val="1"/>
                <c:pt idx="0">
                  <c:v/>
                </c:pt>
              </c:strCache>
            </c:strRef>
          </c:tx>
          <c:spPr/>
          <c:explosion val="0"/>
          <c:dPt>
            <c:idx val="0"/>
            <c:bubble3D val="0"/>
            <c:spPr>
              <a:solidFill>
                <a:schemeClr val="accent1"/>
              </a:solidFill>
              <a:ln w="19050">
                <a:solidFill>
                  <a:schemeClr val="lt1"/>
                </a:solidFill>
              </a:ln>
              <a:effectLst/>
            </c:spPr>
          </c:dPt>
          <c:dLbls>
            <c:delete val="1"/>
          </c:dLbls>
          <c:cat>
            <c:strRef>
              <c:f>Sheet1!$A$2:$A$8</c:f>
              <c:strCache>
                <c:ptCount val="7"/>
                <c:pt idx="0">
                  <c:v>一般公共服务（类）支出</c:v>
                </c:pt>
                <c:pt idx="1">
                  <c:v>社会保障和就业（类）支出</c:v>
                </c:pt>
                <c:pt idx="2">
                  <c:v>卫生健康支出</c:v>
                </c:pt>
                <c:pt idx="3">
                  <c:v>节能环保支出</c:v>
                </c:pt>
                <c:pt idx="4">
                  <c:v>城乡社区支出</c:v>
                </c:pt>
                <c:pt idx="5">
                  <c:v>农林水支出</c:v>
                </c:pt>
                <c:pt idx="6">
                  <c:v>灾害防治及应急管理支出</c:v>
                </c:pt>
              </c:strCache>
            </c:strRef>
          </c:cat>
          <c:val>
            <c:numRef>
              <c:f>Sheet1!#REF!</c:f>
              <c:numCache>
                <c:formatCode>General</c:formatCode>
                <c:ptCount val="1"/>
                <c:pt idx="0">
                  <c:v>1</c:v>
                </c:pt>
              </c:numCache>
            </c:numRef>
          </c:val>
        </c:ser>
        <c:ser>
          <c:idx val="5"/>
          <c:order val="5"/>
          <c:tx>
            <c:strRef>
              <c:f>Sheet1!$C$1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delete val="1"/>
          </c:dLbls>
          <c:cat>
            <c:strRef>
              <c:f>Sheet1!$A$2:$A$8</c:f>
              <c:strCache>
                <c:ptCount val="7"/>
                <c:pt idx="0">
                  <c:v>一般公共服务（类）支出</c:v>
                </c:pt>
                <c:pt idx="1">
                  <c:v>社会保障和就业（类）支出</c:v>
                </c:pt>
                <c:pt idx="2">
                  <c:v>卫生健康支出</c:v>
                </c:pt>
                <c:pt idx="3">
                  <c:v>节能环保支出</c:v>
                </c:pt>
                <c:pt idx="4">
                  <c:v>城乡社区支出</c:v>
                </c:pt>
                <c:pt idx="5">
                  <c:v>农林水支出</c:v>
                </c:pt>
                <c:pt idx="6">
                  <c:v>灾害防治及应急管理支出</c:v>
                </c:pt>
              </c:strCache>
            </c:strRef>
          </c:cat>
          <c:val>
            <c:numRef>
              <c:f>Sheet1!$C$2:$C$8</c:f>
              <c:numCache>
                <c:formatCode>General</c:formatCode>
                <c:ptCount val="7"/>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17</TotalTime>
  <ScaleCrop>false</ScaleCrop>
  <LinksUpToDate>false</LinksUpToDate>
  <CharactersWithSpaces>11119</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+U</cp:lastModifiedBy>
  <cp:lastPrinted>2020-07-30T02:37:00Z</cp:lastPrinted>
  <dcterms:modified xsi:type="dcterms:W3CDTF">2024-09-26T08:32:31Z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080D055248F24B0D9C4F25DDCEF030EC_13</vt:lpwstr>
  </property>
</Properties>
</file>