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石家庄市鹿泉区人民检察院</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中华人民共和国预算法</w:t>
      </w:r>
      <w:r>
        <w:rPr>
          <w:rFonts w:hint="eastAsia" w:ascii="Times New Roman" w:hAnsi="Times New Roman" w:eastAsia="仿宋" w:cs="Times New Roman"/>
          <w:sz w:val="32"/>
          <w:szCs w:val="32"/>
        </w:rPr>
        <w:t>》、《地方预决算公开操作规程》和《河北省省级预算公开办法》规定，现将</w:t>
      </w:r>
      <w:r>
        <w:rPr>
          <w:rFonts w:hint="eastAsia" w:ascii="Times New Roman" w:hAnsi="Times New Roman" w:eastAsia="仿宋" w:cs="Times New Roman"/>
          <w:sz w:val="32"/>
          <w:szCs w:val="32"/>
          <w:lang w:val="en-US" w:eastAsia="zh-CN"/>
        </w:rPr>
        <w:t>石家庄市鹿泉区人民检察院</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根据《石家庄市鹿泉区人民检察院职能配置、内设机构和人员编制规定》， 石家庄市鹿泉区人民检察院的主要职责是：</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一）深入贯彻习近平新时代中国特色社会主义思想，深入贯彻党的路线方针和决策部署，统一思想和行动，坚持党对检察工作的绝对领导，坚决维护习近平总书记的核心地位，坚决维护党中央权威和集中统一领导。</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（二）依法向区人民代表大会及其常务委员会提出议案。</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（三）贯彻落实检察工作方针、总体规划，研究制定检察工作计划并组织实施。</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（四）依照法律规定对直接受理的刑事案件行使侦查权。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（五）负责对管辖的各类刑事案件依法审查批准逮捕、决定逮捕、提起公诉。</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（六）负责应由本院承办的刑事、民事、行政判决和裁定等生效法律文书执行的法律监督工作。</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（七）负责应由本院承办的提起公益诉讼工作。</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八</w:t>
      </w:r>
      <w:r>
        <w:rPr>
          <w:rFonts w:hint="eastAsia" w:ascii="Times New Roman" w:hAnsi="Times New Roman" w:eastAsia="仿宋" w:cs="Times New Roman"/>
          <w:sz w:val="32"/>
          <w:szCs w:val="32"/>
          <w:lang w:eastAsia="zh-CN"/>
        </w:rPr>
        <w:t>）</w:t>
      </w:r>
      <w:r>
        <w:rPr>
          <w:rFonts w:ascii="Times New Roman" w:hAnsi="Times New Roman" w:eastAsia="仿宋" w:cs="Times New Roman"/>
          <w:sz w:val="32"/>
          <w:szCs w:val="32"/>
        </w:rPr>
        <w:t>依法受理核准追诉案件，审查是否上报。</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（九）负责应由本院承办的对看守所、社区矫正等执法活动的法律监督工作。</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（十）受理向本院的控告申诉。</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（十一）组织检察工作中法律政策具体应用问题的研究；组织开展检察理论研究工作。</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（十二）负责检察人员思想政治教育和业务培训工作；按照权限管理检察官和其他工作人员。</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（十三）负责本院检务督察工作。</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（十四）负责本院检务保障以及检察技术、信息化建设工作。</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（十五）完成其他应由本院负责的工作。</w:t>
      </w: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2"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84" w:hRule="atLeast"/>
          <w:jc w:val="center"/>
        </w:trPr>
        <w:tc>
          <w:tcPr>
            <w:tcW w:w="4417" w:type="dxa"/>
            <w:vAlign w:val="center"/>
          </w:tcPr>
          <w:p>
            <w:pPr>
              <w:spacing w:line="300" w:lineRule="exact"/>
              <w:jc w:val="left"/>
              <w:rPr>
                <w:rFonts w:hint="default" w:ascii="Times New Roman" w:hAnsi="Times New Roman" w:eastAsia="方正书宋_GBK" w:cs="Times New Roman"/>
                <w:szCs w:val="24"/>
                <w:lang w:val="en-US" w:eastAsia="zh-CN"/>
              </w:rPr>
            </w:pPr>
            <w:r>
              <w:rPr>
                <w:rFonts w:hint="eastAsia" w:ascii="方正书宋_GBK" w:eastAsia="方正书宋_GBK"/>
                <w:lang w:val="en-US" w:eastAsia="zh-CN"/>
              </w:rPr>
              <w:t>石家庄市鹿泉区人民检察院</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color w:val="auto"/>
                <w:shd w:val="clear" w:color="auto" w:fill="auto"/>
                <w:lang w:val="en-US" w:eastAsia="zh-CN"/>
              </w:rPr>
              <w:t>副处级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
    <w:p/>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按照预算管理有关规定，目前我省部门预算的编制实行综合预算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val="en-US" w:eastAsia="zh-CN"/>
        </w:rPr>
        <w:t>石家庄市鹿泉区人民检察院</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1772.88</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1772.88</w:t>
      </w:r>
      <w:r>
        <w:rPr>
          <w:rFonts w:hint="eastAsia" w:ascii="Times New Roman" w:hAnsi="Times New Roman" w:eastAsia="仿宋" w:cs="Times New Roman"/>
          <w:sz w:val="32"/>
          <w:szCs w:val="32"/>
        </w:rPr>
        <w:t>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val="en-US" w:eastAsia="zh-CN"/>
        </w:rPr>
        <w:t>石家庄市鹿泉区人民检察院</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1772.88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1526.88</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1233.81</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293.07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246</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val="en-US" w:eastAsia="zh-CN"/>
        </w:rPr>
        <w:t>检察监督210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控告和刑事申诉检察10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检察事务管理26</w:t>
      </w:r>
      <w:r>
        <w:rPr>
          <w:rFonts w:hint="eastAsia" w:ascii="Times New Roman" w:hAnsi="Times New Roman" w:eastAsia="仿宋" w:cs="Times New Roman"/>
          <w:sz w:val="32"/>
          <w:szCs w:val="32"/>
        </w:rPr>
        <w:t>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1772.88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val="en-US" w:eastAsia="zh-CN"/>
        </w:rPr>
        <w:t>减少104.82</w:t>
      </w:r>
      <w:r>
        <w:rPr>
          <w:rFonts w:hint="eastAsia" w:ascii="Times New Roman" w:hAnsi="Times New Roman" w:eastAsia="仿宋" w:cs="Times New Roman"/>
          <w:sz w:val="32"/>
          <w:szCs w:val="32"/>
        </w:rPr>
        <w:t>万元，其中：基本支出减少</w:t>
      </w:r>
      <w:r>
        <w:rPr>
          <w:rFonts w:hint="eastAsia" w:ascii="Times New Roman" w:hAnsi="Times New Roman" w:eastAsia="仿宋" w:cs="Times New Roman"/>
          <w:sz w:val="32"/>
          <w:szCs w:val="32"/>
          <w:lang w:val="en-US" w:eastAsia="zh-CN"/>
        </w:rPr>
        <w:t>55.82</w:t>
      </w:r>
      <w:r>
        <w:rPr>
          <w:rFonts w:hint="eastAsia" w:ascii="Times New Roman" w:hAnsi="Times New Roman" w:eastAsia="仿宋" w:cs="Times New Roman"/>
          <w:sz w:val="32"/>
          <w:szCs w:val="32"/>
        </w:rPr>
        <w:t>万元，主要是人员减少，相应减少人员经费和日常公用经费；项目支出</w:t>
      </w:r>
      <w:r>
        <w:rPr>
          <w:rFonts w:hint="eastAsia" w:ascii="Times New Roman" w:hAnsi="Times New Roman" w:eastAsia="仿宋" w:cs="Times New Roman"/>
          <w:sz w:val="32"/>
          <w:szCs w:val="32"/>
          <w:lang w:val="en-US" w:eastAsia="zh-CN"/>
        </w:rPr>
        <w:t>减少49</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主要是一次性预算项目经费减少</w:t>
      </w:r>
      <w:r>
        <w:rPr>
          <w:rFonts w:hint="eastAsia" w:ascii="Times New Roman" w:hAnsi="Times New Roman" w:eastAsia="仿宋" w:cs="Times New Roman"/>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293.07</w:t>
      </w:r>
      <w:r>
        <w:rPr>
          <w:rFonts w:hint="eastAsia" w:ascii="Times New Roman" w:hAnsi="Times New Roman" w:eastAsia="仿宋" w:cs="Times New Roman"/>
          <w:sz w:val="32"/>
          <w:szCs w:val="32"/>
        </w:rPr>
        <w:t>万元，主要用于保证机关正常运转的办公及邮电费、办公用房取暖费、会议费、公务车运行维护费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公务交通补贴、委托业务费、</w:t>
      </w:r>
      <w:r>
        <w:rPr>
          <w:rFonts w:hint="eastAsia" w:ascii="Times New Roman" w:hAnsi="Times New Roman" w:eastAsia="仿宋" w:cs="Times New Roman"/>
          <w:sz w:val="32"/>
          <w:szCs w:val="32"/>
        </w:rPr>
        <w:t>福利费、</w:t>
      </w:r>
      <w:r>
        <w:rPr>
          <w:rFonts w:hint="eastAsia" w:ascii="Times New Roman" w:hAnsi="Times New Roman" w:eastAsia="仿宋" w:cs="Times New Roman"/>
          <w:sz w:val="32"/>
          <w:szCs w:val="32"/>
          <w:lang w:val="en-US" w:eastAsia="zh-CN"/>
        </w:rPr>
        <w:t>培训费</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val="en-US" w:eastAsia="zh-CN"/>
        </w:rPr>
        <w:t>公务接待费</w:t>
      </w:r>
      <w:r>
        <w:rPr>
          <w:rFonts w:hint="eastAsia" w:ascii="Times New Roman" w:hAnsi="Times New Roman" w:eastAsia="仿宋" w:cs="Times New Roman"/>
          <w:sz w:val="32"/>
          <w:szCs w:val="32"/>
        </w:rPr>
        <w:t>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8.4</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5.4</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万元。“三公”经费与</w:t>
      </w:r>
      <w:r>
        <w:rPr>
          <w:rFonts w:hint="eastAsia" w:ascii="Times New Roman" w:hAnsi="Times New Roman" w:eastAsia="仿宋" w:cs="Times New Roman"/>
          <w:sz w:val="32"/>
          <w:szCs w:val="32"/>
          <w:lang w:val="en-US" w:eastAsia="zh-CN"/>
        </w:rPr>
        <w:t>2019</w:t>
      </w:r>
      <w:r>
        <w:rPr>
          <w:rFonts w:hint="eastAsia" w:ascii="Times New Roman" w:hAnsi="Times New Roman" w:eastAsia="仿宋" w:cs="Times New Roman"/>
          <w:sz w:val="32"/>
          <w:szCs w:val="32"/>
        </w:rPr>
        <w:t>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做好坚持以习近平新时代中国特色社会主义思想为指导，全面贯彻党的十九大和十九届二中、三中、四中全会精神，依法全面正确履行法律监督职责，努力为建设新时代经济强区提供有力的司法保障。以积极服务经济社会发展，深入开展扫黑除恶专项斗争，着力推进检察公益诉讼，不断强化检察监督为目标。为进一步优化司法资源，缩短审讯周期，提高审讯效率，计划2020年建成“远程视频提讯平台”。随着办案业务数量的增加，所需费用随之大大增大，执法业务费用于保障检察机关履行职责、开展工作的经费需要，保障办案和履职的顺利开展实施，随办案进度支出办案经费。鹿泉新看守所将投入使用，2020年建设独立的刑事执行检察信息中心用房、“两网一线”专用房间，配备相应的信息查询设备和监管执法信息集中显示设备，实现检察院与鹿泉看守所联网协同监管。根据鹿泉市政府与贺庄村、三街村委会签订的协议书，共计征用11.76亩土地用于检察院办案技术综合楼建设，每年向贺庄村、三街村委会拨付占地补偿款。达到国家赔偿条件的国家赔偿案件，保障国家赔偿案件请求人依法获得国家赔偿权利。2020年计划完成检务大厅建设审计工作。</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1、办公楼占地补偿</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绩效目标：在当年7月1日前将办公楼占地补偿费拨付到贺庄、三街村委会。</w:t>
      </w:r>
    </w:p>
    <w:p>
      <w:pPr>
        <w:autoSpaceDE w:val="0"/>
        <w:autoSpaceDN w:val="0"/>
        <w:adjustRightInd w:val="0"/>
        <w:ind w:left="198" w:firstLine="640" w:firstLineChars="200"/>
        <w:jc w:val="left"/>
        <w:rPr>
          <w:rFonts w:ascii="Times New Roman" w:eastAsia="方正仿宋_GBK"/>
          <w:sz w:val="28"/>
        </w:rPr>
      </w:pPr>
      <w:r>
        <w:rPr>
          <w:rFonts w:hint="eastAsia" w:ascii="Times New Roman" w:hAnsi="Times New Roman" w:eastAsia="仿宋" w:cs="Times New Roman"/>
          <w:sz w:val="32"/>
          <w:szCs w:val="32"/>
        </w:rPr>
        <w:t>绩效指标：办公楼占地补偿费实际拨付的比例不低于90%；按照每平方米1元的补偿标准拨付补偿费；每年7月1日前按时拨付补偿费；小麦及玉米的补偿标准按照市价*总斤数进行补偿。</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2、执法业务经费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侦查监督科对于公安机关移送的批捕案件进行提讯犯罪嫌疑人，制作审查逮捕案件意见书；公诉科对于公安机关移送的刑事案件受理后进行提讯犯罪嫌疑人（异地关押），制作起诉书；批捕案件与公诉案件受理后在法定实现内办结案件；公诉科对受理案件提起公诉并出庭支持公诉。</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在法定时限内办结批捕与公诉案件；对案件提起诉讼并出庭支持诉讼的比例不低于90%；办结案件占总受理案件的比例不低于80%；制作审查逮捕案件意见书的数量不低于230份；制作公诉案件起诉书的数量不低于350份。</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3、国家赔偿费用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绩效目标：根据《赔偿决定书》依法办理达到国家赔偿条件的国家赔偿案件，对申请人进行经济赔偿，及时足额发放到案件请求人，保障国家赔偿案件的请求人依法获得国家赔偿权利。</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绩效指标：享受国家赔偿案件申请人数占达到赔偿标准申请人总数的100%；应当赔偿的案件结案后足额发放赔偿金数量；赔偿费按时发放到案件请求人；案件请求人对赔偿费发放情况的认可度不低于90%。 </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4、检察院检务大厅建设</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绩效目标：完成审计工作后按期支付尾款。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绩效指标：检务大厅数量2个；完成审计工作后按时支付尾款；购入检务大厅专用设备质量需符合检务大厅建设要求。</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5、监所专项建设</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建立独立的刑事执行检察信息中心用房、“两网一线”专用房间，配备信息查询设备、监控视频和监管执法信息集中显示设备等，实现检察院与鹿泉看守所联网协同监管，刑事执行检察部门与辖区内看守所之间监管执法信息、监控联网信息数据实时共享。</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 建设一间独立的刑事执行检察信息中心用房；购置的信息查询设备数量不低于2台；购置保密机的质量需达到“三铁一器”等密码设备间建设标准要求；实现监管执法信息及监控联网信息共享数据比例不低于80%。</w:t>
      </w:r>
    </w:p>
    <w:p>
      <w:pPr>
        <w:autoSpaceDE w:val="0"/>
        <w:autoSpaceDN w:val="0"/>
        <w:adjustRightInd w:val="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6、远程视频提讯平台经费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绩效目标：建设看守所和检察院远程提审室，并完成主审端和被审端的建设。购买提审主机、服务器、配套办公设备等专用设备，完成远程视频提讯平台的建设，缩短审讯周期，提高审讯效率。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绩效指标：建设远程视频提讯平台；看守所和检察院内远程提审室数量不低于2个；购置相关专用设备；设备验收合格率100%。</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检察队伍建设。一是加强职业道德建设。认真学习党的十九大精神，进一步增强“四个意识”，深入贯彻落实习近平总书记系列重要讲话精神，坚持以党建带队建，增强检察人员的职业荣誉感和职业使命感。二是提高法律监督能力。以专业化建设为方向，以提高办案技能为重点，开展经常性的岗位练兵、业务竞赛活动、案例研讨活动，着力提高法律监督能力，增强法律监督实效。大力培养优秀公诉人、优秀侦查员及其他各类专门人才。开展综合技能培训，努力提高做好新形势下群众工作能力、维护社会公平正义能力、新媒体时代舆论引导能力、科技信息化应用能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司法规范化建设。坚定不移地推进司法体制改革，深入开展司法公信建设。把司法规范化建设摆在突出位置来抓，深入开展规范司法行为专项整治活动，加强案件管理工作，强化案件流程管理、执法检查和质量预警，及时发现和纠正执法不规范、办案质量不高等问题，着力提高执法水平和执法公信力。开展办案质量检查工作。针对存在的问题，完善制度，加强管理，不断提高执法办案质量和规范化水平。规范运行全国检察机关统一业务应用系统，以办案信息化促进执法规范化、管理科学化。</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强化监督检查建设。单位应当建立健全内部预算监管检查制度，提高资金的使用效率，预防和纠正资金管理中的不规范行为，保证资金的合理使用。对单位金额较大的重点预算项目建立项目跟踪检查机制。在项目实施过程中，及时对项目的进展情况、资金使用情况、项目的实施进度等与项目有关的情况进行实时监控。</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加强绩效运行监控与自评。一是加强组织领导。要树立正确的绩效价值观，把绩效管理作为行政管理的一项基本制度，增强主体责任意识，认真贯彻，狠抓落实。把绩效管理工作摆上重要议程，切实加强对绩效管理工作的组织领导。二是认真组织实施。根据指标体系以结果为导向、以实绩为核心和充分体现我院职能的发挥、年度目标达到最佳工作状态的总体要求，各科室要按照一级指标和年度工作目标要求，既要把握全局评估的内容，又要明确各自工作任务，逐项逐条抓好落实。年底对所有项目进行绩效评价，对于评价过程中发现的问题提出具体整改措施及建议。三是加强总结和提高。  各科室在推行绩效管理制度过程中，通过加强沟通和协调，不断完善工作方式。针对我院绩效管理的重点，以及当前绩效管理中的薄弱环节，要下功夫改进和完善，对于一些成功经验，可进一步提炼，形成指导性的意见在今后加以继续执行，提升绩效管理能力和水平。</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着力提高科技强检装备的实际应用能力。在建成信息技术中心并对办案工作区升级改造的基础上，要着力提高科技强检工作的实际应用能力。一要加快信息查询联网工作，积极做好政法共享协同平台联网工作，加快与公安、房产、通信等单位协调，实现涉案信息的实时查询，为办案提供有力的技术支撑。二要加大信息化技术人员的引进和培养力度。进一步加大科技人才的培养力度，以充实和增强技术力量，让技术装备第一时间转化为战斗力，切实起到服务办案、引导办案、增强侦办案件能力的作用。</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0" w:firstLineChars="200"/>
        <w:jc w:val="left"/>
        <w:outlineLvl w:val="1"/>
        <w:rPr>
          <w:rFonts w:ascii="Times New Roman" w:hAnsi="宋体"/>
          <w:b/>
          <w:sz w:val="28"/>
        </w:rPr>
      </w:pPr>
      <w:r>
        <w:rPr>
          <w:rFonts w:hint="eastAsia" w:ascii="方正仿宋_GBK" w:eastAsia="方正仿宋_GBK"/>
          <w:b/>
          <w:sz w:val="28"/>
        </w:rPr>
        <w:t xml:space="preserve"> 1、办公楼占地补偿绩效目标表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825747"/>
      <w:r>
        <w:rPr>
          <w:rFonts w:hint="eastAsia" w:ascii="方正仿宋_GBK" w:eastAsia="方正仿宋_GBK"/>
          <w:b/>
          <w:sz w:val="28"/>
        </w:rPr>
        <w:instrText xml:space="preserve">1、办公楼占地补偿绩效目标表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000-9999-JBN-RZ4B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办公楼占地补偿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3.30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7</w:t>
            </w:r>
            <w:r>
              <w:rPr>
                <w:rFonts w:hint="eastAsia" w:ascii="方正书宋_GBK" w:eastAsia="方正书宋_GBK"/>
              </w:rPr>
              <w:t>月</w:t>
            </w:r>
            <w:r>
              <w:rPr>
                <w:rFonts w:ascii="方正书宋_GBK" w:eastAsia="方正书宋_GBK"/>
              </w:rPr>
              <w:t>1</w:t>
            </w:r>
            <w:r>
              <w:rPr>
                <w:rFonts w:hint="eastAsia" w:ascii="方正书宋_GBK" w:eastAsia="方正书宋_GBK"/>
              </w:rPr>
              <w:t>日前将办公楼占地补偿费拨付到贺庄、三街村委会。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7</w:t>
            </w:r>
            <w:r>
              <w:rPr>
                <w:rFonts w:hint="eastAsia" w:ascii="方正书宋_GBK" w:eastAsia="方正书宋_GBK"/>
              </w:rPr>
              <w:t>月</w:t>
            </w:r>
            <w:r>
              <w:rPr>
                <w:rFonts w:ascii="方正书宋_GBK" w:eastAsia="方正书宋_GBK"/>
              </w:rPr>
              <w:t>1</w:t>
            </w:r>
            <w:r>
              <w:rPr>
                <w:rFonts w:hint="eastAsia" w:ascii="方正书宋_GBK" w:eastAsia="方正书宋_GBK"/>
              </w:rPr>
              <w:t>日前将办公楼占地补偿费拨付到三街、贺庄村委会账户，保障村民经济补偿。</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实际拨付率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办公楼占地补偿费实际拨付的比例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占地补偿承诺书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补偿面积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办公楼占地面积</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11.76</w:t>
            </w:r>
            <w:r>
              <w:rPr>
                <w:rFonts w:hint="eastAsia" w:ascii="方正书宋_GBK" w:eastAsia="方正书宋_GBK"/>
              </w:rPr>
              <w:t>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占地补偿承诺书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补偿标准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占地补偿标准</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占地补偿承诺书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小麦补偿标准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补偿三街村和贺庄村小麦补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10584</w:t>
            </w:r>
            <w:r>
              <w:rPr>
                <w:rFonts w:hint="eastAsia" w:ascii="方正书宋_GBK" w:eastAsia="方正书宋_GBK"/>
              </w:rPr>
              <w:t>斤</w:t>
            </w:r>
            <w:r>
              <w:rPr>
                <w:rFonts w:ascii="方正书宋_GBK" w:eastAsia="方正书宋_GBK"/>
              </w:rPr>
              <w:t>*</w:t>
            </w:r>
            <w:r>
              <w:rPr>
                <w:rFonts w:hint="eastAsia" w:ascii="方正书宋_GBK" w:eastAsia="方正书宋_GBK"/>
              </w:rPr>
              <w:t>市价</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占地补偿承诺书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玉米补偿标准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补偿三街村和贺庄村玉米补</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3528</w:t>
            </w:r>
            <w:r>
              <w:rPr>
                <w:rFonts w:hint="eastAsia" w:ascii="方正书宋_GBK" w:eastAsia="方正书宋_GBK"/>
              </w:rPr>
              <w:t>斤</w:t>
            </w:r>
            <w:r>
              <w:rPr>
                <w:rFonts w:ascii="方正书宋_GBK" w:eastAsia="方正书宋_GBK"/>
              </w:rPr>
              <w:t>*</w:t>
            </w:r>
            <w:r>
              <w:rPr>
                <w:rFonts w:hint="eastAsia" w:ascii="方正书宋_GBK" w:eastAsia="方正书宋_GBK"/>
              </w:rPr>
              <w:t>市价</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占地补偿承诺书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办公楼占地补偿费按时完成拨付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每年</w:t>
            </w:r>
            <w:r>
              <w:rPr>
                <w:rFonts w:ascii="方正书宋_GBK" w:eastAsia="方正书宋_GBK"/>
              </w:rPr>
              <w:t>7</w:t>
            </w:r>
            <w:r>
              <w:rPr>
                <w:rFonts w:hint="eastAsia" w:ascii="方正书宋_GBK" w:eastAsia="方正书宋_GBK"/>
              </w:rPr>
              <w:t>月</w:t>
            </w:r>
            <w:r>
              <w:rPr>
                <w:rFonts w:ascii="方正书宋_GBK" w:eastAsia="方正书宋_GBK"/>
              </w:rPr>
              <w:t>1</w:t>
            </w:r>
            <w:r>
              <w:rPr>
                <w:rFonts w:hint="eastAsia" w:ascii="方正书宋_GBK" w:eastAsia="方正书宋_GBK"/>
              </w:rPr>
              <w:t>日前拨付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占地补偿承诺书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受益群体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补偿群体</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三街村、贺庄村民</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占地补偿承诺书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三街、贺庄村委会对拨付占地补偿费进度是否满意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调查表</w:t>
            </w:r>
          </w:p>
        </w:tc>
      </w:tr>
    </w:tbl>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rPr>
        <w:t xml:space="preserve"> 2、国家赔偿费用绩效目标表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825748"/>
      <w:r>
        <w:rPr>
          <w:rFonts w:hint="eastAsia" w:ascii="方正仿宋_GBK" w:eastAsia="方正仿宋_GBK"/>
          <w:b/>
          <w:sz w:val="28"/>
        </w:rPr>
        <w:instrText xml:space="preserve">2、国家赔偿费用绩效目标表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000-9999-JBN-2HJ4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国家赔偿费用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案件赔偿金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、根据《赔偿决定书》依法办理达到国家赔偿条件的国家赔偿案件，对申请人进行经济赔偿，及时足额发放到案件请求人，保障国家赔偿案件的请求人依法获得国家赔偿权利。</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国家赔偿完整率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享受国家赔偿案件申请人数占达到赔偿标准申请人总数的比例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赔偿标准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达到国家赔偿标准赔偿申请人赔偿金</w:t>
            </w:r>
          </w:p>
        </w:tc>
        <w:tc>
          <w:tcPr>
            <w:tcW w:w="1276" w:type="dxa"/>
            <w:shd w:val="clear" w:color="auto" w:fill="auto"/>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按照</w:t>
            </w:r>
            <w:r>
              <w:rPr>
                <w:rFonts w:hint="eastAsia" w:ascii="方正书宋_GBK" w:eastAsia="方正书宋_GBK"/>
                <w:lang w:eastAsia="zh-CN"/>
              </w:rPr>
              <w:t>《</w:t>
            </w:r>
            <w:r>
              <w:rPr>
                <w:rFonts w:hint="eastAsia" w:ascii="方正书宋_GBK" w:eastAsia="方正书宋_GBK"/>
                <w:lang w:val="en-US" w:eastAsia="zh-CN"/>
              </w:rPr>
              <w:t>中华人民共和国国家赔偿法</w:t>
            </w:r>
            <w:r>
              <w:rPr>
                <w:rFonts w:hint="eastAsia" w:ascii="方正书宋_GBK" w:eastAsia="方正书宋_GBK"/>
                <w:lang w:eastAsia="zh-CN"/>
              </w:rPr>
              <w:t>》</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发放额</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应当赔偿的案件结案后足额发放赔偿金数量占应补偿金额的比例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《赔偿决定书》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5"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赔偿费是否按时发放到案件请求人</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按时发放赔偿费</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中华人民共和国国家赔偿法</w:t>
            </w:r>
            <w:r>
              <w:rPr>
                <w:rFonts w:hint="eastAsia" w:ascii="方正书宋_GBK" w:eastAsia="方正书宋_GBK"/>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错案补偿范围</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错案申请人的经济补偿</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依法享受国家赔偿补偿</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中华人民共和国国家赔偿法</w:t>
            </w:r>
            <w:r>
              <w:rPr>
                <w:rFonts w:hint="eastAsia" w:ascii="方正书宋_GBK" w:eastAsia="方正书宋_GBK"/>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错案率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错案数占办结案件的比率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中华人民共和国国家赔偿法</w:t>
            </w:r>
            <w:r>
              <w:rPr>
                <w:rFonts w:hint="eastAsia" w:ascii="方正书宋_GBK" w:eastAsia="方正书宋_GBK"/>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案件请求人对赔偿费发放情况的认可度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w:t>
            </w:r>
            <w:r>
              <w:rPr>
                <w:rFonts w:hint="eastAsia" w:ascii="方正书宋_GBK" w:eastAsia="方正书宋_GBK"/>
                <w:lang w:val="en-US" w:eastAsia="zh-CN"/>
              </w:rPr>
              <w:t>中华人</w:t>
            </w:r>
            <w:bookmarkStart w:id="12" w:name="_GoBack"/>
            <w:bookmarkEnd w:id="12"/>
            <w:r>
              <w:rPr>
                <w:rFonts w:hint="eastAsia" w:ascii="方正书宋_GBK" w:eastAsia="方正书宋_GBK"/>
                <w:lang w:val="en-US" w:eastAsia="zh-CN"/>
              </w:rPr>
              <w:t>民共和国国家赔偿法</w:t>
            </w:r>
            <w:r>
              <w:rPr>
                <w:rFonts w:hint="eastAsia" w:ascii="方正书宋_GBK" w:eastAsia="方正书宋_GBK"/>
                <w:lang w:eastAsia="zh-CN"/>
              </w:rPr>
              <w:t>》</w:t>
            </w:r>
          </w:p>
        </w:tc>
      </w:tr>
    </w:tbl>
    <w:p>
      <w:pPr>
        <w:spacing w:line="300" w:lineRule="exact"/>
        <w:ind w:firstLine="420" w:firstLineChars="200"/>
        <w:jc w:val="left"/>
      </w:pPr>
    </w:p>
    <w:p>
      <w:pPr>
        <w:ind w:firstLine="560" w:firstLineChars="200"/>
        <w:jc w:val="left"/>
        <w:outlineLvl w:val="1"/>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3、监所专项建设绩效目标表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825749"/>
      <w:r>
        <w:rPr>
          <w:rFonts w:hint="eastAsia" w:ascii="方正仿宋_GBK" w:eastAsia="方正仿宋_GBK"/>
          <w:b/>
          <w:sz w:val="28"/>
        </w:rPr>
        <w:instrText xml:space="preserve">3、监所专项建设绩效目标表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000-9999-JBN-02TJ</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监所专项建设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按《关于加快推进全省检察机关刑事执行检察信息化建设》的要求，于</w:t>
            </w:r>
            <w:r>
              <w:rPr>
                <w:rFonts w:ascii="方正书宋_GBK" w:eastAsia="方正书宋_GBK"/>
              </w:rPr>
              <w:t>2020</w:t>
            </w:r>
            <w:r>
              <w:rPr>
                <w:rFonts w:hint="eastAsia" w:ascii="方正书宋_GBK" w:eastAsia="方正书宋_GBK"/>
              </w:rPr>
              <w:t>年一季度做好项目采购计划，完成招标工作。二季度完成监所专项建设任务以及安装调试和投入使用。刑事执行检察信息中心按照便于开展刑事执行检察工作的原则，分配独立的刑事执行检察信息中心用房，配备信息查询设备、监控视频和监管执法信息集中显示设备、信息数据存储设备和配套办公设备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、建设独立的刑事执行检察信息中心用房、</w:t>
            </w:r>
            <w:r>
              <w:rPr>
                <w:rFonts w:hint="cs" w:ascii="方正书宋_GBK" w:eastAsia="方正书宋_GBK"/>
              </w:rPr>
              <w:t>“</w:t>
            </w:r>
            <w:r>
              <w:rPr>
                <w:rFonts w:hint="eastAsia" w:ascii="方正书宋_GBK" w:eastAsia="方正书宋_GBK"/>
              </w:rPr>
              <w:t>两网一线</w:t>
            </w:r>
            <w:r>
              <w:rPr>
                <w:rFonts w:hint="cs" w:ascii="方正书宋_GBK" w:eastAsia="方正书宋_GBK"/>
              </w:rPr>
              <w:t>”</w:t>
            </w:r>
            <w:r>
              <w:rPr>
                <w:rFonts w:hint="eastAsia" w:ascii="方正书宋_GBK" w:eastAsia="方正书宋_GBK"/>
              </w:rPr>
              <w:t>专用房间，配备信息查询设备、监控视频和监管执法信息集中显示设备、信息数据存储设备、保密机和配套办公设备等，实现检察院与鹿泉看守所联网协同监管，刑事执行检察部门与辖区内看守所之间监管执法信息、监控联网信息数据实时共享。</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中心用房数量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建设独立的刑事执行检察信息中心用房数量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两网一线</w:t>
            </w:r>
            <w:r>
              <w:rPr>
                <w:rFonts w:hint="cs" w:ascii="方正书宋_GBK" w:eastAsia="方正书宋_GBK"/>
              </w:rPr>
              <w:t>”</w:t>
            </w:r>
            <w:r>
              <w:rPr>
                <w:rFonts w:hint="eastAsia" w:ascii="方正书宋_GBK" w:eastAsia="方正书宋_GBK"/>
              </w:rPr>
              <w:t>用房数量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建设独立的</w:t>
            </w:r>
            <w:r>
              <w:rPr>
                <w:rFonts w:hint="cs" w:ascii="方正书宋_GBK" w:eastAsia="方正书宋_GBK"/>
              </w:rPr>
              <w:t>“</w:t>
            </w:r>
            <w:r>
              <w:rPr>
                <w:rFonts w:hint="eastAsia" w:ascii="方正书宋_GBK" w:eastAsia="方正书宋_GBK"/>
              </w:rPr>
              <w:t>两网一线</w:t>
            </w:r>
            <w:r>
              <w:rPr>
                <w:rFonts w:hint="cs" w:ascii="方正书宋_GBK" w:eastAsia="方正书宋_GBK"/>
              </w:rPr>
              <w:t>”</w:t>
            </w:r>
            <w:r>
              <w:rPr>
                <w:rFonts w:hint="eastAsia" w:ascii="方正书宋_GBK" w:eastAsia="方正书宋_GBK"/>
              </w:rPr>
              <w:t>专用房间数量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信息查询设备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购置信息查询设备的数量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监控视频和监管执法信息集中显示设备购置完成率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购置的监控视频和监管执法信息集中显示数量占计划购置数量的比例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信息数据存储设备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购置信息数据存储设备的数量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配套办公设备购置完成率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购置完成的配套办公设备数量占计划购置数量的比例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保密机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购置保密机的质量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达到</w:t>
            </w:r>
            <w:r>
              <w:rPr>
                <w:rFonts w:hint="cs" w:ascii="方正书宋_GBK" w:eastAsia="方正书宋_GBK"/>
              </w:rPr>
              <w:t>“</w:t>
            </w:r>
            <w:r>
              <w:rPr>
                <w:rFonts w:hint="eastAsia" w:ascii="方正书宋_GBK" w:eastAsia="方正书宋_GBK"/>
              </w:rPr>
              <w:t>三铁一器</w:t>
            </w:r>
            <w:r>
              <w:rPr>
                <w:rFonts w:hint="cs" w:ascii="方正书宋_GBK" w:eastAsia="方正书宋_GBK"/>
              </w:rPr>
              <w:t>”</w:t>
            </w:r>
            <w:r>
              <w:rPr>
                <w:rFonts w:hint="eastAsia" w:ascii="方正书宋_GBK" w:eastAsia="方正书宋_GBK"/>
              </w:rPr>
              <w:t>等密码设备间建设标准要求</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购置设备质量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购入刑事执行检察信息中心用房专用设备的质量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达到刑事检察信息中心用房的建设要求</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按照刑事检察信息中心用房建设标准完成建设的比例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专用设备标准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购置专用设备及其他设备的总成本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网络集成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用于网络集成总成本</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数据共享实现率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监管执法信息及监控联网信息实现共享数据量占应实现共享的数据量的比例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河北省人民检察院冀检发执检字</w:t>
            </w:r>
            <w:r>
              <w:rPr>
                <w:rFonts w:ascii="方正书宋_GBK" w:eastAsia="方正书宋_GBK"/>
              </w:rPr>
              <w:t>[2016]4</w:t>
            </w:r>
            <w:r>
              <w:rPr>
                <w:rFonts w:hint="eastAsia" w:ascii="方正书宋_GBK" w:eastAsia="方正书宋_GBK"/>
              </w:rPr>
              <w:t>号</w:t>
            </w:r>
          </w:p>
        </w:tc>
      </w:tr>
    </w:tbl>
    <w:p>
      <w:pPr>
        <w:spacing w:line="300" w:lineRule="exact"/>
        <w:jc w:val="left"/>
      </w:pPr>
    </w:p>
    <w:p>
      <w:pPr>
        <w:ind w:firstLine="560" w:firstLineChars="200"/>
        <w:jc w:val="left"/>
        <w:outlineLvl w:val="1"/>
        <w:rPr>
          <w:rFonts w:ascii="Times New Roman" w:hAnsi="宋体"/>
          <w:b/>
          <w:sz w:val="28"/>
        </w:rPr>
      </w:pPr>
      <w:r>
        <w:rPr>
          <w:rFonts w:hint="eastAsia" w:ascii="方正仿宋_GBK" w:eastAsia="方正仿宋_GBK"/>
          <w:b/>
          <w:sz w:val="28"/>
        </w:rPr>
        <w:t>4、检务大厅建设绩效目标表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825750"/>
      <w:r>
        <w:rPr>
          <w:rFonts w:hint="eastAsia" w:ascii="方正仿宋_GBK" w:eastAsia="方正仿宋_GBK"/>
          <w:b/>
          <w:sz w:val="28"/>
        </w:rPr>
        <w:instrText xml:space="preserve">4、检务大厅建设绩效目标表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000-9999-JBN-D24P</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22.70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22.70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审计工作完成后支付尾款</w:t>
            </w:r>
            <w:r>
              <w:rPr>
                <w:rFonts w:ascii="方正书宋_GBK" w:eastAsia="方正书宋_GBK"/>
              </w:rPr>
              <w:t>22.7</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、完成审计工作后按期支付尾款。</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建筑面积</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检务大厅建筑面积</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313.46</w:t>
            </w:r>
            <w:r>
              <w:rPr>
                <w:rFonts w:hint="eastAsia" w:ascii="方正书宋_GBK" w:eastAsia="方正书宋_GBK"/>
              </w:rPr>
              <w:t>平方米</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大厅数量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评审报告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按时拨付</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检务大厅建设尾款按时拨付</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完成审计工作后支付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购置设备质量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购入检务大厅专用设备的质量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购入设备的质量符合检务大厅建设要求</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《石家庄市人民检察院检务公开工作基本标准（试行）》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购置专用设备数量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检务大厅和案管大厅购置专用设备数量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台</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《石家庄市人民检察院检务公开工作基本标准（试行）》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购置办公设备数量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检务大厅和案管大厅购置办公设备数量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检务大厅和案管大厅配备基本办公设备，如电脑、打印机、办公桌椅、扫描仪等设备。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远程接访系统完成率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检务大厅远程视频接访系统及接访专用设备建设完成数量占计划完成数量的比例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受益群体</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检务大厅来访群众</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拓展公开形式，提高公开事项，提升检务公开水平，真正把司法为民的宗旨落到实处。</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《石家庄市人民检察院检务公开工作基本标准（试行）》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来访群众对检务大厅工作的认可度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调查表</w:t>
            </w:r>
          </w:p>
        </w:tc>
      </w:tr>
    </w:tbl>
    <w:p>
      <w:pPr>
        <w:spacing w:line="300" w:lineRule="exact"/>
        <w:jc w:val="left"/>
        <w:sectPr>
          <w:footerReference r:id="rId3" w:type="default"/>
          <w:pgSz w:w="11907" w:h="16839" w:orient="landscape"/>
          <w:pgMar w:top="1984" w:right="1304" w:bottom="1134" w:left="1304" w:header="851" w:footer="992" w:gutter="0"/>
          <w:cols w:space="720" w:num="1"/>
          <w:docGrid w:type="lines" w:linePitch="312" w:charSpace="0"/>
        </w:sectPr>
      </w:pPr>
    </w:p>
    <w:p>
      <w:pPr>
        <w:ind w:firstLine="560" w:firstLineChars="200"/>
        <w:jc w:val="left"/>
        <w:outlineLvl w:val="1"/>
        <w:rPr>
          <w:rFonts w:ascii="Times New Roman" w:hAnsi="宋体"/>
          <w:b/>
          <w:sz w:val="28"/>
        </w:rPr>
      </w:pPr>
      <w:r>
        <w:rPr>
          <w:rFonts w:hint="eastAsia" w:ascii="方正仿宋_GBK" w:eastAsia="方正仿宋_GBK"/>
          <w:b/>
          <w:sz w:val="28"/>
        </w:rPr>
        <w:t>5、远程视频提讯平台经费绩效目标表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825751"/>
      <w:r>
        <w:rPr>
          <w:rFonts w:hint="eastAsia" w:ascii="方正仿宋_GBK" w:eastAsia="方正仿宋_GBK"/>
          <w:b/>
          <w:sz w:val="28"/>
        </w:rPr>
        <w:instrText xml:space="preserve">5、远程视频提讯平台经费绩效目标表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000-9999-JSN-D664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远程视频提讯平台经费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建设远程视频提讯平台。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看守所和检察院远程提审室，并完成主审端和被审端的建设。购买提审主机、服务器、摄像头、拾音器、电视大屏、路由器交换机、配套办公设备等专用设备，完成远程视频提讯平台的建设，缩短审讯周期，提高审讯效率。</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平台数量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建设远程视频提讯平台数量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关于将</w:t>
            </w:r>
            <w:r>
              <w:rPr>
                <w:rFonts w:hint="cs" w:ascii="方正书宋_GBK" w:eastAsia="方正书宋_GBK"/>
              </w:rPr>
              <w:t>“</w:t>
            </w:r>
            <w:r>
              <w:rPr>
                <w:rFonts w:hint="eastAsia" w:ascii="方正书宋_GBK" w:eastAsia="方正书宋_GBK"/>
              </w:rPr>
              <w:t>远程视频提讯</w:t>
            </w:r>
            <w:r>
              <w:rPr>
                <w:rFonts w:hint="cs" w:ascii="方正书宋_GBK" w:eastAsia="方正书宋_GBK"/>
              </w:rPr>
              <w:t>”</w:t>
            </w:r>
            <w:r>
              <w:rPr>
                <w:rFonts w:hint="eastAsia" w:ascii="方正书宋_GBK" w:eastAsia="方正书宋_GBK"/>
              </w:rPr>
              <w:t>平台所需经费列入</w:t>
            </w:r>
            <w:r>
              <w:rPr>
                <w:rFonts w:ascii="方正书宋_GBK" w:eastAsia="方正书宋_GBK"/>
              </w:rPr>
              <w:t>2020</w:t>
            </w:r>
            <w:r>
              <w:rPr>
                <w:rFonts w:hint="eastAsia" w:ascii="方正书宋_GBK" w:eastAsia="方正书宋_GBK"/>
              </w:rPr>
              <w:t>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提审室数量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看守所和检察院内远程提审室数量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电视大屏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购置电视大屏数量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购置远程视频提审服务器数量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摄像头和拾音器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购置摄像头和拾音器数量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提审主机</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购置提审主机数量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合格率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验收合格的设备量占建设设备总量的比例</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机关主审端建设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机关主审端建设成本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看守所被审端建设</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看守所被审端建设成本</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万</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审讯效率改善情况</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缩短审讯周期，提高审讯效率，节约司法资源</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明显提高</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关于将</w:t>
            </w:r>
            <w:r>
              <w:rPr>
                <w:rFonts w:hint="cs" w:ascii="方正书宋_GBK" w:eastAsia="方正书宋_GBK"/>
              </w:rPr>
              <w:t>“</w:t>
            </w:r>
            <w:r>
              <w:rPr>
                <w:rFonts w:hint="eastAsia" w:ascii="方正书宋_GBK" w:eastAsia="方正书宋_GBK"/>
              </w:rPr>
              <w:t>远程视频提讯</w:t>
            </w:r>
            <w:r>
              <w:rPr>
                <w:rFonts w:hint="cs" w:ascii="方正书宋_GBK" w:eastAsia="方正书宋_GBK"/>
              </w:rPr>
              <w:t>”</w:t>
            </w:r>
            <w:r>
              <w:rPr>
                <w:rFonts w:hint="eastAsia" w:ascii="方正书宋_GBK" w:eastAsia="方正书宋_GBK"/>
              </w:rPr>
              <w:t>平台所需经费列入</w:t>
            </w:r>
            <w:r>
              <w:rPr>
                <w:rFonts w:ascii="方正书宋_GBK" w:eastAsia="方正书宋_GBK"/>
              </w:rPr>
              <w:t>2020</w:t>
            </w:r>
            <w:r>
              <w:rPr>
                <w:rFonts w:hint="eastAsia" w:ascii="方正书宋_GBK" w:eastAsia="方正书宋_GBK"/>
              </w:rPr>
              <w:t>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满意和较满意人数占被调查人数的比例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p>
        </w:tc>
      </w:tr>
    </w:tbl>
    <w:p>
      <w:pPr>
        <w:ind w:firstLine="560" w:firstLineChars="200"/>
        <w:jc w:val="left"/>
        <w:outlineLvl w:val="1"/>
        <w:rPr>
          <w:rFonts w:hint="eastAsia" w:ascii="方正仿宋_GBK" w:eastAsia="方正仿宋_GBK"/>
          <w:b/>
          <w:sz w:val="28"/>
        </w:rPr>
      </w:pPr>
    </w:p>
    <w:p>
      <w:pPr>
        <w:ind w:firstLine="560" w:firstLineChars="200"/>
        <w:jc w:val="left"/>
        <w:outlineLvl w:val="1"/>
        <w:rPr>
          <w:rFonts w:ascii="Times New Roman" w:hAnsi="宋体"/>
          <w:b/>
          <w:sz w:val="28"/>
        </w:rPr>
      </w:pPr>
      <w:r>
        <w:rPr>
          <w:rFonts w:hint="eastAsia" w:ascii="方正仿宋_GBK" w:eastAsia="方正仿宋_GBK"/>
          <w:b/>
          <w:sz w:val="28"/>
        </w:rPr>
        <w:t>6、执法业务经费绩效目标表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825752"/>
      <w:r>
        <w:rPr>
          <w:rFonts w:hint="eastAsia" w:ascii="方正仿宋_GBK" w:eastAsia="方正仿宋_GBK"/>
          <w:b/>
          <w:sz w:val="28"/>
        </w:rPr>
        <w:instrText xml:space="preserve">6、执法业务经费绩效目标表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000-9999-JBN-0P4B</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执法业务经费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职能的行使贯穿刑事立案到侦查终结全过程。经费主要用于办案过程中的办案业务费用支出，随办案进度支出办案经费。其中包括交通费、维修费、劳务费、办案费、装备费、消耗费等其他支出。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、侦查监督科对于公安机关移送的批捕案件进行提讯犯罪嫌疑人，制作审查逮捕案件意见书。</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、公诉科对于公安机关移送的刑事案件受理后进行提讯犯罪嫌疑人（异地关押），制作起诉书。</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、批捕案件与公诉案件受理后在法定实现内办结案件。</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、公诉科对受理案件提起公诉并出庭支持公诉。</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意见书数量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制作审查逮捕案件意见书的数量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历史统计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起诉书数量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制作公诉案件起诉书的数量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份</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历史统计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案件办结率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办结案件占总受理案件的比例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办案时限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受理批捕案件是否在法定时限内办结</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天</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办案时限</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受理公诉案件是否在法定时限内办结</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月</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支持公诉率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对案件提起诉讼并出庭支持诉讼的比例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工作台账</w:t>
            </w:r>
          </w:p>
        </w:tc>
      </w:tr>
    </w:tbl>
    <w:p>
      <w:pPr>
        <w:spacing w:line="300" w:lineRule="exact"/>
        <w:ind w:firstLine="420" w:firstLineChars="200"/>
        <w:jc w:val="left"/>
        <w:sectPr>
          <w:pgSz w:w="11907" w:h="16839" w:orient="landscape"/>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60</w:t>
      </w:r>
      <w:r>
        <w:rPr>
          <w:rFonts w:ascii="Times New Roman" w:hAnsi="Times New Roman" w:eastAsia="仿宋" w:cs="Times New Roman"/>
          <w:sz w:val="32"/>
          <w:szCs w:val="24"/>
        </w:rPr>
        <w:t>万元。具体内容见下表。</w:t>
      </w:r>
      <w:bookmarkEnd w:id="10"/>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default" w:ascii="方正小标宋_GBK" w:eastAsia="方正小标宋_GBK"/>
                <w:sz w:val="24"/>
                <w:lang w:val="en-US" w:eastAsia="zh-CN"/>
              </w:rPr>
            </w:pPr>
            <w:r>
              <w:rPr>
                <w:rFonts w:hint="eastAsia" w:ascii="方正小标宋_GBK" w:eastAsia="方正小标宋_GBK"/>
                <w:sz w:val="24"/>
                <w:lang w:val="en-US" w:eastAsia="zh-CN"/>
              </w:rPr>
              <w:t>151石家庄市鹿泉区人民检察院</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73" w:hRule="atLeas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60</w:t>
            </w:r>
          </w:p>
        </w:tc>
        <w:tc>
          <w:tcPr>
            <w:tcW w:w="992" w:type="dxa"/>
            <w:vAlign w:val="center"/>
          </w:tcPr>
          <w:p>
            <w:pPr>
              <w:adjustRightInd w:val="0"/>
              <w:snapToGrid w:val="0"/>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60</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89" w:hRule="atLeast"/>
          <w:jc w:val="center"/>
        </w:trPr>
        <w:tc>
          <w:tcPr>
            <w:tcW w:w="3106" w:type="dxa"/>
            <w:vAlign w:val="center"/>
          </w:tcPr>
          <w:p>
            <w:pPr>
              <w:spacing w:line="300" w:lineRule="exact"/>
              <w:jc w:val="center"/>
              <w:rPr>
                <w:rFonts w:hint="eastAsia" w:ascii="方正书宋_GBK" w:eastAsia="方正书宋_GBK"/>
                <w:b/>
                <w:lang w:val="en-US" w:eastAsia="zh-CN"/>
              </w:rPr>
            </w:pPr>
            <w:r>
              <w:rPr>
                <w:rFonts w:hint="eastAsia" w:ascii="方正书宋_GBK" w:eastAsia="方正书宋_GBK"/>
                <w:b/>
                <w:lang w:val="en-US" w:eastAsia="zh-CN"/>
              </w:rPr>
              <w:t>石家庄市鹿泉区人</w:t>
            </w:r>
          </w:p>
          <w:p>
            <w:pPr>
              <w:spacing w:line="300" w:lineRule="exact"/>
              <w:jc w:val="center"/>
              <w:rPr>
                <w:rFonts w:ascii="方正书宋_GBK" w:eastAsia="方正书宋_GBK"/>
                <w:b/>
              </w:rPr>
            </w:pPr>
            <w:r>
              <w:rPr>
                <w:rFonts w:hint="eastAsia" w:ascii="方正书宋_GBK" w:eastAsia="方正书宋_GBK"/>
                <w:b/>
                <w:lang w:val="en-US" w:eastAsia="zh-CN"/>
              </w:rPr>
              <w:t>民检察院</w:t>
            </w:r>
            <w:r>
              <w:rPr>
                <w:rFonts w:hint="eastAsia" w:ascii="方正书宋_GBK" w:eastAsia="方正书宋_GBK"/>
                <w:b/>
              </w:rPr>
              <w:t>小计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60</w:t>
            </w:r>
          </w:p>
        </w:tc>
        <w:tc>
          <w:tcPr>
            <w:tcW w:w="992" w:type="dxa"/>
            <w:vAlign w:val="center"/>
          </w:tcPr>
          <w:p>
            <w:pPr>
              <w:adjustRightInd w:val="0"/>
              <w:snapToGrid w:val="0"/>
              <w:jc w:val="center"/>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60</w:t>
            </w: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53" w:hRule="atLeast"/>
          <w:jc w:val="center"/>
        </w:trPr>
        <w:tc>
          <w:tcPr>
            <w:tcW w:w="3106"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远程视频提讯平台经费</w:t>
            </w:r>
          </w:p>
        </w:tc>
        <w:tc>
          <w:tcPr>
            <w:tcW w:w="1134"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20</w:t>
            </w:r>
          </w:p>
        </w:tc>
        <w:tc>
          <w:tcPr>
            <w:tcW w:w="1559"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服务器</w:t>
            </w:r>
          </w:p>
        </w:tc>
        <w:tc>
          <w:tcPr>
            <w:tcW w:w="1417"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A02010103</w:t>
            </w:r>
          </w:p>
        </w:tc>
        <w:tc>
          <w:tcPr>
            <w:tcW w:w="709"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套</w:t>
            </w:r>
          </w:p>
        </w:tc>
        <w:tc>
          <w:tcPr>
            <w:tcW w:w="851"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w:t>
            </w:r>
          </w:p>
        </w:tc>
        <w:tc>
          <w:tcPr>
            <w:tcW w:w="992"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20</w:t>
            </w:r>
          </w:p>
        </w:tc>
        <w:tc>
          <w:tcPr>
            <w:tcW w:w="992" w:type="dxa"/>
            <w:vAlign w:val="center"/>
          </w:tcPr>
          <w:p>
            <w:pPr>
              <w:spacing w:line="300" w:lineRule="exact"/>
              <w:jc w:val="center"/>
              <w:rPr>
                <w:rFonts w:ascii="方正书宋_GBK" w:eastAsia="方正书宋_GBK"/>
              </w:rPr>
            </w:pPr>
            <w:r>
              <w:rPr>
                <w:rFonts w:hint="eastAsia" w:ascii="方正书宋_GBK" w:eastAsia="方正书宋_GBK"/>
                <w:lang w:val="en-US" w:eastAsia="zh-CN"/>
              </w:rPr>
              <w:t>20</w:t>
            </w:r>
          </w:p>
        </w:tc>
        <w:tc>
          <w:tcPr>
            <w:tcW w:w="992" w:type="dxa"/>
            <w:vAlign w:val="center"/>
          </w:tcPr>
          <w:p>
            <w:pPr>
              <w:spacing w:line="300" w:lineRule="exact"/>
              <w:jc w:val="center"/>
              <w:rPr>
                <w:rFonts w:ascii="方正书宋_GBK" w:eastAsia="方正书宋_GBK"/>
              </w:rPr>
            </w:pPr>
            <w:r>
              <w:rPr>
                <w:rFonts w:hint="eastAsia" w:ascii="方正书宋_GBK" w:eastAsia="方正书宋_GBK"/>
                <w:lang w:val="en-US" w:eastAsia="zh-CN"/>
              </w:rPr>
              <w:t>20</w:t>
            </w:r>
          </w:p>
        </w:tc>
        <w:tc>
          <w:tcPr>
            <w:tcW w:w="993" w:type="dxa"/>
            <w:vAlign w:val="center"/>
          </w:tcPr>
          <w:p>
            <w:pPr>
              <w:spacing w:line="300" w:lineRule="exact"/>
              <w:jc w:val="center"/>
              <w:rPr>
                <w:rFonts w:ascii="方正书宋_GBK" w:eastAsia="方正书宋_GBK"/>
              </w:rPr>
            </w:pPr>
          </w:p>
        </w:tc>
        <w:tc>
          <w:tcPr>
            <w:tcW w:w="1134" w:type="dxa"/>
            <w:vAlign w:val="center"/>
          </w:tcPr>
          <w:p>
            <w:pPr>
              <w:spacing w:line="300" w:lineRule="exact"/>
              <w:jc w:val="center"/>
              <w:rPr>
                <w:rFonts w:ascii="方正书宋_GBK" w:eastAsia="方正书宋_GBK"/>
              </w:rPr>
            </w:pPr>
          </w:p>
        </w:tc>
        <w:tc>
          <w:tcPr>
            <w:tcW w:w="850" w:type="dxa"/>
            <w:vAlign w:val="center"/>
          </w:tcPr>
          <w:p>
            <w:pPr>
              <w:spacing w:line="300" w:lineRule="exact"/>
              <w:jc w:val="center"/>
              <w:rPr>
                <w:rFonts w:ascii="方正书宋_GBK" w:eastAsia="方正书宋_GBK"/>
              </w:rPr>
            </w:pPr>
          </w:p>
        </w:tc>
        <w:tc>
          <w:tcPr>
            <w:tcW w:w="893"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28" w:hRule="atLeast"/>
          <w:jc w:val="center"/>
        </w:trPr>
        <w:tc>
          <w:tcPr>
            <w:tcW w:w="3106"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监所专项建设</w:t>
            </w:r>
          </w:p>
        </w:tc>
        <w:tc>
          <w:tcPr>
            <w:tcW w:w="1134"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40</w:t>
            </w:r>
          </w:p>
        </w:tc>
        <w:tc>
          <w:tcPr>
            <w:tcW w:w="1559"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以太网交换机</w:t>
            </w:r>
          </w:p>
        </w:tc>
        <w:tc>
          <w:tcPr>
            <w:tcW w:w="1417"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A0201020201</w:t>
            </w:r>
          </w:p>
        </w:tc>
        <w:tc>
          <w:tcPr>
            <w:tcW w:w="709" w:type="dxa"/>
            <w:vAlign w:val="center"/>
          </w:tcPr>
          <w:p>
            <w:pPr>
              <w:spacing w:line="300" w:lineRule="exact"/>
              <w:jc w:val="center"/>
              <w:rPr>
                <w:rFonts w:ascii="方正书宋_GBK" w:eastAsia="方正书宋_GBK"/>
              </w:rPr>
            </w:pPr>
            <w:r>
              <w:rPr>
                <w:rFonts w:hint="eastAsia" w:ascii="方正书宋_GBK" w:eastAsia="方正书宋_GBK"/>
                <w:lang w:val="en-US" w:eastAsia="zh-CN"/>
              </w:rPr>
              <w:t>套</w:t>
            </w:r>
          </w:p>
        </w:tc>
        <w:tc>
          <w:tcPr>
            <w:tcW w:w="851"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1</w:t>
            </w:r>
          </w:p>
        </w:tc>
        <w:tc>
          <w:tcPr>
            <w:tcW w:w="992" w:type="dxa"/>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40</w:t>
            </w:r>
          </w:p>
        </w:tc>
        <w:tc>
          <w:tcPr>
            <w:tcW w:w="992" w:type="dxa"/>
            <w:vAlign w:val="center"/>
          </w:tcPr>
          <w:p>
            <w:pPr>
              <w:spacing w:line="300" w:lineRule="exact"/>
              <w:jc w:val="center"/>
              <w:rPr>
                <w:rFonts w:ascii="方正书宋_GBK" w:eastAsia="方正书宋_GBK"/>
              </w:rPr>
            </w:pPr>
            <w:r>
              <w:rPr>
                <w:rFonts w:hint="eastAsia" w:ascii="方正书宋_GBK" w:eastAsia="方正书宋_GBK"/>
                <w:lang w:val="en-US" w:eastAsia="zh-CN"/>
              </w:rPr>
              <w:t>40</w:t>
            </w:r>
          </w:p>
        </w:tc>
        <w:tc>
          <w:tcPr>
            <w:tcW w:w="992" w:type="dxa"/>
            <w:vAlign w:val="center"/>
          </w:tcPr>
          <w:p>
            <w:pPr>
              <w:spacing w:line="300" w:lineRule="exact"/>
              <w:jc w:val="center"/>
              <w:rPr>
                <w:rFonts w:ascii="方正书宋_GBK" w:eastAsia="方正书宋_GBK"/>
              </w:rPr>
            </w:pPr>
            <w:r>
              <w:rPr>
                <w:rFonts w:hint="eastAsia" w:ascii="方正书宋_GBK" w:eastAsia="方正书宋_GBK"/>
                <w:lang w:val="en-US" w:eastAsia="zh-CN"/>
              </w:rPr>
              <w:t>40</w:t>
            </w:r>
          </w:p>
        </w:tc>
        <w:tc>
          <w:tcPr>
            <w:tcW w:w="993" w:type="dxa"/>
            <w:vAlign w:val="center"/>
          </w:tcPr>
          <w:p>
            <w:pPr>
              <w:spacing w:line="300" w:lineRule="exact"/>
              <w:jc w:val="center"/>
              <w:rPr>
                <w:rFonts w:ascii="方正书宋_GBK" w:eastAsia="方正书宋_GBK"/>
              </w:rPr>
            </w:pPr>
          </w:p>
        </w:tc>
        <w:tc>
          <w:tcPr>
            <w:tcW w:w="1134" w:type="dxa"/>
            <w:vAlign w:val="center"/>
          </w:tcPr>
          <w:p>
            <w:pPr>
              <w:spacing w:line="300" w:lineRule="exact"/>
              <w:jc w:val="center"/>
              <w:rPr>
                <w:rFonts w:ascii="方正书宋_GBK" w:eastAsia="方正书宋_GBK"/>
              </w:rPr>
            </w:pPr>
          </w:p>
        </w:tc>
        <w:tc>
          <w:tcPr>
            <w:tcW w:w="850" w:type="dxa"/>
            <w:vAlign w:val="center"/>
          </w:tcPr>
          <w:p>
            <w:pPr>
              <w:spacing w:line="300" w:lineRule="exact"/>
              <w:jc w:val="center"/>
              <w:rPr>
                <w:rFonts w:ascii="方正书宋_GBK" w:eastAsia="方正书宋_GBK"/>
              </w:rPr>
            </w:pPr>
          </w:p>
        </w:tc>
        <w:tc>
          <w:tcPr>
            <w:tcW w:w="893" w:type="dxa"/>
            <w:vAlign w:val="center"/>
          </w:tcPr>
          <w:p>
            <w:pPr>
              <w:spacing w:line="300" w:lineRule="exact"/>
              <w:jc w:val="center"/>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val="en-US" w:eastAsia="zh-CN"/>
        </w:rPr>
        <w:t>石家庄市鹿泉区人民检察院</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3232.75</w:t>
      </w:r>
      <w:r>
        <w:rPr>
          <w:rFonts w:ascii="Times New Roman" w:hAnsi="Times New Roman" w:eastAsia="仿宋" w:cs="Times New Roman"/>
          <w:color w:val="000000"/>
          <w:sz w:val="32"/>
          <w:szCs w:val="32"/>
        </w:rPr>
        <w:t>万元（详见下表），本年度拟购置固定资产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60</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val="en-US" w:eastAsia="zh-CN"/>
        </w:rPr>
        <w:t>服务器、交换机</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val="en-US" w:eastAsia="zh-CN"/>
              </w:rPr>
              <w:t>石家庄市鹿泉区人民检察院</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auto"/>
                <w:kern w:val="0"/>
                <w:sz w:val="22"/>
                <w:lang w:val="en-US" w:eastAsia="zh-CN"/>
              </w:rPr>
              <w:t>3232.75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5287.32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2142.25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2812.12</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1139.38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9</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141.53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948.97</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2277EEE"/>
    <w:rsid w:val="03204DCB"/>
    <w:rsid w:val="056D17C0"/>
    <w:rsid w:val="07ED5796"/>
    <w:rsid w:val="080C575E"/>
    <w:rsid w:val="08BF1E29"/>
    <w:rsid w:val="093B3ECB"/>
    <w:rsid w:val="09BE5A1B"/>
    <w:rsid w:val="0B157E6D"/>
    <w:rsid w:val="0F491943"/>
    <w:rsid w:val="122C3839"/>
    <w:rsid w:val="12D50D94"/>
    <w:rsid w:val="142821B6"/>
    <w:rsid w:val="14776311"/>
    <w:rsid w:val="178226B1"/>
    <w:rsid w:val="20F77B0B"/>
    <w:rsid w:val="21F22B2D"/>
    <w:rsid w:val="230125EE"/>
    <w:rsid w:val="2380128C"/>
    <w:rsid w:val="2548670C"/>
    <w:rsid w:val="26CC19EC"/>
    <w:rsid w:val="26FE0717"/>
    <w:rsid w:val="2867051D"/>
    <w:rsid w:val="2A5131FC"/>
    <w:rsid w:val="2FC94E11"/>
    <w:rsid w:val="2FE021AF"/>
    <w:rsid w:val="32F548F1"/>
    <w:rsid w:val="33245539"/>
    <w:rsid w:val="34246895"/>
    <w:rsid w:val="34FA7FDB"/>
    <w:rsid w:val="36136B07"/>
    <w:rsid w:val="374A5A9A"/>
    <w:rsid w:val="3A4B178C"/>
    <w:rsid w:val="3EF65284"/>
    <w:rsid w:val="43BF0474"/>
    <w:rsid w:val="4A027EE6"/>
    <w:rsid w:val="4A59766D"/>
    <w:rsid w:val="4B0E7A70"/>
    <w:rsid w:val="52306C85"/>
    <w:rsid w:val="53F261BC"/>
    <w:rsid w:val="542B5668"/>
    <w:rsid w:val="5488210F"/>
    <w:rsid w:val="55AF10F4"/>
    <w:rsid w:val="58632121"/>
    <w:rsid w:val="5EF72316"/>
    <w:rsid w:val="62D8173A"/>
    <w:rsid w:val="62D856F8"/>
    <w:rsid w:val="66C444B9"/>
    <w:rsid w:val="67732B53"/>
    <w:rsid w:val="6789579E"/>
    <w:rsid w:val="68907806"/>
    <w:rsid w:val="6B2A235D"/>
    <w:rsid w:val="6C4E10A5"/>
    <w:rsid w:val="6C892141"/>
    <w:rsid w:val="707770A8"/>
    <w:rsid w:val="72306078"/>
    <w:rsid w:val="78B81EC0"/>
    <w:rsid w:val="79455095"/>
    <w:rsid w:val="7A09283D"/>
    <w:rsid w:val="7CD04C23"/>
    <w:rsid w:val="7EA006A2"/>
    <w:rsid w:val="7FF202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0</TotalTime>
  <ScaleCrop>false</ScaleCrop>
  <LinksUpToDate>false</LinksUpToDate>
  <CharactersWithSpaces>8841</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cp:lastModifiedBy>
  <cp:lastPrinted>2020-01-10T15:53:00Z</cp:lastPrinted>
  <dcterms:modified xsi:type="dcterms:W3CDTF">2024-07-17T02:36:43Z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B0856C26F85B4AB9A803EB3B61FE2751</vt:lpwstr>
  </property>
</Properties>
</file>