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：731001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：石家庄市鹿泉区科学技术协会(本级)</w:t>
      </w:r>
    </w:p>
    <w:p>
      <w:pPr>
        <w:spacing w:line="600" w:lineRule="auto"/>
        <w:jc w:val="left"/>
        <w:rPr>
          <w:rFonts w:ascii="楷体_GB2312" w:hAnsi="楷体_GB2312" w:eastAsia="楷体_GB2312" w:cs="楷体_GB2312"/>
          <w:color w:val="000000"/>
          <w:sz w:val="40"/>
          <w:szCs w:val="40"/>
        </w:rPr>
      </w:pPr>
    </w:p>
    <w:p>
      <w:pPr>
        <w:spacing w:line="600" w:lineRule="auto"/>
        <w:jc w:val="center"/>
        <w:rPr>
          <w:rFonts w:ascii="楷体_GB2312" w:hAnsi="楷体_GB2312" w:eastAsia="楷体_GB2312" w:cs="楷体_GB2312"/>
          <w:color w:val="000000"/>
          <w:sz w:val="40"/>
          <w:szCs w:val="40"/>
        </w:rPr>
      </w:pPr>
    </w:p>
    <w:p>
      <w:pPr>
        <w:spacing w:line="600" w:lineRule="auto"/>
        <w:jc w:val="center"/>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pP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ascii="楷体_GB2312" w:hAnsi="楷体_GB2312" w:eastAsia="楷体_GB2312" w:cs="楷体_GB2312"/>
          <w:color w:val="000000"/>
          <w:sz w:val="40"/>
          <w:szCs w:val="40"/>
        </w:rPr>
      </w:pPr>
    </w:p>
    <w:p>
      <w:pPr>
        <w:rPr>
          <w:rFonts w:ascii="黑体" w:hAnsi="黑体" w:eastAsia="黑体" w:cs="黑体"/>
          <w:b/>
          <w:bCs/>
          <w:sz w:val="32"/>
          <w:szCs w:val="36"/>
          <w:highlight w:val="yellow"/>
        </w:rPr>
      </w:pP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pacing w:val="-20"/>
          <w:sz w:val="72"/>
          <w:szCs w:val="96"/>
        </w:rPr>
      </w:pPr>
      <w:r>
        <w:rPr>
          <w:rFonts w:hint="eastAsia" w:ascii="黑体" w:hAnsi="黑体" w:eastAsia="黑体" w:cs="黑体"/>
          <w:b/>
          <w:bCs/>
          <w:spacing w:val="-20"/>
          <w:sz w:val="72"/>
          <w:szCs w:val="96"/>
        </w:rPr>
        <w:t>2023年度</w:t>
      </w:r>
      <w:r>
        <w:rPr>
          <w:rFonts w:hint="eastAsia" w:ascii="黑体" w:hAnsi="宋体" w:eastAsia="黑体" w:cs="黑体"/>
          <w:color w:val="000000"/>
          <w:spacing w:val="-20"/>
          <w:sz w:val="72"/>
          <w:szCs w:val="72"/>
          <w:shd w:val="clear" w:color="auto" w:fill="FFFFFF"/>
        </w:rPr>
        <w:t>单位</w:t>
      </w:r>
      <w:r>
        <w:rPr>
          <w:rFonts w:hint="eastAsia" w:ascii="黑体" w:hAnsi="黑体" w:eastAsia="黑体" w:cs="黑体"/>
          <w:b/>
          <w:bCs/>
          <w:spacing w:val="-20"/>
          <w:sz w:val="72"/>
          <w:szCs w:val="96"/>
        </w:rPr>
        <w:t>决算公开文本</w:t>
      </w:r>
    </w:p>
    <w:p>
      <w:pPr>
        <w:spacing w:line="360" w:lineRule="auto"/>
        <w:jc w:val="center"/>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rPr>
          <w:rFonts w:ascii="黑体" w:hAnsi="黑体" w:eastAsia="黑体" w:cs="黑体"/>
          <w:sz w:val="56"/>
          <w:szCs w:val="72"/>
        </w:rPr>
      </w:pPr>
    </w:p>
    <w:p>
      <w:pPr>
        <w:snapToGrid w:val="0"/>
        <w:jc w:val="center"/>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石家庄市鹿泉区科学技术协会（本级）</w:t>
      </w:r>
    </w:p>
    <w:p>
      <w:pPr>
        <w:snapToGrid w:val="0"/>
        <w:jc w:val="center"/>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二〇二四年八月</w:t>
      </w: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rPr>
        <w:t>单位概况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一、单位职责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ascii="Arial" w:hAnsi="Arial" w:eastAsia="Arial" w:cs="Arial"/>
          <w:color w:val="000000"/>
          <w:sz w:val="18"/>
          <w:szCs w:val="18"/>
          <w:shd w:val="clear" w:color="auto" w:fill="FFFFFF"/>
        </w:rPr>
      </w:pP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rPr>
          <w:rFonts w:ascii="Arial" w:hAnsi="Arial" w:eastAsia="Arial" w:cs="Arial"/>
          <w:color w:val="000000"/>
          <w:sz w:val="18"/>
          <w:szCs w:val="18"/>
          <w:shd w:val="clear" w:color="auto" w:fill="FFFFFF"/>
        </w:rPr>
      </w:pPr>
    </w:p>
    <w:p>
      <w:pPr>
        <w:pStyle w:val="11"/>
        <w:widowControl/>
        <w:shd w:val="clear" w:color="auto" w:fill="FFFFFF"/>
        <w:spacing w:beforeAutospacing="0" w:afterAutospacing="0"/>
        <w:jc w:val="center"/>
        <w:rPr>
          <w:rFonts w:ascii="黑体" w:hAnsi="宋体" w:eastAsia="黑体" w:cs="黑体"/>
          <w:color w:val="000000"/>
          <w:sz w:val="72"/>
          <w:szCs w:val="72"/>
          <w:shd w:val="clear" w:color="auto" w:fill="FFFFFF"/>
        </w:rPr>
      </w:pPr>
    </w:p>
    <w:p>
      <w:pPr>
        <w:pStyle w:val="11"/>
        <w:widowControl/>
        <w:shd w:val="clear" w:color="auto" w:fill="FFFFFF"/>
        <w:spacing w:beforeAutospacing="0" w:afterAutospacing="0"/>
        <w:jc w:val="center"/>
        <w:rPr>
          <w:rFonts w:ascii="黑体" w:hAnsi="宋体" w:eastAsia="黑体" w:cs="黑体"/>
          <w:color w:val="000000"/>
          <w:sz w:val="72"/>
          <w:szCs w:val="72"/>
          <w:shd w:val="clear" w:color="auto" w:fill="FFFFFF"/>
        </w:rPr>
      </w:pPr>
    </w:p>
    <w:p>
      <w:pPr>
        <w:pStyle w:val="11"/>
        <w:widowControl/>
        <w:shd w:val="clear" w:color="auto" w:fill="FFFFFF"/>
        <w:spacing w:beforeAutospacing="0" w:afterAutospacing="0"/>
        <w:jc w:val="center"/>
        <w:rPr>
          <w:rFonts w:ascii="黑体" w:hAnsi="宋体" w:eastAsia="黑体" w:cs="黑体"/>
          <w:color w:val="000000"/>
          <w:sz w:val="72"/>
          <w:szCs w:val="72"/>
          <w:shd w:val="clear" w:color="auto" w:fill="FFFFFF"/>
        </w:rPr>
      </w:pPr>
    </w:p>
    <w:p>
      <w:pPr>
        <w:pStyle w:val="11"/>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单位概况</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pPr>
        <w:pStyle w:val="11"/>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一、单位职责</w:t>
      </w:r>
    </w:p>
    <w:p>
      <w:pPr>
        <w:widowControl/>
        <w:ind w:firstLine="640"/>
        <w:jc w:val="left"/>
        <w:rPr>
          <w:rFonts w:ascii="仿宋" w:hAnsi="仿宋" w:eastAsia="仿宋" w:cs="仿宋"/>
          <w:color w:val="000000"/>
          <w:kern w:val="1"/>
          <w:sz w:val="32"/>
          <w:szCs w:val="32"/>
        </w:rPr>
      </w:pPr>
      <w:r>
        <w:rPr>
          <w:rFonts w:ascii="Arial" w:hAnsi="Arial" w:eastAsia="Arial" w:cs="Arial"/>
          <w:color w:val="000000"/>
          <w:sz w:val="18"/>
          <w:szCs w:val="18"/>
          <w:shd w:val="clear" w:color="auto" w:fill="FFFFFF"/>
        </w:rPr>
        <w:t> </w:t>
      </w:r>
      <w:r>
        <w:rPr>
          <w:rFonts w:hint="eastAsia" w:ascii="Arial" w:hAnsi="Arial" w:eastAsia="宋体" w:cs="Arial"/>
          <w:color w:val="000000"/>
          <w:sz w:val="18"/>
          <w:szCs w:val="18"/>
          <w:shd w:val="clear" w:color="auto" w:fill="FFFFFF"/>
          <w:lang w:eastAsia="zh-CN"/>
        </w:rPr>
        <w:tab/>
      </w:r>
      <w:r>
        <w:rPr>
          <w:rFonts w:ascii="仿宋" w:hAnsi="仿宋" w:eastAsia="仿宋" w:cs="仿宋"/>
          <w:color w:val="000000"/>
          <w:kern w:val="1"/>
          <w:sz w:val="32"/>
          <w:szCs w:val="32"/>
        </w:rPr>
        <w:t>1</w:t>
      </w:r>
      <w:r>
        <w:rPr>
          <w:rFonts w:hint="eastAsia" w:ascii="仿宋" w:hAnsi="仿宋" w:eastAsia="仿宋" w:cs="仿宋"/>
          <w:color w:val="000000"/>
          <w:kern w:val="1"/>
          <w:sz w:val="32"/>
          <w:szCs w:val="32"/>
          <w:lang w:eastAsia="zh-CN"/>
        </w:rPr>
        <w:t>、</w:t>
      </w:r>
      <w:r>
        <w:rPr>
          <w:rFonts w:ascii="仿宋" w:hAnsi="仿宋" w:eastAsia="仿宋" w:cs="仿宋"/>
          <w:color w:val="000000"/>
          <w:kern w:val="1"/>
          <w:sz w:val="32"/>
          <w:szCs w:val="32"/>
        </w:rPr>
        <w:t>指导有关学会、协会、研究会及各企业科协、科协社会团体的科普工作，面向农民、社区居民、青少年、城镇劳动者、领导干部和公务员等重点人群，开展科技培训、科普惠农、科普益民等重点科普活动；开展科普日、科技周、减灾日、三下乡等系列科普活动；加强全民科学素质教育基地和科普教育基地建设，加强科普工作典型创建工作，加强科普设施建设，通过多种形式开展科普知识宣传活动。</w:t>
      </w:r>
    </w:p>
    <w:p>
      <w:pPr>
        <w:widowControl/>
        <w:ind w:firstLine="640"/>
        <w:jc w:val="left"/>
      </w:pPr>
      <w:r>
        <w:rPr>
          <w:rFonts w:ascii="仿宋" w:hAnsi="仿宋" w:eastAsia="仿宋" w:cs="仿宋"/>
          <w:color w:val="000000"/>
          <w:kern w:val="1"/>
          <w:sz w:val="32"/>
          <w:szCs w:val="32"/>
        </w:rPr>
        <w:t>2、开展反邪教、反对伪科学的活动。</w:t>
      </w:r>
    </w:p>
    <w:p>
      <w:pPr>
        <w:widowControl/>
        <w:ind w:firstLine="640"/>
        <w:jc w:val="left"/>
        <w:rPr>
          <w:rFonts w:hint="eastAsia" w:ascii="Arial" w:hAnsi="Arial" w:eastAsia="宋体" w:cs="Arial"/>
          <w:color w:val="000000"/>
          <w:sz w:val="18"/>
          <w:szCs w:val="18"/>
          <w:lang w:eastAsia="zh-CN"/>
        </w:rPr>
      </w:pPr>
      <w:r>
        <w:rPr>
          <w:rFonts w:ascii="仿宋" w:hAnsi="仿宋" w:eastAsia="仿宋" w:cs="仿宋"/>
          <w:color w:val="000000"/>
          <w:kern w:val="1"/>
          <w:sz w:val="32"/>
          <w:szCs w:val="32"/>
        </w:rPr>
        <w:t>3、发展我区同外界科学技术团体、科学技术工作者的交往和联系，改进运行机制：一是坚持民主办会的原则，认真做好服务工作。二是发挥优势，广泛调动有关学会的积极性，加强集成，形成整体合力，做好涉及全局的重要工作。三是完善建设科技工作者之家的各项举措，全心全意为科技工作者服务。</w:t>
      </w:r>
    </w:p>
    <w:p>
      <w:pPr>
        <w:pStyle w:val="11"/>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pPr>
        <w:pStyle w:val="11"/>
        <w:widowControl/>
        <w:shd w:val="clear" w:color="auto" w:fill="FFFFFF"/>
        <w:spacing w:beforeAutospacing="0" w:afterAutospacing="0"/>
        <w:ind w:firstLine="640" w:firstLineChars="200"/>
        <w:rPr>
          <w:rFonts w:ascii="仿宋_GB2312" w:hAnsi="仿宋_GB2312" w:eastAsia="仿宋_GB2312" w:cs="仿宋_GB2312"/>
          <w:sz w:val="32"/>
          <w:szCs w:val="32"/>
          <w:shd w:val="clear" w:color="auto" w:fill="FFFFFF"/>
        </w:rPr>
      </w:pPr>
      <w:r>
        <w:rPr>
          <w:rFonts w:ascii="仿宋_GB2312" w:hAnsi="仿宋_GB2312" w:eastAsia="仿宋_GB2312" w:cs="仿宋_GB2312"/>
          <w:sz w:val="32"/>
          <w:szCs w:val="32"/>
          <w:shd w:val="clear" w:color="auto" w:fill="FFFFFF"/>
        </w:rPr>
        <w:t>从决算编报</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构成看，纳入</w:t>
      </w:r>
      <w:r>
        <w:rPr>
          <w:rFonts w:hint="eastAsia" w:ascii="仿宋_GB2312" w:hAnsi="仿宋_GB2312" w:eastAsia="仿宋_GB2312" w:cs="仿宋_GB2312"/>
          <w:sz w:val="32"/>
          <w:szCs w:val="32"/>
          <w:shd w:val="clear" w:color="auto" w:fill="FFFFFF"/>
        </w:rPr>
        <w:t>2023</w:t>
      </w:r>
      <w:r>
        <w:rPr>
          <w:rFonts w:ascii="仿宋_GB2312" w:hAnsi="仿宋_GB2312" w:eastAsia="仿宋_GB2312" w:cs="仿宋_GB2312"/>
          <w:sz w:val="32"/>
          <w:szCs w:val="32"/>
          <w:shd w:val="clear" w:color="auto" w:fill="FFFFFF"/>
        </w:rPr>
        <w:t>年度</w:t>
      </w:r>
      <w:r>
        <w:rPr>
          <w:rFonts w:hint="eastAsia" w:ascii="仿宋_GB2312" w:hAnsi="仿宋_GB2312" w:eastAsia="仿宋_GB2312" w:cs="仿宋_GB2312"/>
          <w:sz w:val="32"/>
          <w:szCs w:val="32"/>
          <w:shd w:val="clear" w:color="auto" w:fill="FFFFFF"/>
        </w:rPr>
        <w:t>本部门</w:t>
      </w:r>
      <w:r>
        <w:rPr>
          <w:rFonts w:ascii="仿宋_GB2312" w:hAnsi="仿宋_GB2312" w:eastAsia="仿宋_GB2312" w:cs="仿宋_GB2312"/>
          <w:sz w:val="32"/>
          <w:szCs w:val="32"/>
          <w:shd w:val="clear" w:color="auto" w:fill="FFFFFF"/>
        </w:rPr>
        <w:t>决算汇编范围的独立核算</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（以下简称“</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 xml:space="preserve">”）共 </w:t>
      </w:r>
      <w:r>
        <w:rPr>
          <w:rFonts w:hint="eastAsia" w:ascii="仿宋_GB2312" w:hAnsi="仿宋_GB2312" w:eastAsia="仿宋_GB2312" w:cs="仿宋_GB2312"/>
          <w:sz w:val="32"/>
          <w:szCs w:val="32"/>
          <w:shd w:val="clear" w:color="auto" w:fill="FFFFFF"/>
          <w:lang w:val="en-US" w:eastAsia="zh-CN"/>
        </w:rPr>
        <w:t>1</w:t>
      </w:r>
      <w:r>
        <w:rPr>
          <w:rFonts w:ascii="仿宋_GB2312" w:hAnsi="仿宋_GB2312" w:eastAsia="仿宋_GB2312" w:cs="仿宋_GB2312"/>
          <w:sz w:val="32"/>
          <w:szCs w:val="32"/>
          <w:shd w:val="clear" w:color="auto" w:fill="FFFFFF"/>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pPr>
              <w:spacing w:line="560" w:lineRule="exact"/>
              <w:rPr>
                <w:rFonts w:ascii="仿宋_GB2312" w:hAnsi="Calibri" w:eastAsia="仿宋_GB2312" w:cs="ArialUnicodeMS"/>
                <w:sz w:val="28"/>
                <w:szCs w:val="28"/>
              </w:rPr>
            </w:pPr>
            <w:r>
              <w:rPr>
                <w:rFonts w:hint="eastAsia" w:ascii="仿宋_GB2312" w:eastAsia="仿宋_GB2312" w:cs="仿宋_GB2312"/>
                <w:kern w:val="0"/>
                <w:sz w:val="28"/>
                <w:szCs w:val="28"/>
              </w:rPr>
              <w:t>鹿泉区科学技术协会</w:t>
            </w:r>
            <w:r>
              <w:rPr>
                <w:rFonts w:hint="eastAsia" w:ascii="仿宋_GB2312" w:hAnsi="Calibri" w:eastAsia="仿宋_GB2312" w:cs="ArialUnicodeMS"/>
                <w:sz w:val="28"/>
                <w:szCs w:val="28"/>
              </w:rPr>
              <w:t>(本级)</w:t>
            </w:r>
          </w:p>
        </w:tc>
        <w:tc>
          <w:tcPr>
            <w:tcW w:w="2445" w:type="dxa"/>
          </w:tcPr>
          <w:p>
            <w:pPr>
              <w:spacing w:line="560" w:lineRule="exact"/>
              <w:jc w:val="center"/>
              <w:rPr>
                <w:rFonts w:ascii="仿宋_GB2312" w:hAnsi="Calibri" w:eastAsia="仿宋_GB2312" w:cs="ArialUnicodeMS"/>
                <w:sz w:val="28"/>
                <w:szCs w:val="28"/>
              </w:rPr>
            </w:pPr>
            <w:r>
              <w:rPr>
                <w:rFonts w:hint="eastAsia" w:ascii="仿宋_GB2312" w:eastAsia="仿宋_GB2312" w:cs="仿宋_GB2312"/>
                <w:kern w:val="0"/>
                <w:sz w:val="28"/>
                <w:szCs w:val="28"/>
              </w:rPr>
              <w:t>参公事业单位</w:t>
            </w:r>
          </w:p>
        </w:tc>
        <w:tc>
          <w:tcPr>
            <w:tcW w:w="2665" w:type="dxa"/>
          </w:tcPr>
          <w:p>
            <w:pPr>
              <w:spacing w:line="560" w:lineRule="exact"/>
              <w:jc w:val="center"/>
              <w:rPr>
                <w:rFonts w:ascii="仿宋_GB2312" w:hAnsi="Calibri" w:eastAsia="仿宋_GB2312" w:cs="ArialUnicodeMS"/>
                <w:sz w:val="28"/>
                <w:szCs w:val="28"/>
              </w:rPr>
            </w:pPr>
            <w:r>
              <w:rPr>
                <w:rFonts w:hint="eastAsia" w:ascii="仿宋_GB2312"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sz w:val="28"/>
                <w:szCs w:val="28"/>
              </w:rPr>
            </w:pPr>
            <w:r>
              <w:rPr>
                <w:rFonts w:hint="eastAsia" w:ascii="仿宋_GB2312" w:hAnsi="Calibri" w:eastAsia="仿宋_GB2312" w:cs="ArialUnicodeMS"/>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sz w:val="28"/>
                <w:szCs w:val="28"/>
              </w:rPr>
            </w:pPr>
            <w:r>
              <w:rPr>
                <w:rFonts w:hint="eastAsia" w:ascii="仿宋_GB2312" w:hAnsi="Calibri" w:eastAsia="仿宋_GB2312" w:cs="ArialUnicodeMS"/>
                <w:sz w:val="28"/>
                <w:szCs w:val="28"/>
              </w:rPr>
              <w:t>2、经费形式分为财政拨款、财政性资金基本保证、财政性资金定额或定项补助、财政性资金零补助四类。</w:t>
            </w:r>
          </w:p>
        </w:tc>
      </w:tr>
    </w:tbl>
    <w:p>
      <w:pPr>
        <w:pStyle w:val="11"/>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widowControl/>
        <w:spacing w:after="160" w:line="580" w:lineRule="exact"/>
        <w:ind w:firstLine="560" w:firstLineChars="200"/>
        <w:rPr>
          <w:rFonts w:hint="default" w:ascii="Times New Roman" w:hAnsi="Times New Roman" w:eastAsia="黑体" w:cs="Times New Roman"/>
          <w:sz w:val="32"/>
          <w:szCs w:val="32"/>
          <w:highlight w:val="yellow"/>
          <w:lang w:val="en-US"/>
        </w:rPr>
      </w:pPr>
      <w:r>
        <w:rPr>
          <w:rFonts w:hint="eastAsia" w:ascii="仿宋_GB2312" w:eastAsia="仿宋_GB2312" w:cs="仿宋_GB2312"/>
          <w:kern w:val="0"/>
          <w:sz w:val="28"/>
          <w:szCs w:val="28"/>
          <w:lang w:val="en-US" w:eastAsia="zh-CN"/>
        </w:rPr>
        <w:t>我单位无二级预算单位，因此，科协2023年度单位决算即科协本级2023年度决算。</w:t>
      </w:r>
    </w:p>
    <w:p>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ascii="Times New Roman" w:hAnsi="Times New Roman" w:eastAsia="黑体" w:cs="Times New Roman"/>
          <w:sz w:val="32"/>
          <w:szCs w:val="32"/>
          <w:highlight w:val="yellow"/>
        </w:rPr>
      </w:pPr>
    </w:p>
    <w:p>
      <w:pPr>
        <w:pStyle w:val="11"/>
        <w:widowControl/>
        <w:shd w:val="clear" w:color="auto" w:fill="FFFFFF"/>
        <w:spacing w:beforeAutospacing="0" w:afterAutospacing="0"/>
        <w:rPr>
          <w:rFonts w:ascii="Arial" w:hAnsi="Arial" w:eastAsia="Arial" w:cs="Arial"/>
          <w:color w:val="000000"/>
          <w:sz w:val="18"/>
          <w:szCs w:val="18"/>
          <w:shd w:val="clear" w:color="auto" w:fill="FFFFFF"/>
          <w:lang w:bidi="ar"/>
        </w:rPr>
      </w:pPr>
    </w:p>
    <w:p>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2023年度部门决算报表</w:t>
      </w:r>
    </w:p>
    <w:p>
      <w:pPr>
        <w:pStyle w:val="11"/>
        <w:widowControl/>
        <w:spacing w:beforeAutospacing="0" w:afterAutospacing="0"/>
        <w:jc w:val="center"/>
        <w:rPr>
          <w:rFonts w:ascii="仿宋_GB2312" w:hAnsi="仿宋_GB2312" w:eastAsia="仿宋_GB2312" w:cs="仿宋_GB2312"/>
          <w:color w:val="FF0000"/>
          <w:sz w:val="33"/>
          <w:szCs w:val="33"/>
          <w:shd w:val="clear" w:color="auto" w:fill="FFFFFF"/>
        </w:rPr>
      </w:pPr>
    </w:p>
    <w:p>
      <w:pPr>
        <w:pStyle w:val="11"/>
        <w:widowControl/>
        <w:spacing w:beforeAutospacing="0" w:afterAutospacing="0"/>
        <w:jc w:val="center"/>
        <w:rPr>
          <w:rFonts w:ascii="仿宋_GB2312" w:hAnsi="仿宋_GB2312" w:eastAsia="仿宋_GB2312" w:cs="仿宋_GB2312"/>
          <w:color w:val="FF0000"/>
          <w:sz w:val="33"/>
          <w:szCs w:val="33"/>
          <w:shd w:val="clear" w:color="auto" w:fill="FFFFFF"/>
        </w:rPr>
        <w:sectPr>
          <w:headerReference r:id="rId8" w:type="default"/>
          <w:pgSz w:w="11906" w:h="16838"/>
          <w:pgMar w:top="1531" w:right="1984" w:bottom="1531" w:left="2098" w:header="851" w:footer="992" w:gutter="0"/>
          <w:cols w:space="720" w:num="1"/>
          <w:docGrid w:type="lines" w:linePitch="312" w:charSpace="0"/>
        </w:sectPr>
      </w:pPr>
    </w:p>
    <w:tbl>
      <w:tblPr>
        <w:tblStyle w:val="12"/>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编制部门（单位）：石家庄市鹿泉区科学技术协会(本级)</w:t>
            </w:r>
          </w:p>
        </w:tc>
        <w:tc>
          <w:tcPr>
            <w:tcW w:w="1262" w:type="pct"/>
            <w:gridSpan w:val="2"/>
            <w:tcBorders>
              <w:top w:val="nil"/>
              <w:left w:val="nil"/>
              <w:bottom w:val="single" w:color="auto" w:sz="4" w:space="0"/>
              <w:right w:val="nil"/>
            </w:tcBorders>
            <w:noWrap/>
            <w:vAlign w:val="bottom"/>
          </w:tcPr>
          <w:p>
            <w:pPr>
              <w:jc w:val="center"/>
              <w:rPr>
                <w:rFonts w:ascii="宋体" w:hAnsi="宋体" w:eastAsia="宋体"/>
                <w:color w:val="000000"/>
                <w:sz w:val="20"/>
                <w:szCs w:val="20"/>
                <w:lang w:bidi="ar"/>
              </w:rPr>
            </w:pPr>
            <w:r>
              <w:rPr>
                <w:rFonts w:hint="eastAsia" w:ascii="Times New Roman" w:hAnsi="Times New Roman" w:eastAsia="宋体" w:cs="Times New Roman"/>
                <w:color w:val="000000"/>
                <w:sz w:val="20"/>
                <w:szCs w:val="20"/>
              </w:rPr>
              <w:t>2023</w:t>
            </w:r>
            <w:r>
              <w:rPr>
                <w:rFonts w:hint="eastAsia" w:ascii="方正仿宋_GB2312" w:hAnsi="方正仿宋_GB2312" w:eastAsia="方正仿宋_GB2312" w:cs="方正仿宋_GB2312"/>
                <w:color w:val="000000"/>
                <w:sz w:val="20"/>
                <w:szCs w:val="20"/>
                <w:lang w:bidi="ar"/>
              </w:rPr>
              <w:t>年度</w:t>
            </w:r>
          </w:p>
        </w:tc>
        <w:tc>
          <w:tcPr>
            <w:tcW w:w="1757" w:type="pct"/>
            <w:gridSpan w:val="3"/>
            <w:tcBorders>
              <w:top w:val="nil"/>
              <w:left w:val="nil"/>
              <w:bottom w:val="single" w:color="auto" w:sz="4" w:space="0"/>
              <w:right w:val="nil"/>
            </w:tcBorders>
            <w:noWrap/>
            <w:vAlign w:val="bottom"/>
          </w:tcPr>
          <w:p>
            <w:pPr>
              <w:jc w:val="right"/>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支出</w:t>
            </w:r>
          </w:p>
        </w:tc>
      </w:tr>
      <w:tr>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155.83</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四、上级补助收入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五、事业收入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六、经营收入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24.24</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七、附属单位上缴收入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八、其他收入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42.18</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10.97</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7"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826"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16.42</w:t>
            </w: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结余分配</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61</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r>
      <w:tr>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注：1.本表反映部门本年度的总收支和年末结转结余情况。2.本套报表金额转换时可能存在尾数误差。</w:t>
            </w:r>
          </w:p>
        </w:tc>
      </w:tr>
    </w:tbl>
    <w:p>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ascii="黑体" w:hAnsi="黑体" w:eastAsia="黑体"/>
          <w:bCs/>
          <w:sz w:val="32"/>
          <w:szCs w:val="32"/>
        </w:rPr>
      </w:pPr>
    </w:p>
    <w:tbl>
      <w:tblPr>
        <w:tblStyle w:val="12"/>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编制部门（单位）：石家庄市鹿泉区科学技术协会(本级)                                                                                                         </w:t>
            </w:r>
          </w:p>
        </w:tc>
        <w:tc>
          <w:tcPr>
            <w:tcW w:w="3405" w:type="dxa"/>
            <w:gridSpan w:val="4"/>
            <w:tcBorders>
              <w:top w:val="nil"/>
              <w:left w:val="nil"/>
              <w:bottom w:val="single" w:color="auto" w:sz="4" w:space="0"/>
              <w:right w:val="nil"/>
            </w:tcBorders>
            <w:noWrap/>
            <w:vAlign w:val="bottom"/>
          </w:tcPr>
          <w:p>
            <w:pPr>
              <w:jc w:val="center"/>
              <w:rPr>
                <w:rFonts w:ascii="方正仿宋_GB2312" w:hAnsi="方正仿宋_GB2312" w:eastAsia="方正仿宋_GB2312" w:cs="方正仿宋_GB2312"/>
                <w:color w:val="000000"/>
                <w:sz w:val="20"/>
                <w:szCs w:val="20"/>
                <w:lang w:bidi="ar"/>
              </w:rPr>
            </w:pPr>
            <w:r>
              <w:rPr>
                <w:rFonts w:ascii="Times New Roman" w:hAnsi="Times New Roman" w:eastAsia="方正仿宋_GB2312" w:cs="Times New Roman"/>
                <w:color w:val="000000"/>
                <w:sz w:val="20"/>
                <w:szCs w:val="20"/>
              </w:rPr>
              <w:t>2023</w:t>
            </w:r>
            <w:r>
              <w:rPr>
                <w:rFonts w:hint="eastAsia" w:ascii="方正仿宋_GB2312" w:hAnsi="方正仿宋_GB2312" w:eastAsia="方正仿宋_GB2312" w:cs="方正仿宋_GB2312"/>
                <w:color w:val="000000"/>
                <w:sz w:val="20"/>
                <w:szCs w:val="20"/>
                <w:lang w:bidi="ar"/>
              </w:rPr>
              <w:t>年度</w:t>
            </w:r>
          </w:p>
        </w:tc>
        <w:tc>
          <w:tcPr>
            <w:tcW w:w="2588" w:type="dxa"/>
            <w:gridSpan w:val="3"/>
            <w:tcBorders>
              <w:top w:val="nil"/>
              <w:left w:val="nil"/>
              <w:bottom w:val="single" w:color="auto" w:sz="4" w:space="0"/>
              <w:right w:val="nil"/>
            </w:tcBorders>
            <w:noWrap/>
            <w:vAlign w:val="bottom"/>
          </w:tcPr>
          <w:p>
            <w:pPr>
              <w:jc w:val="right"/>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上级补助收入</w:t>
            </w:r>
          </w:p>
        </w:tc>
        <w:tc>
          <w:tcPr>
            <w:tcW w:w="964" w:type="dxa"/>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其他收入</w:t>
            </w:r>
          </w:p>
        </w:tc>
      </w:tr>
      <w:tr>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c>
          <w:tcPr>
            <w:tcW w:w="102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6</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7</w:t>
            </w:r>
          </w:p>
        </w:tc>
      </w:tr>
      <w:tr>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249.65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249.65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155.83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155.83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党委办公厅（室）及相关机构事务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155.83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155.83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2013101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155.83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155.83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科学技术支出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24.24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24.24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20607</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科学技术普及</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21.24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21.24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2060702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科普活动</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2060705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科技馆站</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2060799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其他科学技术普及支出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10.75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10.75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20608</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科技交流与合作</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2060899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其他科技交流与合作支出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20699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其他科学技术支出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2069901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科技奖励</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26.46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26.46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15.72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15.72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10.97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10.97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10.97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10.97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10.97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10.97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16.42</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注：本表反映部门本年度取得的各项收入情况。</w:t>
            </w:r>
          </w:p>
        </w:tc>
      </w:tr>
    </w:tbl>
    <w:p>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ascii="黑体" w:hAnsi="黑体" w:eastAsia="黑体"/>
          <w:bCs/>
          <w:sz w:val="32"/>
          <w:szCs w:val="32"/>
        </w:rPr>
      </w:pPr>
      <w:r>
        <w:rPr>
          <w:rFonts w:hint="eastAsia" w:ascii="仿宋_GB2312" w:hAnsi="宋体" w:eastAsia="仿宋_GB2312"/>
          <w:b/>
          <w:sz w:val="32"/>
          <w:szCs w:val="32"/>
        </w:rPr>
        <w:br w:type="page"/>
      </w:r>
    </w:p>
    <w:p>
      <w:pPr>
        <w:widowControl/>
        <w:jc w:val="center"/>
        <w:textAlignment w:val="bottom"/>
        <w:rPr>
          <w:rFonts w:ascii="宋体" w:hAnsi="宋体" w:eastAsia="宋体"/>
          <w:spacing w:val="-2"/>
          <w:sz w:val="20"/>
        </w:rPr>
      </w:pPr>
    </w:p>
    <w:tbl>
      <w:tblPr>
        <w:tblStyle w:val="12"/>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03</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编制部门（单位）：石家庄市鹿泉区科学技术协会(本级) </w:t>
            </w:r>
            <w:r>
              <w:rPr>
                <w:rFonts w:hint="eastAsia" w:asciiTheme="minorEastAsia" w:hAnsiTheme="minorEastAsia" w:cstheme="minorEastAsia"/>
                <w:color w:val="000000"/>
                <w:sz w:val="20"/>
                <w:szCs w:val="20"/>
                <w:lang w:bidi="ar"/>
              </w:rPr>
              <w:t xml:space="preserve">                                                                                                         </w:t>
            </w:r>
          </w:p>
        </w:tc>
        <w:tc>
          <w:tcPr>
            <w:tcW w:w="1403" w:type="pct"/>
            <w:gridSpan w:val="3"/>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2023</w:t>
            </w:r>
            <w:r>
              <w:rPr>
                <w:rFonts w:hint="eastAsia" w:ascii="方正仿宋_GB2312" w:hAnsi="方正仿宋_GB2312" w:eastAsia="方正仿宋_GB2312" w:cs="方正仿宋_GB2312"/>
                <w:color w:val="000000"/>
                <w:sz w:val="20"/>
                <w:szCs w:val="20"/>
                <w:lang w:bidi="ar"/>
              </w:rPr>
              <w:t>年度</w:t>
            </w:r>
          </w:p>
        </w:tc>
        <w:tc>
          <w:tcPr>
            <w:tcW w:w="1734" w:type="pct"/>
            <w:gridSpan w:val="3"/>
            <w:tcBorders>
              <w:top w:val="nil"/>
              <w:left w:val="nil"/>
              <w:bottom w:val="single" w:color="auto" w:sz="4" w:space="0"/>
              <w:right w:val="nil"/>
            </w:tcBorders>
            <w:noWrap/>
            <w:vAlign w:val="bottom"/>
          </w:tcPr>
          <w:p>
            <w:pPr>
              <w:widowControl/>
              <w:jc w:val="right"/>
              <w:textAlignment w:val="bottom"/>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 xml:space="preserve"> 金额单位：万元</w:t>
            </w:r>
          </w:p>
        </w:tc>
      </w:tr>
      <w:tr>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03"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602"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经营支出</w:t>
            </w:r>
          </w:p>
        </w:tc>
        <w:tc>
          <w:tcPr>
            <w:tcW w:w="795"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对附属单位补助支出</w:t>
            </w:r>
          </w:p>
        </w:tc>
      </w:tr>
      <w:tr>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03"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2"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2"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2"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2"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795"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r>
      <w:tr>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225.41</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24.24</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党委办公厅（室）及相关机构事务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科学技术支出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24.24</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24.24</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20607</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科学技术普及</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21.24</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21.24</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2060702</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科普活动</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2060705</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科技馆站</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2060799</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其他科学技术普及支出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10.75</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10.75</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20608</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科技交流与合作</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2060899</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其他科技交流与合作支出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科技奖励</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42.18</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42.18</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42.18</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42.18</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26.46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26.46</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15.72</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15.72</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注：本表反映部门本年度各项支出情况。</w:t>
            </w:r>
          </w:p>
        </w:tc>
      </w:tr>
    </w:tbl>
    <w:p>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公开04表</w:t>
            </w:r>
          </w:p>
        </w:tc>
      </w:tr>
      <w:tr>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lang w:bidi="ar"/>
              </w:rPr>
              <w:t xml:space="preserve">编制部门（单位）：石家庄市鹿泉区科学技术协会(本级) </w:t>
            </w:r>
            <w:r>
              <w:rPr>
                <w:rFonts w:hint="eastAsia" w:asciiTheme="minorEastAsia" w:hAnsiTheme="minorEastAsia" w:cstheme="minorEastAsia"/>
                <w:color w:val="000000"/>
                <w:sz w:val="20"/>
                <w:szCs w:val="20"/>
                <w:lang w:bidi="ar"/>
              </w:rPr>
              <w:t xml:space="preserve">                                                                                                   </w:t>
            </w:r>
          </w:p>
        </w:tc>
        <w:tc>
          <w:tcPr>
            <w:tcW w:w="649" w:type="pct"/>
            <w:gridSpan w:val="3"/>
            <w:tcBorders>
              <w:top w:val="nil"/>
              <w:left w:val="nil"/>
              <w:bottom w:val="single" w:color="auto" w:sz="4" w:space="0"/>
              <w:right w:val="nil"/>
            </w:tcBorders>
            <w:noWrap/>
            <w:vAlign w:val="bottom"/>
          </w:tcPr>
          <w:p>
            <w:pPr>
              <w:jc w:val="center"/>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2023</w:t>
            </w:r>
            <w:r>
              <w:rPr>
                <w:rFonts w:hint="eastAsia" w:ascii="方正仿宋_GB2312" w:hAnsi="方正仿宋_GB2312" w:eastAsia="方正仿宋_GB2312" w:cs="方正仿宋_GB2312"/>
                <w:color w:val="000000"/>
                <w:sz w:val="20"/>
                <w:szCs w:val="20"/>
                <w:lang w:bidi="ar"/>
              </w:rPr>
              <w:t>年度</w:t>
            </w:r>
          </w:p>
        </w:tc>
        <w:tc>
          <w:tcPr>
            <w:tcW w:w="1919" w:type="pct"/>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    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609"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552" w:type="pct"/>
            <w:gridSpan w:val="2"/>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4</w:t>
            </w:r>
          </w:p>
        </w:tc>
        <w:tc>
          <w:tcPr>
            <w:tcW w:w="520" w:type="pct"/>
            <w:tcBorders>
              <w:top w:val="nil"/>
              <w:left w:val="nil"/>
              <w:bottom w:val="single" w:color="000000" w:sz="4" w:space="0"/>
              <w:right w:val="single" w:color="000000" w:sz="8"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155.83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155.83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24.24</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24.24</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42.18</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42.18</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10.97</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10.97</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609"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16.42</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16.42</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30</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609"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c>
          <w:tcPr>
            <w:tcW w:w="895" w:type="pct"/>
            <w:gridSpan w:val="2"/>
            <w:tcBorders>
              <w:top w:val="nil"/>
              <w:left w:val="nil"/>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cs="Times New Roman"/>
                <w:sz w:val="20"/>
                <w:szCs w:val="20"/>
              </w:rPr>
            </w:pPr>
          </w:p>
          <w:p>
            <w:pPr>
              <w:jc w:val="right"/>
              <w:rPr>
                <w:rFonts w:ascii="Times New Roman" w:hAnsi="Times New Roman" w:cs="Times New Roman"/>
                <w:sz w:val="20"/>
                <w:szCs w:val="20"/>
              </w:rPr>
            </w:pPr>
            <w:r>
              <w:rPr>
                <w:rFonts w:ascii="Times New Roman" w:hAnsi="Times New Roman" w:cs="Times New Roman"/>
                <w:sz w:val="20"/>
                <w:szCs w:val="20"/>
              </w:rPr>
              <w:t>249.65</w:t>
            </w:r>
          </w:p>
          <w:p>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注：本表反映部门本年度一般公共预算财政拨款、政府性基金预算财政拨款和国有资本经营预算财政拨款的总收支和年末结转结余情况。</w:t>
            </w:r>
          </w:p>
        </w:tc>
      </w:tr>
    </w:tbl>
    <w:p>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ascii="仿宋_GB2312" w:hAnsi="宋体" w:eastAsia="仿宋_GB2312"/>
          <w:b/>
          <w:sz w:val="32"/>
          <w:szCs w:val="32"/>
        </w:rPr>
      </w:pPr>
      <w:r>
        <w:rPr>
          <w:rFonts w:hint="eastAsia" w:ascii="仿宋_GB2312" w:hAnsi="宋体" w:eastAsia="仿宋_GB2312"/>
          <w:b/>
          <w:sz w:val="32"/>
          <w:szCs w:val="32"/>
        </w:rPr>
        <w:br w:type="page"/>
      </w:r>
    </w:p>
    <w:p>
      <w:pPr>
        <w:jc w:val="center"/>
        <w:rPr>
          <w:rFonts w:ascii="宋体" w:hAnsi="宋体" w:eastAsia="宋体"/>
          <w:spacing w:val="-2"/>
          <w:sz w:val="20"/>
        </w:rPr>
      </w:pPr>
    </w:p>
    <w:tbl>
      <w:tblPr>
        <w:tblStyle w:val="12"/>
        <w:tblW w:w="5455" w:type="pct"/>
        <w:tblInd w:w="-657" w:type="dxa"/>
        <w:tblLayout w:type="autofit"/>
        <w:tblCellMar>
          <w:top w:w="0" w:type="dxa"/>
          <w:left w:w="108" w:type="dxa"/>
          <w:bottom w:w="0" w:type="dxa"/>
          <w:right w:w="108" w:type="dxa"/>
        </w:tblCellMar>
      </w:tblPr>
      <w:tblGrid>
        <w:gridCol w:w="1962"/>
        <w:gridCol w:w="3416"/>
        <w:gridCol w:w="1149"/>
        <w:gridCol w:w="762"/>
        <w:gridCol w:w="794"/>
        <w:gridCol w:w="383"/>
        <w:gridCol w:w="1233"/>
      </w:tblGrid>
      <w:tr>
        <w:trPr>
          <w:trHeight w:val="550" w:hRule="atLeast"/>
        </w:trPr>
        <w:tc>
          <w:tcPr>
            <w:tcW w:w="5000" w:type="pct"/>
            <w:gridSpan w:val="7"/>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tblPrEx>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05</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编制部门（单位）：石家庄市鹿泉区科学技术协会(本级)</w:t>
            </w:r>
          </w:p>
        </w:tc>
        <w:tc>
          <w:tcPr>
            <w:tcW w:w="1551" w:type="pct"/>
            <w:gridSpan w:val="2"/>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2023</w:t>
            </w:r>
            <w:r>
              <w:rPr>
                <w:rFonts w:hint="eastAsia" w:ascii="方正仿宋_GB2312" w:hAnsi="方正仿宋_GB2312" w:eastAsia="方正仿宋_GB2312" w:cs="方正仿宋_GB2312"/>
                <w:color w:val="000000"/>
                <w:sz w:val="20"/>
                <w:szCs w:val="20"/>
                <w:lang w:bidi="ar"/>
              </w:rPr>
              <w:t>年度</w:t>
            </w:r>
          </w:p>
        </w:tc>
        <w:tc>
          <w:tcPr>
            <w:tcW w:w="1591" w:type="pct"/>
            <w:gridSpan w:val="2"/>
            <w:tcBorders>
              <w:top w:val="nil"/>
              <w:left w:val="nil"/>
              <w:bottom w:val="single" w:color="auto" w:sz="4" w:space="0"/>
              <w:right w:val="nil"/>
            </w:tcBorders>
            <w:noWrap/>
            <w:vAlign w:val="bottom"/>
          </w:tcPr>
          <w:p>
            <w:pPr>
              <w:widowControl/>
              <w:jc w:val="right"/>
              <w:textAlignment w:val="bottom"/>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3552" w:type="pct"/>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r>
      <w:tr>
        <w:tblPrEx>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r>
      <w:tr>
        <w:tblPrEx>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74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13"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74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13"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249.65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225.41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24.24</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党委办公厅（室）及相关机构事务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155.83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科学技术支出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24.24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24.24</w:t>
            </w:r>
          </w:p>
        </w:tc>
      </w:tr>
      <w:tr>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20607</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科学技术普及</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21.24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21.24</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2060702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科普活动</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9.00</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2060705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科技馆站</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2060799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其他科学技术普及支出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10.75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10.75</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科技交流与合作</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w:t>
            </w:r>
          </w:p>
        </w:tc>
      </w:tr>
      <w:tr>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2060899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其他科技交流与合作支出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科技奖励</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42.18</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42.18</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26.46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26.46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15.72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15.72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注：本表反映部门本年度一般公共预算财政拨款支出情况。</w:t>
            </w:r>
          </w:p>
        </w:tc>
      </w:tr>
    </w:tbl>
    <w:p>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一般公共预算财政拨款基本支出决算表</w:t>
            </w:r>
          </w:p>
        </w:tc>
      </w:tr>
      <w:tr>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编制部门（单位）：石家庄市鹿泉区科学技术协会(本级) </w:t>
            </w:r>
            <w:r>
              <w:rPr>
                <w:rFonts w:hint="eastAsia" w:asciiTheme="minorEastAsia" w:hAnsiTheme="minorEastAsia" w:cstheme="minorEastAsia"/>
                <w:color w:val="000000"/>
                <w:sz w:val="18"/>
                <w:szCs w:val="18"/>
                <w:lang w:bidi="ar"/>
              </w:rPr>
              <w:t xml:space="preserve">                                                                   </w:t>
            </w:r>
          </w:p>
        </w:tc>
        <w:tc>
          <w:tcPr>
            <w:tcW w:w="865" w:type="pct"/>
            <w:gridSpan w:val="2"/>
            <w:tcBorders>
              <w:top w:val="nil"/>
              <w:left w:val="nil"/>
              <w:bottom w:val="single" w:color="auto" w:sz="4" w:space="0"/>
              <w:right w:val="nil"/>
            </w:tcBorders>
            <w:noWrap/>
            <w:vAlign w:val="bottom"/>
          </w:tcPr>
          <w:p>
            <w:pPr>
              <w:jc w:val="center"/>
              <w:rPr>
                <w:rFonts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841" w:type="pct"/>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168.34</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31.45</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51.53</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4.69</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33.77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39.82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0.50</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15.72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5.52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6.05</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4.68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0.35</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16.42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25.62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25.62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9.34</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0.89</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1.09</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2.11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6.09</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1.23</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193.96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ascii="Times New Roman" w:hAnsi="Times New Roman" w:cs="Times New Roman"/>
                <w:sz w:val="18"/>
                <w:szCs w:val="18"/>
              </w:rPr>
              <w:t>31.45</w:t>
            </w:r>
          </w:p>
        </w:tc>
      </w:tr>
      <w:tr>
        <w:trPr>
          <w:trHeight w:val="510" w:hRule="atLeast"/>
        </w:trPr>
        <w:tc>
          <w:tcPr>
            <w:tcW w:w="5000" w:type="pct"/>
            <w:gridSpan w:val="11"/>
            <w:tcBorders>
              <w:top w:val="single" w:color="auto" w:sz="4" w:space="0"/>
              <w:left w:val="nil"/>
              <w:bottom w:val="nil"/>
              <w:right w:val="nil"/>
            </w:tcBorders>
            <w:noWrap/>
            <w:vAlign w:val="center"/>
          </w:tcPr>
          <w:p>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注：本表反映部门本年度一般公共预算财政拨款基本支出明细情况。</w:t>
            </w:r>
          </w:p>
        </w:tc>
      </w:tr>
    </w:tbl>
    <w:p>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ascii="仿宋_GB2312" w:hAnsi="宋体" w:eastAsia="仿宋_GB2312"/>
          <w:b/>
          <w:sz w:val="32"/>
          <w:szCs w:val="32"/>
        </w:rPr>
      </w:pPr>
      <w:r>
        <w:rPr>
          <w:rFonts w:hint="eastAsia" w:ascii="仿宋_GB2312" w:hAnsi="宋体" w:eastAsia="仿宋_GB2312"/>
          <w:b/>
          <w:sz w:val="32"/>
          <w:szCs w:val="32"/>
        </w:rPr>
        <w:br w:type="page"/>
      </w:r>
    </w:p>
    <w:p>
      <w:pPr>
        <w:jc w:val="center"/>
        <w:rPr>
          <w:rFonts w:ascii="仿宋_GB2312" w:hAnsi="宋体" w:eastAsia="仿宋_GB2312"/>
          <w:b/>
          <w:sz w:val="32"/>
          <w:szCs w:val="32"/>
        </w:rPr>
      </w:pPr>
    </w:p>
    <w:tbl>
      <w:tblPr>
        <w:tblStyle w:val="12"/>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07</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编制部门（单位）：石家庄市鹿泉区科学技术协会(本级) </w:t>
            </w:r>
            <w:r>
              <w:rPr>
                <w:rFonts w:hint="eastAsia" w:ascii="宋体" w:hAnsi="宋体" w:eastAsia="宋体"/>
                <w:color w:val="000000"/>
                <w:sz w:val="20"/>
                <w:szCs w:val="20"/>
                <w:lang w:bidi="ar"/>
              </w:rPr>
              <w:t xml:space="preserve">                                                                                     </w:t>
            </w:r>
          </w:p>
        </w:tc>
        <w:tc>
          <w:tcPr>
            <w:tcW w:w="1217"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2023</w:t>
            </w:r>
            <w:r>
              <w:rPr>
                <w:rFonts w:hint="eastAsia" w:ascii="方正仿宋_GB2312" w:hAnsi="方正仿宋_GB2312" w:eastAsia="方正仿宋_GB2312" w:cs="方正仿宋_GB2312"/>
                <w:color w:val="000000"/>
                <w:sz w:val="20"/>
                <w:szCs w:val="20"/>
                <w:lang w:bidi="ar"/>
              </w:rPr>
              <w:t>年度</w:t>
            </w:r>
          </w:p>
        </w:tc>
        <w:tc>
          <w:tcPr>
            <w:tcW w:w="1854" w:type="pct"/>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w:t>
            </w:r>
          </w:p>
        </w:tc>
        <w:tc>
          <w:tcPr>
            <w:tcW w:w="1609" w:type="pct"/>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c>
          <w:tcPr>
            <w:tcW w:w="973" w:type="pct"/>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r>
      <w:tr>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54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973" w:type="pct"/>
            <w:vMerge w:val="continue"/>
            <w:tcBorders>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结转</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w:t>
            </w:r>
          </w:p>
        </w:tc>
      </w:tr>
      <w:tr>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1</w:t>
            </w:r>
          </w:p>
        </w:tc>
        <w:tc>
          <w:tcPr>
            <w:tcW w:w="489"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2</w:t>
            </w:r>
          </w:p>
        </w:tc>
        <w:tc>
          <w:tcPr>
            <w:tcW w:w="5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3</w:t>
            </w:r>
          </w:p>
        </w:tc>
        <w:tc>
          <w:tcPr>
            <w:tcW w:w="534"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4</w:t>
            </w:r>
          </w:p>
        </w:tc>
        <w:tc>
          <w:tcPr>
            <w:tcW w:w="54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5</w:t>
            </w:r>
          </w:p>
        </w:tc>
        <w:tc>
          <w:tcPr>
            <w:tcW w:w="973"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注：本表反映部门本年度政府性基金预算财政拨款收入、支出及结转和结余情况。本</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本年度无相关收入（或支出、收支及结转结余等）情况，按要求空表列示</w:t>
            </w:r>
            <w:r>
              <w:rPr>
                <w:rFonts w:hint="eastAsia" w:ascii="方正仿宋_GB2312" w:hAnsi="方正仿宋_GB2312" w:eastAsia="方正仿宋_GB2312" w:cs="方正仿宋_GB2312"/>
                <w:color w:val="000000"/>
                <w:sz w:val="20"/>
                <w:szCs w:val="20"/>
                <w:lang w:eastAsia="zh-CN" w:bidi="ar"/>
              </w:rPr>
              <w:t>。</w:t>
            </w:r>
            <w:r>
              <w:rPr>
                <w:rFonts w:hint="eastAsia" w:ascii="方正仿宋_GB2312" w:hAnsi="方正仿宋_GB2312" w:eastAsia="方正仿宋_GB2312" w:cs="方正仿宋_GB2312"/>
                <w:color w:val="000000"/>
                <w:sz w:val="20"/>
                <w:szCs w:val="20"/>
                <w:lang w:bidi="ar"/>
              </w:rPr>
              <w:br w:type="page"/>
            </w:r>
          </w:p>
        </w:tc>
      </w:tr>
    </w:tbl>
    <w:p>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ascii="宋体" w:hAnsi="宋体" w:eastAsia="宋体"/>
          <w:spacing w:val="-2"/>
          <w:sz w:val="20"/>
        </w:rPr>
      </w:pPr>
    </w:p>
    <w:tbl>
      <w:tblPr>
        <w:tblStyle w:val="12"/>
        <w:tblW w:w="5000" w:type="pct"/>
        <w:tblInd w:w="0" w:type="dxa"/>
        <w:tblLayout w:type="fixed"/>
        <w:tblCellMar>
          <w:top w:w="0" w:type="dxa"/>
          <w:left w:w="108" w:type="dxa"/>
          <w:bottom w:w="0" w:type="dxa"/>
          <w:right w:w="108" w:type="dxa"/>
        </w:tblCellMar>
      </w:tblPr>
      <w:tblGrid>
        <w:gridCol w:w="2017"/>
        <w:gridCol w:w="730"/>
        <w:gridCol w:w="1298"/>
        <w:gridCol w:w="1336"/>
        <w:gridCol w:w="45"/>
        <w:gridCol w:w="1286"/>
        <w:gridCol w:w="5"/>
        <w:gridCol w:w="1323"/>
      </w:tblGrid>
      <w:tr>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08</w:t>
            </w:r>
            <w:r>
              <w:rPr>
                <w:rFonts w:hint="eastAsia" w:ascii="方正仿宋_GB2312" w:hAnsi="方正仿宋_GB2312" w:eastAsia="方正仿宋_GB2312" w:cs="方正仿宋_GB2312"/>
                <w:color w:val="000000"/>
                <w:sz w:val="20"/>
                <w:szCs w:val="20"/>
                <w:lang w:bidi="ar"/>
              </w:rPr>
              <w:t>表</w:t>
            </w:r>
          </w:p>
        </w:tc>
      </w:tr>
      <w:tr>
        <w:trPr>
          <w:trHeight w:val="300" w:hRule="atLeast"/>
        </w:trPr>
        <w:tc>
          <w:tcPr>
            <w:tcW w:w="1708" w:type="pct"/>
            <w:gridSpan w:val="2"/>
            <w:tcBorders>
              <w:top w:val="nil"/>
              <w:left w:val="nil"/>
              <w:bottom w:val="single" w:color="auto" w:sz="4" w:space="0"/>
              <w:right w:val="nil"/>
            </w:tcBorders>
            <w:noWrap/>
            <w:vAlign w:val="bottom"/>
          </w:tcPr>
          <w:p>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编制部门（单位）：石家庄市鹿泉区科学技术协会(本级)</w:t>
            </w:r>
          </w:p>
        </w:tc>
        <w:tc>
          <w:tcPr>
            <w:tcW w:w="1666"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2023</w:t>
            </w:r>
            <w:r>
              <w:rPr>
                <w:rFonts w:hint="eastAsia" w:ascii="方正仿宋_GB2312" w:hAnsi="方正仿宋_GB2312" w:eastAsia="方正仿宋_GB2312" w:cs="方正仿宋_GB2312"/>
                <w:color w:val="000000"/>
                <w:sz w:val="20"/>
                <w:szCs w:val="20"/>
                <w:lang w:bidi="ar"/>
              </w:rPr>
              <w:t>年度</w:t>
            </w:r>
          </w:p>
        </w:tc>
        <w:tc>
          <w:tcPr>
            <w:tcW w:w="1624" w:type="pct"/>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 项目</w:t>
            </w:r>
          </w:p>
        </w:tc>
        <w:tc>
          <w:tcPr>
            <w:tcW w:w="2484" w:type="pct"/>
            <w:gridSpan w:val="5"/>
            <w:vMerge w:val="restart"/>
            <w:tcBorders>
              <w:top w:val="single" w:color="auto" w:sz="4" w:space="0"/>
              <w:left w:val="single" w:color="auto"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tblPrEx>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2484" w:type="pct"/>
            <w:gridSpan w:val="5"/>
            <w:vMerge w:val="continue"/>
            <w:tcBorders>
              <w:left w:val="single" w:color="auto"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831" w:type="pct"/>
            <w:vMerge w:val="restart"/>
            <w:tcBorders>
              <w:top w:val="nil"/>
              <w:left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831" w:type="pct"/>
            <w:gridSpan w:val="3"/>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821" w:type="pct"/>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tblPrEx>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260" w:type="pct"/>
            <w:gridSpan w:val="2"/>
            <w:vMerge w:val="continue"/>
            <w:tcBorders>
              <w:top w:val="single" w:color="auto" w:sz="4" w:space="0"/>
              <w:left w:val="nil"/>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p>
        </w:tc>
        <w:tc>
          <w:tcPr>
            <w:tcW w:w="831" w:type="pct"/>
            <w:vMerge w:val="continue"/>
            <w:tcBorders>
              <w:left w:val="single" w:color="auto"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31" w:type="pct"/>
            <w:gridSpan w:val="3"/>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21" w:type="pct"/>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828"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82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82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tblPrEx>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pPr>
              <w:rPr>
                <w:rFonts w:hint="eastAsia"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注：本表反映部门本年度国有资本经营预算财政拨款支出情况。本</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本年度无相关收入（或支出、收支及结转结余等）情况，按要求空表列示</w:t>
            </w:r>
            <w:r>
              <w:rPr>
                <w:rFonts w:hint="eastAsia" w:ascii="方正仿宋_GB2312" w:hAnsi="方正仿宋_GB2312" w:eastAsia="方正仿宋_GB2312" w:cs="方正仿宋_GB2312"/>
                <w:color w:val="000000"/>
                <w:sz w:val="20"/>
                <w:szCs w:val="20"/>
                <w:lang w:eastAsia="zh-CN" w:bidi="ar"/>
              </w:rPr>
              <w:t>。</w:t>
            </w:r>
            <w:r>
              <w:rPr>
                <w:rFonts w:hint="eastAsia" w:ascii="方正仿宋_GB2312" w:hAnsi="方正仿宋_GB2312" w:eastAsia="方正仿宋_GB2312" w:cs="方正仿宋_GB2312"/>
                <w:color w:val="000000"/>
                <w:sz w:val="20"/>
                <w:szCs w:val="20"/>
                <w:lang w:bidi="ar"/>
              </w:rPr>
              <w:br w:type="page"/>
            </w:r>
          </w:p>
          <w:p>
            <w:pPr>
              <w:widowControl/>
              <w:jc w:val="left"/>
              <w:textAlignment w:val="center"/>
              <w:rPr>
                <w:rFonts w:ascii="宋体" w:hAnsi="宋体" w:eastAsia="宋体"/>
                <w:color w:val="000000"/>
                <w:sz w:val="20"/>
                <w:szCs w:val="20"/>
              </w:rPr>
            </w:pPr>
          </w:p>
        </w:tc>
      </w:tr>
    </w:tbl>
    <w:p>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编制部门（单位）：石家庄市鹿泉区科学技术协会(本级)</w:t>
            </w:r>
          </w:p>
        </w:tc>
        <w:tc>
          <w:tcPr>
            <w:tcW w:w="933"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2129" w:type="pct"/>
            <w:gridSpan w:val="5"/>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2493" w:type="pct"/>
            <w:gridSpan w:val="6"/>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528"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17" w:type="pct"/>
            <w:gridSpan w:val="4"/>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366"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88"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126" w:type="pct"/>
            <w:gridSpan w:val="3"/>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5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42"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5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350"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45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33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3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48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44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51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2.70</w:t>
            </w:r>
          </w:p>
        </w:tc>
        <w:tc>
          <w:tcPr>
            <w:tcW w:w="528"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2.70</w:t>
            </w:r>
          </w:p>
        </w:tc>
        <w:tc>
          <w:tcPr>
            <w:tcW w:w="40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2.70</w:t>
            </w:r>
          </w:p>
        </w:tc>
        <w:tc>
          <w:tcPr>
            <w:tcW w:w="335"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2.11</w:t>
            </w:r>
          </w:p>
        </w:tc>
        <w:tc>
          <w:tcPr>
            <w:tcW w:w="488"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2.11</w:t>
            </w:r>
          </w:p>
        </w:tc>
        <w:tc>
          <w:tcPr>
            <w:tcW w:w="442"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2.11</w:t>
            </w:r>
          </w:p>
        </w:tc>
        <w:tc>
          <w:tcPr>
            <w:tcW w:w="511"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r>
      <w:tr>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ascii="仿宋_GB2312" w:hAnsi="宋体" w:eastAsia="仿宋_GB2312"/>
          <w:b/>
          <w:sz w:val="32"/>
          <w:szCs w:val="32"/>
        </w:rPr>
      </w:pPr>
      <w:r>
        <w:rPr>
          <w:rFonts w:hint="eastAsia" w:ascii="仿宋_GB2312" w:hAnsi="宋体" w:eastAsia="仿宋_GB2312"/>
          <w:b/>
          <w:sz w:val="32"/>
          <w:szCs w:val="32"/>
        </w:rPr>
        <w:br w:type="page"/>
      </w:r>
    </w:p>
    <w:p>
      <w:pPr>
        <w:rPr>
          <w:rFonts w:ascii="仿宋_GB2312" w:hAnsi="宋体" w:eastAsia="仿宋_GB2312"/>
          <w:b/>
          <w:sz w:val="32"/>
          <w:szCs w:val="32"/>
        </w:rPr>
        <w:sectPr>
          <w:pgSz w:w="11906" w:h="16838"/>
          <w:pgMar w:top="1531" w:right="1984" w:bottom="1531" w:left="2098" w:header="851" w:footer="992" w:gutter="0"/>
          <w:cols w:space="720" w:num="1"/>
          <w:docGrid w:type="lines" w:linePitch="312" w:charSpace="0"/>
        </w:sectPr>
      </w:pPr>
    </w:p>
    <w:p>
      <w:pPr>
        <w:pStyle w:val="11"/>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spacing w:val="-20"/>
        </w:rPr>
      </w:pPr>
      <w:r>
        <w:rPr>
          <w:rFonts w:hint="eastAsia" w:ascii="黑体" w:hAnsi="宋体" w:eastAsia="黑体" w:cs="黑体"/>
          <w:color w:val="000000"/>
          <w:spacing w:val="-20"/>
          <w:sz w:val="72"/>
          <w:szCs w:val="72"/>
          <w:shd w:val="clear" w:color="auto" w:fill="FFFFFF"/>
        </w:rPr>
        <w:t>2023年度部门决算情况说明</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pPr>
        <w:pStyle w:val="11"/>
        <w:widowControl/>
        <w:spacing w:beforeAutospacing="0" w:afterAutospacing="0"/>
        <w:jc w:val="center"/>
        <w:rPr>
          <w:rFonts w:ascii="Arial" w:hAnsi="Arial" w:eastAsia="Arial" w:cs="Arial"/>
          <w:color w:val="000000"/>
          <w:sz w:val="18"/>
          <w:szCs w:val="18"/>
          <w:shd w:val="clear" w:color="auto" w:fill="FFFFFF"/>
        </w:rPr>
      </w:pP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本单位</w:t>
      </w:r>
      <w:r>
        <w:rPr>
          <w:rFonts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rPr>
        <w:t>支</w:t>
      </w:r>
      <w:r>
        <w:rPr>
          <w:rFonts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ascii="Times New Roman" w:hAnsi="Times New Roman" w:eastAsia="仿宋_GB2312" w:cs="Times New Roman"/>
          <w:kern w:val="2"/>
          <w:sz w:val="32"/>
          <w:szCs w:val="32"/>
          <w:lang w:val="zh-CN"/>
        </w:rPr>
        <w:t>249.65</w:t>
      </w:r>
      <w:r>
        <w:rPr>
          <w:rFonts w:ascii="Times New Roman" w:hAnsi="Times New Roman" w:eastAsia="仿宋_GB2312" w:cs="Times New Roman"/>
          <w:kern w:val="2"/>
          <w:sz w:val="32"/>
          <w:szCs w:val="32"/>
        </w:rPr>
        <w:t>万元，与2022年度决算相比</w:t>
      </w:r>
      <w:r>
        <w:rPr>
          <w:rFonts w:hint="eastAsia" w:ascii="Times New Roman" w:hAnsi="Times New Roman" w:eastAsia="仿宋_GB2312" w:cs="Times New Roman"/>
          <w:kern w:val="2"/>
          <w:sz w:val="32"/>
          <w:szCs w:val="32"/>
        </w:rPr>
        <w:t>，</w:t>
      </w:r>
      <w:r>
        <w:rPr>
          <w:rFonts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lang w:val="zh-CN"/>
        </w:rPr>
        <w:t>减少62.25万元</w:t>
      </w:r>
      <w:r>
        <w:rPr>
          <w:rFonts w:hint="eastAsia" w:ascii="Times New Roman" w:hAnsi="Times New Roman" w:eastAsia="仿宋_GB2312" w:cs="Times New Roman"/>
          <w:sz w:val="30"/>
          <w:szCs w:val="30"/>
        </w:rPr>
        <w:t>,</w:t>
      </w:r>
      <w:r>
        <w:rPr>
          <w:rFonts w:hint="eastAsia" w:ascii="Times New Roman" w:hAnsi="Times New Roman" w:eastAsia="仿宋_GB2312" w:cs="Times New Roman"/>
          <w:sz w:val="30"/>
          <w:szCs w:val="30"/>
          <w:lang w:val="zh-CN"/>
        </w:rPr>
        <w:t>下降19.96%，</w:t>
      </w:r>
      <w:r>
        <w:rPr>
          <w:rFonts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val="en-US" w:eastAsia="zh-CN"/>
        </w:rPr>
        <w:t>人员减少以及上级资金减少</w:t>
      </w:r>
      <w:r>
        <w:rPr>
          <w:rFonts w:ascii="Times New Roman" w:hAnsi="Times New Roman" w:eastAsia="仿宋_GB2312" w:cs="Times New Roman"/>
          <w:kern w:val="2"/>
          <w:sz w:val="32"/>
          <w:szCs w:val="32"/>
        </w:rPr>
        <w:t>。</w:t>
      </w:r>
    </w:p>
    <w:p>
      <w:pPr>
        <w:pStyle w:val="11"/>
        <w:widowControl/>
        <w:spacing w:beforeAutospacing="0" w:afterAutospacing="0"/>
        <w:rPr>
          <w:rFonts w:ascii="Times New Roman" w:hAnsi="Times New Roman" w:eastAsia="仿宋_GB2312"/>
          <w:kern w:val="2"/>
          <w:sz w:val="32"/>
          <w:szCs w:val="32"/>
          <w:highlight w:val="yellow"/>
        </w:rPr>
      </w:pPr>
    </w:p>
    <w:p>
      <w:pPr>
        <w:pStyle w:val="11"/>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ascii="Times New Roman" w:hAnsi="Times New Roman" w:eastAsia="Arial"/>
          <w:color w:val="000000"/>
          <w:sz w:val="18"/>
          <w:szCs w:val="18"/>
          <w:shd w:val="clear" w:color="auto" w:fill="FFFFFF"/>
        </w:rPr>
        <w:t> </w:t>
      </w:r>
    </w:p>
    <w:p>
      <w:pPr>
        <w:pStyle w:val="11"/>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lang w:val="zh-CN"/>
        </w:rPr>
        <w:t>本单位2023年度本年收入合计</w:t>
      </w:r>
      <w:r>
        <w:rPr>
          <w:rFonts w:ascii="Times New Roman" w:hAnsi="Times New Roman" w:eastAsia="仿宋_GB2312" w:cs="Times New Roman"/>
          <w:sz w:val="30"/>
          <w:szCs w:val="30"/>
        </w:rPr>
        <w:t>249.65</w:t>
      </w:r>
      <w:r>
        <w:rPr>
          <w:rFonts w:ascii="Times New Roman" w:hAnsi="Times New Roman" w:eastAsia="仿宋_GB2312" w:cs="Times New Roman"/>
          <w:kern w:val="2"/>
          <w:sz w:val="32"/>
          <w:szCs w:val="32"/>
          <w:lang w:val="zh-CN"/>
        </w:rPr>
        <w:t>万元，其中：财政拨款收入249.65万元，占100%；上级补助收入0万元，占0%；事业收入0万元，占0%；经营收入0万元，占0%；附属单位上缴收入0万元，占0%；其他收入0万元，占0%</w:t>
      </w:r>
      <w:r>
        <w:rPr>
          <w:rFonts w:hint="eastAsia" w:ascii="Times New Roman" w:hAnsi="Times New Roman" w:eastAsia="仿宋_GB2312" w:cs="Times New Roman"/>
          <w:kern w:val="2"/>
          <w:sz w:val="32"/>
          <w:szCs w:val="32"/>
          <w:lang w:val="zh-CN"/>
        </w:rPr>
        <w:t>。</w:t>
      </w:r>
    </w:p>
    <w:p>
      <w:pPr>
        <w:adjustRightInd w:val="0"/>
        <w:snapToGrid w:val="0"/>
        <w:spacing w:line="580" w:lineRule="exact"/>
        <w:rPr>
          <w:rFonts w:ascii="Times New Roman" w:hAnsi="Times New Roman" w:eastAsia="仿宋_GB2312" w:cs="Times New Roman"/>
          <w:kern w:val="2"/>
          <w:sz w:val="32"/>
          <w:szCs w:val="32"/>
          <w:highlight w:val="yellow"/>
          <w:lang w:val="zh-CN"/>
        </w:rPr>
      </w:pPr>
    </w:p>
    <w:p>
      <w:pPr>
        <w:adjustRightInd w:val="0"/>
        <w:snapToGrid w:val="0"/>
        <w:spacing w:line="580" w:lineRule="exact"/>
        <w:rPr>
          <w:rFonts w:ascii="Times New Roman" w:hAnsi="Times New Roman" w:eastAsia="仿宋_GB2312" w:cs="Times New Roman"/>
          <w:kern w:val="2"/>
          <w:sz w:val="32"/>
          <w:szCs w:val="32"/>
          <w:highlight w:val="none"/>
        </w:rPr>
      </w:pPr>
      <w:r>
        <w:rPr>
          <w:rFonts w:ascii="Times New Roman" w:hAnsi="Times New Roman" w:eastAsia="仿宋_GB2312"/>
          <w:kern w:val="2"/>
          <w:sz w:val="32"/>
          <w:szCs w:val="32"/>
          <w:highlight w:val="none"/>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hint="eastAsia" w:ascii="Times New Roman" w:hAnsi="Times New Roman" w:eastAsia="仿宋_GB2312" w:cs="Times New Roman"/>
          <w:kern w:val="2"/>
          <w:sz w:val="32"/>
          <w:szCs w:val="32"/>
          <w:highlight w:val="none"/>
        </w:rPr>
        <w:t xml:space="preserve">        </w:t>
      </w:r>
    </w:p>
    <w:p>
      <w:pPr>
        <w:pStyle w:val="11"/>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三、支出决算情况说明</w:t>
      </w:r>
    </w:p>
    <w:p>
      <w:pPr>
        <w:autoSpaceDE w:val="0"/>
        <w:autoSpaceDN w:val="0"/>
        <w:adjustRightInd w:val="0"/>
        <w:spacing w:line="580" w:lineRule="exact"/>
        <w:ind w:firstLine="6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lang w:val="zh-CN"/>
        </w:rPr>
        <w:t>本单位2023年度本年支出合计249.65万元，其中：基本支出225.41万元，占90.29%；项目支出24.24万元，占9.71%；上缴上级支出0万元，占0%；经营支出0万元，占0%</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对附属单位补助支出0万元，占0%</w:t>
      </w:r>
      <w:r>
        <w:rPr>
          <w:rFonts w:hint="eastAsia" w:ascii="Times New Roman" w:hAnsi="Times New Roman" w:eastAsia="仿宋_GB2312" w:cs="Times New Roman"/>
          <w:kern w:val="2"/>
          <w:sz w:val="32"/>
          <w:szCs w:val="32"/>
          <w:lang w:val="zh-CN"/>
        </w:rPr>
        <w:t>。</w:t>
      </w:r>
    </w:p>
    <w:p>
      <w:pPr>
        <w:autoSpaceDE w:val="0"/>
        <w:autoSpaceDN w:val="0"/>
        <w:adjustRightInd w:val="0"/>
        <w:jc w:val="left"/>
        <w:rPr>
          <w:rFonts w:ascii="Times New Roman" w:hAnsi="Times New Roman" w:eastAsia="仿宋_GB2312" w:cs="Times New Roman"/>
          <w:sz w:val="32"/>
          <w:szCs w:val="32"/>
          <w:highlight w:val="yellow"/>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11"/>
        <w:widowControl/>
        <w:spacing w:beforeAutospacing="0" w:afterAutospacing="0"/>
        <w:jc w:val="both"/>
        <w:outlineLvl w:val="1"/>
        <w:rPr>
          <w:rFonts w:ascii="Times New Roman" w:hAnsi="Times New Roman" w:eastAsia="黑体"/>
          <w:kern w:val="2"/>
          <w:sz w:val="32"/>
          <w:szCs w:val="32"/>
        </w:rPr>
      </w:pPr>
    </w:p>
    <w:p>
      <w:pPr>
        <w:pStyle w:val="11"/>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pPr>
        <w:pStyle w:val="11"/>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pPr>
        <w:pStyle w:val="11"/>
        <w:widowControl/>
        <w:spacing w:beforeAutospacing="0" w:afterAutospacing="0"/>
        <w:ind w:firstLine="640" w:firstLineChars="200"/>
        <w:rPr>
          <w:rFonts w:ascii="Times New Roman" w:hAnsi="Times New Roman" w:eastAsia="仿宋_GB2312"/>
          <w:sz w:val="30"/>
          <w:szCs w:val="30"/>
        </w:rPr>
      </w:pP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年度财政拨款本年收入249.65</w:t>
      </w:r>
      <w:r>
        <w:rPr>
          <w:rFonts w:ascii="Times New Roman" w:hAnsi="Times New Roman" w:eastAsia="仿宋_GB2312"/>
          <w:kern w:val="2"/>
          <w:sz w:val="32"/>
          <w:szCs w:val="32"/>
        </w:rPr>
        <w:t>万</w:t>
      </w:r>
      <w:r>
        <w:rPr>
          <w:rFonts w:ascii="Times New Roman" w:hAnsi="Times New Roman" w:eastAsia="仿宋_GB2312"/>
          <w:kern w:val="2"/>
          <w:sz w:val="32"/>
          <w:szCs w:val="32"/>
          <w:lang w:val="zh-CN"/>
        </w:rPr>
        <w:t>元,比上年</w:t>
      </w:r>
      <w:r>
        <w:rPr>
          <w:rFonts w:hint="eastAsia" w:ascii="Times New Roman" w:hAnsi="Times New Roman" w:eastAsia="仿宋_GB2312"/>
          <w:sz w:val="30"/>
          <w:szCs w:val="30"/>
          <w:lang w:val="zh-CN"/>
        </w:rPr>
        <w:t>减少57.31万元</w:t>
      </w:r>
      <w:r>
        <w:rPr>
          <w:rFonts w:ascii="Times New Roman" w:hAnsi="Times New Roman" w:eastAsia="仿宋_GB2312"/>
          <w:kern w:val="2"/>
          <w:sz w:val="32"/>
          <w:szCs w:val="32"/>
          <w:lang w:val="zh-CN"/>
        </w:rPr>
        <w:t>，</w:t>
      </w:r>
      <w:r>
        <w:rPr>
          <w:rFonts w:hint="eastAsia" w:ascii="Times New Roman" w:hAnsi="Times New Roman" w:eastAsia="仿宋_GB2312"/>
          <w:sz w:val="30"/>
          <w:szCs w:val="30"/>
          <w:lang w:val="zh-CN"/>
        </w:rPr>
        <w:t>降低18.67%，</w:t>
      </w:r>
      <w:r>
        <w:rPr>
          <w:rFonts w:ascii="Times New Roman" w:hAnsi="Times New Roman" w:eastAsia="仿宋_GB2312"/>
          <w:kern w:val="2"/>
          <w:sz w:val="32"/>
          <w:szCs w:val="32"/>
          <w:lang w:val="zh-CN"/>
        </w:rPr>
        <w:t>主要是</w:t>
      </w:r>
      <w:r>
        <w:rPr>
          <w:rFonts w:hint="eastAsia" w:ascii="Times New Roman" w:hAnsi="Times New Roman" w:eastAsia="仿宋_GB2312" w:cs="Times New Roman"/>
          <w:color w:val="auto"/>
          <w:kern w:val="2"/>
          <w:sz w:val="32"/>
          <w:szCs w:val="32"/>
          <w:lang w:val="en-US" w:eastAsia="zh-CN" w:bidi="ar-SA"/>
        </w:rPr>
        <w:t>人员减少以及上级资金减少</w:t>
      </w:r>
      <w:r>
        <w:rPr>
          <w:rFonts w:ascii="Times New Roman" w:hAnsi="Times New Roman" w:eastAsia="仿宋_GB2312"/>
          <w:kern w:val="2"/>
          <w:sz w:val="32"/>
          <w:szCs w:val="32"/>
          <w:lang w:val="zh-CN"/>
        </w:rPr>
        <w:t>；本年支出 249.65</w:t>
      </w:r>
      <w:r>
        <w:rPr>
          <w:rFonts w:hint="eastAsia" w:ascii="Times New Roman" w:hAnsi="Times New Roman" w:eastAsia="仿宋_GB2312"/>
          <w:kern w:val="2"/>
          <w:sz w:val="32"/>
          <w:szCs w:val="32"/>
        </w:rPr>
        <w:t>万</w:t>
      </w:r>
      <w:r>
        <w:rPr>
          <w:rFonts w:ascii="Times New Roman" w:hAnsi="Times New Roman" w:eastAsia="仿宋_GB2312"/>
          <w:kern w:val="2"/>
          <w:sz w:val="32"/>
          <w:szCs w:val="32"/>
          <w:lang w:val="zh-CN"/>
        </w:rPr>
        <w:t>元，比上年</w:t>
      </w:r>
      <w:r>
        <w:rPr>
          <w:rFonts w:hint="eastAsia" w:ascii="Times New Roman" w:hAnsi="Times New Roman" w:eastAsia="仿宋_GB2312"/>
          <w:sz w:val="30"/>
          <w:szCs w:val="30"/>
          <w:lang w:val="zh-CN"/>
        </w:rPr>
        <w:t>减少61.91万元</w:t>
      </w:r>
      <w:r>
        <w:rPr>
          <w:rFonts w:ascii="Times New Roman" w:hAnsi="Times New Roman" w:eastAsia="仿宋_GB2312"/>
          <w:kern w:val="2"/>
          <w:sz w:val="32"/>
          <w:szCs w:val="32"/>
          <w:lang w:val="zh-CN"/>
        </w:rPr>
        <w:t>，</w:t>
      </w:r>
      <w:r>
        <w:rPr>
          <w:rFonts w:hint="eastAsia" w:ascii="Times New Roman" w:hAnsi="Times New Roman" w:eastAsia="仿宋_GB2312"/>
          <w:sz w:val="30"/>
          <w:szCs w:val="30"/>
          <w:lang w:val="zh-CN"/>
        </w:rPr>
        <w:t>降低19.87%，</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en-US" w:eastAsia="zh-CN"/>
        </w:rPr>
        <w:t>人</w:t>
      </w:r>
      <w:r>
        <w:rPr>
          <w:rFonts w:hint="eastAsia" w:ascii="Times New Roman" w:hAnsi="Times New Roman" w:eastAsia="仿宋_GB2312" w:cs="Times New Roman"/>
          <w:color w:val="auto"/>
          <w:kern w:val="2"/>
          <w:sz w:val="32"/>
          <w:szCs w:val="32"/>
          <w:lang w:val="en-US" w:eastAsia="zh-CN" w:bidi="ar-SA"/>
        </w:rPr>
        <w:t>员减少以及上级资金减少</w:t>
      </w:r>
      <w:r>
        <w:rPr>
          <w:rFonts w:ascii="Times New Roman" w:hAnsi="Times New Roman" w:eastAsia="仿宋_GB2312"/>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1. 一般公共预算财政拨款本年收入249.65万元,比上年</w:t>
      </w:r>
      <w:r>
        <w:rPr>
          <w:rFonts w:hint="eastAsia" w:ascii="Times New Roman" w:hAnsi="Times New Roman" w:eastAsia="仿宋_GB2312" w:cs="Times New Roman"/>
          <w:sz w:val="30"/>
          <w:szCs w:val="30"/>
          <w:lang w:val="zh-CN"/>
        </w:rPr>
        <w:t>减少57.31万元，降低18.67%，</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en-US" w:eastAsia="zh-CN" w:bidi="ar-SA"/>
        </w:rPr>
        <w:t>人员减少以及上级资金减少</w:t>
      </w:r>
      <w:r>
        <w:rPr>
          <w:rFonts w:ascii="Times New Roman" w:hAnsi="Times New Roman" w:eastAsia="仿宋_GB2312" w:cs="Times New Roman"/>
          <w:kern w:val="2"/>
          <w:sz w:val="32"/>
          <w:szCs w:val="32"/>
          <w:lang w:val="zh-CN"/>
        </w:rPr>
        <w:t>；本年支出 249.65</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减少61.91万元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lang w:val="zh-CN"/>
        </w:rPr>
        <w:t>降低19.87%，</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en-US" w:eastAsia="zh-CN" w:bidi="ar-SA"/>
        </w:rPr>
        <w:t>人员减少以及上级资金减少</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kern w:val="2"/>
          <w:sz w:val="32"/>
          <w:szCs w:val="32"/>
          <w:lang w:val="zh-CN"/>
        </w:rPr>
        <w:t>2. 政府性基金预算财政拨款本年收入0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；本年支出 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3. 国有资本经营预算财政拨款本年收入0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；本年支出0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p>
    <w:p>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snapToGrid w:val="0"/>
        <w:spacing w:line="580" w:lineRule="exact"/>
        <w:rPr>
          <w:rFonts w:ascii="Times New Roman" w:hAnsi="Times New Roman" w:eastAsia="楷体_GB2312" w:cs="Times New Roman"/>
          <w:b/>
          <w:bCs/>
          <w:kern w:val="2"/>
          <w:sz w:val="32"/>
          <w:szCs w:val="32"/>
        </w:rPr>
      </w:pPr>
    </w:p>
    <w:p>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年度财政拨款本年收入249.65万元，完成年初预算的103.35%，比年初预算</w:t>
      </w:r>
      <w:r>
        <w:rPr>
          <w:rFonts w:hint="eastAsia" w:ascii="Times New Roman" w:hAnsi="Times New Roman" w:eastAsia="仿宋_GB2312" w:cs="Times New Roman"/>
          <w:sz w:val="30"/>
          <w:szCs w:val="30"/>
          <w:lang w:val="zh-CN"/>
        </w:rPr>
        <w:t>增加8.09万元</w:t>
      </w:r>
      <w:r>
        <w:rPr>
          <w:rFonts w:ascii="Times New Roman" w:hAnsi="Times New Roman" w:eastAsia="仿宋_GB2312" w:cs="Times New Roman"/>
          <w:kern w:val="2"/>
          <w:sz w:val="32"/>
          <w:szCs w:val="32"/>
          <w:lang w:val="zh-CN"/>
        </w:rPr>
        <w:t>，决算数大于预算数主要原因是</w:t>
      </w:r>
      <w:r>
        <w:rPr>
          <w:rFonts w:hint="eastAsia" w:ascii="Times New Roman" w:hAnsi="Times New Roman" w:eastAsia="仿宋_GB2312" w:cs="Times New Roman"/>
          <w:kern w:val="2"/>
          <w:sz w:val="32"/>
          <w:szCs w:val="32"/>
          <w:lang w:val="en-US" w:eastAsia="zh-CN"/>
        </w:rPr>
        <w:t>7</w:t>
      </w:r>
      <w:r>
        <w:rPr>
          <w:rFonts w:hint="eastAsia" w:ascii="Times New Roman" w:hAnsi="Times New Roman" w:eastAsia="仿宋_GB2312" w:cs="Times New Roman"/>
          <w:color w:val="auto"/>
          <w:kern w:val="2"/>
          <w:sz w:val="32"/>
          <w:szCs w:val="32"/>
          <w:lang w:val="en-US" w:eastAsia="zh-CN" w:bidi="ar-SA"/>
        </w:rPr>
        <w:t>月增加2名选调生</w:t>
      </w:r>
      <w:r>
        <w:rPr>
          <w:rFonts w:ascii="Times New Roman" w:hAnsi="Times New Roman" w:eastAsia="仿宋_GB2312" w:cs="Times New Roman"/>
          <w:kern w:val="2"/>
          <w:sz w:val="32"/>
          <w:szCs w:val="32"/>
          <w:lang w:val="zh-CN"/>
        </w:rPr>
        <w:t>；本年支出249.65万元，完成年初预算的103.35%，比年初预算</w:t>
      </w:r>
      <w:r>
        <w:rPr>
          <w:rFonts w:hint="eastAsia" w:ascii="Times New Roman" w:hAnsi="Times New Roman" w:eastAsia="仿宋_GB2312" w:cs="Times New Roman"/>
          <w:sz w:val="30"/>
          <w:szCs w:val="30"/>
          <w:lang w:val="zh-CN"/>
        </w:rPr>
        <w:t>增加8.09万元</w:t>
      </w:r>
      <w:r>
        <w:rPr>
          <w:rFonts w:ascii="Times New Roman" w:hAnsi="Times New Roman" w:eastAsia="仿宋_GB2312" w:cs="Times New Roman"/>
          <w:kern w:val="2"/>
          <w:sz w:val="32"/>
          <w:szCs w:val="32"/>
          <w:lang w:val="zh-CN"/>
        </w:rPr>
        <w:t>，决算数大于预算数主要原因是</w:t>
      </w:r>
      <w:r>
        <w:rPr>
          <w:rFonts w:hint="eastAsia" w:ascii="Times New Roman" w:hAnsi="Times New Roman" w:eastAsia="仿宋_GB2312" w:cs="Times New Roman"/>
          <w:kern w:val="2"/>
          <w:sz w:val="32"/>
          <w:szCs w:val="32"/>
          <w:lang w:val="en-US" w:eastAsia="zh-CN"/>
        </w:rPr>
        <w:t>7</w:t>
      </w:r>
      <w:r>
        <w:rPr>
          <w:rFonts w:hint="eastAsia" w:ascii="Times New Roman" w:hAnsi="Times New Roman" w:eastAsia="仿宋_GB2312" w:cs="Times New Roman"/>
          <w:color w:val="auto"/>
          <w:kern w:val="2"/>
          <w:sz w:val="32"/>
          <w:szCs w:val="32"/>
          <w:lang w:val="en-US" w:eastAsia="zh-CN" w:bidi="ar-SA"/>
        </w:rPr>
        <w:t>月增加2名选调生</w:t>
      </w:r>
      <w:r>
        <w:rPr>
          <w:rFonts w:ascii="Times New Roman" w:hAnsi="Times New Roman" w:eastAsia="仿宋_GB2312" w:cs="Times New Roman"/>
          <w:kern w:val="2"/>
          <w:sz w:val="32"/>
          <w:szCs w:val="32"/>
          <w:lang w:val="zh-CN"/>
        </w:rPr>
        <w:t>。具体情况如下：</w:t>
      </w:r>
    </w:p>
    <w:p>
      <w:pPr>
        <w:numPr>
          <w:ilvl w:val="0"/>
          <w:numId w:val="2"/>
        </w:numPr>
        <w:autoSpaceDE w:val="0"/>
        <w:autoSpaceDN w:val="0"/>
        <w:adjustRightInd w:val="0"/>
        <w:spacing w:line="580" w:lineRule="exact"/>
        <w:ind w:firstLine="640" w:firstLineChars="200"/>
        <w:jc w:val="left"/>
        <w:rPr>
          <w:rFonts w:hint="eastAsia" w:ascii="Times New Roman" w:hAnsi="Times New Roman" w:eastAsia="仿宋_GB2312" w:cs="Times New Roman"/>
          <w:color w:val="auto"/>
          <w:kern w:val="2"/>
          <w:sz w:val="32"/>
          <w:szCs w:val="32"/>
          <w:lang w:val="en-US" w:eastAsia="zh-CN" w:bidi="ar-SA"/>
        </w:rPr>
      </w:pPr>
      <w:r>
        <w:rPr>
          <w:rFonts w:ascii="Times New Roman" w:hAnsi="Times New Roman" w:eastAsia="仿宋_GB2312" w:cs="Times New Roman"/>
          <w:kern w:val="2"/>
          <w:sz w:val="32"/>
          <w:szCs w:val="32"/>
          <w:lang w:val="zh-CN"/>
        </w:rPr>
        <w:t>一般公共预算财政拨款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收入249.65万元，完成年初预算的 103.35%，比年初预算</w:t>
      </w:r>
      <w:r>
        <w:rPr>
          <w:rFonts w:hint="eastAsia" w:ascii="Times New Roman" w:hAnsi="Times New Roman" w:eastAsia="仿宋_GB2312" w:cs="Times New Roman"/>
          <w:sz w:val="30"/>
          <w:szCs w:val="30"/>
          <w:lang w:val="zh-CN"/>
        </w:rPr>
        <w:t>增加8.09万元</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7</w:t>
      </w:r>
      <w:r>
        <w:rPr>
          <w:rFonts w:hint="eastAsia" w:ascii="Times New Roman" w:hAnsi="Times New Roman" w:eastAsia="仿宋_GB2312" w:cs="Times New Roman"/>
          <w:color w:val="auto"/>
          <w:kern w:val="2"/>
          <w:sz w:val="32"/>
          <w:szCs w:val="32"/>
          <w:lang w:val="en-US" w:eastAsia="zh-CN" w:bidi="ar-SA"/>
        </w:rPr>
        <w:t>月增加2名选调生</w:t>
      </w:r>
      <w:r>
        <w:rPr>
          <w:rFonts w:ascii="Times New Roman" w:hAnsi="Times New Roman" w:eastAsia="仿宋_GB2312" w:cs="Times New Roman"/>
          <w:kern w:val="2"/>
          <w:sz w:val="32"/>
          <w:szCs w:val="32"/>
          <w:lang w:val="zh-CN"/>
        </w:rPr>
        <w:t>；本年支出249.65万元，完成年初预算的103.35%，比年初预算</w:t>
      </w:r>
      <w:r>
        <w:rPr>
          <w:rFonts w:hint="eastAsia" w:ascii="Times New Roman" w:hAnsi="Times New Roman" w:eastAsia="仿宋_GB2312" w:cs="Times New Roman"/>
          <w:sz w:val="30"/>
          <w:szCs w:val="30"/>
          <w:lang w:val="zh-CN"/>
        </w:rPr>
        <w:t>增加8.09万元</w:t>
      </w:r>
      <w:r>
        <w:rPr>
          <w:rFonts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val="en-US" w:eastAsia="zh-CN"/>
        </w:rPr>
        <w:t>7</w:t>
      </w:r>
      <w:r>
        <w:rPr>
          <w:rFonts w:hint="eastAsia" w:ascii="Times New Roman" w:hAnsi="Times New Roman" w:eastAsia="仿宋_GB2312" w:cs="Times New Roman"/>
          <w:color w:val="auto"/>
          <w:kern w:val="2"/>
          <w:sz w:val="32"/>
          <w:szCs w:val="32"/>
          <w:lang w:val="en-US" w:eastAsia="zh-CN" w:bidi="ar-SA"/>
        </w:rPr>
        <w:t>月增加2名选调生。</w:t>
      </w:r>
    </w:p>
    <w:p>
      <w:pPr>
        <w:numPr>
          <w:ilvl w:val="0"/>
          <w:numId w:val="0"/>
        </w:num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sz w:val="32"/>
          <w:szCs w:val="32"/>
          <w:highlight w:val="yellow"/>
        </w:rPr>
      </w:pPr>
      <w:r>
        <w:rPr>
          <w:rFonts w:ascii="Times New Roman" w:hAnsi="Times New Roman" w:eastAsia="仿宋_GB2312" w:cs="Times New Roman"/>
          <w:kern w:val="2"/>
          <w:sz w:val="32"/>
          <w:szCs w:val="32"/>
          <w:lang w:val="zh-CN"/>
        </w:rPr>
        <w:t>3. 国有资本经营预算财政拨款本年收入0万元，完成年初预算的0%，</w:t>
      </w:r>
      <w:r>
        <w:rPr>
          <w:rFonts w:ascii="Times New Roman" w:hAnsi="Times New Roman" w:eastAsia="仿宋_GB2312" w:cs="Times New Roman"/>
          <w:sz w:val="30"/>
          <w:szCs w:val="30"/>
          <w:lang w:val="zh-CN"/>
        </w:rPr>
        <w:t>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p>
    <w:p>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highlight w:val="yellow"/>
        </w:rPr>
        <w:drawing>
          <wp:inline distT="0" distB="0" distL="114300" distR="114300">
            <wp:extent cx="5256530" cy="2967990"/>
            <wp:effectExtent l="5080" t="4445" r="15240" b="1841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1"/>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pPr>
        <w:adjustRightInd w:val="0"/>
        <w:snapToGrid w:val="0"/>
        <w:spacing w:line="580" w:lineRule="exact"/>
        <w:ind w:firstLine="660" w:firstLineChars="200"/>
        <w:jc w:val="left"/>
        <w:rPr>
          <w:rFonts w:ascii="Times New Roman" w:hAnsi="Times New Roman" w:eastAsia="仿宋_GB2312"/>
          <w:kern w:val="2"/>
          <w:sz w:val="32"/>
          <w:szCs w:val="32"/>
          <w:lang w:val="zh-CN"/>
        </w:rPr>
      </w:pPr>
      <w:r>
        <w:rPr>
          <w:rFonts w:ascii="Times New Roman" w:hAnsi="Times New Roman" w:eastAsia="仿宋_GB2312" w:cs="Times New Roman"/>
          <w:color w:val="000000"/>
          <w:sz w:val="33"/>
          <w:szCs w:val="33"/>
          <w:shd w:val="clear" w:color="auto" w:fill="FFFFFF"/>
        </w:rPr>
        <w:t> </w:t>
      </w:r>
      <w:r>
        <w:rPr>
          <w:rFonts w:ascii="Times New Roman" w:hAnsi="Times New Roman" w:eastAsia="仿宋_GB2312" w:cs="Times New Roman"/>
          <w:kern w:val="2"/>
          <w:sz w:val="32"/>
          <w:szCs w:val="32"/>
          <w:lang w:val="zh-CN"/>
        </w:rPr>
        <w:t> 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年度财政拨款支出249.65万元，主要用于以下方面：</w:t>
      </w:r>
      <w:r>
        <w:rPr>
          <w:rFonts w:ascii="Times New Roman" w:hAnsi="Times New Roman" w:eastAsia="仿宋_GB2312"/>
          <w:kern w:val="2"/>
          <w:sz w:val="32"/>
          <w:szCs w:val="32"/>
          <w:lang w:val="zh-CN"/>
        </w:rPr>
        <w:t>一般公共服务（类）支出155.83万元，占62.42%；</w:t>
      </w:r>
      <w:r>
        <w:rPr>
          <w:rFonts w:ascii="Times New Roman" w:hAnsi="Times New Roman" w:eastAsia="仿宋_GB2312"/>
          <w:kern w:val="2"/>
          <w:sz w:val="32"/>
          <w:szCs w:val="32"/>
        </w:rPr>
        <w:t>外交</w:t>
      </w:r>
      <w:r>
        <w:rPr>
          <w:rFonts w:ascii="Times New Roman" w:hAnsi="Times New Roman" w:eastAsia="仿宋_GB2312"/>
          <w:kern w:val="2"/>
          <w:sz w:val="32"/>
          <w:szCs w:val="32"/>
          <w:lang w:val="zh-CN"/>
        </w:rPr>
        <w:t>（类）支出0万元，占0%；国防（类）支出0万元，占0%；公共安全类（类）支出0万元，占0%；教育（类）支出0万元，占0%；科学技术（类）支出24.24万元，占9.71%；文化旅游体育与传媒（类）支出0万元，占0%；社会保障和就业 （类）支出42.18万元，占16.9%；卫生健康（类）支出10.97万元，占4.4%；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16.42万元，占6.58%；粮油物资储备（类）支出0万元，占0%；国有资本经营预算支出0万元，占0%；害防治及应急管理（类）支出0万元，占0%；其他（类）支出0万元，占0%；债务</w:t>
      </w:r>
      <w:r>
        <w:rPr>
          <w:rFonts w:ascii="Times New Roman" w:hAnsi="Times New Roman" w:eastAsia="仿宋_GB2312"/>
          <w:kern w:val="2"/>
          <w:sz w:val="32"/>
          <w:szCs w:val="32"/>
        </w:rPr>
        <w:t>还本</w:t>
      </w:r>
      <w:r>
        <w:rPr>
          <w:rFonts w:ascii="Times New Roman" w:hAnsi="Times New Roman" w:eastAsia="仿宋_GB2312"/>
          <w:kern w:val="2"/>
          <w:sz w:val="32"/>
          <w:szCs w:val="32"/>
          <w:lang w:val="zh-CN"/>
        </w:rPr>
        <w:t>（类）支出0万元，占0%；债务付息（类）支出0万元，占0%；抗疫特别国债安排的支出0万元，占0%。</w:t>
      </w:r>
    </w:p>
    <w:p>
      <w:pPr>
        <w:pStyle w:val="11"/>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pStyle w:val="11"/>
        <w:widowControl/>
        <w:numPr>
          <w:ilvl w:val="0"/>
          <w:numId w:val="3"/>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pPr>
        <w:pStyle w:val="11"/>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年度财政拨款基本支出225.41万元，其中：</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ascii="Times New Roman" w:hAnsi="Times New Roman" w:eastAsia="仿宋_GB2312"/>
          <w:kern w:val="2"/>
          <w:sz w:val="32"/>
          <w:szCs w:val="32"/>
          <w:lang w:val="zh-CN"/>
        </w:rPr>
        <w:t>人员经费193.96万元，</w:t>
      </w:r>
      <w:r>
        <w:rPr>
          <w:rFonts w:hint="default" w:ascii="Times New Roman" w:hAnsi="Times New Roman" w:eastAsia="仿宋_GB2312" w:cs="Times New Roman"/>
          <w:color w:val="auto"/>
          <w:kern w:val="2"/>
          <w:sz w:val="32"/>
          <w:szCs w:val="32"/>
          <w:lang w:val="zh-CN" w:eastAsia="zh-CN" w:bidi="ar-SA"/>
        </w:rPr>
        <w:t>主要包括基本工资、津贴补贴、奖金、机关事业部门基本养老保险缴费、职工基本医疗保险缴费、公务员医疗补助缴费、住房公积金、其他社会保障缴费、退休费</w:t>
      </w:r>
      <w:r>
        <w:rPr>
          <w:rFonts w:hint="eastAsia" w:ascii="Times New Roman" w:hAnsi="Times New Roman" w:eastAsia="仿宋_GB2312" w:cs="Times New Roman"/>
          <w:color w:val="auto"/>
          <w:kern w:val="2"/>
          <w:sz w:val="32"/>
          <w:szCs w:val="32"/>
          <w:lang w:val="zh-CN" w:eastAsia="zh-CN" w:bidi="ar-SA"/>
        </w:rPr>
        <w:t>。</w:t>
      </w:r>
    </w:p>
    <w:p>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公用经费31.45万元，</w:t>
      </w:r>
      <w:r>
        <w:rPr>
          <w:rFonts w:hint="default" w:ascii="Times New Roman" w:hAnsi="Times New Roman" w:eastAsia="仿宋_GB2312" w:cs="Times New Roman"/>
          <w:color w:val="auto"/>
          <w:kern w:val="2"/>
          <w:sz w:val="32"/>
          <w:szCs w:val="32"/>
          <w:lang w:val="zh-CN" w:eastAsia="zh-CN" w:bidi="ar-SA"/>
        </w:rPr>
        <w:t>主要包括办公费、咨询费、邮电费、委托业务费、工会经费、福利费、公务用车运行维护费、其他交通费用、其他商品和服务支出</w:t>
      </w:r>
      <w:r>
        <w:rPr>
          <w:rFonts w:hint="eastAsia" w:ascii="Times New Roman" w:hAnsi="Times New Roman" w:eastAsia="仿宋_GB2312" w:cs="Times New Roman"/>
          <w:color w:val="auto"/>
          <w:kern w:val="2"/>
          <w:sz w:val="32"/>
          <w:szCs w:val="32"/>
          <w:lang w:val="zh-CN" w:eastAsia="zh-CN" w:bidi="ar-SA"/>
        </w:rPr>
        <w:t>。</w:t>
      </w:r>
    </w:p>
    <w:p>
      <w:pPr>
        <w:pStyle w:val="11"/>
        <w:widowControl/>
        <w:spacing w:beforeAutospacing="0" w:afterAutospacing="0"/>
        <w:jc w:val="both"/>
        <w:outlineLvl w:val="1"/>
        <w:rPr>
          <w:rFonts w:ascii="Times New Roman" w:hAnsi="Times New Roman" w:eastAsia="仿宋_GB2312" w:cs="Times New Roman"/>
          <w:sz w:val="32"/>
          <w:szCs w:val="32"/>
          <w:highlight w:val="yellow"/>
        </w:rPr>
      </w:pPr>
      <w:r>
        <w:rPr>
          <w:rFonts w:ascii="Times New Roman" w:hAnsi="Times New Roman" w:eastAsia="黑体"/>
          <w:kern w:val="2"/>
          <w:sz w:val="32"/>
          <w:szCs w:val="32"/>
        </w:rPr>
        <w:t>五、财政拨款“三公” 经费支出决算情况说明</w:t>
      </w:r>
    </w:p>
    <w:p>
      <w:pPr>
        <w:pStyle w:val="11"/>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pPr>
        <w:pStyle w:val="11"/>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w:t>
      </w: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年度“三公”经费财政拨款支出预算为2.7万元，支出决算为2.11万元，完成预算的77.98%，较预算</w:t>
      </w:r>
      <w:r>
        <w:rPr>
          <w:rFonts w:hint="eastAsia" w:ascii="Times New Roman" w:hAnsi="Times New Roman" w:eastAsia="仿宋_GB2312"/>
          <w:kern w:val="2"/>
          <w:sz w:val="32"/>
          <w:szCs w:val="32"/>
          <w:lang w:val="zh-CN"/>
        </w:rPr>
        <w:t>减少0.59万元，降低22.02%，</w:t>
      </w:r>
      <w:r>
        <w:rPr>
          <w:rFonts w:ascii="Times New Roman" w:hAnsi="Times New Roman" w:eastAsia="仿宋_GB2312"/>
          <w:kern w:val="2"/>
          <w:sz w:val="32"/>
          <w:szCs w:val="32"/>
          <w:lang w:val="zh-CN"/>
        </w:rPr>
        <w:t>主要是</w:t>
      </w:r>
      <w:r>
        <w:rPr>
          <w:rFonts w:hint="eastAsia" w:ascii="Times New Roman" w:hAnsi="Times New Roman" w:eastAsia="仿宋_GB2312" w:cs="Times New Roman"/>
          <w:color w:val="auto"/>
          <w:kern w:val="2"/>
          <w:sz w:val="32"/>
          <w:szCs w:val="32"/>
          <w:lang w:val="en-US" w:eastAsia="zh-CN" w:bidi="ar-SA"/>
        </w:rPr>
        <w:t>活动减少</w:t>
      </w:r>
      <w:r>
        <w:rPr>
          <w:rFonts w:ascii="Times New Roman" w:hAnsi="Times New Roman" w:eastAsia="仿宋_GB2312"/>
          <w:kern w:val="2"/>
          <w:sz w:val="32"/>
          <w:szCs w:val="32"/>
          <w:lang w:val="zh-CN"/>
        </w:rPr>
        <w:t>；较2022年度决算</w:t>
      </w:r>
      <w:r>
        <w:rPr>
          <w:rFonts w:hint="eastAsia" w:ascii="Times New Roman" w:hAnsi="Times New Roman" w:eastAsia="仿宋_GB2312"/>
          <w:kern w:val="2"/>
          <w:sz w:val="32"/>
          <w:szCs w:val="32"/>
          <w:lang w:val="zh-CN"/>
        </w:rPr>
        <w:t>减少0.05万元</w:t>
      </w:r>
      <w:r>
        <w:rPr>
          <w:rFonts w:hint="eastAsia" w:ascii="Times New Roman" w:hAnsi="Times New Roman" w:eastAsia="仿宋_GB2312" w:cs="仿宋_GB2312"/>
          <w:sz w:val="30"/>
          <w:szCs w:val="30"/>
        </w:rPr>
        <w:t>，</w:t>
      </w:r>
      <w:r>
        <w:rPr>
          <w:rFonts w:hint="eastAsia" w:ascii="Times New Roman" w:hAnsi="Times New Roman" w:eastAsia="仿宋_GB2312"/>
          <w:kern w:val="2"/>
          <w:sz w:val="32"/>
          <w:szCs w:val="32"/>
          <w:lang w:val="zh-CN"/>
        </w:rPr>
        <w:t>降低2.34%，</w:t>
      </w:r>
      <w:r>
        <w:rPr>
          <w:rFonts w:ascii="Times New Roman" w:hAnsi="Times New Roman" w:eastAsia="仿宋_GB2312"/>
          <w:kern w:val="2"/>
          <w:sz w:val="32"/>
          <w:szCs w:val="32"/>
          <w:lang w:val="zh-CN"/>
        </w:rPr>
        <w:t>主要是</w:t>
      </w:r>
      <w:r>
        <w:rPr>
          <w:rFonts w:hint="eastAsia" w:ascii="Times New Roman" w:hAnsi="Times New Roman" w:eastAsia="仿宋_GB2312" w:cs="Times New Roman"/>
          <w:color w:val="auto"/>
          <w:kern w:val="2"/>
          <w:sz w:val="32"/>
          <w:szCs w:val="32"/>
          <w:lang w:val="en-US" w:eastAsia="zh-CN" w:bidi="ar-SA"/>
        </w:rPr>
        <w:t>活动减少</w:t>
      </w:r>
      <w:r>
        <w:rPr>
          <w:rFonts w:ascii="Times New Roman" w:hAnsi="Times New Roman" w:eastAsia="仿宋_GB2312"/>
          <w:kern w:val="2"/>
          <w:sz w:val="32"/>
          <w:szCs w:val="32"/>
          <w:lang w:val="zh-CN"/>
        </w:rPr>
        <w:t>。</w:t>
      </w:r>
    </w:p>
    <w:p>
      <w:pPr>
        <w:adjustRightInd w:val="0"/>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ascii="Times New Roman" w:hAnsi="Times New Roman" w:eastAsia="仿宋_GB2312"/>
          <w:kern w:val="2"/>
          <w:sz w:val="32"/>
          <w:szCs w:val="32"/>
        </w:rPr>
      </w:pPr>
      <w:r>
        <w:rPr>
          <w:rFonts w:ascii="Times New Roman" w:hAnsi="Times New Roman" w:eastAsia="楷体_GB2312"/>
          <w:b/>
          <w:bCs/>
          <w:kern w:val="2"/>
          <w:sz w:val="32"/>
          <w:szCs w:val="32"/>
        </w:rPr>
        <w:t>1.因公出国（境）费支出情况。</w:t>
      </w:r>
      <w:r>
        <w:rPr>
          <w:rFonts w:ascii="Times New Roman" w:hAnsi="Times New Roman" w:eastAsia="仿宋_GB2312"/>
          <w:kern w:val="2"/>
          <w:sz w:val="32"/>
          <w:szCs w:val="32"/>
          <w:lang w:val="zh-CN"/>
        </w:rPr>
        <w:t>本单位</w:t>
      </w:r>
      <w:r>
        <w:rPr>
          <w:rFonts w:ascii="Times New Roman" w:hAnsi="Times New Roman" w:eastAsia="仿宋_GB2312"/>
          <w:kern w:val="2"/>
          <w:sz w:val="32"/>
          <w:szCs w:val="32"/>
        </w:rPr>
        <w:t>2023年度因公出国（境）费支出预算为0万元,</w:t>
      </w:r>
      <w:r>
        <w:rPr>
          <w:rFonts w:hint="default" w:ascii="Times New Roman" w:hAnsi="Times New Roman" w:eastAsia="仿宋_GB2312" w:cs="Times New Roman"/>
          <w:color w:val="auto"/>
          <w:kern w:val="2"/>
          <w:sz w:val="32"/>
          <w:szCs w:val="32"/>
          <w:lang w:val="en-US" w:eastAsia="zh-CN" w:bidi="ar-SA"/>
        </w:rPr>
        <w:t>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。因公出国（境）团组0个、共0人、无本部门组织的出国（境）团组。</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年度公务用车购置及运行维护费预算为2.7万元，支出决算 2.11万元，完成预算的77.98%,较预算</w:t>
      </w:r>
      <w:r>
        <w:rPr>
          <w:rFonts w:hint="eastAsia" w:ascii="Times New Roman" w:hAnsi="Times New Roman" w:eastAsia="仿宋_GB2312" w:cs="Times New Roman"/>
          <w:kern w:val="2"/>
          <w:sz w:val="32"/>
          <w:szCs w:val="32"/>
          <w:lang w:val="zh-CN"/>
        </w:rPr>
        <w:t>减少0.59万元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降低22.02%，</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en-US" w:eastAsia="zh-CN" w:bidi="ar-SA"/>
        </w:rPr>
        <w:t>活动减少</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减少0.05万元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降低2.34%，</w:t>
      </w:r>
      <w:r>
        <w:rPr>
          <w:rFonts w:ascii="Times New Roman" w:hAnsi="Times New Roman" w:eastAsia="仿宋_GB2312" w:cs="Times New Roman"/>
          <w:kern w:val="2"/>
          <w:sz w:val="32"/>
          <w:szCs w:val="32"/>
          <w:lang w:val="zh-CN"/>
        </w:rPr>
        <w:t>主要</w:t>
      </w:r>
      <w:r>
        <w:rPr>
          <w:rFonts w:hint="eastAsia" w:ascii="Times New Roman" w:hAnsi="Times New Roman" w:eastAsia="仿宋_GB2312" w:cs="Times New Roman"/>
          <w:kern w:val="2"/>
          <w:sz w:val="32"/>
          <w:szCs w:val="32"/>
          <w:lang w:val="en-US" w:eastAsia="zh-CN"/>
        </w:rPr>
        <w:t>是</w:t>
      </w:r>
      <w:r>
        <w:rPr>
          <w:rFonts w:hint="eastAsia" w:ascii="Times New Roman" w:hAnsi="Times New Roman" w:eastAsia="仿宋_GB2312" w:cs="Times New Roman"/>
          <w:color w:val="auto"/>
          <w:kern w:val="2"/>
          <w:sz w:val="32"/>
          <w:szCs w:val="32"/>
          <w:lang w:val="en-US" w:eastAsia="zh-CN" w:bidi="ar-SA"/>
        </w:rPr>
        <w:t>活动减少</w:t>
      </w:r>
      <w:r>
        <w:rPr>
          <w:rFonts w:ascii="Times New Roman" w:hAnsi="Times New Roman" w:eastAsia="仿宋_GB2312" w:cs="Times New Roman"/>
          <w:kern w:val="2"/>
          <w:sz w:val="32"/>
          <w:szCs w:val="32"/>
          <w:lang w:val="zh-CN"/>
        </w:rPr>
        <w:t>。其中：</w:t>
      </w:r>
    </w:p>
    <w:p>
      <w:pPr>
        <w:pStyle w:val="11"/>
        <w:widowControl/>
        <w:spacing w:beforeAutospacing="0" w:afterAutospacing="0"/>
        <w:rPr>
          <w:rFonts w:ascii="Times New Roman" w:hAnsi="Times New Roman" w:eastAsia="Arial"/>
        </w:rPr>
      </w:pPr>
    </w:p>
    <w:p>
      <w:pPr>
        <w:adjustRightInd w:val="0"/>
        <w:snapToGrid w:val="0"/>
        <w:spacing w:line="580" w:lineRule="exact"/>
        <w:ind w:firstLine="643" w:firstLineChars="200"/>
        <w:rPr>
          <w:rFonts w:ascii="Times New Roman" w:hAnsi="Times New Roman" w:eastAsia="仿宋_GB2312" w:cs="Times New Roman"/>
          <w:kern w:val="2"/>
          <w:sz w:val="32"/>
          <w:szCs w:val="32"/>
          <w:lang w:val="zh-CN"/>
        </w:rPr>
      </w:pPr>
      <w:r>
        <w:rPr>
          <w:rFonts w:hint="default" w:ascii="Times New Roman" w:hAnsi="Times New Roman" w:eastAsia="仿宋_GB2312" w:cs="Times New Roman"/>
          <w:b/>
          <w:sz w:val="32"/>
          <w:szCs w:val="32"/>
        </w:rPr>
        <w:t>公务用车购置费支出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en-US"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w:t>
      </w:r>
      <w:r>
        <w:rPr>
          <w:rFonts w:hint="eastAsia" w:ascii="Times New Roman" w:hAnsi="Times New Roman" w:eastAsia="仿宋_GB2312" w:cs="Times New Roman"/>
          <w:color w:val="auto"/>
          <w:kern w:val="2"/>
          <w:sz w:val="32"/>
          <w:szCs w:val="32"/>
          <w:lang w:val="en-US" w:eastAsia="zh-CN" w:bidi="ar-SA"/>
        </w:rPr>
        <w:t>其中</w:t>
      </w:r>
      <w:r>
        <w:rPr>
          <w:rFonts w:hint="default" w:ascii="Times New Roman" w:hAnsi="Times New Roman" w:eastAsia="仿宋_GB2312" w:cs="Times New Roman"/>
          <w:color w:val="auto"/>
          <w:kern w:val="2"/>
          <w:sz w:val="32"/>
          <w:szCs w:val="32"/>
          <w:lang w:val="zh-CN" w:eastAsia="zh-CN" w:bidi="ar-SA"/>
        </w:rPr>
        <w:t>“公务用车购置”经费支出 0万元。</w:t>
      </w:r>
      <w:r>
        <w:rPr>
          <w:rFonts w:hint="eastAsia" w:ascii="仿宋_GB2312" w:hAnsi="Times New Roman" w:eastAsia="仿宋_GB2312" w:cs="Wingdings"/>
          <w:sz w:val="32"/>
          <w:szCs w:val="32"/>
          <w:lang w:val="en-US" w:eastAsia="zh-CN"/>
        </w:rPr>
        <w:t>未</w:t>
      </w:r>
      <w:r>
        <w:rPr>
          <w:rFonts w:hint="eastAsia" w:ascii="仿宋_GB2312" w:hAnsi="Times New Roman" w:eastAsia="仿宋_GB2312" w:cs="Wingdings"/>
          <w:sz w:val="32"/>
          <w:szCs w:val="32"/>
        </w:rPr>
        <w:t>发生“公务用车购置”经费支出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与预算持平，</w:t>
      </w:r>
      <w:r>
        <w:rPr>
          <w:rFonts w:hint="default" w:ascii="Times New Roman" w:hAnsi="Times New Roman" w:eastAsia="仿宋_GB2312" w:cs="Times New Roman"/>
          <w:color w:val="auto"/>
          <w:kern w:val="0"/>
          <w:sz w:val="32"/>
          <w:szCs w:val="32"/>
          <w:highlight w:val="none"/>
          <w:lang w:val="en-US" w:eastAsia="zh-CN" w:bidi="ar-SA"/>
        </w:rPr>
        <w:t>与2022年度决算支出持平</w:t>
      </w:r>
      <w:r>
        <w:rPr>
          <w:rFonts w:hint="eastAsia" w:ascii="Times New Roman" w:hAnsi="Times New Roman" w:eastAsia="仿宋_GB2312" w:cs="Times New Roman"/>
          <w:color w:val="auto"/>
          <w:kern w:val="0"/>
          <w:sz w:val="32"/>
          <w:szCs w:val="32"/>
          <w:highlight w:val="none"/>
          <w:lang w:val="en-US" w:eastAsia="zh-CN" w:bidi="ar-SA"/>
        </w:rPr>
        <w:t>。</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2.11</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年度单位公务用车保有量1辆，发生运行维护费支出2.11万元。公车运行维护费支出较预算</w:t>
      </w:r>
      <w:r>
        <w:rPr>
          <w:rFonts w:hint="eastAsia" w:ascii="Times New Roman" w:hAnsi="Times New Roman" w:eastAsia="仿宋_GB2312" w:cs="Times New Roman"/>
          <w:kern w:val="2"/>
          <w:sz w:val="32"/>
          <w:szCs w:val="32"/>
          <w:lang w:val="zh-CN"/>
        </w:rPr>
        <w:t>减少0.59万元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降低22.02%，</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en-US" w:eastAsia="zh-CN"/>
        </w:rPr>
        <w:t>活动减少</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减少0.05万元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降低2.34%，</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en-US" w:eastAsia="zh-CN"/>
        </w:rPr>
        <w:t>活动减少</w:t>
      </w:r>
      <w:r>
        <w:rPr>
          <w:rFonts w:ascii="Times New Roman" w:hAnsi="Times New Roman" w:eastAsia="仿宋_GB2312" w:cs="Times New Roman"/>
          <w:kern w:val="2"/>
          <w:sz w:val="32"/>
          <w:szCs w:val="32"/>
          <w:lang w:val="zh-CN"/>
        </w:rPr>
        <w:t>。</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3.公务接待费。</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年度公务接待费支出预算为0万元，</w:t>
      </w:r>
      <w:r>
        <w:rPr>
          <w:rFonts w:hint="default" w:ascii="Times New Roman" w:hAnsi="Times New Roman" w:eastAsia="仿宋_GB2312" w:cs="Times New Roman"/>
          <w:color w:val="auto"/>
          <w:kern w:val="2"/>
          <w:sz w:val="32"/>
          <w:szCs w:val="32"/>
          <w:lang w:val="zh-CN" w:eastAsia="zh-CN" w:bidi="ar-SA"/>
        </w:rPr>
        <w:t>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万元，增长0%</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1"/>
        <w:widowControl/>
        <w:spacing w:beforeAutospacing="0" w:afterAutospacing="0"/>
        <w:jc w:val="both"/>
        <w:outlineLvl w:val="1"/>
        <w:rPr>
          <w:rFonts w:ascii="Times New Roman" w:hAnsi="Times New Roman" w:eastAsia="仿宋_GB2312"/>
          <w:sz w:val="32"/>
          <w:szCs w:val="32"/>
          <w:highlight w:val="yellow"/>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年度机关运行经费支出31.45万元，较2022年度</w:t>
      </w:r>
      <w:r>
        <w:rPr>
          <w:rFonts w:hint="eastAsia" w:ascii="Times New Roman" w:hAnsi="Times New Roman" w:eastAsia="仿宋_GB2312"/>
          <w:kern w:val="2"/>
          <w:sz w:val="32"/>
          <w:szCs w:val="32"/>
          <w:lang w:val="zh-CN"/>
        </w:rPr>
        <w:t>减少1.18万元，降低3.63%，</w:t>
      </w:r>
      <w:r>
        <w:rPr>
          <w:rFonts w:ascii="Times New Roman" w:hAnsi="Times New Roman" w:eastAsia="仿宋_GB2312"/>
          <w:kern w:val="2"/>
          <w:sz w:val="32"/>
          <w:szCs w:val="32"/>
          <w:lang w:val="zh-CN"/>
        </w:rPr>
        <w:t>主要原因</w:t>
      </w:r>
      <w:r>
        <w:rPr>
          <w:rFonts w:hint="default" w:ascii="Times New Roman" w:hAnsi="Times New Roman" w:eastAsia="仿宋_GB2312" w:cs="Times New Roman"/>
          <w:color w:val="auto"/>
          <w:kern w:val="2"/>
          <w:sz w:val="32"/>
          <w:szCs w:val="32"/>
          <w:lang w:val="zh-CN" w:eastAsia="zh-CN" w:bidi="ar-SA"/>
        </w:rPr>
        <w:t>是</w:t>
      </w:r>
      <w:r>
        <w:rPr>
          <w:rFonts w:hint="eastAsia" w:ascii="Times New Roman" w:hAnsi="Times New Roman" w:eastAsia="仿宋_GB2312" w:cs="Times New Roman"/>
          <w:color w:val="auto"/>
          <w:kern w:val="2"/>
          <w:sz w:val="32"/>
          <w:szCs w:val="32"/>
          <w:lang w:val="en-US" w:eastAsia="zh-CN" w:bidi="ar-SA"/>
        </w:rPr>
        <w:t>2023年有一个退休人员，办公经费减少。</w:t>
      </w:r>
    </w:p>
    <w:p>
      <w:pPr>
        <w:adjustRightInd w:val="0"/>
        <w:snapToGrid w:val="0"/>
        <w:spacing w:line="580" w:lineRule="exact"/>
        <w:ind w:firstLine="660" w:firstLineChars="200"/>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年度政府采购支出总额0.3万元，从采购类型来看，政府采购货物支出0.3万元、政府采购工程支出0万元、政府采购服务支出0万元。授予中小企业</w:t>
      </w:r>
      <w:r>
        <w:rPr>
          <w:rFonts w:ascii="Times New Roman" w:hAnsi="Times New Roman" w:eastAsia="仿宋_GB2312"/>
          <w:kern w:val="2"/>
          <w:sz w:val="32"/>
          <w:szCs w:val="32"/>
        </w:rPr>
        <w:t>合同金额</w:t>
      </w:r>
      <w:r>
        <w:rPr>
          <w:rFonts w:ascii="Times New Roman" w:hAnsi="Times New Roman" w:eastAsia="仿宋_GB2312"/>
          <w:kern w:val="2"/>
          <w:sz w:val="32"/>
          <w:szCs w:val="32"/>
          <w:lang w:val="zh-CN"/>
        </w:rPr>
        <w:t>0.3万元，占政府采购支出总额的100%，其中授予小微企业合同金额0.3万元，占政府采购支出总额的100%。</w:t>
      </w:r>
    </w:p>
    <w:p>
      <w:pPr>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pPr>
        <w:pStyle w:val="11"/>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截至202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年12月31日，本单位共有</w:t>
      </w:r>
      <w:r>
        <w:rPr>
          <w:rFonts w:hint="eastAsia" w:ascii="Times New Roman" w:hAnsi="Times New Roman" w:eastAsia="仿宋_GB2312"/>
          <w:kern w:val="2"/>
          <w:sz w:val="32"/>
          <w:szCs w:val="32"/>
          <w:lang w:val="en-US" w:eastAsia="zh-CN"/>
        </w:rPr>
        <w:t>车辆</w:t>
      </w:r>
      <w:r>
        <w:rPr>
          <w:rFonts w:hint="default" w:ascii="Times New Roman" w:hAnsi="Times New Roman" w:eastAsia="仿宋_GB2312" w:cs="Times New Roman"/>
          <w:color w:val="auto"/>
          <w:kern w:val="2"/>
          <w:sz w:val="32"/>
          <w:szCs w:val="32"/>
          <w:lang w:val="zh-CN" w:eastAsia="zh-CN" w:bidi="ar-SA"/>
        </w:rPr>
        <w:t>1辆，比上年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辆。其中，应急保障用车</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辆，</w:t>
      </w:r>
      <w:r>
        <w:rPr>
          <w:rFonts w:hint="eastAsia" w:ascii="仿宋_GB2312" w:hAnsi="Times New Roman" w:eastAsia="仿宋_GB2312" w:cs="仿宋_GB2312"/>
          <w:sz w:val="32"/>
          <w:szCs w:val="32"/>
        </w:rPr>
        <w:t>比上年</w:t>
      </w:r>
      <w:r>
        <w:rPr>
          <w:rFonts w:hint="eastAsia" w:ascii="仿宋_GB2312" w:hAnsi="Times New Roman" w:eastAsia="仿宋_GB2312" w:cs="仿宋_GB2312"/>
          <w:sz w:val="32"/>
          <w:szCs w:val="32"/>
          <w:lang w:val="en-US" w:eastAsia="zh-CN"/>
        </w:rPr>
        <w:t>无</w:t>
      </w:r>
      <w:r>
        <w:rPr>
          <w:rFonts w:hint="eastAsia" w:ascii="仿宋_GB2312" w:hAnsi="Times New Roman" w:eastAsia="仿宋_GB2312" w:cs="仿宋_GB2312"/>
          <w:sz w:val="32"/>
          <w:szCs w:val="32"/>
        </w:rPr>
        <w:t>增减</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1"/>
        <w:widowControl/>
        <w:spacing w:beforeAutospacing="0" w:afterAutospacing="0"/>
        <w:ind w:firstLine="640" w:firstLineChars="20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（一）预算绩效管理工作开展情况</w:t>
      </w:r>
    </w:p>
    <w:p>
      <w:pPr>
        <w:pStyle w:val="11"/>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根据预算绩效管理要求，本单位组织对2023年度一般公共预算项目支出全面开展绩效自评，</w:t>
      </w:r>
      <w:r>
        <w:rPr>
          <w:rFonts w:hint="default" w:ascii="Times New Roman" w:hAnsi="Times New Roman" w:eastAsia="仿宋_GB2312" w:cs="Times New Roman"/>
          <w:color w:val="auto"/>
          <w:kern w:val="2"/>
          <w:sz w:val="32"/>
          <w:szCs w:val="32"/>
          <w:lang w:val="zh-CN" w:eastAsia="zh-CN" w:bidi="ar-SA"/>
        </w:rPr>
        <w:t>其中，一级项目</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24.24</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r>
        <w:rPr>
          <w:rFonts w:ascii="Times New Roman" w:hAnsi="Times New Roman" w:eastAsia="仿宋_GB2312"/>
          <w:kern w:val="2"/>
          <w:sz w:val="32"/>
          <w:szCs w:val="32"/>
          <w:lang w:val="zh-CN"/>
        </w:rPr>
        <w:t>。</w:t>
      </w:r>
    </w:p>
    <w:p>
      <w:pPr>
        <w:adjustRightInd w:val="0"/>
        <w:snapToGrid w:val="0"/>
        <w:spacing w:line="580" w:lineRule="exact"/>
        <w:ind w:firstLine="640" w:firstLineChars="200"/>
        <w:rPr>
          <w:rFonts w:hint="default" w:ascii="Times New Roman" w:hAnsi="Times New Roman" w:eastAsia="Arial" w:cs="Times New Roman"/>
          <w:highlight w:val="none"/>
        </w:rPr>
      </w:pPr>
      <w:r>
        <w:rPr>
          <w:rFonts w:hint="default" w:ascii="Times New Roman" w:hAnsi="Times New Roman" w:eastAsia="仿宋_GB2312" w:cs="Times New Roman"/>
          <w:color w:val="auto"/>
          <w:kern w:val="2"/>
          <w:sz w:val="32"/>
          <w:szCs w:val="32"/>
          <w:lang w:val="zh-CN" w:eastAsia="zh-CN" w:bidi="ar-SA"/>
        </w:rPr>
        <w:t>组织对“</w:t>
      </w:r>
      <w:r>
        <w:rPr>
          <w:rFonts w:hint="eastAsia" w:ascii="Times New Roman" w:hAnsi="Times New Roman" w:eastAsia="仿宋_GB2312" w:cs="Times New Roman"/>
          <w:color w:val="auto"/>
          <w:kern w:val="2"/>
          <w:sz w:val="32"/>
          <w:szCs w:val="32"/>
          <w:lang w:val="en-US" w:eastAsia="zh-CN" w:bidi="ar-SA"/>
        </w:rPr>
        <w:t>科普经费</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老科协活动经费</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24.24</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color w:val="auto"/>
          <w:sz w:val="32"/>
          <w:szCs w:val="32"/>
        </w:rPr>
        <w:t>根据年初设定的绩效目标，</w:t>
      </w:r>
      <w:r>
        <w:rPr>
          <w:rFonts w:hint="eastAsia" w:ascii="仿宋_GB2312" w:hAnsi="仿宋_GB2312" w:eastAsia="仿宋_GB2312" w:cs="仿宋_GB2312"/>
          <w:color w:val="auto"/>
          <w:sz w:val="32"/>
          <w:szCs w:val="32"/>
          <w:lang w:eastAsia="zh-CN"/>
        </w:rPr>
        <w:t>按时间节点完成各项活动，支付项目资金，项目完成良好。</w:t>
      </w:r>
    </w:p>
    <w:p>
      <w:pPr>
        <w:pStyle w:val="11"/>
        <w:widowControl/>
        <w:spacing w:beforeAutospacing="0" w:afterAutospacing="0"/>
        <w:ind w:firstLine="640" w:firstLineChars="200"/>
        <w:rPr>
          <w:rFonts w:ascii="Times New Roman" w:hAnsi="Times New Roman" w:eastAsia="仿宋_GB2312"/>
          <w:sz w:val="32"/>
          <w:szCs w:val="32"/>
          <w:highlight w:val="yellow"/>
        </w:rPr>
      </w:pPr>
    </w:p>
    <w:p>
      <w:pPr>
        <w:pStyle w:val="11"/>
        <w:widowControl/>
        <w:spacing w:beforeAutospacing="0" w:afterAutospacing="0"/>
        <w:rPr>
          <w:rFonts w:ascii="Times New Roman" w:hAnsi="Times New Roman" w:eastAsia="Arial"/>
        </w:rPr>
      </w:pPr>
    </w:p>
    <w:p>
      <w:pPr>
        <w:pStyle w:val="2"/>
      </w:pPr>
      <w:r>
        <w:rPr>
          <w:rFonts w:hint="eastAsia" w:asciiTheme="minorEastAsia" w:hAnsiTheme="minorEastAsia" w:eastAsiaTheme="minorEastAsia" w:cstheme="minorEastAsia"/>
          <w:sz w:val="28"/>
          <w:szCs w:val="28"/>
          <w:lang w:eastAsia="zh-CN"/>
        </w:rPr>
        <w:object>
          <v:shape id="_x0000_i1027" o:spt="75" type="#_x0000_t75" style="height:508.05pt;width:415.1pt;" o:ole="t" filled="f" o:preferrelative="t" stroked="f" coordsize="21600,21600">
            <v:path/>
            <v:fill on="f" focussize="0,0"/>
            <v:stroke on="f"/>
            <v:imagedata r:id="rId23" o:title=""/>
            <o:lock v:ext="edit" aspectratio="f"/>
            <w10:wrap type="none"/>
            <w10:anchorlock/>
          </v:shape>
          <o:OLEObject Type="Embed" ProgID="Excel.Sheet.12" ShapeID="_x0000_i1027" DrawAspect="Content" ObjectID="_1468075725" r:id="rId22">
            <o:LockedField>false</o:LockedField>
          </o:OLEObject>
        </w:object>
      </w:r>
    </w:p>
    <w:p>
      <w:pPr>
        <w:wordWrap/>
        <w:adjustRightInd/>
        <w:snapToGrid w:val="0"/>
        <w:spacing w:before="0" w:after="0" w:line="360" w:lineRule="auto"/>
        <w:ind w:left="-120" w:leftChars="-50" w:right="-120" w:rightChars="-50"/>
        <w:jc w:val="center"/>
        <w:textAlignment w:val="auto"/>
        <w:outlineLvl w:val="9"/>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object>
          <v:shape id="_x0000_i1025" o:spt="75" type="#_x0000_t75" style="height:515.3pt;width:414.95pt;" o:ole="t" filled="f" o:preferrelative="t" stroked="f" coordsize="21600,21600">
            <v:path/>
            <v:fill on="f" focussize="0,0"/>
            <v:stroke on="f"/>
            <v:imagedata r:id="rId25" o:title=""/>
            <o:lock v:ext="edit" aspectratio="f"/>
            <w10:wrap type="none"/>
            <w10:anchorlock/>
          </v:shape>
          <o:OLEObject Type="Embed" ProgID="Excel.Sheet.12" ShapeID="_x0000_i1025" DrawAspect="Content" ObjectID="_1468075726" r:id="rId24">
            <o:LockedField>false</o:LockedField>
          </o:OLEObject>
        </w:object>
      </w:r>
    </w:p>
    <w:p>
      <w:pPr>
        <w:wordWrap/>
        <w:adjustRightInd/>
        <w:snapToGrid w:val="0"/>
        <w:spacing w:before="0" w:after="0" w:line="360" w:lineRule="auto"/>
        <w:ind w:left="-120" w:leftChars="-50" w:right="-120" w:rightChars="-50"/>
        <w:jc w:val="center"/>
        <w:textAlignment w:val="auto"/>
        <w:outlineLvl w:val="9"/>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object>
          <v:shape id="_x0000_i1026" o:spt="75" type="#_x0000_t75" style="height:515.45pt;width:415.1pt;" o:ole="t" filled="f" o:preferrelative="t" stroked="f" coordsize="21600,21600">
            <v:path/>
            <v:fill on="f" focussize="0,0"/>
            <v:stroke on="f"/>
            <v:imagedata r:id="rId27" o:title=""/>
            <o:lock v:ext="edit" aspectratio="f"/>
            <w10:wrap type="none"/>
            <w10:anchorlock/>
          </v:shape>
          <o:OLEObject Type="Embed" ProgID="Excel.Sheet.12" ShapeID="_x0000_i1026" DrawAspect="Content" ObjectID="_1468075727" r:id="rId26">
            <o:LockedField>false</o:LockedField>
          </o:OLEObject>
        </w:objec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hint="eastAsia" w:ascii="仿宋_GB2312" w:hAnsi="宋体" w:eastAsia="仿宋_GB2312"/>
          <w:b/>
          <w:sz w:val="32"/>
          <w:szCs w:val="32"/>
          <w:lang w:val="en-US" w:eastAsia="zh-CN"/>
        </w:rPr>
        <w:tab/>
      </w:r>
      <w:r>
        <w:rPr>
          <w:rFonts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val="en-US" w:eastAsia="zh-CN"/>
        </w:rPr>
        <w:t>单位</w:t>
      </w:r>
      <w:r>
        <w:rPr>
          <w:rFonts w:ascii="Times New Roman" w:hAnsi="Times New Roman" w:eastAsia="仿宋_GB2312" w:cs="Times New Roman"/>
          <w:b/>
          <w:bCs/>
          <w:sz w:val="32"/>
          <w:szCs w:val="32"/>
        </w:rPr>
        <w:t>决算中项目绩效自评结果</w:t>
      </w:r>
    </w:p>
    <w:p>
      <w:pPr>
        <w:pStyle w:val="11"/>
        <w:widowControl/>
        <w:spacing w:beforeAutospacing="0" w:afterAutospacing="0"/>
        <w:ind w:firstLine="660" w:firstLineChars="20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w:t>
      </w:r>
      <w:r>
        <w:rPr>
          <w:rFonts w:ascii="Times New Roman" w:hAnsi="Times New Roman" w:eastAsia="仿宋_GB2312"/>
          <w:kern w:val="2"/>
          <w:sz w:val="32"/>
          <w:szCs w:val="32"/>
          <w:lang w:val="zh-CN"/>
        </w:rPr>
        <w:t>本单位在</w:t>
      </w:r>
      <w:r>
        <w:rPr>
          <w:rFonts w:hint="default" w:ascii="Times New Roman" w:hAnsi="Times New Roman" w:eastAsia="仿宋_GB2312" w:cs="Times New Roman"/>
          <w:color w:val="auto"/>
          <w:kern w:val="2"/>
          <w:sz w:val="32"/>
          <w:szCs w:val="32"/>
          <w:lang w:val="zh-CN" w:eastAsia="zh-CN" w:bidi="ar-SA"/>
        </w:rPr>
        <w:t>今年</w:t>
      </w:r>
      <w:r>
        <w:rPr>
          <w:rFonts w:hint="eastAsia" w:ascii="Times New Roman" w:hAnsi="Times New Roman" w:eastAsia="仿宋_GB2312" w:cs="Times New Roman"/>
          <w:color w:val="auto"/>
          <w:kern w:val="2"/>
          <w:sz w:val="32"/>
          <w:szCs w:val="32"/>
          <w:lang w:val="en-US" w:eastAsia="zh-CN" w:bidi="ar-SA"/>
        </w:rPr>
        <w:t>单位</w:t>
      </w:r>
      <w:r>
        <w:rPr>
          <w:rFonts w:hint="default" w:ascii="Times New Roman" w:hAnsi="Times New Roman" w:eastAsia="仿宋_GB2312" w:cs="Times New Roman"/>
          <w:color w:val="auto"/>
          <w:kern w:val="2"/>
          <w:sz w:val="32"/>
          <w:szCs w:val="32"/>
          <w:lang w:val="zh-CN" w:eastAsia="zh-CN" w:bidi="ar-SA"/>
        </w:rPr>
        <w:t>决算公开中反映</w:t>
      </w:r>
      <w:r>
        <w:rPr>
          <w:rFonts w:hint="eastAsia" w:ascii="Times New Roman" w:hAnsi="Times New Roman" w:eastAsia="仿宋_GB2312" w:cs="Times New Roman"/>
          <w:color w:val="auto"/>
          <w:kern w:val="2"/>
          <w:sz w:val="32"/>
          <w:szCs w:val="32"/>
          <w:lang w:val="en-US" w:eastAsia="zh-CN" w:bidi="ar-SA"/>
        </w:rPr>
        <w:t>科普经费</w:t>
      </w:r>
      <w:r>
        <w:rPr>
          <w:rFonts w:hint="default" w:ascii="Times New Roman" w:hAnsi="Times New Roman" w:eastAsia="仿宋_GB2312" w:cs="Times New Roman"/>
          <w:color w:val="auto"/>
          <w:kern w:val="2"/>
          <w:sz w:val="32"/>
          <w:szCs w:val="32"/>
          <w:lang w:val="zh-CN" w:eastAsia="zh-CN" w:bidi="ar-SA"/>
        </w:rPr>
        <w:t>项目及</w:t>
      </w:r>
      <w:r>
        <w:rPr>
          <w:rFonts w:hint="eastAsia" w:ascii="Times New Roman" w:hAnsi="Times New Roman" w:eastAsia="仿宋_GB2312" w:cs="Times New Roman"/>
          <w:color w:val="auto"/>
          <w:kern w:val="2"/>
          <w:sz w:val="32"/>
          <w:szCs w:val="32"/>
          <w:lang w:val="en-US" w:eastAsia="zh-CN" w:bidi="ar-SA"/>
        </w:rPr>
        <w:t>老科协活动经费</w:t>
      </w:r>
      <w:r>
        <w:rPr>
          <w:rFonts w:hint="default" w:ascii="Times New Roman" w:hAnsi="Times New Roman" w:eastAsia="仿宋_GB2312" w:cs="Times New Roman"/>
          <w:color w:val="auto"/>
          <w:kern w:val="2"/>
          <w:sz w:val="32"/>
          <w:szCs w:val="32"/>
          <w:lang w:val="zh-CN" w:eastAsia="zh-CN" w:bidi="ar-SA"/>
        </w:rPr>
        <w:t>项目等</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个项目绩效自评结果。</w:t>
      </w:r>
    </w:p>
    <w:p>
      <w:pPr>
        <w:numPr>
          <w:ilvl w:val="0"/>
          <w:numId w:val="4"/>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科普经费项目自评综述：根据年初设定的绩效目标，科普经费项目绩效自评得分为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10.49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74.93%</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val="en-US" w:eastAsia="zh-CN"/>
        </w:rPr>
        <w:t>前三季度活动都已举办完成</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前三季度按计划花费完成，</w:t>
      </w:r>
      <w:r>
        <w:rPr>
          <w:rFonts w:hint="eastAsia" w:ascii="仿宋_GB2312" w:hAnsi="仿宋_GB2312" w:eastAsia="仿宋_GB2312" w:cs="仿宋_GB2312"/>
          <w:sz w:val="32"/>
          <w:szCs w:val="32"/>
          <w:shd w:val="clear"/>
          <w:lang w:val="en-US" w:eastAsia="zh-CN"/>
        </w:rPr>
        <w:t>三是第四季度经费没有下拨，第四季度活动没有完成</w:t>
      </w:r>
      <w:r>
        <w:rPr>
          <w:rFonts w:hint="eastAsia" w:ascii="仿宋_GB2312" w:hAnsi="仿宋_GB2312" w:eastAsia="仿宋_GB2312" w:cs="仿宋_GB2312"/>
          <w:sz w:val="32"/>
          <w:szCs w:val="32"/>
          <w:shd w:val="clear"/>
        </w:rPr>
        <w:t>。发现的主要</w:t>
      </w:r>
      <w:r>
        <w:rPr>
          <w:rFonts w:hint="eastAsia" w:ascii="仿宋_GB2312" w:hAnsi="仿宋_GB2312" w:eastAsia="仿宋_GB2312" w:cs="仿宋_GB2312"/>
          <w:sz w:val="32"/>
          <w:szCs w:val="32"/>
        </w:rPr>
        <w:t>问题及原因：一是</w:t>
      </w:r>
      <w:r>
        <w:rPr>
          <w:rFonts w:hint="eastAsia" w:ascii="仿宋_GB2312" w:hAnsi="仿宋_GB2312" w:eastAsia="仿宋_GB2312" w:cs="仿宋_GB2312"/>
          <w:sz w:val="32"/>
          <w:szCs w:val="32"/>
          <w:lang w:val="en-US" w:eastAsia="zh-CN"/>
        </w:rPr>
        <w:t>没有按已计划的规定时间完成活动</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val="en-US" w:eastAsia="zh-CN"/>
        </w:rPr>
        <w:t>做好计划，并且严格执行</w:t>
      </w:r>
      <w:r>
        <w:rPr>
          <w:rFonts w:hint="eastAsia" w:ascii="仿宋_GB2312" w:hAnsi="仿宋_GB2312" w:eastAsia="仿宋_GB2312" w:cs="仿宋_GB2312"/>
          <w:sz w:val="32"/>
          <w:szCs w:val="32"/>
        </w:rPr>
        <w:t>。</w:t>
      </w:r>
    </w:p>
    <w:p>
      <w:pPr>
        <w:numPr>
          <w:ilvl w:val="0"/>
          <w:numId w:val="4"/>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老科协活动经费项目绩效自评综述：老科协活动经费项目绩效自评综述：根据年初设定的绩效目标，</w:t>
      </w:r>
      <w:r>
        <w:rPr>
          <w:rFonts w:hint="eastAsia" w:ascii="仿宋_GB2312" w:hAnsi="仿宋_GB2312" w:eastAsia="仿宋_GB2312" w:cs="仿宋_GB2312"/>
          <w:sz w:val="32"/>
          <w:szCs w:val="32"/>
          <w:lang w:val="en-US" w:eastAsia="zh-CN"/>
        </w:rPr>
        <w:t>老科协</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3.75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75%</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val="en-US" w:eastAsia="zh-CN"/>
        </w:rPr>
        <w:t>前三季度活动都已举办完成</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前三季度按计划花费完成，</w:t>
      </w:r>
      <w:r>
        <w:rPr>
          <w:rFonts w:hint="eastAsia" w:ascii="仿宋_GB2312" w:hAnsi="仿宋_GB2312" w:eastAsia="仿宋_GB2312" w:cs="仿宋_GB2312"/>
          <w:sz w:val="32"/>
          <w:szCs w:val="32"/>
          <w:shd w:val="clear"/>
          <w:lang w:val="en-US" w:eastAsia="zh-CN"/>
        </w:rPr>
        <w:t>三是第四季度经费没有下拨，第四季度活动没有完成</w:t>
      </w:r>
      <w:r>
        <w:rPr>
          <w:rFonts w:hint="eastAsia" w:ascii="仿宋_GB2312" w:hAnsi="仿宋_GB2312" w:eastAsia="仿宋_GB2312" w:cs="仿宋_GB2312"/>
          <w:sz w:val="32"/>
          <w:szCs w:val="32"/>
        </w:rPr>
        <w:t>。发现的主要问题及原因：一是</w:t>
      </w:r>
      <w:r>
        <w:rPr>
          <w:rFonts w:hint="eastAsia" w:ascii="仿宋_GB2312" w:hAnsi="仿宋_GB2312" w:eastAsia="仿宋_GB2312" w:cs="仿宋_GB2312"/>
          <w:sz w:val="32"/>
          <w:szCs w:val="32"/>
          <w:lang w:val="en-US" w:eastAsia="zh-CN"/>
        </w:rPr>
        <w:t>没有按已计划的规定时间完成活动</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val="en-US" w:eastAsia="zh-CN"/>
        </w:rPr>
        <w:t>做好计划，并且严格执行</w:t>
      </w:r>
      <w:r>
        <w:rPr>
          <w:rFonts w:hint="eastAsia" w:ascii="仿宋_GB2312" w:hAnsi="仿宋_GB2312" w:eastAsia="仿宋_GB2312" w:cs="仿宋_GB2312"/>
          <w:sz w:val="32"/>
          <w:szCs w:val="32"/>
        </w:rPr>
        <w:t>。</w:t>
      </w:r>
    </w:p>
    <w:p>
      <w:pPr>
        <w:numPr>
          <w:ilvl w:val="0"/>
          <w:numId w:val="4"/>
        </w:numPr>
        <w:adjustRightInd w:val="0"/>
        <w:snapToGrid w:val="0"/>
        <w:spacing w:line="580" w:lineRule="exact"/>
        <w:ind w:left="-10" w:leftChars="0" w:firstLine="640" w:firstLineChars="0"/>
        <w:rPr>
          <w:rFonts w:ascii="仿宋_GB2312" w:hAnsi="仿宋_GB2312" w:eastAsia="仿宋_GB2312" w:cs="Times New Roman"/>
          <w:sz w:val="32"/>
          <w:szCs w:val="32"/>
        </w:rPr>
      </w:pPr>
      <w:r>
        <w:rPr>
          <w:rFonts w:hint="eastAsia" w:ascii="仿宋_GB2312" w:hAnsi="仿宋_GB2312" w:eastAsia="仿宋_GB2312" w:cs="仿宋_GB2312"/>
          <w:sz w:val="32"/>
          <w:szCs w:val="32"/>
        </w:rPr>
        <w:t>关于下达202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年基层科普行动计划补助资金项目绩效自评综述：根据年初设定的绩效目标，关于下达</w:t>
      </w:r>
      <w:r>
        <w:rPr>
          <w:rFonts w:hint="eastAsia" w:ascii="仿宋_GB2312" w:hAnsi="仿宋_GB2312" w:eastAsia="仿宋_GB2312" w:cs="仿宋_GB2312"/>
          <w:sz w:val="32"/>
          <w:szCs w:val="32"/>
          <w:lang w:val="en-US" w:eastAsia="zh-CN"/>
        </w:rPr>
        <w:t>2023</w:t>
      </w:r>
      <w:r>
        <w:rPr>
          <w:rFonts w:hint="eastAsia" w:ascii="仿宋_GB2312" w:hAnsi="仿宋_GB2312" w:eastAsia="仿宋_GB2312" w:cs="仿宋_GB2312"/>
          <w:sz w:val="32"/>
          <w:szCs w:val="32"/>
        </w:rPr>
        <w:t>年基层科普行动计划补助资金项目绩效自评得分为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。项目绩效目标完成情况：一是一是</w:t>
      </w:r>
      <w:r>
        <w:rPr>
          <w:rFonts w:hint="eastAsia" w:ascii="仿宋_GB2312" w:hAnsi="仿宋_GB2312" w:eastAsia="仿宋_GB2312" w:cs="仿宋_GB2312"/>
          <w:sz w:val="32"/>
          <w:szCs w:val="32"/>
          <w:lang w:val="en-US" w:eastAsia="zh-CN"/>
        </w:rPr>
        <w:t>活动都已举办完成</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按计划花费完成</w:t>
      </w:r>
      <w:r>
        <w:rPr>
          <w:rFonts w:hint="eastAsia" w:ascii="仿宋_GB2312" w:hAnsi="仿宋_GB2312" w:eastAsia="仿宋_GB2312" w:cs="仿宋_GB2312"/>
          <w:sz w:val="32"/>
          <w:szCs w:val="32"/>
        </w:rPr>
        <w:t>。发现的主要问题及原因：一是</w:t>
      </w:r>
      <w:r>
        <w:rPr>
          <w:rFonts w:hint="eastAsia" w:ascii="仿宋_GB2312" w:hAnsi="仿宋_GB2312" w:eastAsia="仿宋_GB2312" w:cs="仿宋_GB2312"/>
          <w:sz w:val="32"/>
          <w:szCs w:val="32"/>
          <w:lang w:val="en-US" w:eastAsia="zh-CN"/>
        </w:rPr>
        <w:t>没有按已计划的规定时间完成活动</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val="en-US" w:eastAsia="zh-CN"/>
        </w:rPr>
        <w:t>做好计划，并且严格执行</w:t>
      </w:r>
      <w:r>
        <w:rPr>
          <w:rFonts w:hint="eastAsia" w:ascii="仿宋_GB2312" w:hAnsi="仿宋_GB2312" w:eastAsia="仿宋_GB2312" w:cs="仿宋_GB2312"/>
          <w:sz w:val="32"/>
          <w:szCs w:val="32"/>
        </w:rPr>
        <w:t>。</w:t>
      </w:r>
    </w:p>
    <w:p>
      <w:pPr>
        <w:tabs>
          <w:tab w:val="left" w:pos="2305"/>
          <w:tab w:val="center" w:pos="4213"/>
        </w:tabs>
        <w:wordWrap/>
        <w:adjustRightInd/>
        <w:snapToGrid w:val="0"/>
        <w:spacing w:before="0" w:after="0" w:line="360" w:lineRule="auto"/>
        <w:ind w:left="-120" w:leftChars="-50" w:right="-120" w:rightChars="-50"/>
        <w:jc w:val="left"/>
        <w:textAlignment w:val="auto"/>
        <w:outlineLvl w:val="9"/>
        <w:rPr>
          <w:rFonts w:hint="eastAsia" w:ascii="仿宋_GB2312" w:hAnsi="宋体" w:eastAsia="仿宋_GB2312"/>
          <w:b/>
          <w:sz w:val="32"/>
          <w:szCs w:val="32"/>
          <w:lang w:val="en-US" w:eastAsia="zh-CN"/>
        </w:rPr>
      </w:pPr>
      <w:bookmarkStart w:id="0" w:name="_GoBack"/>
      <w:bookmarkEnd w:id="0"/>
    </w:p>
    <w:p>
      <w:pPr>
        <w:tabs>
          <w:tab w:val="left" w:pos="2305"/>
          <w:tab w:val="center" w:pos="4213"/>
        </w:tabs>
        <w:wordWrap/>
        <w:adjustRightInd/>
        <w:snapToGrid w:val="0"/>
        <w:spacing w:before="0" w:after="0" w:line="360" w:lineRule="auto"/>
        <w:ind w:left="-120" w:leftChars="-50" w:right="-120" w:rightChars="-50"/>
        <w:jc w:val="left"/>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ab/>
        <w:t>科协</w:t>
      </w:r>
      <w:r>
        <w:rPr>
          <w:rFonts w:hint="eastAsia" w:ascii="仿宋_GB2312" w:hAnsi="宋体" w:eastAsia="仿宋_GB2312"/>
          <w:b/>
          <w:sz w:val="32"/>
          <w:szCs w:val="32"/>
        </w:rPr>
        <w:t>绩效自评结果统计表</w:t>
      </w:r>
    </w:p>
    <w:p>
      <w:pPr>
        <w:adjustRightInd w:val="0"/>
        <w:snapToGrid w:val="0"/>
        <w:spacing w:line="580" w:lineRule="exact"/>
        <w:ind w:left="480" w:leftChars="200" w:firstLine="320" w:firstLineChars="100"/>
        <w:rPr>
          <w:rFonts w:hint="eastAsia" w:ascii="仿宋_GB2312" w:hAnsi="仿宋_GB2312" w:eastAsia="仿宋_GB2312" w:cs="仿宋_GB2312"/>
          <w:sz w:val="32"/>
          <w:szCs w:val="32"/>
          <w:highlight w:val="yellow"/>
        </w:rPr>
      </w:pPr>
    </w:p>
    <w:tbl>
      <w:tblPr>
        <w:tblStyle w:val="12"/>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left"/>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科普经费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老科协活动经费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left"/>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关于下达2023年基层科普行动计划补助资金</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right="-120" w:rightChars="-50"/>
              <w:jc w:val="right"/>
              <w:textAlignment w:val="auto"/>
              <w:outlineLvl w:val="9"/>
              <w:rPr>
                <w:rFonts w:hint="default" w:ascii="Times New Roman" w:hAnsi="Times New Roman" w:eastAsia="仿宋_GB2312" w:cs="Times New Roman"/>
                <w:kern w:val="0"/>
                <w:sz w:val="22"/>
                <w:szCs w:val="22"/>
                <w:lang w:val="en-US" w:eastAsia="zh-CN" w:bidi="ar-SA"/>
              </w:rPr>
            </w:pPr>
            <w:r>
              <w:rPr>
                <w:rFonts w:hint="eastAsia" w:ascii="Times New Roman" w:hAnsi="Times New Roman" w:eastAsia="仿宋_GB2312" w:cs="Times New Roman"/>
                <w:kern w:val="0"/>
                <w:sz w:val="22"/>
                <w:szCs w:val="22"/>
                <w:lang w:val="en-US" w:eastAsia="zh-CN" w:bidi="ar-SA"/>
              </w:rPr>
              <w:t>90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kern w:val="0"/>
                <w:sz w:val="22"/>
                <w:szCs w:val="22"/>
                <w:lang w:val="en-US" w:eastAsia="zh-CN" w:bidi="ar-SA"/>
              </w:rPr>
            </w:pPr>
            <w:r>
              <w:rPr>
                <w:rFonts w:hint="default" w:ascii="Times New Roman" w:hAnsi="Times New Roman" w:eastAsia="仿宋_GB2312" w:cs="Times New Roman"/>
                <w:kern w:val="0"/>
                <w:sz w:val="22"/>
                <w:szCs w:val="22"/>
              </w:rPr>
              <w:t xml:space="preserve"> 优 </w:t>
            </w:r>
          </w:p>
        </w:tc>
      </w:tr>
    </w:tbl>
    <w:p>
      <w:pPr>
        <w:rPr>
          <w:rFonts w:ascii="Times New Roman" w:hAnsi="Times New Roman" w:eastAsia="仿宋_GB2312" w:cs="Times New Roman"/>
          <w:sz w:val="32"/>
          <w:szCs w:val="32"/>
          <w:highlight w:val="yellow"/>
        </w:rPr>
      </w:pPr>
    </w:p>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 本</w:t>
      </w:r>
      <w:r>
        <w:rPr>
          <w:rFonts w:hint="eastAsia" w:ascii="Times New Roman" w:hAnsi="Times New Roman" w:eastAsia="仿宋_GB2312" w:cs="Times New Roman"/>
          <w:sz w:val="32"/>
          <w:szCs w:val="32"/>
          <w:lang w:val="en-US" w:eastAsia="zh-CN"/>
        </w:rPr>
        <w:t>单位</w:t>
      </w:r>
      <w:r>
        <w:rPr>
          <w:rFonts w:ascii="Times New Roman" w:hAnsi="Times New Roman" w:eastAsia="仿宋_GB2312" w:cs="Times New Roman"/>
          <w:sz w:val="32"/>
          <w:szCs w:val="32"/>
        </w:rPr>
        <w:t>2023年度无收支及结转结余情况，故</w:t>
      </w:r>
      <w:r>
        <w:rPr>
          <w:rFonts w:hint="eastAsia" w:ascii="Times New Roman" w:hAnsi="Times New Roman" w:eastAsia="仿宋_GB2312" w:cs="Times New Roman"/>
          <w:sz w:val="32"/>
          <w:szCs w:val="32"/>
          <w:lang w:val="en-US" w:eastAsia="zh-CN"/>
        </w:rPr>
        <w:t>07表</w:t>
      </w:r>
      <w:r>
        <w:rPr>
          <w:rFonts w:ascii="Times New Roman" w:hAnsi="Times New Roman" w:eastAsia="仿宋_GB2312" w:cs="Times New Roman"/>
          <w:sz w:val="32"/>
          <w:szCs w:val="32"/>
        </w:rPr>
        <w:t>以空表列示。</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adjustRightInd w:val="0"/>
        <w:snapToGrid w:val="0"/>
        <w:spacing w:line="580" w:lineRule="exact"/>
        <w:ind w:firstLine="640" w:firstLineChars="200"/>
        <w:rPr>
          <w:rFonts w:ascii="Times New Roman" w:hAnsi="Times New Roman" w:eastAsia="仿宋_GB2312" w:cs="Times New Roman"/>
          <w:sz w:val="32"/>
          <w:szCs w:val="32"/>
        </w:rPr>
      </w:pPr>
    </w:p>
    <w:p>
      <w:pPr>
        <w:widowControl/>
        <w:spacing w:line="580" w:lineRule="exact"/>
        <w:ind w:firstLine="883" w:firstLineChars="200"/>
        <w:jc w:val="left"/>
        <w:rPr>
          <w:rFonts w:ascii="Times New Roman" w:hAnsi="Times New Roman" w:eastAsia="宋体" w:cs="Times New Roman"/>
          <w:b/>
          <w:bCs/>
          <w:sz w:val="44"/>
          <w:szCs w:val="44"/>
        </w:rPr>
      </w:pPr>
    </w:p>
    <w:p>
      <w:pPr>
        <w:rPr>
          <w:rFonts w:ascii="Times New Roman" w:hAnsi="Times New Roman" w:eastAsia="仿宋_GB2312" w:cs="Times New Roman"/>
          <w:sz w:val="32"/>
          <w:szCs w:val="32"/>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rPr>
          <w:rFonts w:ascii="Times New Roman" w:hAnsi="Times New Roman" w:eastAsia="仿宋_GB2312" w:cs="Times New Roman"/>
          <w:sz w:val="32"/>
          <w:szCs w:val="32"/>
        </w:rPr>
      </w:pPr>
    </w:p>
    <w:p>
      <w:pPr>
        <w:rPr>
          <w:rFonts w:ascii="Times New Roman" w:hAnsi="Times New Roman" w:eastAsia="仿宋_GB2312" w:cs="Times New Roman"/>
          <w:bCs/>
          <w:sz w:val="32"/>
          <w:szCs w:val="32"/>
          <w:highlight w:val="yellow"/>
        </w:rPr>
      </w:pPr>
      <w:r>
        <w:rPr>
          <w:rFonts w:ascii="Times New Roman" w:hAnsi="Times New Roman" w:eastAsia="仿宋_GB2312" w:cs="Times New Roman"/>
          <w:sz w:val="32"/>
          <w:szCs w:val="32"/>
          <w:highlight w:val="yellow"/>
        </w:rPr>
        <w:t>(各部门应根据本部门实际情况,对公开的本部门决算信息中相关专业性较强的名词进行必要解释和说明，包含但不限于以下名词解释。)</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入。主要是事业单位固定资产出租收入、存款利息收入等。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r>
        <w:rPr>
          <w:rFonts w:hint="eastAsia" w:ascii="Times New Roman" w:hAnsi="Times New Roman" w:eastAsia="仿宋_GB2312" w:cs="Times New Roman"/>
          <w:sz w:val="32"/>
          <w:szCs w:val="32"/>
        </w:rPr>
        <w:t>。</w:t>
      </w:r>
    </w:p>
    <w:p>
      <w:pPr>
        <w:rPr>
          <w:rFonts w:ascii="Times New Roman" w:hAnsi="Times New Roman" w:cs="Times New Roman"/>
        </w:rPr>
      </w:pPr>
    </w:p>
    <w:p>
      <w:pPr>
        <w:pStyle w:val="11"/>
        <w:widowControl/>
        <w:spacing w:beforeAutospacing="0" w:afterAutospacing="0"/>
        <w:rPr>
          <w:rFonts w:ascii="Times New Roman" w:hAnsi="Times New Roman" w:eastAsia="仿宋_GB2312"/>
          <w:color w:val="333333"/>
          <w:sz w:val="33"/>
          <w:szCs w:val="33"/>
          <w:shd w:val="clear" w:color="auto" w:fill="FFFFFF"/>
        </w:rPr>
      </w:pPr>
    </w:p>
    <w:p>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38658F5C-309A-4AF4-81F4-CE3B29F949A6}"/>
  </w:font>
  <w:font w:name="Arial">
    <w:panose1 w:val="020B0604020202020204"/>
    <w:charset w:val="01"/>
    <w:family w:val="swiss"/>
    <w:pitch w:val="default"/>
    <w:sig w:usb0="E0002EFF" w:usb1="C000785B" w:usb2="00000009" w:usb3="00000000" w:csb0="400001FF" w:csb1="FFFF0000"/>
    <w:embedRegular r:id="rId2" w:fontKey="{98DCE414-D08C-4984-9D54-8D48CBD433FE}"/>
  </w:font>
  <w:font w:name="黑体">
    <w:panose1 w:val="02010609060101010101"/>
    <w:charset w:val="86"/>
    <w:family w:val="auto"/>
    <w:pitch w:val="default"/>
    <w:sig w:usb0="800002BF" w:usb1="38CF7CFA" w:usb2="00000016" w:usb3="00000000" w:csb0="00040001" w:csb1="00000000"/>
    <w:embedRegular r:id="rId3" w:fontKey="{61F15905-BBBE-445A-AA3F-F76BDB7CE22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4" w:fontKey="{5A623854-1868-4658-94AA-8FC2DDF3F122}"/>
  </w:font>
  <w:font w:name="仿宋">
    <w:panose1 w:val="02010609060101010101"/>
    <w:charset w:val="86"/>
    <w:family w:val="modern"/>
    <w:pitch w:val="default"/>
    <w:sig w:usb0="800002BF" w:usb1="38CF7CFA" w:usb2="00000016" w:usb3="00000000" w:csb0="00040001" w:csb1="00000000"/>
    <w:embedRegular r:id="rId5" w:fontKey="{18C99DFE-3C94-400C-8A28-F961BE97C7E4}"/>
  </w:font>
  <w:font w:name="Calibri Light">
    <w:panose1 w:val="020F0302020204030204"/>
    <w:charset w:val="00"/>
    <w:family w:val="auto"/>
    <w:pitch w:val="default"/>
    <w:sig w:usb0="E0002AFF" w:usb1="C0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方正魏碑简体">
    <w:panose1 w:val="02000000000000000000"/>
    <w:charset w:val="86"/>
    <w:family w:val="auto"/>
    <w:pitch w:val="default"/>
    <w:sig w:usb0="00000000" w:usb1="00000000" w:usb2="00000000" w:usb3="00000000" w:csb0="00000000" w:csb1="00000000"/>
    <w:embedRegular r:id="rId6" w:fontKey="{59144C48-E695-4E07-AA03-FA0278D591BE}"/>
  </w:font>
  <w:font w:name="思源黑体 CN Heavy">
    <w:altName w:val="黑体"/>
    <w:panose1 w:val="00000000000000000000"/>
    <w:charset w:val="86"/>
    <w:family w:val="swiss"/>
    <w:pitch w:val="default"/>
    <w:sig w:usb0="00000000" w:usb1="00000000" w:usb2="00000016" w:usb3="00000000" w:csb0="00060107" w:csb1="00000000"/>
    <w:embedRegular r:id="rId7" w:fontKey="{AD8DFA1B-6C04-4862-A943-62419D82463F}"/>
  </w:font>
  <w:font w:name="楷体_GB2312">
    <w:altName w:val="楷体"/>
    <w:panose1 w:val="00000000000000000000"/>
    <w:charset w:val="86"/>
    <w:family w:val="auto"/>
    <w:pitch w:val="default"/>
    <w:sig w:usb0="00000000" w:usb1="00000000" w:usb2="00000000" w:usb3="00000000" w:csb0="00040000" w:csb1="00000000"/>
    <w:embedRegular r:id="rId8" w:fontKey="{B6D190A0-65A9-4601-B1E1-3FE834B8A10B}"/>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0" w:usb1="00000000" w:usb2="00000000" w:usb3="00000000" w:csb0="00000000" w:csb1="00000000"/>
    <w:embedRegular r:id="rId9" w:fontKey="{1CBDC7F4-132F-40FD-BE7B-918C78DBAC04}"/>
  </w:font>
  <w:font w:name="ArialUnicodeMS">
    <w:altName w:val="Malgun Gothic"/>
    <w:panose1 w:val="00000000000000000000"/>
    <w:charset w:val="81"/>
    <w:family w:val="auto"/>
    <w:pitch w:val="default"/>
    <w:sig w:usb0="00000000" w:usb1="00000000" w:usb2="00000010" w:usb3="00000000" w:csb0="00080001" w:csb1="00000000"/>
    <w:embedRegular r:id="rId10" w:fontKey="{87DEC875-43FA-4EEE-B4DC-3560DDD2A8A6}"/>
  </w:font>
  <w:font w:name="方正仿宋_GB2312">
    <w:altName w:val="仿宋"/>
    <w:panose1 w:val="00000000000000000000"/>
    <w:charset w:val="86"/>
    <w:family w:val="auto"/>
    <w:pitch w:val="default"/>
    <w:sig w:usb0="00000000" w:usb1="00000000" w:usb2="00000000" w:usb3="00000000" w:csb0="00000000" w:csb1="00000000"/>
    <w:embedRegular r:id="rId11" w:fontKey="{0AD03B58-8FC2-49F2-88D9-DFADB0524EC9}"/>
  </w:font>
  <w:font w:name="Malgun Gothic">
    <w:panose1 w:val="020B0503020000020004"/>
    <w:charset w:val="81"/>
    <w:family w:val="auto"/>
    <w:pitch w:val="default"/>
    <w:sig w:usb0="9000002F" w:usb1="29D77CFB" w:usb2="00000012" w:usb3="00000000" w:csb0="00080001" w:csb1="00000000"/>
  </w:font>
  <w:font w:name="仿宋_GB2312">
    <w:panose1 w:val="02010609030101010101"/>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9525331"/>
    <w:multiLevelType w:val="singleLevel"/>
    <w:tmpl w:val="D9525331"/>
    <w:lvl w:ilvl="0" w:tentative="0">
      <w:start w:val="1"/>
      <w:numFmt w:val="decimal"/>
      <w:lvlText w:val="%1."/>
      <w:lvlJc w:val="left"/>
      <w:pPr>
        <w:tabs>
          <w:tab w:val="left" w:pos="312"/>
        </w:tabs>
      </w:p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5F222FFA"/>
    <w:multiLevelType w:val="singleLevel"/>
    <w:tmpl w:val="5F222FFA"/>
    <w:lvl w:ilvl="0" w:tentative="0">
      <w:start w:val="1"/>
      <w:numFmt w:val="decimal"/>
      <w:suff w:val="nothing"/>
      <w:lvlText w:val="（%1）"/>
      <w:lvlJc w:val="left"/>
      <w:pPr>
        <w:ind w:left="-1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TrueTypeFonts/>
  <w:saveSubset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0E17DA"/>
    <w:rsid w:val="00086151"/>
    <w:rsid w:val="000E17DA"/>
    <w:rsid w:val="00236F8C"/>
    <w:rsid w:val="008E12CF"/>
    <w:rsid w:val="0096690D"/>
    <w:rsid w:val="00AE05D6"/>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5D37BEF"/>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1405C7"/>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3DD7059"/>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A937E5"/>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CE87FE6"/>
    <w:rsid w:val="3D305D4F"/>
    <w:rsid w:val="3D446B0E"/>
    <w:rsid w:val="3D953A6B"/>
    <w:rsid w:val="3DBB2CD5"/>
    <w:rsid w:val="3DBB5979"/>
    <w:rsid w:val="3E0B0D21"/>
    <w:rsid w:val="3E1057AF"/>
    <w:rsid w:val="3E6C0DFA"/>
    <w:rsid w:val="3E740322"/>
    <w:rsid w:val="3E7F4380"/>
    <w:rsid w:val="3E8D171B"/>
    <w:rsid w:val="3E8E5574"/>
    <w:rsid w:val="3EA5630D"/>
    <w:rsid w:val="3EBA731B"/>
    <w:rsid w:val="3ECB44CE"/>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9B2D6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Normal Indent1"/>
    <w:basedOn w:val="1"/>
    <w:qFormat/>
    <w:uiPriority w:val="99"/>
    <w:pPr>
      <w:ind w:firstLine="420" w:firstLineChars="200"/>
    </w:p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Autospacing="1" w:afterAutospacing="1"/>
      <w:jc w:val="left"/>
    </w:pPr>
    <w:rPr>
      <w:rFonts w:cs="Times New Roman"/>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8.emf"/><Relationship Id="rId26" Type="http://schemas.openxmlformats.org/officeDocument/2006/relationships/oleObject" Target="embeddings/oleObject3.bin"/><Relationship Id="rId25" Type="http://schemas.openxmlformats.org/officeDocument/2006/relationships/image" Target="media/image7.emf"/><Relationship Id="rId24" Type="http://schemas.openxmlformats.org/officeDocument/2006/relationships/oleObject" Target="embeddings/oleObject2.bin"/><Relationship Id="rId23" Type="http://schemas.openxmlformats.org/officeDocument/2006/relationships/image" Target="media/image6.emf"/><Relationship Id="rId22" Type="http://schemas.openxmlformats.org/officeDocument/2006/relationships/oleObject" Target="embeddings/oleObject1.bin"/><Relationship Id="rId21" Type="http://schemas.openxmlformats.org/officeDocument/2006/relationships/chart" Target="charts/chart6.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1.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311.91</c:v>
                </c:pt>
                <c:pt idx="1">
                  <c:v>249.65</c:v>
                </c:pt>
              </c:numCache>
            </c:numRef>
          </c:val>
        </c:ser>
        <c:dLbls>
          <c:showLegendKey val="0"/>
          <c:showVal val="1"/>
          <c:showCatName val="0"/>
          <c:showSerName val="0"/>
          <c:showPercent val="0"/>
          <c:showBubbleSize val="0"/>
        </c:dLbls>
        <c:gapWidth val="246"/>
        <c:overlap val="-28"/>
        <c:axId val="92457984"/>
        <c:axId val="92477312"/>
      </c:barChart>
      <c:catAx>
        <c:axId val="9245798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2477312"/>
        <c:crosses val="autoZero"/>
        <c:auto val="1"/>
        <c:lblAlgn val="ctr"/>
        <c:lblOffset val="100"/>
        <c:noMultiLvlLbl val="0"/>
      </c:catAx>
      <c:valAx>
        <c:axId val="9247731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24579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2496538.72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2254098.72</c:v>
                </c:pt>
                <c:pt idx="1">
                  <c:v>242440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306.97</c:v>
                </c:pt>
                <c:pt idx="1">
                  <c:v>311.57</c:v>
                </c:pt>
                <c:pt idx="2">
                  <c:v>306.97</c:v>
                </c:pt>
                <c:pt idx="3">
                  <c:v>311.57</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249.65</c:v>
                </c:pt>
                <c:pt idx="1">
                  <c:v>249.65</c:v>
                </c:pt>
                <c:pt idx="2">
                  <c:v>249.65</c:v>
                </c:pt>
                <c:pt idx="3">
                  <c:v>249.65</c:v>
                </c:pt>
                <c:pt idx="4">
                  <c:v>0</c:v>
                </c:pt>
                <c:pt idx="5">
                  <c:v>0</c:v>
                </c:pt>
                <c:pt idx="6">
                  <c:v>0</c:v>
                </c:pt>
                <c:pt idx="7">
                  <c:v>0</c:v>
                </c:pt>
              </c:numCache>
            </c:numRef>
          </c:val>
        </c:ser>
        <c:dLbls>
          <c:showLegendKey val="0"/>
          <c:showVal val="1"/>
          <c:showCatName val="0"/>
          <c:showSerName val="0"/>
          <c:showPercent val="0"/>
          <c:showBubbleSize val="0"/>
        </c:dLbls>
        <c:gapWidth val="246"/>
        <c:overlap val="-28"/>
        <c:axId val="93599232"/>
        <c:axId val="93600768"/>
      </c:barChart>
      <c:catAx>
        <c:axId val="93599232"/>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600768"/>
        <c:crosses val="autoZero"/>
        <c:auto val="1"/>
        <c:lblAlgn val="ctr"/>
        <c:lblOffset val="100"/>
        <c:noMultiLvlLbl val="0"/>
      </c:catAx>
      <c:valAx>
        <c:axId val="9360076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59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241.57</c:v>
                </c:pt>
                <c:pt idx="1">
                  <c:v>241.57</c:v>
                </c:pt>
                <c:pt idx="2">
                  <c:v>241.57</c:v>
                </c:pt>
                <c:pt idx="3">
                  <c:v>241.57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249.65</c:v>
                </c:pt>
                <c:pt idx="1">
                  <c:v>249.65</c:v>
                </c:pt>
                <c:pt idx="2">
                  <c:v>249.65</c:v>
                </c:pt>
                <c:pt idx="3">
                  <c:v>249.65</c:v>
                </c:pt>
                <c:pt idx="4">
                  <c:v>0</c:v>
                </c:pt>
                <c:pt idx="5">
                  <c:v>0</c:v>
                </c:pt>
                <c:pt idx="6">
                  <c:v>0</c:v>
                </c:pt>
                <c:pt idx="7">
                  <c:v>0</c:v>
                </c:pt>
              </c:numCache>
            </c:numRef>
          </c:val>
        </c:ser>
        <c:dLbls>
          <c:showLegendKey val="0"/>
          <c:showVal val="1"/>
          <c:showCatName val="0"/>
          <c:showSerName val="0"/>
          <c:showPercent val="0"/>
          <c:showBubbleSize val="0"/>
        </c:dLbls>
        <c:gapWidth val="150"/>
        <c:axId val="96028928"/>
        <c:axId val="96043008"/>
      </c:barChart>
      <c:catAx>
        <c:axId val="9602892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6043008"/>
        <c:crosses val="autoZero"/>
        <c:auto val="1"/>
        <c:lblAlgn val="ctr"/>
        <c:lblOffset val="100"/>
        <c:noMultiLvlLbl val="0"/>
      </c:catAx>
      <c:valAx>
        <c:axId val="9604300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602892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155.83</c:v>
                </c:pt>
                <c:pt idx="1">
                  <c:v>0</c:v>
                </c:pt>
                <c:pt idx="2">
                  <c:v>0</c:v>
                </c:pt>
                <c:pt idx="3">
                  <c:v>0</c:v>
                </c:pt>
                <c:pt idx="4">
                  <c:v>24.24</c:v>
                </c:pt>
                <c:pt idx="5">
                  <c:v>0</c:v>
                </c:pt>
                <c:pt idx="6">
                  <c:v>42.18</c:v>
                </c:pt>
                <c:pt idx="7">
                  <c:v>10.97</c:v>
                </c:pt>
                <c:pt idx="8">
                  <c:v>0</c:v>
                </c:pt>
                <c:pt idx="9">
                  <c:v>0</c:v>
                </c:pt>
                <c:pt idx="10">
                  <c:v>0</c:v>
                </c:pt>
                <c:pt idx="11">
                  <c:v>0</c:v>
                </c:pt>
                <c:pt idx="12">
                  <c:v>0</c:v>
                </c:pt>
                <c:pt idx="13">
                  <c:v>0</c:v>
                </c:pt>
                <c:pt idx="14">
                  <c:v>0</c:v>
                </c:pt>
                <c:pt idx="15">
                  <c:v>0</c:v>
                </c:pt>
                <c:pt idx="16">
                  <c:v>16.42</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Pages>
  <Words>2274</Words>
  <Characters>12963</Characters>
  <Lines>108</Lines>
  <Paragraphs>30</Paragraphs>
  <TotalTime>0</TotalTime>
  <ScaleCrop>false</ScaleCrop>
  <LinksUpToDate>false</LinksUpToDate>
  <CharactersWithSpaces>15207</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2024-09-23T02:36:00Z</dcterms:created>
  <dc:creator>王明新TIAD</dc:creator>
  <cp:lastModifiedBy>得了，在这歇会吧</cp:lastModifiedBy>
  <cp:lastPrinted>2023-08-04T01:00:00Z</cp:lastPrinted>
  <dcterms:modified xsi:type="dcterms:W3CDTF">2024-09-26T01:32:55Z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