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center"/>
        <w:rPr>
          <w:rFonts w:ascii="楷体_GB2312" w:hAnsi="楷体_GB2312" w:eastAsia="楷体_GB2312" w:cs="楷体_GB2312"/>
          <w:color w:val="000000"/>
          <w:sz w:val="40"/>
          <w:szCs w:val="40"/>
        </w:rPr>
      </w:pPr>
    </w:p>
    <w:p>
      <w:pPr>
        <w:rPr>
          <w:rFonts w:ascii="黑体" w:hAnsi="黑体" w:eastAsia="黑体" w:cs="黑体"/>
          <w:b/>
          <w:bCs/>
          <w:sz w:val="32"/>
          <w:szCs w:val="36"/>
          <w:highlight w:val="yellow"/>
        </w:rPr>
      </w:pPr>
    </w:p>
    <w:p>
      <w:pPr>
        <w:jc w:val="center"/>
        <w:rPr>
          <w:rFonts w:hint="eastAsia" w:ascii="宋体" w:hAnsi="宋体" w:eastAsia="宋体" w:cs="宋体"/>
          <w:b/>
          <w:bCs/>
          <w:spacing w:val="-20"/>
          <w:sz w:val="44"/>
          <w:szCs w:val="44"/>
        </w:rPr>
      </w:pPr>
      <w:r>
        <w:rPr>
          <w:rFonts w:hint="eastAsia" w:ascii="宋体" w:hAnsi="宋体" w:eastAsia="宋体" w:cs="宋体"/>
          <w:b/>
          <w:bCs/>
          <w:spacing w:val="-20"/>
          <w:sz w:val="44"/>
          <w:szCs w:val="44"/>
        </w:rPr>
        <w:t>2023年度</w:t>
      </w:r>
      <w:r>
        <w:rPr>
          <w:rFonts w:hint="eastAsia" w:ascii="宋体" w:hAnsi="宋体" w:eastAsia="宋体" w:cs="宋体"/>
          <w:color w:val="000000"/>
          <w:spacing w:val="-20"/>
          <w:sz w:val="44"/>
          <w:szCs w:val="44"/>
          <w:shd w:val="clear" w:color="auto" w:fill="FFFFFF"/>
        </w:rPr>
        <w:t>单位</w:t>
      </w:r>
      <w:r>
        <w:rPr>
          <w:rFonts w:hint="eastAsia" w:ascii="宋体" w:hAnsi="宋体" w:eastAsia="宋体" w:cs="宋体"/>
          <w:b/>
          <w:bCs/>
          <w:spacing w:val="-20"/>
          <w:sz w:val="44"/>
          <w:szCs w:val="44"/>
        </w:rPr>
        <w:t>决算公开文本</w:t>
      </w:r>
    </w:p>
    <w:p>
      <w:pPr>
        <w:spacing w:line="360" w:lineRule="auto"/>
        <w:jc w:val="center"/>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hint="eastAsia" w:ascii="黑体" w:hAnsi="黑体" w:eastAsia="黑体" w:cs="黑体"/>
          <w:sz w:val="56"/>
          <w:szCs w:val="72"/>
        </w:rPr>
      </w:pPr>
    </w:p>
    <w:p>
      <w:pPr>
        <w:spacing w:line="600" w:lineRule="auto"/>
        <w:jc w:val="center"/>
        <w:rPr>
          <w:rFonts w:hint="eastAsia" w:ascii="黑体" w:hAnsi="黑体" w:eastAsia="黑体" w:cs="黑体"/>
          <w:sz w:val="56"/>
          <w:szCs w:val="72"/>
        </w:rPr>
      </w:pPr>
    </w:p>
    <w:p>
      <w:pPr>
        <w:spacing w:line="600" w:lineRule="auto"/>
        <w:jc w:val="center"/>
        <w:rPr>
          <w:rFonts w:hint="eastAsia"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rPr>
          <w:rFonts w:hint="eastAsia" w:ascii="仿宋" w:hAnsi="仿宋" w:eastAsia="仿宋" w:cs="仿宋"/>
          <w:sz w:val="32"/>
          <w:szCs w:val="32"/>
        </w:rPr>
      </w:pPr>
    </w:p>
    <w:p>
      <w:pPr>
        <w:snapToGrid w:val="0"/>
        <w:jc w:val="center"/>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rPr>
        <w:t>石家庄市鹿泉区供销合作社</w:t>
      </w:r>
    </w:p>
    <w:p>
      <w:pPr>
        <w:snapToGrid w:val="0"/>
        <w:jc w:val="center"/>
        <w:rPr>
          <w:rFonts w:hint="eastAsia" w:ascii="仿宋" w:hAnsi="仿宋" w:eastAsia="仿宋" w:cs="仿宋"/>
          <w:color w:val="000000" w:themeColor="text1"/>
          <w:sz w:val="32"/>
          <w:szCs w:val="32"/>
        </w:rPr>
        <w:sectPr>
          <w:headerReference r:id="rId5" w:type="first"/>
          <w:footerReference r:id="rId8" w:type="first"/>
          <w:headerReference r:id="rId3" w:type="default"/>
          <w:footerReference r:id="rId6" w:type="default"/>
          <w:headerReference r:id="rId4" w:type="even"/>
          <w:footerReference r:id="rId7" w:type="even"/>
          <w:pgSz w:w="11906" w:h="16838"/>
          <w:pgMar w:top="1134" w:right="1134" w:bottom="1134" w:left="1134" w:header="851" w:footer="992" w:gutter="0"/>
          <w:cols w:space="720" w:num="1"/>
          <w:docGrid w:type="lines" w:linePitch="312" w:charSpace="0"/>
        </w:sectPr>
      </w:pPr>
      <w:r>
        <w:rPr>
          <w:rFonts w:hint="eastAsia" w:ascii="仿宋" w:hAnsi="仿宋" w:eastAsia="仿宋" w:cs="仿宋"/>
          <w:color w:val="000000" w:themeColor="text1"/>
          <w:sz w:val="32"/>
          <w:szCs w:val="32"/>
        </w:rPr>
        <w:t>二〇二四年八月</w:t>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rPr>
        <w:t>单位概况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一、单位职责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1280" w:firstLineChars="4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单位概况</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一、单位职责</w:t>
      </w:r>
    </w:p>
    <w:p>
      <w:pPr>
        <w:pStyle w:val="10"/>
        <w:widowControl/>
        <w:shd w:val="clear" w:color="auto" w:fill="FFFFFF"/>
        <w:spacing w:beforeAutospacing="0" w:afterAutospacing="0"/>
        <w:rPr>
          <w:sz w:val="28"/>
          <w:szCs w:val="28"/>
        </w:rPr>
      </w:pPr>
      <w:r>
        <w:rPr>
          <w:rFonts w:ascii="Arial" w:hAnsi="Arial" w:eastAsia="Arial" w:cs="Arial"/>
          <w:color w:val="000000"/>
          <w:sz w:val="18"/>
          <w:szCs w:val="18"/>
          <w:shd w:val="clear" w:color="auto" w:fill="FFFFFF"/>
        </w:rPr>
        <w:t> </w:t>
      </w:r>
      <w:r>
        <w:rPr>
          <w:rFonts w:hint="eastAsia" w:ascii="Arial" w:hAnsi="Arial" w:cs="Arial"/>
          <w:color w:val="000000"/>
          <w:sz w:val="18"/>
          <w:szCs w:val="18"/>
          <w:shd w:val="clear" w:color="auto" w:fill="FFFFFF"/>
        </w:rPr>
        <w:t xml:space="preserve">   </w:t>
      </w:r>
      <w:r>
        <w:rPr>
          <w:rFonts w:hint="eastAsia" w:ascii="Arial" w:hAnsi="Arial" w:cs="Arial"/>
          <w:color w:val="000000"/>
          <w:sz w:val="28"/>
          <w:szCs w:val="28"/>
          <w:shd w:val="clear" w:color="auto" w:fill="FFFFFF"/>
        </w:rPr>
        <w:t xml:space="preserve"> </w:t>
      </w:r>
      <w:r>
        <w:rPr>
          <w:sz w:val="28"/>
          <w:szCs w:val="28"/>
        </w:rPr>
        <w:t>负责宣传、贯彻中央、省、市有关供销合作社发展的方针、政策，参与研究和实施农村经济改革发展规划；</w:t>
      </w:r>
    </w:p>
    <w:p>
      <w:pPr>
        <w:pStyle w:val="25"/>
      </w:pPr>
      <w:r>
        <w:t>推进农村建设现代流通网络体系建设；</w:t>
      </w:r>
    </w:p>
    <w:p>
      <w:pPr>
        <w:pStyle w:val="25"/>
      </w:pPr>
      <w:r>
        <w:t>负责社有企业的改革发展稳定，指导社有资产运营等相关工作；</w:t>
      </w:r>
    </w:p>
    <w:p>
      <w:pPr>
        <w:pStyle w:val="25"/>
      </w:pPr>
      <w:r>
        <w:t>负责全区再生资源回收利用服务工作，规范回收从业行为，参与垃圾分类工作，促进再生资源行业健康、有序发展；</w:t>
      </w:r>
    </w:p>
    <w:p>
      <w:pPr>
        <w:pStyle w:val="25"/>
      </w:pPr>
      <w:r>
        <w:t>负责农村产权交易市场体系建设相关工作。</w:t>
      </w:r>
    </w:p>
    <w:p>
      <w:pPr>
        <w:pStyle w:val="25"/>
      </w:pPr>
      <w:r>
        <w:t>做好供销合作社系统综合事务管理，处理好改制遗留问题，突出抓好系统内商品经营安全和商场、市场等人员密集场所消防安全，做好区供销合作社退役人员的安置帮扶工作。</w:t>
      </w:r>
    </w:p>
    <w:p>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pPr>
        <w:pStyle w:val="10"/>
        <w:widowControl/>
        <w:shd w:val="clear" w:color="auto" w:fill="FFFFFF"/>
        <w:spacing w:beforeAutospacing="0" w:afterAutospacing="0"/>
        <w:ind w:firstLine="640" w:firstLineChars="200"/>
        <w:rPr>
          <w:rFonts w:ascii="仿宋_GB2312" w:hAnsi="仿宋_GB2312" w:eastAsia="仿宋_GB2312" w:cs="仿宋_GB2312"/>
          <w:sz w:val="32"/>
          <w:szCs w:val="32"/>
          <w:shd w:val="clear" w:color="auto" w:fill="FFFFFF"/>
        </w:rPr>
      </w:pPr>
      <w:r>
        <w:rPr>
          <w:rFonts w:ascii="仿宋_GB2312" w:hAnsi="仿宋_GB2312" w:eastAsia="仿宋_GB2312" w:cs="仿宋_GB2312"/>
          <w:sz w:val="32"/>
          <w:szCs w:val="32"/>
          <w:shd w:val="clear" w:color="auto" w:fill="FFFFFF"/>
        </w:rPr>
        <w:t>从决算编报</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构成看，纳入</w:t>
      </w:r>
      <w:r>
        <w:rPr>
          <w:rFonts w:hint="eastAsia" w:ascii="仿宋_GB2312" w:hAnsi="仿宋_GB2312" w:eastAsia="仿宋_GB2312" w:cs="仿宋_GB2312"/>
          <w:sz w:val="32"/>
          <w:szCs w:val="32"/>
          <w:shd w:val="clear" w:color="auto" w:fill="FFFFFF"/>
        </w:rPr>
        <w:t>2023</w:t>
      </w:r>
      <w:r>
        <w:rPr>
          <w:rFonts w:ascii="仿宋_GB2312" w:hAnsi="仿宋_GB2312" w:eastAsia="仿宋_GB2312" w:cs="仿宋_GB2312"/>
          <w:sz w:val="32"/>
          <w:szCs w:val="32"/>
          <w:shd w:val="clear" w:color="auto" w:fill="FFFFFF"/>
        </w:rPr>
        <w:t>年度</w:t>
      </w:r>
      <w:r>
        <w:rPr>
          <w:rFonts w:hint="eastAsia" w:ascii="仿宋_GB2312" w:hAnsi="仿宋_GB2312" w:eastAsia="仿宋_GB2312" w:cs="仿宋_GB2312"/>
          <w:sz w:val="32"/>
          <w:szCs w:val="32"/>
          <w:shd w:val="clear" w:color="auto" w:fill="FFFFFF"/>
        </w:rPr>
        <w:t>本部门</w:t>
      </w:r>
      <w:r>
        <w:rPr>
          <w:rFonts w:ascii="仿宋_GB2312" w:hAnsi="仿宋_GB2312" w:eastAsia="仿宋_GB2312" w:cs="仿宋_GB2312"/>
          <w:sz w:val="32"/>
          <w:szCs w:val="32"/>
          <w:shd w:val="clear" w:color="auto" w:fill="FFFFFF"/>
        </w:rPr>
        <w:t>决算汇编范围的独立核算</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（以下简称“</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 xml:space="preserve">”）共 </w:t>
      </w:r>
      <w:r>
        <w:rPr>
          <w:rFonts w:hint="eastAsia" w:ascii="仿宋_GB2312" w:hAnsi="仿宋_GB2312" w:eastAsia="仿宋_GB2312" w:cs="仿宋_GB2312"/>
          <w:sz w:val="32"/>
          <w:szCs w:val="32"/>
          <w:shd w:val="clear" w:color="auto" w:fill="FFFFFF"/>
        </w:rPr>
        <w:t>1</w:t>
      </w:r>
      <w:r>
        <w:rPr>
          <w:rFonts w:ascii="仿宋_GB2312" w:hAnsi="仿宋_GB2312" w:eastAsia="仿宋_GB2312" w:cs="仿宋_GB2312"/>
          <w:sz w:val="32"/>
          <w:szCs w:val="32"/>
          <w:shd w:val="clear" w:color="auto"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pPr>
              <w:spacing w:line="560" w:lineRule="exact"/>
              <w:rPr>
                <w:rFonts w:hint="eastAsia" w:ascii="仿宋_GB2312" w:hAnsi="Calibri" w:eastAsia="仿宋_GB2312" w:cs="ArialUnicodeMS"/>
                <w:sz w:val="28"/>
                <w:szCs w:val="28"/>
                <w:lang w:eastAsia="zh-CN"/>
              </w:rPr>
            </w:pPr>
            <w:r>
              <w:rPr>
                <w:rFonts w:hint="eastAsia" w:ascii="宋体" w:hAnsi="宋体" w:eastAsia="宋体"/>
                <w:sz w:val="28"/>
                <w:szCs w:val="28"/>
              </w:rPr>
              <w:t>石家庄市鹿泉区供销合作社</w:t>
            </w:r>
            <w:r>
              <w:rPr>
                <w:rFonts w:hint="eastAsia" w:ascii="仿宋_GB2312" w:hAnsi="Calibri" w:eastAsia="仿宋_GB2312" w:cs="ArialUnicodeMS"/>
                <w:sz w:val="28"/>
                <w:szCs w:val="28"/>
                <w:lang w:eastAsia="zh-CN"/>
              </w:rPr>
              <w:t>（</w:t>
            </w:r>
            <w:r>
              <w:rPr>
                <w:rFonts w:hint="eastAsia" w:ascii="仿宋_GB2312" w:hAnsi="Calibri" w:eastAsia="仿宋_GB2312" w:cs="ArialUnicodeMS"/>
                <w:sz w:val="28"/>
                <w:szCs w:val="28"/>
              </w:rPr>
              <w:t>本级</w:t>
            </w:r>
            <w:r>
              <w:rPr>
                <w:rFonts w:hint="eastAsia" w:ascii="仿宋_GB2312" w:hAnsi="Calibri" w:eastAsia="仿宋_GB2312" w:cs="ArialUnicodeMS"/>
                <w:sz w:val="28"/>
                <w:szCs w:val="28"/>
                <w:lang w:eastAsia="zh-CN"/>
              </w:rPr>
              <w:t>）</w:t>
            </w:r>
          </w:p>
        </w:tc>
        <w:tc>
          <w:tcPr>
            <w:tcW w:w="244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财政补助事业单位</w:t>
            </w:r>
          </w:p>
        </w:tc>
        <w:tc>
          <w:tcPr>
            <w:tcW w:w="2665" w:type="dxa"/>
          </w:tcPr>
          <w:p>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sz w:val="28"/>
                <w:szCs w:val="28"/>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tc>
      </w:tr>
    </w:tbl>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rPr>
        <w:t>我部门无二级预算单位，因此，石家庄市鹿泉区供销合作社2023年度部门决算即石家庄市鹿泉区供销合作社本级2023年度决算。</w:t>
      </w:r>
    </w:p>
    <w:p>
      <w:pPr>
        <w:rPr>
          <w:rFonts w:ascii="Times New Roman" w:hAnsi="Times New Roman" w:eastAsia="黑体" w:cs="Times New Roman"/>
          <w:sz w:val="32"/>
          <w:szCs w:val="32"/>
        </w:rPr>
      </w:pPr>
      <w:r>
        <w:rPr>
          <w:rFonts w:hint="eastAsia" w:ascii="Times New Roman" w:hAnsi="Times New Roman" w:eastAsia="黑体" w:cs="Times New Roman"/>
          <w:sz w:val="32"/>
          <w:szCs w:val="32"/>
        </w:rPr>
        <w:br w:type="page"/>
      </w:r>
    </w:p>
    <w:p>
      <w:pPr>
        <w:widowControl/>
        <w:spacing w:after="160" w:line="580" w:lineRule="exact"/>
        <w:ind w:firstLine="640" w:firstLineChars="200"/>
        <w:rPr>
          <w:rFonts w:ascii="Times New Roman" w:hAnsi="Times New Roman" w:eastAsia="黑体" w:cs="Times New Roman"/>
          <w:sz w:val="32"/>
          <w:szCs w:val="32"/>
          <w:highlight w:val="yellow"/>
        </w:rPr>
      </w:pPr>
    </w:p>
    <w:p>
      <w:pPr>
        <w:pStyle w:val="10"/>
        <w:widowControl/>
        <w:shd w:val="clear" w:color="auto" w:fill="FFFFFF"/>
        <w:spacing w:beforeAutospacing="0" w:afterAutospacing="0"/>
        <w:rPr>
          <w:rFonts w:ascii="Arial" w:hAnsi="Arial" w:eastAsia="Arial" w:cs="Arial"/>
          <w:color w:val="000000"/>
          <w:sz w:val="18"/>
          <w:szCs w:val="18"/>
          <w:shd w:val="clear" w:color="auto" w:fill="FFFFFF"/>
        </w:rPr>
      </w:pPr>
    </w:p>
    <w:p>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2023年度部门决算报表</w:t>
      </w:r>
    </w:p>
    <w:p>
      <w:pPr>
        <w:pStyle w:val="10"/>
        <w:widowControl/>
        <w:spacing w:beforeAutospacing="0" w:afterAutospacing="0"/>
        <w:jc w:val="center"/>
        <w:rPr>
          <w:rFonts w:ascii="仿宋_GB2312" w:hAnsi="仿宋_GB2312" w:eastAsia="仿宋_GB2312" w:cs="仿宋_GB2312"/>
          <w:color w:val="FF0000"/>
          <w:sz w:val="33"/>
          <w:szCs w:val="33"/>
          <w:shd w:val="clear" w:color="auto" w:fill="FFFFFF"/>
        </w:rPr>
      </w:pPr>
    </w:p>
    <w:p>
      <w:pPr>
        <w:pStyle w:val="10"/>
        <w:widowControl/>
        <w:spacing w:beforeAutospacing="0" w:afterAutospacing="0"/>
        <w:jc w:val="center"/>
        <w:rPr>
          <w:rFonts w:ascii="仿宋_GB2312" w:hAnsi="仿宋_GB2312" w:eastAsia="仿宋_GB2312" w:cs="仿宋_GB2312"/>
          <w:color w:val="FF0000"/>
          <w:sz w:val="33"/>
          <w:szCs w:val="33"/>
          <w:shd w:val="clear" w:color="auto" w:fill="FFFFFF"/>
        </w:rPr>
        <w:sectPr>
          <w:headerReference r:id="rId13" w:type="default"/>
          <w:pgSz w:w="11906" w:h="16838"/>
          <w:pgMar w:top="1134" w:right="1134" w:bottom="1134" w:left="1134" w:header="851" w:footer="992" w:gutter="0"/>
          <w:cols w:space="720" w:num="1"/>
          <w:docGrid w:type="lines" w:linePitch="312" w:charSpace="0"/>
        </w:sectPr>
      </w:pP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rPr>
                <w:rFonts w:hint="eastAsia" w:ascii="宋体" w:hAnsi="宋体" w:eastAsia="方正仿宋_GB2312"/>
                <w:color w:val="000000"/>
                <w:sz w:val="20"/>
                <w:szCs w:val="20"/>
                <w:lang w:eastAsia="zh-CN"/>
              </w:rPr>
            </w:pPr>
            <w:r>
              <w:rPr>
                <w:rFonts w:hint="eastAsia" w:ascii="方正仿宋_GB2312" w:hAnsi="方正仿宋_GB2312" w:eastAsia="方正仿宋_GB2312" w:cs="方正仿宋_GB2312"/>
                <w:color w:val="000000"/>
                <w:sz w:val="20"/>
                <w:szCs w:val="20"/>
              </w:rPr>
              <w:t>编制部门（单位）：</w:t>
            </w:r>
            <w:r>
              <w:rPr>
                <w:rFonts w:hint="eastAsia" w:ascii="宋体" w:hAnsi="宋体" w:eastAsia="宋体"/>
                <w:color w:val="000000"/>
                <w:sz w:val="20"/>
                <w:szCs w:val="20"/>
              </w:rPr>
              <w:t>石</w:t>
            </w:r>
            <w:r>
              <w:rPr>
                <w:rFonts w:hint="eastAsia" w:ascii="___WRD_EMBED_SUB_52" w:hAnsi="___WRD_EMBED_SUB_52" w:eastAsia="___WRD_EMBED_SUB_52" w:cs="___WRD_EMBED_SUB_52"/>
                <w:color w:val="000000"/>
                <w:sz w:val="20"/>
                <w:szCs w:val="20"/>
              </w:rPr>
              <w:t>家</w:t>
            </w:r>
            <w:r>
              <w:rPr>
                <w:rFonts w:hint="eastAsia" w:ascii="宋体" w:hAnsi="宋体" w:eastAsia="宋体"/>
                <w:color w:val="000000"/>
                <w:sz w:val="20"/>
                <w:szCs w:val="20"/>
              </w:rPr>
              <w:t>庄市鹿泉</w:t>
            </w:r>
            <w:r>
              <w:rPr>
                <w:rFonts w:hint="eastAsia" w:ascii="___WRD_EMBED_SUB_52" w:hAnsi="___WRD_EMBED_SUB_52" w:eastAsia="___WRD_EMBED_SUB_52" w:cs="___WRD_EMBED_SUB_52"/>
                <w:color w:val="000000"/>
                <w:sz w:val="20"/>
                <w:szCs w:val="20"/>
              </w:rPr>
              <w:t>区</w:t>
            </w:r>
            <w:r>
              <w:rPr>
                <w:rFonts w:hint="eastAsia" w:ascii="宋体" w:hAnsi="宋体" w:eastAsia="宋体"/>
                <w:color w:val="000000"/>
                <w:sz w:val="20"/>
                <w:szCs w:val="20"/>
              </w:rPr>
              <w:t>供销</w:t>
            </w:r>
            <w:r>
              <w:rPr>
                <w:rFonts w:hint="eastAsia" w:ascii="___WRD_EMBED_SUB_52" w:hAnsi="___WRD_EMBED_SUB_52" w:eastAsia="___WRD_EMBED_SUB_52" w:cs="___WRD_EMBED_SUB_52"/>
                <w:color w:val="000000"/>
                <w:sz w:val="20"/>
                <w:szCs w:val="20"/>
              </w:rPr>
              <w:t>合</w:t>
            </w:r>
            <w:r>
              <w:rPr>
                <w:rFonts w:hint="eastAsia" w:ascii="宋体" w:hAnsi="宋体" w:eastAsia="宋体"/>
                <w:color w:val="000000"/>
                <w:sz w:val="20"/>
                <w:szCs w:val="20"/>
              </w:rPr>
              <w:t>作</w:t>
            </w:r>
            <w:r>
              <w:rPr>
                <w:rFonts w:hint="eastAsia" w:ascii="方正仿宋_GB2312" w:hAnsi="方正仿宋_GB2312" w:eastAsia="方正仿宋_GB2312" w:cs="方正仿宋_GB2312"/>
                <w:color w:val="000000"/>
                <w:sz w:val="20"/>
                <w:szCs w:val="20"/>
              </w:rPr>
              <w:t>社</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本级</w:t>
            </w:r>
            <w:r>
              <w:rPr>
                <w:rFonts w:hint="eastAsia" w:ascii="方正仿宋_GB2312" w:hAnsi="方正仿宋_GB2312" w:eastAsia="方正仿宋_GB2312" w:cs="方正仿宋_GB2312"/>
                <w:color w:val="000000"/>
                <w:sz w:val="20"/>
                <w:szCs w:val="20"/>
                <w:lang w:eastAsia="zh-CN"/>
              </w:rPr>
              <w:t>）</w:t>
            </w:r>
          </w:p>
        </w:tc>
        <w:tc>
          <w:tcPr>
            <w:tcW w:w="1262" w:type="pct"/>
            <w:gridSpan w:val="2"/>
            <w:tcBorders>
              <w:top w:val="nil"/>
              <w:left w:val="nil"/>
              <w:bottom w:val="single" w:color="auto" w:sz="4" w:space="0"/>
              <w:right w:val="nil"/>
            </w:tcBorders>
            <w:noWrap/>
            <w:vAlign w:val="bottom"/>
          </w:tcPr>
          <w:p>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170.95</w:t>
            </w:r>
          </w:p>
        </w:tc>
      </w:tr>
      <w:tr>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10.00</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164.05</w:t>
            </w: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13.10</w:t>
            </w: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注：1.本表反映部门本年度的总收支和年末结转结余情况。2.本套报表金额转换时可能存在尾数误差。</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ascii="黑体" w:hAnsi="黑体" w:eastAsia="黑体"/>
          <w:bCs/>
          <w:sz w:val="32"/>
          <w:szCs w:val="32"/>
        </w:rPr>
      </w:pP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编制部门（单位）：</w:t>
            </w:r>
            <w:r>
              <w:rPr>
                <w:rFonts w:hint="eastAsia" w:ascii="宋体" w:hAnsi="宋体" w:eastAsia="宋体"/>
                <w:color w:val="000000"/>
                <w:sz w:val="20"/>
                <w:szCs w:val="20"/>
              </w:rPr>
              <w:t>石</w:t>
            </w:r>
            <w:r>
              <w:rPr>
                <w:rFonts w:hint="eastAsia" w:ascii="___WRD_EMBED_SUB_52" w:hAnsi="___WRD_EMBED_SUB_52" w:eastAsia="___WRD_EMBED_SUB_52" w:cs="___WRD_EMBED_SUB_52"/>
                <w:color w:val="000000"/>
                <w:sz w:val="20"/>
                <w:szCs w:val="20"/>
              </w:rPr>
              <w:t>家</w:t>
            </w:r>
            <w:r>
              <w:rPr>
                <w:rFonts w:hint="eastAsia" w:ascii="宋体" w:hAnsi="宋体" w:eastAsia="宋体"/>
                <w:color w:val="000000"/>
                <w:sz w:val="20"/>
                <w:szCs w:val="20"/>
              </w:rPr>
              <w:t>庄市鹿泉</w:t>
            </w:r>
            <w:r>
              <w:rPr>
                <w:rFonts w:hint="eastAsia" w:ascii="___WRD_EMBED_SUB_52" w:hAnsi="___WRD_EMBED_SUB_52" w:eastAsia="___WRD_EMBED_SUB_52" w:cs="___WRD_EMBED_SUB_52"/>
                <w:color w:val="000000"/>
                <w:sz w:val="20"/>
                <w:szCs w:val="20"/>
              </w:rPr>
              <w:t>区</w:t>
            </w:r>
            <w:r>
              <w:rPr>
                <w:rFonts w:hint="eastAsia" w:ascii="宋体" w:hAnsi="宋体" w:eastAsia="宋体"/>
                <w:color w:val="000000"/>
                <w:sz w:val="20"/>
                <w:szCs w:val="20"/>
              </w:rPr>
              <w:t>供销</w:t>
            </w:r>
            <w:r>
              <w:rPr>
                <w:rFonts w:hint="eastAsia" w:ascii="___WRD_EMBED_SUB_52" w:hAnsi="___WRD_EMBED_SUB_52" w:eastAsia="___WRD_EMBED_SUB_52" w:cs="___WRD_EMBED_SUB_52"/>
                <w:color w:val="000000"/>
                <w:sz w:val="20"/>
                <w:szCs w:val="20"/>
              </w:rPr>
              <w:t>合</w:t>
            </w:r>
            <w:r>
              <w:rPr>
                <w:rFonts w:hint="eastAsia" w:ascii="宋体" w:hAnsi="宋体" w:eastAsia="宋体"/>
                <w:color w:val="000000"/>
                <w:sz w:val="20"/>
                <w:szCs w:val="20"/>
              </w:rPr>
              <w:t>作</w:t>
            </w:r>
            <w:r>
              <w:rPr>
                <w:rFonts w:hint="eastAsia" w:ascii="方正仿宋_GB2312" w:hAnsi="方正仿宋_GB2312" w:eastAsia="方正仿宋_GB2312" w:cs="方正仿宋_GB2312"/>
                <w:color w:val="000000"/>
                <w:sz w:val="20"/>
                <w:szCs w:val="20"/>
              </w:rPr>
              <w:t>社</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本级</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 xml:space="preserve">                                                                                                         </w:t>
            </w:r>
          </w:p>
        </w:tc>
        <w:tc>
          <w:tcPr>
            <w:tcW w:w="3405" w:type="dxa"/>
            <w:gridSpan w:val="4"/>
            <w:tcBorders>
              <w:top w:val="nil"/>
              <w:left w:val="nil"/>
              <w:bottom w:val="single" w:color="auto" w:sz="4" w:space="0"/>
              <w:right w:val="nil"/>
            </w:tcBorders>
            <w:noWrap/>
            <w:vAlign w:val="bottom"/>
          </w:tcPr>
          <w:p>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358.09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358.09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170.95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170.95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114.00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114.00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100.09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100.09</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13.91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13.91</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退役安置</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56.95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56.95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2080901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退役士兵安置</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56.95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56.95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216</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商业服务业等支出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164.05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164.05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21602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商业流通事务</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164.05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164.05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2160250</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事业运行</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144.05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144.05</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2160299</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其他商业流通事务支出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20.00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13.10</w:t>
            </w:r>
          </w:p>
        </w:tc>
        <w:tc>
          <w:tcPr>
            <w:tcW w:w="103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pPr>
        <w:rPr>
          <w:rFonts w:ascii="黑体" w:hAnsi="黑体" w:eastAsia="黑体"/>
          <w:bCs/>
          <w:sz w:val="32"/>
          <w:szCs w:val="32"/>
        </w:rPr>
      </w:pPr>
      <w:r>
        <w:rPr>
          <w:rFonts w:hint="eastAsia" w:ascii="仿宋_GB2312" w:hAnsi="宋体" w:eastAsia="仿宋_GB2312"/>
          <w:b/>
          <w:sz w:val="32"/>
          <w:szCs w:val="32"/>
        </w:rPr>
        <w:br w:type="page"/>
      </w:r>
    </w:p>
    <w:p>
      <w:pPr>
        <w:widowControl/>
        <w:jc w:val="center"/>
        <w:textAlignment w:val="bottom"/>
        <w:rPr>
          <w:rFonts w:ascii="宋体" w:hAnsi="宋体" w:eastAsia="宋体"/>
          <w:spacing w:val="-2"/>
          <w:sz w:val="20"/>
        </w:rPr>
      </w:pP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w:t>
            </w:r>
            <w:r>
              <w:rPr>
                <w:rFonts w:hint="eastAsia" w:ascii="宋体" w:hAnsi="宋体" w:eastAsia="宋体"/>
                <w:color w:val="000000"/>
                <w:sz w:val="20"/>
                <w:szCs w:val="20"/>
              </w:rPr>
              <w:t>石</w:t>
            </w:r>
            <w:r>
              <w:rPr>
                <w:rFonts w:hint="eastAsia" w:ascii="___WRD_EMBED_SUB_52" w:hAnsi="___WRD_EMBED_SUB_52" w:eastAsia="___WRD_EMBED_SUB_52" w:cs="___WRD_EMBED_SUB_52"/>
                <w:color w:val="000000"/>
                <w:sz w:val="20"/>
                <w:szCs w:val="20"/>
              </w:rPr>
              <w:t>家</w:t>
            </w:r>
            <w:r>
              <w:rPr>
                <w:rFonts w:hint="eastAsia" w:ascii="宋体" w:hAnsi="宋体" w:eastAsia="宋体"/>
                <w:color w:val="000000"/>
                <w:sz w:val="20"/>
                <w:szCs w:val="20"/>
              </w:rPr>
              <w:t>庄市鹿泉</w:t>
            </w:r>
            <w:r>
              <w:rPr>
                <w:rFonts w:hint="eastAsia" w:ascii="___WRD_EMBED_SUB_52" w:hAnsi="___WRD_EMBED_SUB_52" w:eastAsia="___WRD_EMBED_SUB_52" w:cs="___WRD_EMBED_SUB_52"/>
                <w:color w:val="000000"/>
                <w:sz w:val="20"/>
                <w:szCs w:val="20"/>
              </w:rPr>
              <w:t>区</w:t>
            </w:r>
            <w:r>
              <w:rPr>
                <w:rFonts w:hint="eastAsia" w:ascii="宋体" w:hAnsi="宋体" w:eastAsia="宋体"/>
                <w:color w:val="000000"/>
                <w:sz w:val="20"/>
                <w:szCs w:val="20"/>
              </w:rPr>
              <w:t>供销</w:t>
            </w:r>
            <w:r>
              <w:rPr>
                <w:rFonts w:hint="eastAsia" w:ascii="___WRD_EMBED_SUB_52" w:hAnsi="___WRD_EMBED_SUB_52" w:eastAsia="___WRD_EMBED_SUB_52" w:cs="___WRD_EMBED_SUB_52"/>
                <w:color w:val="000000"/>
                <w:sz w:val="20"/>
                <w:szCs w:val="20"/>
              </w:rPr>
              <w:t>合</w:t>
            </w:r>
            <w:r>
              <w:rPr>
                <w:rFonts w:hint="eastAsia" w:ascii="宋体" w:hAnsi="宋体" w:eastAsia="宋体"/>
                <w:color w:val="000000"/>
                <w:sz w:val="20"/>
                <w:szCs w:val="20"/>
              </w:rPr>
              <w:t>作</w:t>
            </w:r>
            <w:r>
              <w:rPr>
                <w:rFonts w:hint="eastAsia" w:ascii="方正仿宋_GB2312" w:hAnsi="方正仿宋_GB2312" w:eastAsia="方正仿宋_GB2312" w:cs="方正仿宋_GB2312"/>
                <w:color w:val="000000"/>
                <w:sz w:val="20"/>
                <w:szCs w:val="20"/>
              </w:rPr>
              <w:t>社</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本级</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 xml:space="preserve">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338.09</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20.00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170.95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170.95</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114.00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114.00</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100.09</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100.09</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13.91</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13.91</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退役安置</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56.95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56.95</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退役士兵安置</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56.95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56.95</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216</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商业服务业等支出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164.05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144.05</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21602</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商业流通事务</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164.05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144.05</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2160250</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事业运行</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144.05</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144.05</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2160299</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其他商业流通事务支出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编制部门（单位）：</w:t>
            </w:r>
            <w:r>
              <w:rPr>
                <w:rFonts w:hint="eastAsia" w:ascii="宋体" w:hAnsi="宋体" w:eastAsia="宋体"/>
                <w:color w:val="000000"/>
                <w:sz w:val="20"/>
                <w:szCs w:val="20"/>
              </w:rPr>
              <w:t>石</w:t>
            </w:r>
            <w:r>
              <w:rPr>
                <w:rFonts w:hint="eastAsia" w:ascii="___WRD_EMBED_SUB_52" w:hAnsi="___WRD_EMBED_SUB_52" w:eastAsia="___WRD_EMBED_SUB_52" w:cs="___WRD_EMBED_SUB_52"/>
                <w:color w:val="000000"/>
                <w:sz w:val="20"/>
                <w:szCs w:val="20"/>
              </w:rPr>
              <w:t>家</w:t>
            </w:r>
            <w:r>
              <w:rPr>
                <w:rFonts w:hint="eastAsia" w:ascii="宋体" w:hAnsi="宋体" w:eastAsia="宋体"/>
                <w:color w:val="000000"/>
                <w:sz w:val="20"/>
                <w:szCs w:val="20"/>
              </w:rPr>
              <w:t>庄市鹿泉</w:t>
            </w:r>
            <w:r>
              <w:rPr>
                <w:rFonts w:hint="eastAsia" w:ascii="___WRD_EMBED_SUB_52" w:hAnsi="___WRD_EMBED_SUB_52" w:eastAsia="___WRD_EMBED_SUB_52" w:cs="___WRD_EMBED_SUB_52"/>
                <w:color w:val="000000"/>
                <w:sz w:val="20"/>
                <w:szCs w:val="20"/>
              </w:rPr>
              <w:t>区</w:t>
            </w:r>
            <w:r>
              <w:rPr>
                <w:rFonts w:hint="eastAsia" w:ascii="宋体" w:hAnsi="宋体" w:eastAsia="宋体"/>
                <w:color w:val="000000"/>
                <w:sz w:val="20"/>
                <w:szCs w:val="20"/>
              </w:rPr>
              <w:t>供销</w:t>
            </w:r>
            <w:r>
              <w:rPr>
                <w:rFonts w:hint="eastAsia" w:ascii="___WRD_EMBED_SUB_52" w:hAnsi="___WRD_EMBED_SUB_52" w:eastAsia="___WRD_EMBED_SUB_52" w:cs="___WRD_EMBED_SUB_52"/>
                <w:color w:val="000000"/>
                <w:sz w:val="20"/>
                <w:szCs w:val="20"/>
              </w:rPr>
              <w:t>合</w:t>
            </w:r>
            <w:r>
              <w:rPr>
                <w:rFonts w:hint="eastAsia" w:ascii="宋体" w:hAnsi="宋体" w:eastAsia="宋体"/>
                <w:color w:val="000000"/>
                <w:sz w:val="20"/>
                <w:szCs w:val="20"/>
              </w:rPr>
              <w:t>作</w:t>
            </w:r>
            <w:r>
              <w:rPr>
                <w:rFonts w:hint="eastAsia" w:ascii="方正仿宋_GB2312" w:hAnsi="方正仿宋_GB2312" w:eastAsia="方正仿宋_GB2312" w:cs="方正仿宋_GB2312"/>
                <w:color w:val="000000"/>
                <w:sz w:val="20"/>
                <w:szCs w:val="20"/>
              </w:rPr>
              <w:t>社</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本级</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 xml:space="preserve">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170.95</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170.95</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10.00</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10.00</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164.05</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164.05</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13.10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13.10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895" w:type="pct"/>
            <w:gridSpan w:val="2"/>
            <w:tcBorders>
              <w:top w:val="nil"/>
              <w:left w:val="nil"/>
              <w:bottom w:val="single" w:color="000000" w:sz="8" w:space="0"/>
              <w:right w:val="single" w:color="000000" w:sz="4" w:space="0"/>
            </w:tcBorders>
            <w:noWrap/>
            <w:vAlign w:val="center"/>
          </w:tcPr>
          <w:p>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cs="Times New Roman"/>
                <w:sz w:val="20"/>
                <w:szCs w:val="20"/>
              </w:rPr>
            </w:pPr>
          </w:p>
          <w:p>
            <w:pPr>
              <w:jc w:val="right"/>
              <w:rPr>
                <w:rFonts w:ascii="Times New Roman" w:hAnsi="Times New Roman" w:cs="Times New Roman"/>
                <w:sz w:val="20"/>
                <w:szCs w:val="20"/>
              </w:rPr>
            </w:pPr>
            <w:r>
              <w:rPr>
                <w:rFonts w:ascii="Times New Roman" w:hAnsi="Times New Roman" w:cs="Times New Roman"/>
                <w:sz w:val="20"/>
                <w:szCs w:val="20"/>
              </w:rPr>
              <w:t>358.09</w:t>
            </w:r>
          </w:p>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jc w:val="center"/>
        <w:rPr>
          <w:rFonts w:ascii="宋体" w:hAnsi="宋体" w:eastAsia="宋体"/>
          <w:spacing w:val="-2"/>
          <w:sz w:val="20"/>
        </w:rPr>
      </w:pPr>
    </w:p>
    <w:tbl>
      <w:tblPr>
        <w:tblStyle w:val="11"/>
        <w:tblW w:w="5455" w:type="pct"/>
        <w:tblInd w:w="-657" w:type="dxa"/>
        <w:tblLayout w:type="autofit"/>
        <w:tblCellMar>
          <w:top w:w="0" w:type="dxa"/>
          <w:left w:w="108" w:type="dxa"/>
          <w:bottom w:w="0" w:type="dxa"/>
          <w:right w:w="108" w:type="dxa"/>
        </w:tblCellMar>
      </w:tblPr>
      <w:tblGrid>
        <w:gridCol w:w="1962"/>
        <w:gridCol w:w="3416"/>
        <w:gridCol w:w="1149"/>
        <w:gridCol w:w="762"/>
        <w:gridCol w:w="794"/>
        <w:gridCol w:w="383"/>
        <w:gridCol w:w="1233"/>
      </w:tblGrid>
      <w:tr>
        <w:tblPrEx>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tblPrEx>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widowControl/>
              <w:jc w:val="left"/>
              <w:textAlignment w:val="bottom"/>
              <w:rPr>
                <w:rFonts w:hint="eastAsia" w:ascii="宋体" w:hAnsi="宋体" w:eastAsia="方正仿宋_GB2312"/>
                <w:color w:val="000000"/>
                <w:sz w:val="20"/>
                <w:szCs w:val="20"/>
                <w:lang w:eastAsia="zh-CN"/>
              </w:rPr>
            </w:pPr>
            <w:r>
              <w:rPr>
                <w:rFonts w:hint="eastAsia" w:ascii="方正仿宋_GB2312" w:hAnsi="方正仿宋_GB2312" w:eastAsia="方正仿宋_GB2312" w:cs="方正仿宋_GB2312"/>
                <w:color w:val="000000"/>
                <w:sz w:val="20"/>
                <w:szCs w:val="20"/>
              </w:rPr>
              <w:t>编制部门（单位）：</w:t>
            </w:r>
            <w:r>
              <w:rPr>
                <w:rFonts w:hint="eastAsia" w:ascii="宋体" w:hAnsi="宋体" w:eastAsia="宋体"/>
                <w:color w:val="000000"/>
                <w:sz w:val="20"/>
                <w:szCs w:val="20"/>
              </w:rPr>
              <w:t>石</w:t>
            </w:r>
            <w:r>
              <w:rPr>
                <w:rFonts w:hint="eastAsia" w:ascii="___WRD_EMBED_SUB_52" w:hAnsi="___WRD_EMBED_SUB_52" w:eastAsia="___WRD_EMBED_SUB_52" w:cs="___WRD_EMBED_SUB_52"/>
                <w:color w:val="000000"/>
                <w:sz w:val="20"/>
                <w:szCs w:val="20"/>
              </w:rPr>
              <w:t>家</w:t>
            </w:r>
            <w:r>
              <w:rPr>
                <w:rFonts w:hint="eastAsia" w:ascii="宋体" w:hAnsi="宋体" w:eastAsia="宋体"/>
                <w:color w:val="000000"/>
                <w:sz w:val="20"/>
                <w:szCs w:val="20"/>
              </w:rPr>
              <w:t>庄市鹿泉</w:t>
            </w:r>
            <w:r>
              <w:rPr>
                <w:rFonts w:hint="eastAsia" w:ascii="___WRD_EMBED_SUB_52" w:hAnsi="___WRD_EMBED_SUB_52" w:eastAsia="___WRD_EMBED_SUB_52" w:cs="___WRD_EMBED_SUB_52"/>
                <w:color w:val="000000"/>
                <w:sz w:val="20"/>
                <w:szCs w:val="20"/>
              </w:rPr>
              <w:t>区</w:t>
            </w:r>
            <w:r>
              <w:rPr>
                <w:rFonts w:hint="eastAsia" w:ascii="宋体" w:hAnsi="宋体" w:eastAsia="宋体"/>
                <w:color w:val="000000"/>
                <w:sz w:val="20"/>
                <w:szCs w:val="20"/>
              </w:rPr>
              <w:t>供销</w:t>
            </w:r>
            <w:r>
              <w:rPr>
                <w:rFonts w:hint="eastAsia" w:ascii="___WRD_EMBED_SUB_52" w:hAnsi="___WRD_EMBED_SUB_52" w:eastAsia="___WRD_EMBED_SUB_52" w:cs="___WRD_EMBED_SUB_52"/>
                <w:color w:val="000000"/>
                <w:sz w:val="20"/>
                <w:szCs w:val="20"/>
              </w:rPr>
              <w:t>合</w:t>
            </w:r>
            <w:r>
              <w:rPr>
                <w:rFonts w:hint="eastAsia" w:ascii="宋体" w:hAnsi="宋体" w:eastAsia="宋体"/>
                <w:color w:val="000000"/>
                <w:sz w:val="20"/>
                <w:szCs w:val="20"/>
              </w:rPr>
              <w:t>作</w:t>
            </w:r>
            <w:r>
              <w:rPr>
                <w:rFonts w:hint="eastAsia" w:ascii="方正仿宋_GB2312" w:hAnsi="方正仿宋_GB2312" w:eastAsia="方正仿宋_GB2312" w:cs="方正仿宋_GB2312"/>
                <w:color w:val="000000"/>
                <w:sz w:val="20"/>
                <w:szCs w:val="20"/>
              </w:rPr>
              <w:t>社</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本级</w:t>
            </w:r>
            <w:r>
              <w:rPr>
                <w:rFonts w:hint="eastAsia" w:ascii="方正仿宋_GB2312" w:hAnsi="方正仿宋_GB2312" w:eastAsia="方正仿宋_GB2312" w:cs="方正仿宋_GB2312"/>
                <w:color w:val="000000"/>
                <w:sz w:val="20"/>
                <w:szCs w:val="20"/>
                <w:lang w:eastAsia="zh-CN"/>
              </w:rPr>
              <w:t>）</w:t>
            </w:r>
          </w:p>
        </w:tc>
        <w:tc>
          <w:tcPr>
            <w:tcW w:w="1551" w:type="pct"/>
            <w:gridSpan w:val="2"/>
            <w:tcBorders>
              <w:top w:val="nil"/>
              <w:left w:val="nil"/>
              <w:bottom w:val="single" w:color="auto" w:sz="4" w:space="0"/>
              <w:right w:val="nil"/>
            </w:tcBorders>
            <w:noWrap/>
            <w:vAlign w:val="bottom"/>
          </w:tcPr>
          <w:p>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591" w:type="pct"/>
            <w:gridSpan w:val="2"/>
            <w:tcBorders>
              <w:top w:val="nil"/>
              <w:left w:val="nil"/>
              <w:bottom w:val="single" w:color="auto" w:sz="4" w:space="0"/>
              <w:right w:val="nil"/>
            </w:tcBorders>
            <w:noWrap/>
            <w:vAlign w:val="bottom"/>
          </w:tcPr>
          <w:p>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tblPrEx>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52" w:type="pct"/>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tblPrEx>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48"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3"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tblPrEx>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4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3"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74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169" w:type="pct"/>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c>
          <w:tcPr>
            <w:tcW w:w="1213"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tblPrEx>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358.09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338.09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20.00</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170.95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170.95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114.00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114.00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56.95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退役士兵安置</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56.95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10.00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商业服务业等支出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164.05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144.05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20.00</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21602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商业流通事务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164.05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144.05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20.00</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2160250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144.05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144.05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2160299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其他商业流通事务支出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20.00</w:t>
            </w: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13.10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编制部门（单位）：</w:t>
            </w:r>
            <w:r>
              <w:rPr>
                <w:rFonts w:hint="eastAsia" w:ascii="宋体" w:hAnsi="宋体" w:eastAsia="宋体"/>
                <w:color w:val="000000"/>
                <w:sz w:val="18"/>
                <w:szCs w:val="18"/>
              </w:rPr>
              <w:t>石</w:t>
            </w:r>
            <w:r>
              <w:rPr>
                <w:rFonts w:hint="eastAsia" w:ascii="___WRD_EMBED_SUB_52" w:hAnsi="___WRD_EMBED_SUB_52" w:eastAsia="___WRD_EMBED_SUB_52" w:cs="___WRD_EMBED_SUB_52"/>
                <w:color w:val="000000"/>
                <w:sz w:val="18"/>
                <w:szCs w:val="18"/>
              </w:rPr>
              <w:t>家</w:t>
            </w:r>
            <w:r>
              <w:rPr>
                <w:rFonts w:hint="eastAsia" w:ascii="宋体" w:hAnsi="宋体" w:eastAsia="宋体"/>
                <w:color w:val="000000"/>
                <w:sz w:val="18"/>
                <w:szCs w:val="18"/>
              </w:rPr>
              <w:t>庄市鹿泉</w:t>
            </w:r>
            <w:r>
              <w:rPr>
                <w:rFonts w:hint="eastAsia" w:ascii="___WRD_EMBED_SUB_52" w:hAnsi="___WRD_EMBED_SUB_52" w:eastAsia="___WRD_EMBED_SUB_52" w:cs="___WRD_EMBED_SUB_52"/>
                <w:color w:val="000000"/>
                <w:sz w:val="18"/>
                <w:szCs w:val="18"/>
              </w:rPr>
              <w:t>区</w:t>
            </w:r>
            <w:r>
              <w:rPr>
                <w:rFonts w:hint="eastAsia" w:ascii="宋体" w:hAnsi="宋体" w:eastAsia="宋体"/>
                <w:color w:val="000000"/>
                <w:sz w:val="18"/>
                <w:szCs w:val="18"/>
              </w:rPr>
              <w:t>供销</w:t>
            </w:r>
            <w:r>
              <w:rPr>
                <w:rFonts w:hint="eastAsia" w:ascii="___WRD_EMBED_SUB_52" w:hAnsi="___WRD_EMBED_SUB_52" w:eastAsia="___WRD_EMBED_SUB_52" w:cs="___WRD_EMBED_SUB_52"/>
                <w:color w:val="000000"/>
                <w:sz w:val="18"/>
                <w:szCs w:val="18"/>
              </w:rPr>
              <w:t>合</w:t>
            </w:r>
            <w:r>
              <w:rPr>
                <w:rFonts w:hint="eastAsia" w:ascii="宋体" w:hAnsi="宋体" w:eastAsia="宋体"/>
                <w:color w:val="000000"/>
                <w:sz w:val="18"/>
                <w:szCs w:val="18"/>
              </w:rPr>
              <w:t>作</w:t>
            </w:r>
            <w:r>
              <w:rPr>
                <w:rFonts w:hint="eastAsia" w:ascii="方正仿宋_GB2312" w:hAnsi="方正仿宋_GB2312" w:eastAsia="方正仿宋_GB2312" w:cs="方正仿宋_GB2312"/>
                <w:color w:val="000000"/>
                <w:sz w:val="18"/>
                <w:szCs w:val="18"/>
              </w:rPr>
              <w:t>社</w:t>
            </w:r>
            <w:r>
              <w:rPr>
                <w:rFonts w:hint="eastAsia" w:ascii="方正仿宋_GB2312" w:hAnsi="方正仿宋_GB2312" w:eastAsia="方正仿宋_GB2312" w:cs="方正仿宋_GB2312"/>
                <w:color w:val="000000"/>
                <w:sz w:val="18"/>
                <w:szCs w:val="18"/>
                <w:lang w:eastAsia="zh-CN"/>
              </w:rPr>
              <w:t>（</w:t>
            </w:r>
            <w:r>
              <w:rPr>
                <w:rFonts w:hint="eastAsia" w:ascii="方正仿宋_GB2312" w:hAnsi="方正仿宋_GB2312" w:eastAsia="方正仿宋_GB2312" w:cs="方正仿宋_GB2312"/>
                <w:color w:val="000000"/>
                <w:sz w:val="18"/>
                <w:szCs w:val="18"/>
              </w:rPr>
              <w:t>本级</w:t>
            </w:r>
            <w:r>
              <w:rPr>
                <w:rFonts w:hint="eastAsia" w:ascii="方正仿宋_GB2312" w:hAnsi="方正仿宋_GB2312" w:eastAsia="方正仿宋_GB2312" w:cs="方正仿宋_GB2312"/>
                <w:color w:val="000000"/>
                <w:sz w:val="18"/>
                <w:szCs w:val="18"/>
                <w:lang w:eastAsia="zh-CN"/>
              </w:rPr>
              <w:t>）</w:t>
            </w:r>
            <w:r>
              <w:rPr>
                <w:rFonts w:hint="eastAsia" w:ascii="方正仿宋_GB2312" w:hAnsi="方正仿宋_GB2312" w:eastAsia="方正仿宋_GB2312" w:cs="方正仿宋_GB2312"/>
                <w:color w:val="000000"/>
                <w:sz w:val="18"/>
                <w:szCs w:val="18"/>
              </w:rPr>
              <w:t xml:space="preserve">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2023</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154.07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84.48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104.33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0.15</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0.41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11.36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0.76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0.08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13.91</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0.02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10.00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4.03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1.38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13.10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0.22</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99.54</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76.07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2.17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33.67</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36.60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0.63</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21.30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2.60</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1.98</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1.66</w:t>
            </w: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253.61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asciiTheme="minorEastAsia" w:hAnsiTheme="minorEastAsia" w:cstheme="minorEastAsia"/>
                <w:color w:val="000000"/>
                <w:sz w:val="18"/>
                <w:szCs w:val="18"/>
              </w:rPr>
            </w:pPr>
            <w:r>
              <w:rPr>
                <w:rFonts w:ascii="Times New Roman" w:hAnsi="Times New Roman" w:cs="Times New Roman"/>
                <w:sz w:val="18"/>
                <w:szCs w:val="18"/>
              </w:rPr>
              <w:t>84.48</w:t>
            </w:r>
          </w:p>
        </w:tc>
      </w:tr>
      <w:tr>
        <w:trPr>
          <w:trHeight w:val="510" w:hRule="atLeast"/>
        </w:trPr>
        <w:tc>
          <w:tcPr>
            <w:tcW w:w="5000" w:type="pct"/>
            <w:gridSpan w:val="11"/>
            <w:tcBorders>
              <w:top w:val="single" w:color="auto" w:sz="4" w:space="0"/>
              <w:left w:val="nil"/>
              <w:bottom w:val="nil"/>
              <w:right w:val="nil"/>
            </w:tcBorders>
            <w:noWrap/>
            <w:vAlign w:val="center"/>
          </w:tcPr>
          <w:p>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jc w:val="center"/>
        <w:rPr>
          <w:rFonts w:ascii="仿宋_GB2312" w:hAnsi="宋体" w:eastAsia="仿宋_GB2312"/>
          <w:b/>
          <w:sz w:val="32"/>
          <w:szCs w:val="32"/>
        </w:rPr>
      </w:pP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w:t>
            </w:r>
            <w:r>
              <w:rPr>
                <w:rFonts w:hint="eastAsia" w:ascii="宋体" w:hAnsi="宋体" w:eastAsia="宋体"/>
                <w:color w:val="000000"/>
                <w:sz w:val="20"/>
                <w:szCs w:val="20"/>
              </w:rPr>
              <w:t>石</w:t>
            </w:r>
            <w:r>
              <w:rPr>
                <w:rFonts w:hint="eastAsia" w:ascii="___WRD_EMBED_SUB_52" w:hAnsi="___WRD_EMBED_SUB_52" w:eastAsia="___WRD_EMBED_SUB_52" w:cs="___WRD_EMBED_SUB_52"/>
                <w:color w:val="000000"/>
                <w:sz w:val="20"/>
                <w:szCs w:val="20"/>
              </w:rPr>
              <w:t>家</w:t>
            </w:r>
            <w:r>
              <w:rPr>
                <w:rFonts w:hint="eastAsia" w:ascii="宋体" w:hAnsi="宋体" w:eastAsia="宋体"/>
                <w:color w:val="000000"/>
                <w:sz w:val="20"/>
                <w:szCs w:val="20"/>
              </w:rPr>
              <w:t>庄市鹿泉</w:t>
            </w:r>
            <w:r>
              <w:rPr>
                <w:rFonts w:hint="eastAsia" w:ascii="___WRD_EMBED_SUB_52" w:hAnsi="___WRD_EMBED_SUB_52" w:eastAsia="___WRD_EMBED_SUB_52" w:cs="___WRD_EMBED_SUB_52"/>
                <w:color w:val="000000"/>
                <w:sz w:val="20"/>
                <w:szCs w:val="20"/>
              </w:rPr>
              <w:t>区</w:t>
            </w:r>
            <w:r>
              <w:rPr>
                <w:rFonts w:hint="eastAsia" w:ascii="宋体" w:hAnsi="宋体" w:eastAsia="宋体"/>
                <w:color w:val="000000"/>
                <w:sz w:val="20"/>
                <w:szCs w:val="20"/>
              </w:rPr>
              <w:t>供销</w:t>
            </w:r>
            <w:r>
              <w:rPr>
                <w:rFonts w:hint="eastAsia" w:ascii="___WRD_EMBED_SUB_52" w:hAnsi="___WRD_EMBED_SUB_52" w:eastAsia="___WRD_EMBED_SUB_52" w:cs="___WRD_EMBED_SUB_52"/>
                <w:color w:val="000000"/>
                <w:sz w:val="20"/>
                <w:szCs w:val="20"/>
              </w:rPr>
              <w:t>合</w:t>
            </w:r>
            <w:r>
              <w:rPr>
                <w:rFonts w:hint="eastAsia" w:ascii="宋体" w:hAnsi="宋体" w:eastAsia="宋体"/>
                <w:color w:val="000000"/>
                <w:sz w:val="20"/>
                <w:szCs w:val="20"/>
              </w:rPr>
              <w:t>作</w:t>
            </w:r>
            <w:r>
              <w:rPr>
                <w:rFonts w:hint="eastAsia" w:ascii="方正仿宋_GB2312" w:hAnsi="方正仿宋_GB2312" w:eastAsia="方正仿宋_GB2312" w:cs="方正仿宋_GB2312"/>
                <w:color w:val="000000"/>
                <w:sz w:val="20"/>
                <w:szCs w:val="20"/>
              </w:rPr>
              <w:t>社</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本级</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 xml:space="preserve">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注：本表反映部门本年度政府性基金预算财政拨款收入、支出及结转和结余情况。本单位无政府性基金预算财政拨款收入，则空表列示</w:t>
            </w:r>
            <w:r>
              <w:rPr>
                <w:rFonts w:hint="eastAsia" w:ascii="宋体" w:hAnsi="宋体" w:eastAsia="宋体"/>
                <w:color w:val="000000"/>
                <w:sz w:val="20"/>
                <w:szCs w:val="20"/>
              </w:rPr>
              <w:t>。</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ascii="宋体" w:hAnsi="宋体" w:eastAsia="宋体"/>
          <w:spacing w:val="-2"/>
          <w:sz w:val="20"/>
        </w:rPr>
      </w:pPr>
    </w:p>
    <w:tbl>
      <w:tblPr>
        <w:tblStyle w:val="11"/>
        <w:tblW w:w="5000" w:type="pct"/>
        <w:tblInd w:w="0" w:type="dxa"/>
        <w:tblLayout w:type="fixed"/>
        <w:tblCellMar>
          <w:top w:w="0" w:type="dxa"/>
          <w:left w:w="108" w:type="dxa"/>
          <w:bottom w:w="0" w:type="dxa"/>
          <w:right w:w="108" w:type="dxa"/>
        </w:tblCellMar>
      </w:tblPr>
      <w:tblGrid>
        <w:gridCol w:w="2017"/>
        <w:gridCol w:w="730"/>
        <w:gridCol w:w="1298"/>
        <w:gridCol w:w="1336"/>
        <w:gridCol w:w="45"/>
        <w:gridCol w:w="1291"/>
        <w:gridCol w:w="1323"/>
      </w:tblGrid>
      <w:tr>
        <w:tblPrEx>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tblPrEx>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widowControl/>
              <w:textAlignment w:val="bottom"/>
              <w:rPr>
                <w:rFonts w:hint="eastAsia" w:ascii="宋体" w:hAnsi="宋体" w:eastAsia="方正仿宋_GB2312"/>
                <w:color w:val="000000"/>
                <w:sz w:val="20"/>
                <w:szCs w:val="20"/>
                <w:lang w:eastAsia="zh-CN"/>
              </w:rPr>
            </w:pPr>
            <w:r>
              <w:rPr>
                <w:rFonts w:hint="eastAsia" w:ascii="方正仿宋_GB2312" w:hAnsi="方正仿宋_GB2312" w:eastAsia="方正仿宋_GB2312" w:cs="方正仿宋_GB2312"/>
                <w:color w:val="000000"/>
                <w:sz w:val="20"/>
                <w:szCs w:val="20"/>
              </w:rPr>
              <w:t>编制部门（单位）：</w:t>
            </w:r>
            <w:r>
              <w:rPr>
                <w:rFonts w:hint="eastAsia" w:ascii="宋体" w:hAnsi="宋体" w:eastAsia="宋体"/>
                <w:color w:val="000000"/>
                <w:sz w:val="20"/>
                <w:szCs w:val="20"/>
              </w:rPr>
              <w:t>石</w:t>
            </w:r>
            <w:r>
              <w:rPr>
                <w:rFonts w:hint="eastAsia" w:ascii="___WRD_EMBED_SUB_52" w:hAnsi="___WRD_EMBED_SUB_52" w:eastAsia="___WRD_EMBED_SUB_52" w:cs="___WRD_EMBED_SUB_52"/>
                <w:color w:val="000000"/>
                <w:sz w:val="20"/>
                <w:szCs w:val="20"/>
              </w:rPr>
              <w:t>家</w:t>
            </w:r>
            <w:r>
              <w:rPr>
                <w:rFonts w:hint="eastAsia" w:ascii="宋体" w:hAnsi="宋体" w:eastAsia="宋体"/>
                <w:color w:val="000000"/>
                <w:sz w:val="20"/>
                <w:szCs w:val="20"/>
              </w:rPr>
              <w:t>庄市鹿泉</w:t>
            </w:r>
            <w:r>
              <w:rPr>
                <w:rFonts w:hint="eastAsia" w:ascii="___WRD_EMBED_SUB_52" w:hAnsi="___WRD_EMBED_SUB_52" w:eastAsia="___WRD_EMBED_SUB_52" w:cs="___WRD_EMBED_SUB_52"/>
                <w:color w:val="000000"/>
                <w:sz w:val="20"/>
                <w:szCs w:val="20"/>
              </w:rPr>
              <w:t>区</w:t>
            </w:r>
            <w:r>
              <w:rPr>
                <w:rFonts w:hint="eastAsia" w:ascii="宋体" w:hAnsi="宋体" w:eastAsia="宋体"/>
                <w:color w:val="000000"/>
                <w:sz w:val="20"/>
                <w:szCs w:val="20"/>
              </w:rPr>
              <w:t>供销</w:t>
            </w:r>
            <w:r>
              <w:rPr>
                <w:rFonts w:hint="eastAsia" w:ascii="___WRD_EMBED_SUB_52" w:hAnsi="___WRD_EMBED_SUB_52" w:eastAsia="___WRD_EMBED_SUB_52" w:cs="___WRD_EMBED_SUB_52"/>
                <w:color w:val="000000"/>
                <w:sz w:val="20"/>
                <w:szCs w:val="20"/>
              </w:rPr>
              <w:t>合</w:t>
            </w:r>
            <w:r>
              <w:rPr>
                <w:rFonts w:hint="eastAsia" w:ascii="宋体" w:hAnsi="宋体" w:eastAsia="宋体"/>
                <w:color w:val="000000"/>
                <w:sz w:val="20"/>
                <w:szCs w:val="20"/>
              </w:rPr>
              <w:t>作</w:t>
            </w:r>
            <w:r>
              <w:rPr>
                <w:rFonts w:hint="eastAsia" w:ascii="方正仿宋_GB2312" w:hAnsi="方正仿宋_GB2312" w:eastAsia="方正仿宋_GB2312" w:cs="方正仿宋_GB2312"/>
                <w:color w:val="000000"/>
                <w:sz w:val="20"/>
                <w:szCs w:val="20"/>
              </w:rPr>
              <w:t>社</w:t>
            </w:r>
            <w:r>
              <w:rPr>
                <w:rFonts w:hint="eastAsia" w:ascii="方正仿宋_GB2312" w:hAnsi="方正仿宋_GB2312" w:eastAsia="方正仿宋_GB2312" w:cs="方正仿宋_GB2312"/>
                <w:color w:val="000000"/>
                <w:sz w:val="20"/>
                <w:szCs w:val="20"/>
                <w:lang w:eastAsia="zh-CN"/>
              </w:rPr>
              <w:t>（</w:t>
            </w:r>
            <w:r>
              <w:rPr>
                <w:rFonts w:hint="eastAsia" w:ascii="方正仿宋_GB2312" w:hAnsi="方正仿宋_GB2312" w:eastAsia="方正仿宋_GB2312" w:cs="方正仿宋_GB2312"/>
                <w:color w:val="000000"/>
                <w:sz w:val="20"/>
                <w:szCs w:val="20"/>
              </w:rPr>
              <w:t>本级</w:t>
            </w:r>
            <w:r>
              <w:rPr>
                <w:rFonts w:hint="eastAsia" w:ascii="方正仿宋_GB2312" w:hAnsi="方正仿宋_GB2312" w:eastAsia="方正仿宋_GB2312" w:cs="方正仿宋_GB2312"/>
                <w:color w:val="000000"/>
                <w:sz w:val="20"/>
                <w:szCs w:val="20"/>
                <w:lang w:eastAsia="zh-CN"/>
              </w:rPr>
              <w:t>）</w:t>
            </w:r>
          </w:p>
        </w:tc>
        <w:tc>
          <w:tcPr>
            <w:tcW w:w="1666"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2023</w:t>
            </w:r>
            <w:r>
              <w:rPr>
                <w:rFonts w:hint="eastAsia" w:ascii="方正仿宋_GB2312" w:hAnsi="方正仿宋_GB2312" w:eastAsia="方正仿宋_GB2312" w:cs="方正仿宋_GB2312"/>
                <w:color w:val="000000"/>
                <w:sz w:val="20"/>
                <w:szCs w:val="20"/>
              </w:rPr>
              <w:t>年度</w:t>
            </w:r>
          </w:p>
        </w:tc>
        <w:tc>
          <w:tcPr>
            <w:tcW w:w="1624" w:type="pct"/>
            <w:gridSpan w:val="2"/>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tblPrEx>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484" w:type="pct"/>
            <w:gridSpan w:val="4"/>
            <w:vMerge w:val="restart"/>
            <w:tcBorders>
              <w:top w:val="single" w:color="auto" w:sz="4" w:space="0"/>
              <w:left w:val="single" w:color="auto"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tblPrEx>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2484" w:type="pct"/>
            <w:gridSpan w:val="4"/>
            <w:vMerge w:val="continue"/>
            <w:tcBorders>
              <w:left w:val="single" w:color="auto" w:sz="4" w:space="0"/>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831" w:type="pct"/>
            <w:vMerge w:val="restart"/>
            <w:tcBorders>
              <w:top w:val="nil"/>
              <w:left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831" w:type="pct"/>
            <w:gridSpan w:val="2"/>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821" w:type="pct"/>
            <w:vMerge w:val="restart"/>
            <w:tcBorders>
              <w:top w:val="nil"/>
              <w:left w:val="nil"/>
              <w:right w:val="single" w:color="000000" w:sz="4" w:space="0"/>
            </w:tcBorders>
            <w:vAlign w:val="center"/>
          </w:tcPr>
          <w:p>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tblPrEx>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260" w:type="pct"/>
            <w:gridSpan w:val="2"/>
            <w:vMerge w:val="continue"/>
            <w:tcBorders>
              <w:top w:val="single" w:color="auto" w:sz="4" w:space="0"/>
              <w:left w:val="nil"/>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p>
        </w:tc>
        <w:tc>
          <w:tcPr>
            <w:tcW w:w="831" w:type="pct"/>
            <w:vMerge w:val="continue"/>
            <w:tcBorders>
              <w:left w:val="single" w:color="auto"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31" w:type="pct"/>
            <w:gridSpan w:val="2"/>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21"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828"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82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8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tblPrEx>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trPr>
        <w:tc>
          <w:tcPr>
            <w:tcW w:w="5000" w:type="pct"/>
            <w:gridSpan w:val="7"/>
            <w:tcBorders>
              <w:top w:val="nil"/>
              <w:left w:val="nil"/>
              <w:bottom w:val="nil"/>
              <w:right w:val="nil"/>
            </w:tcBorders>
            <w:noWrap/>
            <w:vAlign w:val="center"/>
          </w:tcPr>
          <w:p>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注：本表反映部门本年度国有资本经营预算财政拨款支出情况。本单位无国有资本经营预算财政拨款支出，则空表列示。</w:t>
            </w:r>
          </w:p>
        </w:tc>
      </w:tr>
    </w:tbl>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widowControl/>
              <w:jc w:val="left"/>
              <w:textAlignment w:val="bottom"/>
              <w:rPr>
                <w:rFonts w:hint="eastAsia" w:ascii="宋体" w:hAnsi="宋体" w:eastAsia="方正仿宋_GB2312"/>
                <w:color w:val="000000"/>
                <w:sz w:val="18"/>
                <w:szCs w:val="18"/>
                <w:lang w:eastAsia="zh-CN"/>
              </w:rPr>
            </w:pPr>
            <w:r>
              <w:rPr>
                <w:rFonts w:hint="eastAsia" w:ascii="方正仿宋_GB2312" w:hAnsi="方正仿宋_GB2312" w:eastAsia="方正仿宋_GB2312" w:cs="方正仿宋_GB2312"/>
                <w:color w:val="000000"/>
                <w:sz w:val="18"/>
                <w:szCs w:val="18"/>
              </w:rPr>
              <w:t>编制部门（单位）：</w:t>
            </w:r>
            <w:r>
              <w:rPr>
                <w:rFonts w:hint="eastAsia" w:ascii="宋体" w:hAnsi="宋体" w:eastAsia="宋体"/>
                <w:color w:val="000000"/>
                <w:sz w:val="18"/>
                <w:szCs w:val="18"/>
              </w:rPr>
              <w:t>石</w:t>
            </w:r>
            <w:r>
              <w:rPr>
                <w:rFonts w:hint="eastAsia" w:ascii="___WRD_EMBED_SUB_52" w:hAnsi="___WRD_EMBED_SUB_52" w:eastAsia="___WRD_EMBED_SUB_52" w:cs="___WRD_EMBED_SUB_52"/>
                <w:color w:val="000000"/>
                <w:sz w:val="18"/>
                <w:szCs w:val="18"/>
              </w:rPr>
              <w:t>家</w:t>
            </w:r>
            <w:r>
              <w:rPr>
                <w:rFonts w:hint="eastAsia" w:ascii="宋体" w:hAnsi="宋体" w:eastAsia="宋体"/>
                <w:color w:val="000000"/>
                <w:sz w:val="18"/>
                <w:szCs w:val="18"/>
              </w:rPr>
              <w:t>庄市鹿泉</w:t>
            </w:r>
            <w:r>
              <w:rPr>
                <w:rFonts w:hint="eastAsia" w:ascii="___WRD_EMBED_SUB_52" w:hAnsi="___WRD_EMBED_SUB_52" w:eastAsia="___WRD_EMBED_SUB_52" w:cs="___WRD_EMBED_SUB_52"/>
                <w:color w:val="000000"/>
                <w:sz w:val="18"/>
                <w:szCs w:val="18"/>
              </w:rPr>
              <w:t>区</w:t>
            </w:r>
            <w:r>
              <w:rPr>
                <w:rFonts w:hint="eastAsia" w:ascii="宋体" w:hAnsi="宋体" w:eastAsia="宋体"/>
                <w:color w:val="000000"/>
                <w:sz w:val="18"/>
                <w:szCs w:val="18"/>
              </w:rPr>
              <w:t>供销</w:t>
            </w:r>
            <w:r>
              <w:rPr>
                <w:rFonts w:hint="eastAsia" w:ascii="___WRD_EMBED_SUB_52" w:hAnsi="___WRD_EMBED_SUB_52" w:eastAsia="___WRD_EMBED_SUB_52" w:cs="___WRD_EMBED_SUB_52"/>
                <w:color w:val="000000"/>
                <w:sz w:val="18"/>
                <w:szCs w:val="18"/>
              </w:rPr>
              <w:t>合</w:t>
            </w:r>
            <w:r>
              <w:rPr>
                <w:rFonts w:hint="eastAsia" w:ascii="宋体" w:hAnsi="宋体" w:eastAsia="宋体"/>
                <w:color w:val="000000"/>
                <w:sz w:val="18"/>
                <w:szCs w:val="18"/>
              </w:rPr>
              <w:t>作</w:t>
            </w:r>
            <w:r>
              <w:rPr>
                <w:rFonts w:hint="eastAsia" w:ascii="方正仿宋_GB2312" w:hAnsi="方正仿宋_GB2312" w:eastAsia="方正仿宋_GB2312" w:cs="方正仿宋_GB2312"/>
                <w:color w:val="000000"/>
                <w:sz w:val="18"/>
                <w:szCs w:val="18"/>
              </w:rPr>
              <w:t>社</w:t>
            </w:r>
            <w:r>
              <w:rPr>
                <w:rFonts w:hint="eastAsia" w:ascii="方正仿宋_GB2312" w:hAnsi="方正仿宋_GB2312" w:eastAsia="方正仿宋_GB2312" w:cs="方正仿宋_GB2312"/>
                <w:color w:val="000000"/>
                <w:sz w:val="18"/>
                <w:szCs w:val="18"/>
                <w:lang w:eastAsia="zh-CN"/>
              </w:rPr>
              <w:t>（</w:t>
            </w:r>
            <w:r>
              <w:rPr>
                <w:rFonts w:hint="eastAsia" w:ascii="方正仿宋_GB2312" w:hAnsi="方正仿宋_GB2312" w:eastAsia="方正仿宋_GB2312" w:cs="方正仿宋_GB2312"/>
                <w:color w:val="000000"/>
                <w:sz w:val="18"/>
                <w:szCs w:val="18"/>
              </w:rPr>
              <w:t>本级</w:t>
            </w:r>
            <w:r>
              <w:rPr>
                <w:rFonts w:hint="eastAsia" w:ascii="方正仿宋_GB2312" w:hAnsi="方正仿宋_GB2312" w:eastAsia="方正仿宋_GB2312" w:cs="方正仿宋_GB2312"/>
                <w:color w:val="000000"/>
                <w:sz w:val="18"/>
                <w:szCs w:val="18"/>
                <w:lang w:eastAsia="zh-CN"/>
              </w:rPr>
              <w:t>）</w:t>
            </w:r>
          </w:p>
        </w:tc>
        <w:tc>
          <w:tcPr>
            <w:tcW w:w="933" w:type="pct"/>
            <w:gridSpan w:val="3"/>
            <w:tcBorders>
              <w:top w:val="nil"/>
              <w:left w:val="nil"/>
              <w:bottom w:val="single" w:color="auto" w:sz="4" w:space="0"/>
              <w:right w:val="nil"/>
            </w:tcBorders>
            <w:noWrap/>
            <w:vAlign w:val="bottom"/>
          </w:tcPr>
          <w:p>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52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3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8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4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51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r>
      <w:tr>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本单位无财政拨款“三公”经费支出预算，则空表列示。</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rPr>
          <w:rFonts w:ascii="仿宋_GB2312" w:hAnsi="宋体" w:eastAsia="仿宋_GB2312"/>
          <w:b/>
          <w:sz w:val="32"/>
          <w:szCs w:val="32"/>
        </w:rPr>
        <w:sectPr>
          <w:pgSz w:w="11906" w:h="16838"/>
          <w:pgMar w:top="1531" w:right="1984" w:bottom="1531" w:left="2098" w:header="851" w:footer="992" w:gutter="0"/>
          <w:cols w:space="720" w:num="1"/>
          <w:docGrid w:type="lines" w:linePitch="312" w:charSpace="0"/>
        </w:sectPr>
      </w:pPr>
    </w:p>
    <w:p>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spacing w:val="-20"/>
        </w:rPr>
      </w:pPr>
      <w:r>
        <w:rPr>
          <w:rFonts w:hint="eastAsia" w:ascii="黑体" w:hAnsi="宋体" w:eastAsia="黑体" w:cs="黑体"/>
          <w:color w:val="000000"/>
          <w:spacing w:val="-20"/>
          <w:sz w:val="72"/>
          <w:szCs w:val="72"/>
          <w:shd w:val="clear" w:color="auto" w:fill="FFFFFF"/>
        </w:rPr>
        <w:t>2023年度部门决算情况说明</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本单位</w:t>
      </w:r>
      <w:r>
        <w:rPr>
          <w:rFonts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rPr>
        <w:t>支</w:t>
      </w:r>
      <w:r>
        <w:rPr>
          <w:rFonts w:ascii="Times New Roman" w:hAnsi="Times New Roman" w:eastAsia="仿宋_GB2312" w:cs="Times New Roman"/>
          <w:kern w:val="2"/>
          <w:sz w:val="32"/>
          <w:szCs w:val="32"/>
          <w:lang w:val="zh-CN"/>
        </w:rPr>
        <w:t>总计</w:t>
      </w:r>
      <w:bookmarkStart w:id="0" w:name="_GoBack"/>
      <w:bookmarkEnd w:id="0"/>
      <w:r>
        <w:rPr>
          <w:rFonts w:hint="eastAsia" w:ascii="Times New Roman" w:hAnsi="Times New Roman" w:eastAsia="仿宋_GB2312" w:cs="Times New Roman"/>
          <w:kern w:val="2"/>
          <w:sz w:val="32"/>
          <w:szCs w:val="32"/>
          <w:lang w:val="zh-CN"/>
        </w:rPr>
        <w:t>（含结转和结余）</w:t>
      </w:r>
      <w:r>
        <w:rPr>
          <w:rFonts w:ascii="Times New Roman" w:hAnsi="Times New Roman" w:eastAsia="仿宋_GB2312" w:cs="Times New Roman"/>
          <w:kern w:val="2"/>
          <w:sz w:val="32"/>
          <w:szCs w:val="32"/>
          <w:lang w:val="zh-CN"/>
        </w:rPr>
        <w:t>358.09</w:t>
      </w:r>
      <w:r>
        <w:rPr>
          <w:rFonts w:ascii="Times New Roman" w:hAnsi="Times New Roman" w:eastAsia="仿宋_GB2312" w:cs="Times New Roman"/>
          <w:kern w:val="2"/>
          <w:sz w:val="32"/>
          <w:szCs w:val="32"/>
        </w:rPr>
        <w:t>万元，与2022年度决算相比</w:t>
      </w:r>
      <w:r>
        <w:rPr>
          <w:rFonts w:hint="eastAsia" w:ascii="Times New Roman" w:hAnsi="Times New Roman" w:eastAsia="仿宋_GB2312" w:cs="Times New Roman"/>
          <w:kern w:val="2"/>
          <w:sz w:val="32"/>
          <w:szCs w:val="32"/>
        </w:rPr>
        <w:t>，</w:t>
      </w:r>
      <w:r>
        <w:rPr>
          <w:rFonts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lang w:val="zh-CN"/>
        </w:rPr>
        <w:t>减少0.28万元</w:t>
      </w:r>
      <w:r>
        <w:rPr>
          <w:rFonts w:hint="eastAsia" w:ascii="Times New Roman" w:hAnsi="Times New Roman" w:eastAsia="仿宋_GB2312" w:cs="Times New Roman"/>
          <w:sz w:val="30"/>
          <w:szCs w:val="30"/>
        </w:rPr>
        <w:t>,</w:t>
      </w:r>
      <w:r>
        <w:rPr>
          <w:rFonts w:hint="eastAsia" w:ascii="Times New Roman" w:hAnsi="Times New Roman" w:eastAsia="仿宋_GB2312" w:cs="Times New Roman"/>
          <w:sz w:val="30"/>
          <w:szCs w:val="30"/>
          <w:lang w:val="zh-CN"/>
        </w:rPr>
        <w:t>下降0.08%，</w:t>
      </w:r>
      <w:r>
        <w:rPr>
          <w:rFonts w:ascii="Times New Roman" w:hAnsi="Times New Roman" w:eastAsia="仿宋_GB2312" w:cs="Times New Roman"/>
          <w:kern w:val="2"/>
          <w:sz w:val="32"/>
          <w:szCs w:val="32"/>
        </w:rPr>
        <w:t>主要是</w:t>
      </w:r>
      <w:r>
        <w:rPr>
          <w:rFonts w:hint="eastAsia" w:ascii="宋体" w:hAnsi="宋体" w:eastAsia="宋体"/>
          <w:kern w:val="2"/>
          <w:sz w:val="32"/>
          <w:szCs w:val="32"/>
        </w:rPr>
        <w:t>精减节约。</w:t>
      </w:r>
    </w:p>
    <w:p>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ascii="Times New Roman" w:hAnsi="Times New Roman" w:eastAsia="Arial"/>
          <w:color w:val="000000"/>
          <w:sz w:val="18"/>
          <w:szCs w:val="18"/>
          <w:shd w:val="clear" w:color="auto" w:fill="FFFFFF"/>
        </w:rPr>
        <w:t> </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本单位2023年度本年收入合计</w:t>
      </w:r>
      <w:r>
        <w:rPr>
          <w:rFonts w:ascii="Times New Roman" w:hAnsi="Times New Roman" w:eastAsia="仿宋_GB2312" w:cs="Times New Roman"/>
          <w:sz w:val="30"/>
          <w:szCs w:val="30"/>
        </w:rPr>
        <w:t>358.09</w:t>
      </w:r>
      <w:r>
        <w:rPr>
          <w:rFonts w:ascii="Times New Roman" w:hAnsi="Times New Roman" w:eastAsia="仿宋_GB2312" w:cs="Times New Roman"/>
          <w:kern w:val="2"/>
          <w:sz w:val="32"/>
          <w:szCs w:val="32"/>
          <w:lang w:val="zh-CN"/>
        </w:rPr>
        <w:t>万元，其中：财政拨款收入358.09万元，占100%；上级补助收入0万元，占0%；事业收入0万元，占0%；经营收入0万元，占0%；附属单位上缴收入0万元，占0%；其他收入0万元，占0%</w:t>
      </w:r>
      <w:r>
        <w:rPr>
          <w:rFonts w:hint="eastAsia" w:ascii="Times New Roman" w:hAnsi="Times New Roman" w:eastAsia="仿宋_GB2312" w:cs="Times New Roman"/>
          <w:kern w:val="2"/>
          <w:sz w:val="32"/>
          <w:szCs w:val="32"/>
          <w:lang w:val="zh-CN"/>
        </w:rPr>
        <w:t>。</w:t>
      </w:r>
    </w:p>
    <w:p>
      <w:pPr>
        <w:adjustRightInd w:val="0"/>
        <w:snapToGrid w:val="0"/>
        <w:spacing w:line="580" w:lineRule="exact"/>
        <w:rPr>
          <w:rFonts w:ascii="Times New Roman" w:hAnsi="Times New Roman" w:eastAsia="黑体"/>
          <w:kern w:val="2"/>
          <w:sz w:val="32"/>
          <w:szCs w:val="32"/>
        </w:rPr>
      </w:pPr>
      <w:r>
        <w:rPr>
          <w:rFonts w:ascii="Times New Roman" w:hAnsi="Times New Roman" w:eastAsia="仿宋_GB2312"/>
          <w:kern w:val="2"/>
          <w:sz w:val="32"/>
          <w:szCs w:val="32"/>
          <w:highlight w:val="yellow"/>
        </w:rPr>
        <w:drawing>
          <wp:anchor distT="0" distB="0" distL="114300" distR="114300" simplePos="0" relativeHeight="251659264"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本单位2023年度本年支出合计358.09万元，其中：基本支出338.09万元，占94.41%；项目支出20万元，占5.59%；上缴上级支出0万元，占0%；经营支出0万元，占0%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对附属单位补助支出0万元，占0%</w:t>
      </w:r>
      <w:r>
        <w:rPr>
          <w:rFonts w:hint="eastAsia" w:ascii="Times New Roman" w:hAnsi="Times New Roman" w:eastAsia="仿宋_GB2312" w:cs="Times New Roman"/>
          <w:kern w:val="2"/>
          <w:sz w:val="32"/>
          <w:szCs w:val="32"/>
          <w:lang w:val="zh-CN"/>
        </w:rPr>
        <w:t>。</w:t>
      </w:r>
    </w:p>
    <w:p>
      <w:pPr>
        <w:autoSpaceDE w:val="0"/>
        <w:autoSpaceDN w:val="0"/>
        <w:adjustRightInd w:val="0"/>
        <w:jc w:val="left"/>
        <w:rPr>
          <w:rFonts w:ascii="Times New Roman" w:hAnsi="Times New Roman" w:eastAsia="仿宋_GB2312" w:cs="Times New Roman"/>
          <w:sz w:val="32"/>
          <w:szCs w:val="32"/>
          <w:highlight w:val="yellow"/>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pPr>
        <w:pStyle w:val="10"/>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年度财政拨款本年收入358.09</w:t>
      </w:r>
      <w:r>
        <w:rPr>
          <w:rFonts w:ascii="Times New Roman" w:hAnsi="Times New Roman" w:eastAsia="仿宋_GB2312"/>
          <w:kern w:val="2"/>
          <w:sz w:val="32"/>
          <w:szCs w:val="32"/>
        </w:rPr>
        <w:t>万</w:t>
      </w:r>
      <w:r>
        <w:rPr>
          <w:rFonts w:ascii="Times New Roman" w:hAnsi="Times New Roman" w:eastAsia="仿宋_GB2312"/>
          <w:kern w:val="2"/>
          <w:sz w:val="32"/>
          <w:szCs w:val="32"/>
          <w:lang w:val="zh-CN"/>
        </w:rPr>
        <w:t>元,比上年</w:t>
      </w:r>
      <w:r>
        <w:rPr>
          <w:rFonts w:hint="eastAsia" w:ascii="Times New Roman" w:hAnsi="Times New Roman" w:eastAsia="仿宋_GB2312"/>
          <w:sz w:val="30"/>
          <w:szCs w:val="30"/>
          <w:lang w:val="zh-CN"/>
        </w:rPr>
        <w:t>减少0.28万元</w:t>
      </w:r>
      <w:r>
        <w:rPr>
          <w:rFonts w:ascii="Times New Roman" w:hAnsi="Times New Roman" w:eastAsia="仿宋_GB2312"/>
          <w:kern w:val="2"/>
          <w:sz w:val="32"/>
          <w:szCs w:val="32"/>
          <w:lang w:val="zh-CN"/>
        </w:rPr>
        <w:t>，</w:t>
      </w:r>
      <w:r>
        <w:rPr>
          <w:rFonts w:hint="eastAsia" w:ascii="Times New Roman" w:hAnsi="Times New Roman" w:eastAsia="仿宋_GB2312"/>
          <w:sz w:val="30"/>
          <w:szCs w:val="30"/>
          <w:lang w:val="zh-CN"/>
        </w:rPr>
        <w:t>降低0.08%，</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zh-CN"/>
        </w:rPr>
        <w:t>厉行节约</w:t>
      </w:r>
      <w:r>
        <w:rPr>
          <w:rFonts w:ascii="Times New Roman" w:hAnsi="Times New Roman" w:eastAsia="仿宋_GB2312"/>
          <w:kern w:val="2"/>
          <w:sz w:val="32"/>
          <w:szCs w:val="32"/>
          <w:lang w:val="zh-CN"/>
        </w:rPr>
        <w:t>；本年支出 358.09</w:t>
      </w:r>
      <w:r>
        <w:rPr>
          <w:rFonts w:hint="eastAsia" w:ascii="Times New Roman" w:hAnsi="Times New Roman" w:eastAsia="仿宋_GB2312"/>
          <w:kern w:val="2"/>
          <w:sz w:val="32"/>
          <w:szCs w:val="32"/>
        </w:rPr>
        <w:t>万</w:t>
      </w:r>
      <w:r>
        <w:rPr>
          <w:rFonts w:ascii="Times New Roman" w:hAnsi="Times New Roman" w:eastAsia="仿宋_GB2312"/>
          <w:kern w:val="2"/>
          <w:sz w:val="32"/>
          <w:szCs w:val="32"/>
          <w:lang w:val="zh-CN"/>
        </w:rPr>
        <w:t>元，比上年</w:t>
      </w:r>
      <w:r>
        <w:rPr>
          <w:rFonts w:hint="eastAsia" w:ascii="Times New Roman" w:hAnsi="Times New Roman" w:eastAsia="仿宋_GB2312"/>
          <w:sz w:val="30"/>
          <w:szCs w:val="30"/>
          <w:lang w:val="zh-CN"/>
        </w:rPr>
        <w:t>减少0.28万元</w:t>
      </w:r>
      <w:r>
        <w:rPr>
          <w:rFonts w:ascii="Times New Roman" w:hAnsi="Times New Roman" w:eastAsia="仿宋_GB2312"/>
          <w:kern w:val="2"/>
          <w:sz w:val="32"/>
          <w:szCs w:val="32"/>
          <w:lang w:val="zh-CN"/>
        </w:rPr>
        <w:t>，</w:t>
      </w:r>
      <w:r>
        <w:rPr>
          <w:rFonts w:hint="eastAsia" w:ascii="Times New Roman" w:hAnsi="Times New Roman" w:eastAsia="仿宋_GB2312"/>
          <w:sz w:val="30"/>
          <w:szCs w:val="30"/>
          <w:lang w:val="zh-CN"/>
        </w:rPr>
        <w:t>降低0.08%，</w:t>
      </w:r>
      <w:r>
        <w:rPr>
          <w:rFonts w:ascii="Times New Roman" w:hAnsi="Times New Roman" w:eastAsia="仿宋_GB2312"/>
          <w:kern w:val="2"/>
          <w:sz w:val="32"/>
          <w:szCs w:val="32"/>
          <w:lang w:val="zh-CN"/>
        </w:rPr>
        <w:t>主要是</w:t>
      </w:r>
      <w:r>
        <w:rPr>
          <w:rFonts w:hint="eastAsia" w:ascii="宋体" w:hAnsi="宋体" w:eastAsia="宋体" w:cs="宋体"/>
          <w:kern w:val="2"/>
          <w:sz w:val="32"/>
          <w:szCs w:val="32"/>
          <w:lang w:val="zh-CN"/>
        </w:rPr>
        <w:t>厉</w:t>
      </w:r>
      <w:r>
        <w:rPr>
          <w:rFonts w:hint="eastAsia" w:ascii="___WRD_EMBED_SUB_48" w:hAnsi="___WRD_EMBED_SUB_48" w:eastAsia="___WRD_EMBED_SUB_48" w:cs="___WRD_EMBED_SUB_48"/>
          <w:kern w:val="2"/>
          <w:sz w:val="32"/>
          <w:szCs w:val="32"/>
          <w:lang w:val="zh-CN"/>
        </w:rPr>
        <w:t>行节</w:t>
      </w:r>
      <w:r>
        <w:rPr>
          <w:rFonts w:hint="eastAsia" w:ascii="宋体" w:hAnsi="宋体" w:eastAsia="宋体" w:cs="宋体"/>
          <w:kern w:val="2"/>
          <w:sz w:val="32"/>
          <w:szCs w:val="32"/>
          <w:lang w:val="zh-CN"/>
        </w:rPr>
        <w:t>约</w:t>
      </w:r>
      <w:r>
        <w:rPr>
          <w:rFonts w:ascii="Times New Roman" w:hAnsi="Times New Roman" w:eastAsia="仿宋_GB2312"/>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1. 一般公共预算财政拨款本年收入358.09万元,比上年</w:t>
      </w:r>
      <w:r>
        <w:rPr>
          <w:rFonts w:hint="eastAsia" w:ascii="Times New Roman" w:hAnsi="Times New Roman" w:eastAsia="仿宋_GB2312" w:cs="Times New Roman"/>
          <w:sz w:val="30"/>
          <w:szCs w:val="30"/>
          <w:lang w:val="zh-CN"/>
        </w:rPr>
        <w:t>减少0.28万元，降低0.08%，</w:t>
      </w:r>
      <w:r>
        <w:rPr>
          <w:rFonts w:ascii="Times New Roman" w:hAnsi="Times New Roman" w:eastAsia="仿宋_GB2312" w:cs="Times New Roman"/>
          <w:kern w:val="2"/>
          <w:sz w:val="32"/>
          <w:szCs w:val="32"/>
          <w:lang w:val="zh-CN"/>
        </w:rPr>
        <w:t>主要是</w:t>
      </w:r>
      <w:r>
        <w:rPr>
          <w:rFonts w:hint="eastAsia" w:ascii="宋体" w:hAnsi="宋体" w:eastAsia="宋体"/>
          <w:kern w:val="2"/>
          <w:sz w:val="32"/>
          <w:szCs w:val="32"/>
          <w:lang w:val="zh-CN"/>
        </w:rPr>
        <w:t>厉</w:t>
      </w:r>
      <w:r>
        <w:rPr>
          <w:rFonts w:hint="eastAsia" w:ascii="___WRD_EMBED_SUB_48" w:hAnsi="___WRD_EMBED_SUB_48" w:eastAsia="___WRD_EMBED_SUB_48" w:cs="___WRD_EMBED_SUB_48"/>
          <w:kern w:val="2"/>
          <w:sz w:val="32"/>
          <w:szCs w:val="32"/>
          <w:lang w:val="zh-CN"/>
        </w:rPr>
        <w:t>行节</w:t>
      </w:r>
      <w:r>
        <w:rPr>
          <w:rFonts w:hint="eastAsia" w:ascii="宋体" w:hAnsi="宋体" w:eastAsia="宋体"/>
          <w:kern w:val="2"/>
          <w:sz w:val="32"/>
          <w:szCs w:val="32"/>
          <w:lang w:val="zh-CN"/>
        </w:rPr>
        <w:t>约</w:t>
      </w:r>
      <w:r>
        <w:rPr>
          <w:rFonts w:ascii="Times New Roman" w:hAnsi="Times New Roman" w:eastAsia="仿宋_GB2312" w:cs="Times New Roman"/>
          <w:kern w:val="2"/>
          <w:sz w:val="32"/>
          <w:szCs w:val="32"/>
          <w:lang w:val="zh-CN"/>
        </w:rPr>
        <w:t>；本年支出 358.09</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减少0.28万元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lang w:val="zh-CN"/>
        </w:rPr>
        <w:t>降低0.08%，</w:t>
      </w:r>
      <w:r>
        <w:rPr>
          <w:rFonts w:ascii="Times New Roman" w:hAnsi="Times New Roman" w:eastAsia="仿宋_GB2312" w:cs="Times New Roman"/>
          <w:kern w:val="2"/>
          <w:sz w:val="32"/>
          <w:szCs w:val="32"/>
          <w:lang w:val="zh-CN"/>
        </w:rPr>
        <w:t>主要是</w:t>
      </w:r>
      <w:r>
        <w:rPr>
          <w:rFonts w:hint="eastAsia" w:ascii="宋体" w:hAnsi="宋体" w:eastAsia="宋体"/>
          <w:kern w:val="2"/>
          <w:sz w:val="32"/>
          <w:szCs w:val="32"/>
          <w:lang w:val="zh-CN"/>
        </w:rPr>
        <w:t>厉</w:t>
      </w:r>
      <w:r>
        <w:rPr>
          <w:rFonts w:hint="eastAsia" w:ascii="___WRD_EMBED_SUB_48" w:hAnsi="___WRD_EMBED_SUB_48" w:eastAsia="___WRD_EMBED_SUB_48" w:cs="___WRD_EMBED_SUB_48"/>
          <w:kern w:val="2"/>
          <w:sz w:val="32"/>
          <w:szCs w:val="32"/>
          <w:lang w:val="zh-CN"/>
        </w:rPr>
        <w:t>行节</w:t>
      </w:r>
      <w:r>
        <w:rPr>
          <w:rFonts w:hint="eastAsia" w:ascii="宋体" w:hAnsi="宋体" w:eastAsia="宋体"/>
          <w:kern w:val="2"/>
          <w:sz w:val="32"/>
          <w:szCs w:val="32"/>
          <w:lang w:val="zh-CN"/>
        </w:rPr>
        <w:t>约</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kern w:val="2"/>
          <w:sz w:val="32"/>
          <w:szCs w:val="32"/>
          <w:lang w:val="zh-CN"/>
        </w:rPr>
        <w:t>2. 政府性基金预算财政拨款本年收入0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本单位无政府性基金预算</w:t>
      </w:r>
      <w:r>
        <w:rPr>
          <w:rFonts w:ascii="Times New Roman" w:hAnsi="Times New Roman" w:eastAsia="仿宋_GB2312" w:cs="Times New Roman"/>
          <w:kern w:val="2"/>
          <w:sz w:val="32"/>
          <w:szCs w:val="32"/>
          <w:lang w:val="zh-CN"/>
        </w:rPr>
        <w:t>；本年支出 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本单位无政府性基金预算</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3. 国有资本经营预算财政拨款本年收入0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w:t>
      </w:r>
      <w:r>
        <w:rPr>
          <w:rFonts w:ascii="Times New Roman" w:hAnsi="Times New Roman" w:eastAsia="仿宋_GB2312" w:cs="Times New Roman"/>
          <w:kern w:val="2"/>
          <w:sz w:val="32"/>
          <w:szCs w:val="32"/>
          <w:lang w:val="zh-CN"/>
        </w:rPr>
        <w:t>国有资本经营预算；本年支出0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无</w:t>
      </w:r>
      <w:r>
        <w:rPr>
          <w:rFonts w:ascii="Times New Roman" w:hAnsi="Times New Roman" w:eastAsia="仿宋_GB2312" w:cs="Times New Roman"/>
          <w:kern w:val="2"/>
          <w:sz w:val="32"/>
          <w:szCs w:val="32"/>
          <w:lang w:val="zh-CN"/>
        </w:rPr>
        <w:t>国有资本经营预算。</w:t>
      </w: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年度财政拨款本年收入358.09万元，完成年初预算的100.86%，比年初预算</w:t>
      </w:r>
      <w:r>
        <w:rPr>
          <w:rFonts w:hint="eastAsia" w:ascii="Times New Roman" w:hAnsi="Times New Roman" w:eastAsia="仿宋_GB2312" w:cs="Times New Roman"/>
          <w:sz w:val="30"/>
          <w:szCs w:val="30"/>
          <w:lang w:val="zh-CN"/>
        </w:rPr>
        <w:t>增加3.05万元</w:t>
      </w:r>
      <w:r>
        <w:rPr>
          <w:rFonts w:ascii="Times New Roman" w:hAnsi="Times New Roman" w:eastAsia="仿宋_GB2312" w:cs="Times New Roman"/>
          <w:kern w:val="2"/>
          <w:sz w:val="32"/>
          <w:szCs w:val="32"/>
          <w:lang w:val="zh-CN"/>
        </w:rPr>
        <w:t>，决算数大于预算数主要原因是</w:t>
      </w:r>
      <w:r>
        <w:rPr>
          <w:rFonts w:hint="eastAsia" w:ascii="Times New Roman" w:hAnsi="Times New Roman" w:eastAsia="仿宋_GB2312" w:cs="Times New Roman"/>
          <w:kern w:val="2"/>
          <w:sz w:val="32"/>
          <w:szCs w:val="32"/>
          <w:lang w:val="zh-CN"/>
        </w:rPr>
        <w:t>人员经费增加</w:t>
      </w:r>
      <w:r>
        <w:rPr>
          <w:rFonts w:ascii="Times New Roman" w:hAnsi="Times New Roman" w:eastAsia="仿宋_GB2312" w:cs="Times New Roman"/>
          <w:kern w:val="2"/>
          <w:sz w:val="32"/>
          <w:szCs w:val="32"/>
          <w:lang w:val="zh-CN"/>
        </w:rPr>
        <w:t>；本年支出358.09万元，完成年初预算的100.86%，比年初预算</w:t>
      </w:r>
      <w:r>
        <w:rPr>
          <w:rFonts w:hint="eastAsia" w:ascii="Times New Roman" w:hAnsi="Times New Roman" w:eastAsia="仿宋_GB2312" w:cs="Times New Roman"/>
          <w:sz w:val="30"/>
          <w:szCs w:val="30"/>
          <w:lang w:val="zh-CN"/>
        </w:rPr>
        <w:t>增加3.05万元</w:t>
      </w:r>
      <w:r>
        <w:rPr>
          <w:rFonts w:ascii="Times New Roman" w:hAnsi="Times New Roman" w:eastAsia="仿宋_GB2312" w:cs="Times New Roman"/>
          <w:kern w:val="2"/>
          <w:sz w:val="32"/>
          <w:szCs w:val="32"/>
          <w:lang w:val="zh-CN"/>
        </w:rPr>
        <w:t>，决算数大于预算数主要原因是</w:t>
      </w:r>
      <w:r>
        <w:rPr>
          <w:rFonts w:hint="eastAsia" w:ascii="Times New Roman" w:hAnsi="Times New Roman" w:eastAsia="仿宋_GB2312" w:cs="Times New Roman"/>
          <w:kern w:val="2"/>
          <w:sz w:val="32"/>
          <w:szCs w:val="32"/>
          <w:lang w:val="zh-CN"/>
        </w:rPr>
        <w:t>人员经费增加</w:t>
      </w:r>
      <w:r>
        <w:rPr>
          <w:rFonts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收入358.09万元，完成年初预算的 100.86%，比年初预算</w:t>
      </w:r>
      <w:r>
        <w:rPr>
          <w:rFonts w:hint="eastAsia" w:ascii="Times New Roman" w:hAnsi="Times New Roman" w:eastAsia="仿宋_GB2312" w:cs="Times New Roman"/>
          <w:sz w:val="30"/>
          <w:szCs w:val="30"/>
          <w:lang w:val="zh-CN"/>
        </w:rPr>
        <w:t>增加3.05万元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人员经费增加</w:t>
      </w:r>
      <w:r>
        <w:rPr>
          <w:rFonts w:ascii="Times New Roman" w:hAnsi="Times New Roman" w:eastAsia="仿宋_GB2312" w:cs="Times New Roman"/>
          <w:kern w:val="2"/>
          <w:sz w:val="32"/>
          <w:szCs w:val="32"/>
          <w:lang w:val="zh-CN"/>
        </w:rPr>
        <w:t>；本年支出358.09万元，完成年初预算的100.86%，比年初预算</w:t>
      </w:r>
      <w:r>
        <w:rPr>
          <w:rFonts w:hint="eastAsia" w:ascii="Times New Roman" w:hAnsi="Times New Roman" w:eastAsia="仿宋_GB2312" w:cs="Times New Roman"/>
          <w:sz w:val="30"/>
          <w:szCs w:val="30"/>
          <w:lang w:val="zh-CN"/>
        </w:rPr>
        <w:t>增加3.05万元</w:t>
      </w:r>
      <w:r>
        <w:rPr>
          <w:rFonts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zh-CN"/>
        </w:rPr>
        <w:t>人员经费增加</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无政府性基金预算</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无政府性基金预算</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color w:val="000000"/>
          <w:sz w:val="33"/>
          <w:szCs w:val="33"/>
          <w:shd w:val="clear" w:color="auto" w:fill="FFFFFF"/>
        </w:rPr>
      </w:pPr>
      <w:r>
        <w:rPr>
          <w:rFonts w:ascii="Times New Roman" w:hAnsi="Times New Roman" w:eastAsia="仿宋_GB2312" w:cs="Times New Roman"/>
          <w:kern w:val="2"/>
          <w:sz w:val="32"/>
          <w:szCs w:val="32"/>
          <w:lang w:val="zh-CN"/>
        </w:rPr>
        <w:t>3. 国有资本经营预算财政拨款本年收入0万元，完成年初预算的0%，</w:t>
      </w:r>
      <w:r>
        <w:rPr>
          <w:rFonts w:ascii="Times New Roman" w:hAnsi="Times New Roman" w:eastAsia="仿宋_GB2312" w:cs="Times New Roman"/>
          <w:sz w:val="30"/>
          <w:szCs w:val="30"/>
          <w:lang w:val="zh-CN"/>
        </w:rPr>
        <w:t>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w:t>
      </w:r>
      <w:r>
        <w:rPr>
          <w:rFonts w:ascii="Times New Roman" w:hAnsi="Times New Roman" w:eastAsia="仿宋_GB2312" w:cs="Times New Roman"/>
          <w:kern w:val="2"/>
          <w:sz w:val="32"/>
          <w:szCs w:val="32"/>
          <w:lang w:val="zh-CN"/>
        </w:rPr>
        <w:t>国有资本经营预算；本年支出0万元，完成年初预算的0%，比年初预算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w:t>
      </w:r>
      <w:r>
        <w:rPr>
          <w:rFonts w:ascii="Times New Roman" w:hAnsi="Times New Roman" w:eastAsia="仿宋_GB2312" w:cs="Times New Roman"/>
          <w:kern w:val="2"/>
          <w:sz w:val="32"/>
          <w:szCs w:val="32"/>
          <w:lang w:val="zh-CN"/>
        </w:rPr>
        <w:t>国有资本经营预算。</w:t>
      </w:r>
    </w:p>
    <w:p>
      <w:pPr>
        <w:pStyle w:val="10"/>
        <w:widowControl/>
        <w:spacing w:beforeAutospacing="0" w:afterAutospacing="0"/>
        <w:rPr>
          <w:rFonts w:ascii="Times New Roman" w:hAnsi="Times New Roman" w:eastAsia="Arial"/>
        </w:rPr>
      </w:pP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pPr>
        <w:adjustRightInd w:val="0"/>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仿宋_GB2312" w:cs="Times New Roman"/>
          <w:color w:val="000000"/>
          <w:sz w:val="33"/>
          <w:szCs w:val="33"/>
          <w:shd w:val="clear" w:color="auto" w:fill="FFFFFF"/>
        </w:rPr>
        <w:t> </w:t>
      </w:r>
      <w:r>
        <w:rPr>
          <w:rFonts w:ascii="Times New Roman" w:hAnsi="Times New Roman" w:eastAsia="仿宋_GB2312" w:cs="Times New Roman"/>
          <w:kern w:val="2"/>
          <w:sz w:val="32"/>
          <w:szCs w:val="32"/>
          <w:lang w:val="zh-CN"/>
        </w:rPr>
        <w:t> 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年度财政拨款支出358.09万元，主要用于以下方面：</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一般公共服务（类）支出0万元，占0%；</w:t>
      </w:r>
      <w:r>
        <w:rPr>
          <w:rFonts w:ascii="Times New Roman" w:hAnsi="Times New Roman" w:eastAsia="仿宋_GB2312"/>
          <w:kern w:val="2"/>
          <w:sz w:val="32"/>
          <w:szCs w:val="32"/>
        </w:rPr>
        <w:t>外交</w:t>
      </w:r>
      <w:r>
        <w:rPr>
          <w:rFonts w:ascii="Times New Roman" w:hAnsi="Times New Roman" w:eastAsia="仿宋_GB2312"/>
          <w:kern w:val="2"/>
          <w:sz w:val="32"/>
          <w:szCs w:val="32"/>
          <w:lang w:val="zh-CN"/>
        </w:rPr>
        <w:t>（类）支出0万元，占0%；国防（类）支出0万元，占0%；公共安全类（类）支出0万元，占0%；教育（类）支出0万元，占0%；科学技术（类）支出0万元，占0%；文化旅游体育与传媒（类）支出0万元，占0%；社会保障和就业 （类）支出170.95万元，占47.74%；卫生健康（类）支出10万元，占2.79%；节能环保（类）支出0万元，占0%；城乡社区（类）支出0万元，占0%；农林水（类）支出0万元，占0%；交通运输（类）支出0万元，占0%；资源勘探信息等（类）支出0万元，占0%；商业服务业等（类）支出164.05万元，占45.81%；金融（类）支出0万元，占0%；援助其他地区（类）支出0万元，占0%；自然资源海洋气象等（类）支出0万元，占0%；住房保障（类）支出13.1万元，占3.66%；粮油物资储备（类）支出0万元，占0%；国有资本经营预算支出0万元，占0%；害防治及应急管理（类）支出0万元，占0%；其他（类）支出0万元，占0%；债务</w:t>
      </w:r>
      <w:r>
        <w:rPr>
          <w:rFonts w:ascii="Times New Roman" w:hAnsi="Times New Roman" w:eastAsia="仿宋_GB2312"/>
          <w:kern w:val="2"/>
          <w:sz w:val="32"/>
          <w:szCs w:val="32"/>
        </w:rPr>
        <w:t>还本</w:t>
      </w:r>
      <w:r>
        <w:rPr>
          <w:rFonts w:ascii="Times New Roman" w:hAnsi="Times New Roman" w:eastAsia="仿宋_GB2312"/>
          <w:kern w:val="2"/>
          <w:sz w:val="32"/>
          <w:szCs w:val="32"/>
          <w:lang w:val="zh-CN"/>
        </w:rPr>
        <w:t>（类）支出0万元，占0%；债务付息（类）支出0万元，占0%；抗疫特别国债安排的支出0万元，占0%。</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widowControl/>
        <w:numPr>
          <w:ilvl w:val="0"/>
          <w:numId w:val="2"/>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pPr>
        <w:pStyle w:val="10"/>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年度财政拨款基本支出338.09万元，其中：</w:t>
      </w:r>
    </w:p>
    <w:p>
      <w:pPr>
        <w:pStyle w:val="10"/>
        <w:widowControl/>
        <w:spacing w:beforeAutospacing="0" w:afterAutospacing="0"/>
        <w:ind w:firstLine="640" w:firstLineChars="200"/>
        <w:rPr>
          <w:rFonts w:ascii="Times New Roman" w:hAnsi="Times New Roman" w:eastAsia="仿宋_GB2312"/>
          <w:sz w:val="32"/>
          <w:szCs w:val="32"/>
        </w:rPr>
      </w:pPr>
      <w:r>
        <w:rPr>
          <w:rFonts w:ascii="Times New Roman" w:hAnsi="Times New Roman" w:eastAsia="仿宋_GB2312"/>
          <w:kern w:val="2"/>
          <w:sz w:val="32"/>
          <w:szCs w:val="32"/>
          <w:lang w:val="zh-CN"/>
        </w:rPr>
        <w:t>人员经费253.61万元，主要包括基本工资、津贴补贴、奖金、伙食补助费、绩效工资、机关事业部门基本养老保险缴费、职业年金缴费、职工基本医疗保险缴费、公务员医疗补助缴费、住房公积金、其他社会保障缴费、其他工资福利支出、退休费、 抚恤金、生活补助、奖励金、其他对</w:t>
      </w:r>
      <w:r>
        <w:rPr>
          <w:rFonts w:ascii="Times New Roman" w:hAnsi="Times New Roman" w:eastAsia="仿宋_GB2312"/>
          <w:color w:val="333333"/>
          <w:sz w:val="33"/>
          <w:szCs w:val="33"/>
          <w:shd w:val="clear" w:color="auto" w:fill="FFFFFF"/>
        </w:rPr>
        <w:t>个人和家庭</w:t>
      </w:r>
      <w:r>
        <w:rPr>
          <w:rFonts w:ascii="Times New Roman" w:hAnsi="Times New Roman" w:eastAsia="仿宋_GB2312"/>
          <w:kern w:val="2"/>
          <w:sz w:val="32"/>
          <w:szCs w:val="32"/>
          <w:lang w:val="zh-CN"/>
        </w:rPr>
        <w:t>的补助支出。</w:t>
      </w: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84.48万元，主要包括办公费、印刷费、咨询费、手续费、水费、电费、邮电费、取暖费、物业管理费、差旅费、维修（护）费、租赁费、培训费、劳务费、委托业务费、工会经费、福利费、其他交通费用、其他商品和服务支出、办公设备购置。</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年度“三公”经费财政拨款支出预算为0万元，支出决算为0万元，完成预算的0%，较预算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zh-CN"/>
        </w:rPr>
        <w:t>无</w:t>
      </w:r>
      <w:r>
        <w:rPr>
          <w:rFonts w:ascii="Times New Roman" w:hAnsi="Times New Roman" w:eastAsia="仿宋_GB2312"/>
          <w:kern w:val="2"/>
          <w:sz w:val="32"/>
          <w:szCs w:val="32"/>
          <w:lang w:val="zh-CN"/>
        </w:rPr>
        <w:t>“三公”经费财政拨款支出预算；较2022年度决算</w:t>
      </w:r>
      <w:r>
        <w:rPr>
          <w:rFonts w:hint="eastAsia" w:ascii="Times New Roman" w:hAnsi="Times New Roman" w:eastAsia="仿宋_GB2312"/>
          <w:kern w:val="2"/>
          <w:sz w:val="32"/>
          <w:szCs w:val="32"/>
          <w:lang w:val="zh-CN"/>
        </w:rPr>
        <w:t>持平</w:t>
      </w:r>
      <w:r>
        <w:rPr>
          <w:rFonts w:hint="eastAsia" w:ascii="Times New Roman" w:hAnsi="Times New Roman" w:eastAsia="仿宋_GB2312" w:cs="仿宋_GB2312"/>
          <w:sz w:val="30"/>
          <w:szCs w:val="30"/>
        </w:rPr>
        <w:t>，</w:t>
      </w:r>
      <w:r>
        <w:rPr>
          <w:rFonts w:ascii="Times New Roman" w:hAnsi="Times New Roman" w:eastAsia="仿宋_GB2312"/>
          <w:kern w:val="2"/>
          <w:sz w:val="32"/>
          <w:szCs w:val="32"/>
          <w:lang w:val="zh-CN"/>
        </w:rPr>
        <w:t>主要是“三公”经费财政拨款支出预算。</w:t>
      </w:r>
    </w:p>
    <w:p>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pPr>
        <w:pStyle w:val="10"/>
        <w:widowControl/>
        <w:spacing w:beforeAutospacing="0" w:afterAutospacing="0"/>
        <w:ind w:firstLine="643"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本单位</w:t>
      </w:r>
      <w:r>
        <w:rPr>
          <w:rFonts w:ascii="Times New Roman" w:hAnsi="Times New Roman" w:eastAsia="仿宋_GB2312"/>
          <w:kern w:val="2"/>
          <w:sz w:val="32"/>
          <w:szCs w:val="32"/>
        </w:rPr>
        <w:t>2023年度因公出国（境）费支出预算为0万元,支出决算0万元。完成预算的0%。因公出国（境）费支出较预算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，主要是</w:t>
      </w:r>
      <w:r>
        <w:rPr>
          <w:rFonts w:hint="eastAsia" w:ascii="Times New Roman" w:hAnsi="Times New Roman" w:eastAsia="仿宋_GB2312"/>
          <w:kern w:val="2"/>
          <w:sz w:val="32"/>
          <w:szCs w:val="32"/>
        </w:rPr>
        <w:t>无</w:t>
      </w:r>
      <w:r>
        <w:rPr>
          <w:rFonts w:ascii="Times New Roman" w:hAnsi="Times New Roman" w:eastAsia="楷体_GB2312"/>
          <w:bCs/>
          <w:kern w:val="2"/>
          <w:sz w:val="32"/>
          <w:szCs w:val="32"/>
        </w:rPr>
        <w:t>因公出国（境）费支出</w:t>
      </w:r>
      <w:r>
        <w:rPr>
          <w:rFonts w:hint="eastAsia" w:ascii="Times New Roman" w:hAnsi="Times New Roman" w:eastAsia="楷体_GB2312"/>
          <w:bCs/>
          <w:kern w:val="2"/>
          <w:sz w:val="32"/>
          <w:szCs w:val="32"/>
        </w:rPr>
        <w:t>预算</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，主要是</w:t>
      </w:r>
      <w:r>
        <w:rPr>
          <w:rFonts w:hint="eastAsia" w:ascii="Times New Roman" w:hAnsi="Times New Roman" w:eastAsia="仿宋_GB2312"/>
          <w:kern w:val="2"/>
          <w:sz w:val="32"/>
          <w:szCs w:val="32"/>
        </w:rPr>
        <w:t>无</w:t>
      </w:r>
      <w:r>
        <w:rPr>
          <w:rFonts w:ascii="Times New Roman" w:hAnsi="Times New Roman" w:eastAsia="楷体_GB2312"/>
          <w:bCs/>
          <w:kern w:val="2"/>
          <w:sz w:val="32"/>
          <w:szCs w:val="32"/>
        </w:rPr>
        <w:t>因公出国（境）费支出</w:t>
      </w:r>
      <w:r>
        <w:rPr>
          <w:rFonts w:hint="eastAsia" w:ascii="Times New Roman" w:hAnsi="Times New Roman" w:eastAsia="楷体_GB2312"/>
          <w:bCs/>
          <w:kern w:val="2"/>
          <w:sz w:val="32"/>
          <w:szCs w:val="32"/>
        </w:rPr>
        <w:t>预算</w:t>
      </w:r>
      <w:r>
        <w:rPr>
          <w:rFonts w:ascii="Times New Roman" w:hAnsi="Times New Roman" w:eastAsia="仿宋_GB2312"/>
          <w:kern w:val="2"/>
          <w:sz w:val="32"/>
          <w:szCs w:val="32"/>
        </w:rPr>
        <w:t>。因公出国（境）团组0个、共0人、参加其他单位组织的因公出国（境）团组</w:t>
      </w:r>
      <w:r>
        <w:rPr>
          <w:rFonts w:hint="eastAsia" w:ascii="Times New Roman" w:hAnsi="Times New Roman" w:eastAsia="仿宋_GB2312"/>
          <w:kern w:val="2"/>
          <w:sz w:val="32"/>
          <w:szCs w:val="32"/>
        </w:rPr>
        <w:t>0</w:t>
      </w:r>
      <w:r>
        <w:rPr>
          <w:rFonts w:ascii="Times New Roman" w:hAnsi="Times New Roman" w:eastAsia="仿宋_GB2312"/>
          <w:kern w:val="2"/>
          <w:sz w:val="32"/>
          <w:szCs w:val="32"/>
        </w:rPr>
        <w:t>个、共</w:t>
      </w:r>
      <w:r>
        <w:rPr>
          <w:rFonts w:hint="eastAsia" w:ascii="Times New Roman" w:hAnsi="Times New Roman" w:eastAsia="仿宋_GB2312"/>
          <w:kern w:val="2"/>
          <w:sz w:val="32"/>
          <w:szCs w:val="32"/>
        </w:rPr>
        <w:t>0</w:t>
      </w:r>
      <w:r>
        <w:rPr>
          <w:rFonts w:ascii="Times New Roman" w:hAnsi="Times New Roman" w:eastAsia="仿宋_GB2312"/>
          <w:kern w:val="2"/>
          <w:sz w:val="32"/>
          <w:szCs w:val="32"/>
        </w:rPr>
        <w:t>人</w:t>
      </w:r>
      <w:r>
        <w:rPr>
          <w:rFonts w:hint="eastAsia" w:ascii="Times New Roman" w:hAnsi="Times New Roman" w:eastAsia="仿宋_GB2312"/>
          <w:kern w:val="2"/>
          <w:sz w:val="32"/>
          <w:szCs w:val="32"/>
        </w:rPr>
        <w:t>，</w:t>
      </w:r>
      <w:r>
        <w:rPr>
          <w:rFonts w:ascii="Times New Roman" w:hAnsi="Times New Roman" w:eastAsia="仿宋_GB2312"/>
          <w:kern w:val="2"/>
          <w:sz w:val="32"/>
          <w:szCs w:val="32"/>
        </w:rPr>
        <w:t>无本部门组织的出国（境）团组。</w:t>
      </w:r>
    </w:p>
    <w:p>
      <w:pPr>
        <w:adjustRightInd w:val="0"/>
        <w:snapToGrid w:val="0"/>
        <w:spacing w:line="580" w:lineRule="exact"/>
        <w:ind w:firstLine="643" w:firstLineChars="200"/>
        <w:jc w:val="left"/>
        <w:rPr>
          <w:rFonts w:ascii="Times New Roman" w:hAnsi="Times New Roman" w:eastAsia="Arial"/>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年度公务用车购置及运行维护费预算为0万元，支出决算 0万元，完成预算的0%,较预算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无</w:t>
      </w:r>
      <w:r>
        <w:rPr>
          <w:rFonts w:ascii="Times New Roman" w:hAnsi="Times New Roman" w:eastAsia="仿宋_GB2312" w:cs="Times New Roman"/>
          <w:kern w:val="2"/>
          <w:sz w:val="32"/>
          <w:szCs w:val="32"/>
          <w:lang w:val="zh-CN"/>
        </w:rPr>
        <w:t>公务用车购置及运行维护费预算；较上年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无</w:t>
      </w:r>
      <w:r>
        <w:rPr>
          <w:rFonts w:ascii="Times New Roman" w:hAnsi="Times New Roman" w:eastAsia="仿宋_GB2312" w:cs="Times New Roman"/>
          <w:kern w:val="2"/>
          <w:sz w:val="32"/>
          <w:szCs w:val="32"/>
          <w:lang w:val="zh-CN"/>
        </w:rPr>
        <w:t>公务用车购置及运行维护费预算。其中：</w:t>
      </w:r>
    </w:p>
    <w:p>
      <w:pPr>
        <w:adjustRightInd w:val="0"/>
        <w:snapToGrid w:val="0"/>
        <w:spacing w:line="580" w:lineRule="exact"/>
        <w:ind w:firstLine="643" w:firstLineChars="200"/>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年度公务用车购置量0辆，发生“公务用车购置”经费支出 0万元。公务用车购置费支出较预算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单位无公车，无</w:t>
      </w:r>
      <w:r>
        <w:rPr>
          <w:rFonts w:ascii="Times New Roman" w:hAnsi="Times New Roman" w:eastAsia="仿宋_GB2312" w:cs="Times New Roman"/>
          <w:kern w:val="2"/>
          <w:sz w:val="32"/>
          <w:szCs w:val="32"/>
          <w:lang w:val="zh-CN"/>
        </w:rPr>
        <w:t>公务用车购置及运行维护费预算；较上年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单位无公车，无</w:t>
      </w:r>
      <w:r>
        <w:rPr>
          <w:rFonts w:ascii="Times New Roman" w:hAnsi="Times New Roman" w:eastAsia="仿宋_GB2312" w:cs="Times New Roman"/>
          <w:kern w:val="2"/>
          <w:sz w:val="32"/>
          <w:szCs w:val="32"/>
          <w:lang w:val="zh-CN"/>
        </w:rPr>
        <w:t>公务用车购置及运行维护费预算。</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年度单位公务用车保有量0辆，发生运行维护费支出0万元。公车运行维护费支出较预算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无公车</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公车</w:t>
      </w:r>
      <w:r>
        <w:rPr>
          <w:rFonts w:ascii="Times New Roman" w:hAnsi="Times New Roman" w:eastAsia="仿宋_GB2312" w:cs="Times New Roman"/>
          <w:kern w:val="2"/>
          <w:sz w:val="32"/>
          <w:szCs w:val="32"/>
          <w:lang w:val="zh-CN"/>
        </w:rPr>
        <w:t>。</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3.公务接待费。</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年度公务接待费支出预算为0万元，支出决算0万元，完成预算的0%。公务接待费支出较预算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无</w:t>
      </w:r>
      <w:r>
        <w:rPr>
          <w:rFonts w:ascii="Times New Roman" w:hAnsi="Times New Roman" w:eastAsia="仿宋_GB2312" w:cs="Times New Roman"/>
          <w:kern w:val="2"/>
          <w:sz w:val="32"/>
          <w:szCs w:val="32"/>
          <w:lang w:val="zh-CN"/>
        </w:rPr>
        <w:t>公务接待费支出预算；较上年度</w:t>
      </w:r>
      <w:r>
        <w:rPr>
          <w:rFonts w:hint="eastAsia" w:ascii="Times New Roman" w:hAnsi="Times New Roman" w:eastAsia="仿宋_GB2312" w:cs="Times New Roman"/>
          <w:kern w:val="2"/>
          <w:sz w:val="32"/>
          <w:szCs w:val="32"/>
          <w:lang w:val="zh-CN"/>
        </w:rPr>
        <w:t>减少0.6万元，降低100%，</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2023年无</w:t>
      </w:r>
      <w:r>
        <w:rPr>
          <w:rFonts w:ascii="Times New Roman" w:hAnsi="Times New Roman" w:eastAsia="仿宋_GB2312" w:cs="Times New Roman"/>
          <w:kern w:val="2"/>
          <w:sz w:val="32"/>
          <w:szCs w:val="32"/>
          <w:lang w:val="zh-CN"/>
        </w:rPr>
        <w:t>公务接待费支出预算。本年度共发生公务接待</w:t>
      </w:r>
      <w:r>
        <w:rPr>
          <w:rFonts w:hint="eastAsia" w:ascii="Times New Roman" w:hAnsi="Times New Roman" w:eastAsia="仿宋_GB2312" w:cs="Times New Roman"/>
          <w:kern w:val="2"/>
          <w:sz w:val="32"/>
          <w:szCs w:val="32"/>
          <w:lang w:val="zh-CN"/>
        </w:rPr>
        <w:t>0</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lang w:val="zh-CN"/>
        </w:rPr>
        <w:t>0</w:t>
      </w:r>
      <w:r>
        <w:rPr>
          <w:rFonts w:ascii="Times New Roman" w:hAnsi="Times New Roman" w:eastAsia="仿宋_GB2312" w:cs="Times New Roman"/>
          <w:kern w:val="2"/>
          <w:sz w:val="32"/>
          <w:szCs w:val="32"/>
          <w:lang w:val="zh-CN"/>
        </w:rPr>
        <w:t>人次。</w:t>
      </w:r>
    </w:p>
    <w:p>
      <w:pPr>
        <w:pStyle w:val="10"/>
        <w:widowControl/>
        <w:spacing w:beforeAutospacing="0" w:afterAutospacing="0"/>
        <w:jc w:val="both"/>
        <w:outlineLvl w:val="1"/>
        <w:rPr>
          <w:rFonts w:ascii="Times New Roman" w:hAnsi="Times New Roman" w:eastAsia="黑体"/>
          <w:color w:val="333333"/>
          <w:sz w:val="33"/>
          <w:szCs w:val="33"/>
          <w:shd w:val="clear" w:color="auto" w:fill="FFFFFF"/>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pStyle w:val="10"/>
        <w:widowControl/>
        <w:spacing w:beforeAutospacing="0" w:afterAutospacing="0"/>
        <w:jc w:val="both"/>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宋体"/>
          <w:color w:val="333333"/>
          <w:sz w:val="19"/>
          <w:szCs w:val="19"/>
          <w:shd w:val="clear" w:color="auto" w:fill="FFFFFF"/>
        </w:rPr>
        <w:t xml:space="preserve">     </w:t>
      </w: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年度机关运行经费支出0万元，较2022年度</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主要原因是</w:t>
      </w:r>
      <w:r>
        <w:rPr>
          <w:rFonts w:hint="eastAsia" w:ascii="Times New Roman" w:hAnsi="Times New Roman" w:eastAsia="仿宋_GB2312"/>
          <w:kern w:val="2"/>
          <w:sz w:val="32"/>
          <w:szCs w:val="32"/>
          <w:lang w:val="zh-CN"/>
        </w:rPr>
        <w:t>事业单位无机关运行经费预算</w:t>
      </w:r>
      <w:r>
        <w:rPr>
          <w:rFonts w:ascii="Times New Roman" w:hAnsi="Times New Roman" w:eastAsia="仿宋_GB2312"/>
          <w:kern w:val="2"/>
          <w:sz w:val="32"/>
          <w:szCs w:val="32"/>
          <w:lang w:val="zh-CN"/>
        </w:rPr>
        <w:t>。</w:t>
      </w:r>
    </w:p>
    <w:p>
      <w:pPr>
        <w:adjustRightInd w:val="0"/>
        <w:snapToGrid w:val="0"/>
        <w:spacing w:line="580" w:lineRule="exact"/>
        <w:ind w:firstLine="660" w:firstLineChars="20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本单位202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年度政府采购支出总额0万元，从采购类型来看，政府采购货物支出0万元、政府采购工程支出0万元、政府采购服务支出0万元。授予中小企业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0万元，占政府采购支出总额的0%，其中授予小微企业合同金额0万元，占政府采购支出总额的0%。</w:t>
      </w:r>
    </w:p>
    <w:p>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年12月31日，本单位共有车辆0辆，比上年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辆</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zh-CN"/>
        </w:rPr>
        <w:t>单位无公车</w:t>
      </w:r>
      <w:r>
        <w:rPr>
          <w:rFonts w:ascii="Times New Roman" w:hAnsi="Times New Roman" w:eastAsia="仿宋_GB2312"/>
          <w:kern w:val="2"/>
          <w:sz w:val="32"/>
          <w:szCs w:val="32"/>
          <w:lang w:val="zh-CN"/>
        </w:rPr>
        <w:t>。其中，副部（省）级及以上领导用车0辆，主要</w:t>
      </w:r>
      <w:r>
        <w:rPr>
          <w:rFonts w:ascii="Times New Roman" w:hAnsi="Times New Roman" w:eastAsia="仿宋_GB2312"/>
          <w:kern w:val="2"/>
          <w:sz w:val="32"/>
          <w:szCs w:val="32"/>
        </w:rPr>
        <w:t>负责人</w:t>
      </w:r>
      <w:r>
        <w:rPr>
          <w:rFonts w:ascii="Times New Roman" w:hAnsi="Times New Roman" w:eastAsia="仿宋_GB2312"/>
          <w:kern w:val="2"/>
          <w:sz w:val="32"/>
          <w:szCs w:val="32"/>
          <w:lang w:val="zh-CN"/>
        </w:rPr>
        <w:t>用车0辆，机要通信用车0辆，应急保障用车0辆，执法执勤用车0辆，特种专业技术用车0辆，离退休干部用车0辆，其他用车0辆，其他用车 主要是</w:t>
      </w:r>
      <w:r>
        <w:rPr>
          <w:rFonts w:hint="eastAsia" w:ascii="Times New Roman" w:hAnsi="Times New Roman" w:eastAsia="仿宋_GB2312"/>
          <w:kern w:val="2"/>
          <w:sz w:val="32"/>
          <w:szCs w:val="32"/>
          <w:lang w:val="zh-CN"/>
        </w:rPr>
        <w:t>无车辆</w:t>
      </w:r>
      <w:r>
        <w:rPr>
          <w:rFonts w:ascii="Times New Roman" w:hAnsi="Times New Roman" w:eastAsia="仿宋_GB2312"/>
          <w:kern w:val="2"/>
          <w:sz w:val="32"/>
          <w:szCs w:val="32"/>
          <w:lang w:val="zh-CN"/>
        </w:rPr>
        <w:t>。单位价值100万元（含）以上设备（不含车辆）0台（套）。</w:t>
      </w:r>
    </w:p>
    <w:p>
      <w:pPr>
        <w:pStyle w:val="10"/>
        <w:widowControl/>
        <w:spacing w:beforeAutospacing="0" w:afterAutospacing="0"/>
        <w:ind w:firstLine="640" w:firstLineChars="20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pPr>
        <w:pStyle w:val="10"/>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根据预算绩效管理要求，本单位组织对2023年度一般公共预算项目支出全面开展绩效自评，其中，一级项目</w:t>
      </w:r>
      <w:r>
        <w:rPr>
          <w:rFonts w:hint="eastAsia" w:ascii="Times New Roman" w:hAnsi="Times New Roman" w:eastAsia="仿宋_GB2312"/>
          <w:kern w:val="2"/>
          <w:sz w:val="32"/>
          <w:szCs w:val="32"/>
          <w:lang w:val="zh-CN"/>
        </w:rPr>
        <w:t>3</w:t>
      </w:r>
      <w:r>
        <w:rPr>
          <w:rFonts w:ascii="Times New Roman" w:hAnsi="Times New Roman" w:eastAsia="仿宋_GB2312"/>
          <w:kern w:val="2"/>
          <w:sz w:val="32"/>
          <w:szCs w:val="32"/>
          <w:lang w:val="zh-CN"/>
        </w:rPr>
        <w:t>个，</w:t>
      </w:r>
      <w:r>
        <w:rPr>
          <w:rFonts w:hint="eastAsia" w:ascii="Times New Roman" w:hAnsi="Times New Roman" w:eastAsia="仿宋_GB2312"/>
          <w:kern w:val="2"/>
          <w:sz w:val="32"/>
          <w:szCs w:val="32"/>
          <w:lang w:val="zh-CN"/>
        </w:rPr>
        <w:t>退役安置公益岗</w:t>
      </w:r>
      <w:r>
        <w:rPr>
          <w:rFonts w:ascii="Times New Roman" w:hAnsi="Times New Roman" w:eastAsia="仿宋_GB2312"/>
          <w:kern w:val="2"/>
          <w:sz w:val="32"/>
          <w:szCs w:val="32"/>
          <w:lang w:val="zh-CN"/>
        </w:rPr>
        <w:t>项目</w:t>
      </w:r>
      <w:r>
        <w:rPr>
          <w:rFonts w:hint="eastAsia" w:ascii="Times New Roman" w:hAnsi="Times New Roman" w:eastAsia="仿宋_GB2312"/>
          <w:kern w:val="2"/>
          <w:sz w:val="32"/>
          <w:szCs w:val="32"/>
          <w:lang w:val="zh-CN"/>
        </w:rPr>
        <w:t>1</w:t>
      </w:r>
      <w:r>
        <w:rPr>
          <w:rFonts w:ascii="Times New Roman" w:hAnsi="Times New Roman" w:eastAsia="仿宋_GB2312"/>
          <w:kern w:val="2"/>
          <w:sz w:val="32"/>
          <w:szCs w:val="32"/>
          <w:lang w:val="zh-CN"/>
        </w:rPr>
        <w:t>个，共涉及资金</w:t>
      </w:r>
      <w:r>
        <w:rPr>
          <w:rFonts w:hint="eastAsia" w:ascii="Times New Roman" w:hAnsi="Times New Roman" w:eastAsia="仿宋_GB2312"/>
          <w:kern w:val="2"/>
          <w:sz w:val="32"/>
          <w:szCs w:val="32"/>
          <w:lang w:val="zh-CN"/>
        </w:rPr>
        <w:t>76.95</w:t>
      </w:r>
      <w:r>
        <w:rPr>
          <w:rFonts w:ascii="Times New Roman" w:hAnsi="Times New Roman" w:eastAsia="仿宋_GB2312"/>
          <w:kern w:val="2"/>
          <w:sz w:val="32"/>
          <w:szCs w:val="32"/>
          <w:lang w:val="zh-CN"/>
        </w:rPr>
        <w:t>万元，占一般公共预算项目支出总额的</w:t>
      </w:r>
      <w:r>
        <w:rPr>
          <w:rFonts w:hint="eastAsia" w:ascii="Times New Roman" w:hAnsi="Times New Roman" w:eastAsia="仿宋_GB2312"/>
          <w:kern w:val="2"/>
          <w:sz w:val="32"/>
          <w:szCs w:val="32"/>
          <w:lang w:val="zh-CN"/>
        </w:rPr>
        <w:t>100</w:t>
      </w:r>
      <w:r>
        <w:rPr>
          <w:rFonts w:ascii="Times New Roman" w:hAnsi="Times New Roman" w:eastAsia="仿宋_GB2312"/>
          <w:kern w:val="2"/>
          <w:sz w:val="32"/>
          <w:szCs w:val="32"/>
          <w:lang w:val="zh-CN"/>
        </w:rPr>
        <w:t>%。2023年度</w:t>
      </w:r>
      <w:r>
        <w:rPr>
          <w:rFonts w:hint="eastAsia" w:ascii="宋体" w:hAnsi="宋体" w:eastAsia="宋体" w:cs="宋体"/>
          <w:kern w:val="2"/>
          <w:sz w:val="32"/>
          <w:szCs w:val="32"/>
          <w:lang w:val="zh-CN"/>
        </w:rPr>
        <w:t>我单位无</w:t>
      </w:r>
      <w:r>
        <w:rPr>
          <w:rFonts w:ascii="Times New Roman" w:hAnsi="Times New Roman" w:eastAsia="仿宋_GB2312"/>
          <w:kern w:val="2"/>
          <w:sz w:val="32"/>
          <w:szCs w:val="32"/>
          <w:lang w:val="zh-CN"/>
        </w:rPr>
        <w:t>政府性基金预算项目</w:t>
      </w:r>
      <w:r>
        <w:rPr>
          <w:rFonts w:hint="eastAsia" w:ascii="Times New Roman" w:hAnsi="Times New Roman" w:eastAsia="仿宋_GB2312"/>
          <w:kern w:val="2"/>
          <w:sz w:val="32"/>
          <w:szCs w:val="32"/>
          <w:lang w:val="zh-CN"/>
        </w:rPr>
        <w:t>，无</w:t>
      </w:r>
      <w:r>
        <w:rPr>
          <w:rFonts w:ascii="Times New Roman" w:hAnsi="Times New Roman" w:eastAsia="仿宋_GB2312"/>
          <w:kern w:val="2"/>
          <w:sz w:val="32"/>
          <w:szCs w:val="32"/>
          <w:lang w:val="zh-CN"/>
        </w:rPr>
        <w:t>国有资本经营预算项目。</w:t>
      </w:r>
    </w:p>
    <w:p>
      <w:pPr>
        <w:adjustRightInd w:val="0"/>
        <w:snapToGrid w:val="0"/>
        <w:spacing w:line="500" w:lineRule="exact"/>
        <w:ind w:firstLine="640" w:firstLineChars="200"/>
        <w:rPr>
          <w:rFonts w:cs="DengXian-Regular" w:asciiTheme="majorEastAsia" w:hAnsiTheme="majorEastAsia" w:eastAsiaTheme="majorEastAsia"/>
          <w:sz w:val="32"/>
          <w:szCs w:val="32"/>
        </w:rPr>
      </w:pPr>
      <w:r>
        <w:rPr>
          <w:rFonts w:ascii="Times New Roman" w:hAnsi="Times New Roman" w:eastAsia="仿宋_GB2312"/>
          <w:kern w:val="2"/>
          <w:sz w:val="32"/>
          <w:szCs w:val="32"/>
          <w:lang w:val="zh-CN"/>
        </w:rPr>
        <w:t>组织对“</w:t>
      </w:r>
      <w:r>
        <w:rPr>
          <w:rFonts w:ascii="方正仿宋_GBK" w:hAnsi="方正仿宋_GBK" w:eastAsia="方正仿宋_GBK" w:cs="方正仿宋_GBK"/>
          <w:color w:val="000000"/>
          <w:sz w:val="28"/>
        </w:rPr>
        <w:t>农村产权交易中心办公费及运营业务费</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社会化服务</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再生资源管理办公费及回收利用体系业务费</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退休军人公益岗</w:t>
      </w:r>
      <w:r>
        <w:rPr>
          <w:rFonts w:ascii="Times New Roman" w:hAnsi="Times New Roman" w:eastAsia="仿宋_GB2312"/>
          <w:kern w:val="2"/>
          <w:sz w:val="32"/>
          <w:szCs w:val="32"/>
          <w:lang w:val="zh-CN"/>
        </w:rPr>
        <w:t>”等</w:t>
      </w:r>
      <w:r>
        <w:rPr>
          <w:rFonts w:hint="eastAsia" w:ascii="Times New Roman" w:hAnsi="Times New Roman" w:eastAsia="仿宋_GB2312"/>
          <w:kern w:val="2"/>
          <w:sz w:val="32"/>
          <w:szCs w:val="32"/>
          <w:lang w:val="zh-CN"/>
        </w:rPr>
        <w:t>4</w:t>
      </w:r>
      <w:r>
        <w:rPr>
          <w:rFonts w:ascii="Times New Roman" w:hAnsi="Times New Roman" w:eastAsia="仿宋_GB2312"/>
          <w:kern w:val="2"/>
          <w:sz w:val="32"/>
          <w:szCs w:val="32"/>
          <w:lang w:val="zh-CN"/>
        </w:rPr>
        <w:t>个项目开展了部门评价，涉及一般公共预算支出</w:t>
      </w:r>
      <w:r>
        <w:rPr>
          <w:rFonts w:hint="eastAsia" w:ascii="Times New Roman" w:hAnsi="Times New Roman" w:eastAsia="仿宋_GB2312"/>
          <w:kern w:val="2"/>
          <w:sz w:val="32"/>
          <w:szCs w:val="32"/>
          <w:lang w:val="zh-CN"/>
        </w:rPr>
        <w:t>76.95</w:t>
      </w:r>
      <w:r>
        <w:rPr>
          <w:rFonts w:ascii="Times New Roman" w:hAnsi="Times New Roman" w:eastAsia="仿宋_GB2312"/>
          <w:kern w:val="2"/>
          <w:sz w:val="32"/>
          <w:szCs w:val="32"/>
          <w:lang w:val="zh-CN"/>
        </w:rPr>
        <w:t>万元，政府性基金预算支出</w:t>
      </w:r>
      <w:r>
        <w:rPr>
          <w:rFonts w:hint="eastAsia" w:ascii="Times New Roman" w:hAnsi="Times New Roman" w:eastAsia="仿宋_GB2312"/>
          <w:kern w:val="2"/>
          <w:sz w:val="32"/>
          <w:szCs w:val="32"/>
          <w:lang w:val="zh-CN"/>
        </w:rPr>
        <w:t>0</w:t>
      </w:r>
      <w:r>
        <w:rPr>
          <w:rFonts w:ascii="Times New Roman" w:hAnsi="Times New Roman" w:eastAsia="仿宋_GB2312"/>
          <w:kern w:val="2"/>
          <w:sz w:val="32"/>
          <w:szCs w:val="32"/>
          <w:lang w:val="zh-CN"/>
        </w:rPr>
        <w:t>万元，国有资本经营预算支出</w:t>
      </w:r>
      <w:r>
        <w:rPr>
          <w:rFonts w:hint="eastAsia" w:ascii="Times New Roman" w:hAnsi="Times New Roman" w:eastAsia="仿宋_GB2312"/>
          <w:kern w:val="2"/>
          <w:sz w:val="32"/>
          <w:szCs w:val="32"/>
          <w:lang w:val="zh-CN"/>
        </w:rPr>
        <w:t>0</w:t>
      </w:r>
      <w:r>
        <w:rPr>
          <w:rFonts w:ascii="Times New Roman" w:hAnsi="Times New Roman" w:eastAsia="仿宋_GB2312"/>
          <w:kern w:val="2"/>
          <w:sz w:val="32"/>
          <w:szCs w:val="32"/>
          <w:lang w:val="zh-CN"/>
        </w:rPr>
        <w:t>万元。从评价情况来看，</w:t>
      </w:r>
      <w:r>
        <w:rPr>
          <w:rFonts w:hint="eastAsia" w:cs="DengXian-Regular" w:asciiTheme="majorEastAsia" w:hAnsiTheme="majorEastAsia" w:eastAsiaTheme="majorEastAsia"/>
          <w:sz w:val="32"/>
          <w:szCs w:val="32"/>
        </w:rPr>
        <w:t>评价结果为优秀的业务有4个。</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pPr>
        <w:pStyle w:val="10"/>
        <w:widowControl/>
        <w:spacing w:beforeAutospacing="0" w:afterAutospacing="0"/>
        <w:ind w:firstLine="660" w:firstLineChars="20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w:t>
      </w:r>
      <w:r>
        <w:rPr>
          <w:rFonts w:ascii="Times New Roman" w:hAnsi="Times New Roman" w:eastAsia="仿宋_GB2312"/>
          <w:kern w:val="2"/>
          <w:sz w:val="32"/>
          <w:szCs w:val="32"/>
          <w:lang w:val="zh-CN"/>
        </w:rPr>
        <w:t>本单位在今年部门决算公开中反映</w:t>
      </w:r>
      <w:r>
        <w:rPr>
          <w:rFonts w:ascii="方正仿宋_GBK" w:hAnsi="方正仿宋_GBK" w:eastAsia="方正仿宋_GBK" w:cs="方正仿宋_GBK"/>
          <w:color w:val="000000"/>
          <w:sz w:val="28"/>
        </w:rPr>
        <w:t>农村产权交易中心办公费及运营业务费</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社会化服务</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再生资源管理办公费及回收利用体系业务费</w:t>
      </w:r>
      <w:r>
        <w:rPr>
          <w:rFonts w:ascii="Times New Roman" w:hAnsi="Times New Roman" w:eastAsia="仿宋_GB2312"/>
          <w:kern w:val="2"/>
          <w:sz w:val="32"/>
          <w:szCs w:val="32"/>
          <w:lang w:val="zh-CN"/>
        </w:rPr>
        <w:t>项目及</w:t>
      </w:r>
      <w:r>
        <w:rPr>
          <w:rFonts w:ascii="方正仿宋_GBK" w:hAnsi="方正仿宋_GBK" w:eastAsia="方正仿宋_GBK" w:cs="方正仿宋_GBK"/>
          <w:color w:val="000000"/>
          <w:sz w:val="28"/>
        </w:rPr>
        <w:t>退休军人公益岗</w:t>
      </w:r>
      <w:r>
        <w:rPr>
          <w:rFonts w:ascii="Times New Roman" w:hAnsi="Times New Roman" w:eastAsia="仿宋_GB2312"/>
          <w:kern w:val="2"/>
          <w:sz w:val="32"/>
          <w:szCs w:val="32"/>
          <w:lang w:val="zh-CN"/>
        </w:rPr>
        <w:t>项目等</w:t>
      </w:r>
      <w:r>
        <w:rPr>
          <w:rFonts w:hint="eastAsia" w:ascii="Times New Roman" w:hAnsi="Times New Roman" w:eastAsia="仿宋_GB2312"/>
          <w:kern w:val="2"/>
          <w:sz w:val="32"/>
          <w:szCs w:val="32"/>
          <w:lang w:val="zh-CN"/>
        </w:rPr>
        <w:t>4</w:t>
      </w:r>
      <w:r>
        <w:rPr>
          <w:rFonts w:ascii="Times New Roman" w:hAnsi="Times New Roman" w:eastAsia="仿宋_GB2312"/>
          <w:kern w:val="2"/>
          <w:sz w:val="32"/>
          <w:szCs w:val="32"/>
          <w:lang w:val="zh-CN"/>
        </w:rPr>
        <w:t>个项目绩效自评结果。</w:t>
      </w:r>
    </w:p>
    <w:p>
      <w:pPr>
        <w:spacing w:line="560" w:lineRule="exact"/>
        <w:ind w:firstLine="645"/>
        <w:rPr>
          <w:rFonts w:ascii="Times New Roman" w:hAnsi="Times New Roman" w:eastAsia="仿宋_GB2312" w:cs="Times New Roman"/>
          <w:sz w:val="32"/>
          <w:szCs w:val="32"/>
        </w:rPr>
      </w:pPr>
      <w:r>
        <w:rPr>
          <w:rFonts w:ascii="方正仿宋_GBK" w:hAnsi="方正仿宋_GBK" w:eastAsia="方正仿宋_GBK" w:cs="方正仿宋_GBK"/>
          <w:color w:val="000000"/>
          <w:sz w:val="28"/>
        </w:rPr>
        <w:t>农村产权交易中心办公费及运营业务费</w:t>
      </w:r>
      <w:r>
        <w:rPr>
          <w:rFonts w:ascii="Times New Roman" w:hAnsi="Times New Roman" w:eastAsia="仿宋_GB2312"/>
          <w:kern w:val="2"/>
          <w:sz w:val="32"/>
          <w:szCs w:val="32"/>
          <w:lang w:val="zh-CN"/>
        </w:rPr>
        <w:t>项目绩效自评情况：根据年初设定的绩效目标，</w:t>
      </w:r>
      <w:r>
        <w:rPr>
          <w:rFonts w:ascii="方正仿宋_GBK" w:hAnsi="方正仿宋_GBK" w:eastAsia="方正仿宋_GBK" w:cs="方正仿宋_GBK"/>
          <w:color w:val="000000"/>
          <w:sz w:val="28"/>
        </w:rPr>
        <w:t>农村产权交易中心办公费及运营业务费</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zh-CN"/>
        </w:rPr>
        <w:t>95</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zh-CN"/>
        </w:rPr>
        <w:t>10</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zh-CN"/>
        </w:rPr>
        <w:t>10</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zh-CN"/>
        </w:rPr>
        <w:t>100</w:t>
      </w:r>
      <w:r>
        <w:rPr>
          <w:rFonts w:ascii="Times New Roman" w:hAnsi="Times New Roman" w:eastAsia="仿宋_GB2312"/>
          <w:kern w:val="2"/>
          <w:sz w:val="32"/>
          <w:szCs w:val="32"/>
          <w:lang w:val="zh-CN"/>
        </w:rPr>
        <w:t>%。项目绩效目标完成情况：</w:t>
      </w:r>
      <w:r>
        <w:rPr>
          <w:rFonts w:hint="eastAsia" w:ascii="仿宋" w:hAnsi="仿宋" w:eastAsia="仿宋"/>
          <w:sz w:val="32"/>
          <w:szCs w:val="32"/>
        </w:rPr>
        <w:t>规范13个乡镇区农村产权交易服务中心，带动村级示范点数量5个；年度内办理土地流转备案完成数量占预期目标的比例100%；培训500人次、发放各种服务资料1000份以上；2023年交易备案及时办结率100%。</w:t>
      </w:r>
      <w:r>
        <w:rPr>
          <w:rFonts w:ascii="Times New Roman" w:hAnsi="Times New Roman" w:eastAsia="仿宋_GB2312"/>
          <w:sz w:val="32"/>
          <w:szCs w:val="32"/>
        </w:rPr>
        <w:t>通过项目实施，完成了年初设定的各项绩效目标，完成</w:t>
      </w:r>
      <w:r>
        <w:rPr>
          <w:rFonts w:hint="eastAsia" w:ascii="Times New Roman" w:hAnsi="Times New Roman" w:eastAsia="仿宋_GB2312"/>
          <w:sz w:val="32"/>
          <w:szCs w:val="32"/>
        </w:rPr>
        <w:t>100%，</w:t>
      </w:r>
      <w:r>
        <w:rPr>
          <w:rFonts w:ascii="Times New Roman" w:hAnsi="Times New Roman" w:eastAsia="仿宋_GB2312"/>
          <w:sz w:val="32"/>
          <w:szCs w:val="32"/>
        </w:rPr>
        <w:t>未发现问题。</w:t>
      </w:r>
      <w:r>
        <w:rPr>
          <w:rFonts w:ascii="Times New Roman" w:hAnsi="Times New Roman" w:eastAsia="仿宋_GB2312" w:cs="Times New Roman"/>
          <w:sz w:val="32"/>
          <w:szCs w:val="32"/>
        </w:rPr>
        <w:t>附项目支出绩效自评表</w:t>
      </w:r>
    </w:p>
    <w:tbl>
      <w:tblPr>
        <w:tblStyle w:val="11"/>
        <w:tblW w:w="7720" w:type="dxa"/>
        <w:tblInd w:w="89" w:type="dxa"/>
        <w:tblLayout w:type="autofit"/>
        <w:tblCellMar>
          <w:top w:w="0" w:type="dxa"/>
          <w:left w:w="108" w:type="dxa"/>
          <w:bottom w:w="0" w:type="dxa"/>
          <w:right w:w="108" w:type="dxa"/>
        </w:tblCellMar>
      </w:tblPr>
      <w:tblGrid>
        <w:gridCol w:w="862"/>
        <w:gridCol w:w="940"/>
        <w:gridCol w:w="788"/>
        <w:gridCol w:w="1010"/>
        <w:gridCol w:w="960"/>
        <w:gridCol w:w="1320"/>
        <w:gridCol w:w="1060"/>
        <w:gridCol w:w="780"/>
      </w:tblGrid>
      <w:tr>
        <w:tblPrEx>
          <w:tblCellMar>
            <w:top w:w="0" w:type="dxa"/>
            <w:left w:w="108" w:type="dxa"/>
            <w:bottom w:w="0" w:type="dxa"/>
            <w:right w:w="108" w:type="dxa"/>
          </w:tblCellMar>
        </w:tblPrEx>
        <w:trPr>
          <w:trHeight w:val="480" w:hRule="atLeast"/>
        </w:trPr>
        <w:tc>
          <w:tcPr>
            <w:tcW w:w="3600" w:type="dxa"/>
            <w:gridSpan w:val="4"/>
            <w:tcBorders>
              <w:top w:val="nil"/>
              <w:left w:val="nil"/>
              <w:bottom w:val="nil"/>
              <w:right w:val="nil"/>
            </w:tcBorders>
            <w:shd w:val="clear" w:color="auto" w:fill="auto"/>
            <w:noWrap/>
            <w:vAlign w:val="center"/>
          </w:tcPr>
          <w:p>
            <w:pPr>
              <w:widowControl/>
              <w:jc w:val="left"/>
              <w:rPr>
                <w:rFonts w:ascii="宋体" w:hAnsi="宋体" w:eastAsia="宋体"/>
                <w:color w:val="000000"/>
                <w:sz w:val="20"/>
                <w:szCs w:val="20"/>
              </w:rPr>
            </w:pPr>
          </w:p>
        </w:tc>
        <w:tc>
          <w:tcPr>
            <w:tcW w:w="960" w:type="dxa"/>
            <w:tcBorders>
              <w:top w:val="nil"/>
              <w:left w:val="nil"/>
              <w:bottom w:val="nil"/>
              <w:right w:val="nil"/>
            </w:tcBorders>
            <w:shd w:val="clear" w:color="auto" w:fill="auto"/>
            <w:noWrap/>
            <w:vAlign w:val="center"/>
          </w:tcPr>
          <w:p>
            <w:pPr>
              <w:widowControl/>
              <w:jc w:val="center"/>
              <w:rPr>
                <w:rFonts w:ascii="宋体" w:hAnsi="宋体" w:eastAsia="宋体"/>
                <w:color w:val="000000"/>
                <w:sz w:val="20"/>
                <w:szCs w:val="20"/>
              </w:rPr>
            </w:pPr>
          </w:p>
        </w:tc>
        <w:tc>
          <w:tcPr>
            <w:tcW w:w="1320" w:type="dxa"/>
            <w:tcBorders>
              <w:top w:val="nil"/>
              <w:left w:val="nil"/>
              <w:bottom w:val="nil"/>
              <w:right w:val="nil"/>
            </w:tcBorders>
            <w:shd w:val="clear" w:color="auto" w:fill="auto"/>
            <w:noWrap/>
            <w:vAlign w:val="center"/>
          </w:tcPr>
          <w:p>
            <w:pPr>
              <w:widowControl/>
              <w:jc w:val="center"/>
              <w:rPr>
                <w:rFonts w:ascii="宋体" w:hAnsi="宋体" w:eastAsia="宋体"/>
                <w:color w:val="000000"/>
                <w:sz w:val="20"/>
                <w:szCs w:val="20"/>
              </w:rPr>
            </w:pPr>
          </w:p>
        </w:tc>
        <w:tc>
          <w:tcPr>
            <w:tcW w:w="1840" w:type="dxa"/>
            <w:gridSpan w:val="2"/>
            <w:tcBorders>
              <w:top w:val="nil"/>
              <w:left w:val="nil"/>
              <w:bottom w:val="single" w:color="000000" w:sz="4" w:space="0"/>
              <w:right w:val="nil"/>
            </w:tcBorders>
            <w:shd w:val="clear" w:color="auto" w:fill="auto"/>
            <w:noWrap/>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金额单位：万元</w:t>
            </w:r>
          </w:p>
        </w:tc>
      </w:tr>
      <w:tr>
        <w:tblPrEx>
          <w:tblCellMar>
            <w:top w:w="0" w:type="dxa"/>
            <w:left w:w="108" w:type="dxa"/>
            <w:bottom w:w="0" w:type="dxa"/>
            <w:right w:w="108" w:type="dxa"/>
          </w:tblCellMar>
        </w:tblPrEx>
        <w:trPr>
          <w:trHeight w:val="480" w:hRule="atLeast"/>
        </w:trPr>
        <w:tc>
          <w:tcPr>
            <w:tcW w:w="684" w:type="dxa"/>
            <w:tcBorders>
              <w:top w:val="single" w:color="000000" w:sz="4" w:space="0"/>
              <w:left w:val="single" w:color="000000" w:sz="4" w:space="0"/>
              <w:bottom w:val="nil"/>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一、</w:t>
            </w:r>
            <w:r>
              <w:rPr>
                <w:rFonts w:ascii="Calibri" w:hAnsi="Calibri" w:eastAsia="宋体"/>
                <w:color w:val="000000"/>
                <w:sz w:val="20"/>
                <w:szCs w:val="20"/>
              </w:rPr>
              <w:t> </w:t>
            </w:r>
            <w:r>
              <w:rPr>
                <w:rFonts w:hint="eastAsia" w:ascii="宋体" w:hAnsi="宋体" w:eastAsia="宋体"/>
                <w:color w:val="000000"/>
                <w:sz w:val="20"/>
                <w:szCs w:val="20"/>
              </w:rPr>
              <w:t>基本情况</w:t>
            </w:r>
          </w:p>
        </w:tc>
        <w:tc>
          <w:tcPr>
            <w:tcW w:w="94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项目名称</w:t>
            </w:r>
          </w:p>
        </w:tc>
        <w:tc>
          <w:tcPr>
            <w:tcW w:w="1976"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right"/>
              <w:rPr>
                <w:rFonts w:ascii="宋体" w:hAnsi="宋体" w:eastAsia="宋体"/>
                <w:color w:val="000000"/>
                <w:sz w:val="20"/>
                <w:szCs w:val="20"/>
              </w:rPr>
            </w:pPr>
            <w:r>
              <w:rPr>
                <w:rFonts w:hint="eastAsia" w:ascii="宋体" w:hAnsi="宋体" w:eastAsia="宋体"/>
                <w:color w:val="000000"/>
                <w:sz w:val="20"/>
                <w:szCs w:val="20"/>
              </w:rPr>
              <w:t>农村产权交易中心办公业务费</w:t>
            </w:r>
          </w:p>
        </w:tc>
        <w:tc>
          <w:tcPr>
            <w:tcW w:w="9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实施</w:t>
            </w:r>
            <w:r>
              <w:rPr>
                <w:rFonts w:hint="eastAsia" w:ascii="宋体" w:hAnsi="宋体" w:eastAsia="宋体"/>
                <w:color w:val="000000"/>
                <w:sz w:val="20"/>
                <w:szCs w:val="20"/>
                <w:lang w:eastAsia="zh-CN"/>
              </w:rPr>
              <w:t>（</w:t>
            </w:r>
            <w:r>
              <w:rPr>
                <w:rFonts w:hint="eastAsia" w:ascii="宋体" w:hAnsi="宋体" w:eastAsia="宋体"/>
                <w:color w:val="000000"/>
                <w:sz w:val="20"/>
                <w:szCs w:val="20"/>
              </w:rPr>
              <w:t>主管）单位</w:t>
            </w:r>
          </w:p>
        </w:tc>
        <w:tc>
          <w:tcPr>
            <w:tcW w:w="3160"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鹿泉区供销合作总社</w:t>
            </w:r>
          </w:p>
        </w:tc>
      </w:tr>
      <w:tr>
        <w:tblPrEx>
          <w:tblCellMar>
            <w:top w:w="0" w:type="dxa"/>
            <w:left w:w="108" w:type="dxa"/>
            <w:bottom w:w="0" w:type="dxa"/>
            <w:right w:w="108" w:type="dxa"/>
          </w:tblCellMar>
        </w:tblPrEx>
        <w:trPr>
          <w:trHeight w:val="480" w:hRule="atLeast"/>
        </w:trPr>
        <w:tc>
          <w:tcPr>
            <w:tcW w:w="6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二、预算执行情况</w:t>
            </w:r>
          </w:p>
        </w:tc>
        <w:tc>
          <w:tcPr>
            <w:tcW w:w="188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预算安排情况（调整后）</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资金到位情况</w:t>
            </w:r>
          </w:p>
        </w:tc>
        <w:tc>
          <w:tcPr>
            <w:tcW w:w="238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资金执行情况</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预算执行进度</w:t>
            </w:r>
          </w:p>
        </w:tc>
      </w:tr>
      <w:tr>
        <w:tblPrEx>
          <w:tblCellMar>
            <w:top w:w="0" w:type="dxa"/>
            <w:left w:w="108" w:type="dxa"/>
            <w:bottom w:w="0" w:type="dxa"/>
            <w:right w:w="108" w:type="dxa"/>
          </w:tblCellMar>
        </w:tblPrEx>
        <w:trPr>
          <w:trHeight w:val="480" w:hRule="atLeast"/>
        </w:trPr>
        <w:tc>
          <w:tcPr>
            <w:tcW w:w="68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94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预算数：</w:t>
            </w: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w:t>
            </w:r>
          </w:p>
        </w:tc>
        <w:tc>
          <w:tcPr>
            <w:tcW w:w="1033"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到位数：</w:t>
            </w:r>
          </w:p>
        </w:tc>
        <w:tc>
          <w:tcPr>
            <w:tcW w:w="96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132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执行数：</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w:t>
            </w:r>
          </w:p>
        </w:tc>
        <w:tc>
          <w:tcPr>
            <w:tcW w:w="7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tblPrEx>
          <w:tblCellMar>
            <w:top w:w="0" w:type="dxa"/>
            <w:left w:w="108" w:type="dxa"/>
            <w:bottom w:w="0" w:type="dxa"/>
            <w:right w:w="108" w:type="dxa"/>
          </w:tblCellMar>
        </w:tblPrEx>
        <w:trPr>
          <w:trHeight w:val="480" w:hRule="atLeast"/>
        </w:trPr>
        <w:tc>
          <w:tcPr>
            <w:tcW w:w="68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94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w:t>
            </w:r>
          </w:p>
        </w:tc>
        <w:tc>
          <w:tcPr>
            <w:tcW w:w="1033"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96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132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78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480" w:hRule="atLeast"/>
        </w:trPr>
        <w:tc>
          <w:tcPr>
            <w:tcW w:w="68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94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943" w:type="dxa"/>
            <w:tcBorders>
              <w:top w:val="nil"/>
              <w:left w:val="nil"/>
              <w:bottom w:val="single" w:color="000000" w:sz="4" w:space="0"/>
              <w:right w:val="single" w:color="000000" w:sz="4" w:space="0"/>
            </w:tcBorders>
            <w:shd w:val="clear" w:color="auto" w:fill="auto"/>
            <w:vAlign w:val="center"/>
          </w:tcPr>
          <w:p>
            <w:pPr>
              <w:widowControl/>
              <w:jc w:val="left"/>
              <w:rPr>
                <w:rFonts w:ascii="Calibri" w:hAnsi="Calibri" w:eastAsia="宋体"/>
                <w:color w:val="000000"/>
                <w:sz w:val="20"/>
                <w:szCs w:val="20"/>
              </w:rPr>
            </w:pPr>
            <w:r>
              <w:rPr>
                <w:rFonts w:ascii="Calibri" w:hAnsi="Calibri" w:eastAsia="宋体"/>
                <w:color w:val="000000"/>
                <w:sz w:val="20"/>
                <w:szCs w:val="20"/>
              </w:rPr>
              <w:t>　</w:t>
            </w:r>
          </w:p>
        </w:tc>
        <w:tc>
          <w:tcPr>
            <w:tcW w:w="1033"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96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132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106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78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480" w:hRule="atLeast"/>
        </w:trPr>
        <w:tc>
          <w:tcPr>
            <w:tcW w:w="684"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三、目标完成情况</w:t>
            </w:r>
          </w:p>
        </w:tc>
        <w:tc>
          <w:tcPr>
            <w:tcW w:w="2916"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年度预期目标</w:t>
            </w:r>
          </w:p>
        </w:tc>
        <w:tc>
          <w:tcPr>
            <w:tcW w:w="3340"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具体完成情况</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总体完成率</w:t>
            </w:r>
          </w:p>
        </w:tc>
      </w:tr>
      <w:tr>
        <w:tblPrEx>
          <w:tblCellMar>
            <w:top w:w="0" w:type="dxa"/>
            <w:left w:w="108" w:type="dxa"/>
            <w:bottom w:w="0" w:type="dxa"/>
            <w:right w:w="108" w:type="dxa"/>
          </w:tblCellMar>
        </w:tblPrEx>
        <w:trPr>
          <w:trHeight w:val="312" w:hRule="atLeast"/>
        </w:trPr>
        <w:tc>
          <w:tcPr>
            <w:tcW w:w="6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91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完善乡镇区农村产权交易服务站功能，建设村级示范站点，加强乡镇站点人员培训，发放农村产权交易资料，提供产权政策咨询、平台交易咨询等服务</w:t>
            </w:r>
          </w:p>
        </w:tc>
        <w:tc>
          <w:tcPr>
            <w:tcW w:w="33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完善乡镇区农村产权交易服务站功能，建设村级示范站点，加强乡镇站点人员培训500人次，发放农村产权交易资料1000份，提供产权政策咨询、平台交易咨询等服务</w:t>
            </w:r>
          </w:p>
        </w:tc>
        <w:tc>
          <w:tcPr>
            <w:tcW w:w="78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tblPrEx>
          <w:tblCellMar>
            <w:top w:w="0" w:type="dxa"/>
            <w:left w:w="108" w:type="dxa"/>
            <w:bottom w:w="0" w:type="dxa"/>
            <w:right w:w="108" w:type="dxa"/>
          </w:tblCellMar>
        </w:tblPrEx>
        <w:trPr>
          <w:trHeight w:val="312" w:hRule="atLeast"/>
        </w:trPr>
        <w:tc>
          <w:tcPr>
            <w:tcW w:w="6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916"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3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78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735" w:hRule="atLeast"/>
        </w:trPr>
        <w:tc>
          <w:tcPr>
            <w:tcW w:w="6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916"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3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78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375" w:hRule="atLeast"/>
        </w:trPr>
        <w:tc>
          <w:tcPr>
            <w:tcW w:w="684" w:type="dxa"/>
            <w:vMerge w:val="restart"/>
            <w:tcBorders>
              <w:top w:val="nil"/>
              <w:left w:val="single" w:color="auto" w:sz="4" w:space="0"/>
              <w:bottom w:val="single" w:color="000000" w:sz="4" w:space="0"/>
              <w:right w:val="nil"/>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四、</w:t>
            </w:r>
            <w:r>
              <w:rPr>
                <w:rFonts w:ascii="Calibri" w:hAnsi="Calibri" w:eastAsia="宋体"/>
                <w:color w:val="000000"/>
                <w:sz w:val="20"/>
                <w:szCs w:val="20"/>
              </w:rPr>
              <w:t> </w:t>
            </w:r>
            <w:r>
              <w:rPr>
                <w:rFonts w:hint="eastAsia" w:ascii="宋体" w:hAnsi="宋体" w:eastAsia="宋体"/>
                <w:color w:val="000000"/>
                <w:sz w:val="20"/>
                <w:szCs w:val="20"/>
              </w:rPr>
              <w:t>年度绩效指标完成情况</w:t>
            </w:r>
          </w:p>
        </w:tc>
        <w:tc>
          <w:tcPr>
            <w:tcW w:w="940"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一级指标</w:t>
            </w: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二级指标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三级指标</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预期指标值</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实际完成值</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自评得分</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产出指标（40）</w:t>
            </w:r>
          </w:p>
        </w:tc>
        <w:tc>
          <w:tcPr>
            <w:tcW w:w="943"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数量指标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培训乡镇村人数</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18"/>
                <w:szCs w:val="18"/>
              </w:rPr>
            </w:pPr>
            <w:r>
              <w:rPr>
                <w:rFonts w:hint="eastAsia" w:ascii="宋体" w:hAnsi="宋体" w:eastAsia="宋体"/>
                <w:color w:val="000000"/>
                <w:sz w:val="18"/>
                <w:szCs w:val="18"/>
              </w:rPr>
              <w:t>500人次</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18"/>
                <w:szCs w:val="18"/>
              </w:rPr>
            </w:pPr>
            <w:r>
              <w:rPr>
                <w:rFonts w:hint="eastAsia" w:ascii="宋体" w:hAnsi="宋体" w:eastAsia="宋体"/>
                <w:color w:val="000000"/>
                <w:sz w:val="18"/>
                <w:szCs w:val="18"/>
              </w:rPr>
              <w:t>500人次</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943"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发放农村产权宣传资料数量</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1000</w:t>
            </w:r>
            <w:r>
              <w:rPr>
                <w:rFonts w:hint="eastAsia" w:ascii="宋体" w:hAnsi="宋体" w:eastAsia="宋体"/>
                <w:color w:val="000000"/>
                <w:sz w:val="20"/>
                <w:szCs w:val="20"/>
              </w:rPr>
              <w:t>份</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1000</w:t>
            </w:r>
            <w:r>
              <w:rPr>
                <w:rFonts w:hint="eastAsia" w:ascii="宋体" w:hAnsi="宋体" w:eastAsia="宋体"/>
                <w:color w:val="000000"/>
                <w:sz w:val="20"/>
                <w:szCs w:val="20"/>
              </w:rPr>
              <w:t>份</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943"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质量指标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土地流转备案完成率</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时效指标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交易流转备案办结及时率</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成本指标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培训的人均标准</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20%</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20%</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9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预算执行率指标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执行数占预算数的比例</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86.56%</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54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效益指标（40）</w:t>
            </w: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经济效益指标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实际交易备案数量占申请登记交易备案数量的比例</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54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社会效益指标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年度内交易备案的数量占上年交易备案的比例</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17</w:t>
            </w:r>
          </w:p>
        </w:tc>
      </w:tr>
      <w:tr>
        <w:tblPrEx>
          <w:tblCellMar>
            <w:top w:w="0" w:type="dxa"/>
            <w:left w:w="108" w:type="dxa"/>
            <w:bottom w:w="0" w:type="dxa"/>
            <w:right w:w="108" w:type="dxa"/>
          </w:tblCellMar>
        </w:tblPrEx>
        <w:trPr>
          <w:trHeight w:val="54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可持续影响指标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带动村级示范点增长量</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w:t>
            </w:r>
            <w:r>
              <w:rPr>
                <w:rFonts w:hint="eastAsia" w:ascii="宋体" w:hAnsi="宋体" w:eastAsia="宋体"/>
                <w:color w:val="000000"/>
                <w:sz w:val="20"/>
                <w:szCs w:val="20"/>
              </w:rPr>
              <w:t>个</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w:t>
            </w:r>
            <w:r>
              <w:rPr>
                <w:rFonts w:hint="eastAsia" w:ascii="宋体" w:hAnsi="宋体" w:eastAsia="宋体"/>
                <w:color w:val="000000"/>
                <w:sz w:val="20"/>
                <w:szCs w:val="20"/>
              </w:rPr>
              <w:t>个</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54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9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94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p>
        </w:tc>
        <w:tc>
          <w:tcPr>
            <w:tcW w:w="1993"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备案人的满意度</w:t>
            </w:r>
          </w:p>
        </w:tc>
        <w:tc>
          <w:tcPr>
            <w:tcW w:w="13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95%</w:t>
            </w:r>
          </w:p>
        </w:tc>
        <w:tc>
          <w:tcPr>
            <w:tcW w:w="106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95%</w:t>
            </w:r>
          </w:p>
        </w:tc>
        <w:tc>
          <w:tcPr>
            <w:tcW w:w="7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w:t>
            </w:r>
          </w:p>
        </w:tc>
      </w:tr>
      <w:tr>
        <w:tblPrEx>
          <w:tblCellMar>
            <w:top w:w="0" w:type="dxa"/>
            <w:left w:w="108" w:type="dxa"/>
            <w:bottom w:w="0" w:type="dxa"/>
            <w:right w:w="108" w:type="dxa"/>
          </w:tblCellMar>
        </w:tblPrEx>
        <w:trPr>
          <w:trHeight w:val="27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6256"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总分</w:t>
            </w:r>
          </w:p>
        </w:tc>
        <w:tc>
          <w:tcPr>
            <w:tcW w:w="780" w:type="dxa"/>
            <w:tcBorders>
              <w:top w:val="nil"/>
              <w:left w:val="nil"/>
              <w:bottom w:val="single" w:color="auto" w:sz="4" w:space="0"/>
              <w:right w:val="single" w:color="auto"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95</w:t>
            </w:r>
          </w:p>
        </w:tc>
      </w:tr>
      <w:tr>
        <w:tblPrEx>
          <w:tblCellMar>
            <w:top w:w="0" w:type="dxa"/>
            <w:left w:w="108" w:type="dxa"/>
            <w:bottom w:w="0" w:type="dxa"/>
            <w:right w:w="108" w:type="dxa"/>
          </w:tblCellMar>
        </w:tblPrEx>
        <w:trPr>
          <w:trHeight w:val="975" w:hRule="atLeast"/>
        </w:trPr>
        <w:tc>
          <w:tcPr>
            <w:tcW w:w="684"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五、</w:t>
            </w:r>
            <w:r>
              <w:rPr>
                <w:rFonts w:ascii="Calibri" w:hAnsi="Calibri" w:eastAsia="宋体"/>
                <w:color w:val="000000"/>
                <w:sz w:val="20"/>
                <w:szCs w:val="20"/>
              </w:rPr>
              <w:t> </w:t>
            </w:r>
            <w:r>
              <w:rPr>
                <w:rFonts w:hint="eastAsia" w:ascii="宋体" w:hAnsi="宋体" w:eastAsia="宋体"/>
                <w:color w:val="000000"/>
                <w:sz w:val="20"/>
                <w:szCs w:val="20"/>
              </w:rPr>
              <w:t>存在问题、原因及下一步整改措施</w:t>
            </w:r>
          </w:p>
        </w:tc>
        <w:tc>
          <w:tcPr>
            <w:tcW w:w="7036" w:type="dxa"/>
            <w:gridSpan w:val="7"/>
            <w:tcBorders>
              <w:top w:val="single" w:color="auto"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农村产权制度改革完成后，大量农村产权进入市场，产权交易中心平台软件应加快完善建设，并引进新型技术人才，加强人员技能培训。农村产权交易专业性强，应加快人才制度建设，增强人员业务素质。</w:t>
            </w:r>
          </w:p>
        </w:tc>
      </w:tr>
    </w:tbl>
    <w:p>
      <w:pPr>
        <w:spacing w:line="560" w:lineRule="exact"/>
        <w:ind w:firstLine="645"/>
        <w:rPr>
          <w:rFonts w:ascii="Times New Roman" w:hAnsi="Times New Roman" w:eastAsia="仿宋_GB2312"/>
          <w:sz w:val="32"/>
          <w:szCs w:val="32"/>
        </w:rPr>
      </w:pPr>
    </w:p>
    <w:p>
      <w:pPr>
        <w:spacing w:line="560" w:lineRule="exact"/>
        <w:ind w:firstLine="645"/>
        <w:rPr>
          <w:rFonts w:ascii="Times New Roman" w:hAnsi="Times New Roman" w:eastAsia="仿宋_GB2312" w:cs="Times New Roman"/>
          <w:sz w:val="32"/>
          <w:szCs w:val="32"/>
        </w:rPr>
      </w:pPr>
      <w:r>
        <w:rPr>
          <w:rFonts w:ascii="方正仿宋_GBK" w:hAnsi="方正仿宋_GBK" w:eastAsia="方正仿宋_GBK" w:cs="方正仿宋_GBK"/>
          <w:color w:val="000000"/>
          <w:sz w:val="28"/>
        </w:rPr>
        <w:t>社会化服务</w:t>
      </w:r>
      <w:r>
        <w:rPr>
          <w:rFonts w:ascii="Times New Roman" w:hAnsi="Times New Roman" w:eastAsia="仿宋_GB2312"/>
          <w:kern w:val="2"/>
          <w:sz w:val="32"/>
          <w:szCs w:val="32"/>
          <w:lang w:val="zh-CN"/>
        </w:rPr>
        <w:t>项目绩效自评情况。根据年初设定的绩效目标，</w:t>
      </w:r>
      <w:r>
        <w:rPr>
          <w:rFonts w:ascii="方正仿宋_GBK" w:hAnsi="方正仿宋_GBK" w:eastAsia="方正仿宋_GBK" w:cs="方正仿宋_GBK"/>
          <w:color w:val="000000"/>
          <w:sz w:val="28"/>
        </w:rPr>
        <w:t>社会化服务</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zh-CN"/>
        </w:rPr>
        <w:t>94</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zh-CN"/>
        </w:rPr>
        <w:t>5</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zh-CN"/>
        </w:rPr>
        <w:t>5</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zh-CN"/>
        </w:rPr>
        <w:t>100</w:t>
      </w:r>
      <w:r>
        <w:rPr>
          <w:rFonts w:ascii="Times New Roman" w:hAnsi="Times New Roman" w:eastAsia="仿宋_GB2312"/>
          <w:kern w:val="2"/>
          <w:sz w:val="32"/>
          <w:szCs w:val="32"/>
          <w:lang w:val="zh-CN"/>
        </w:rPr>
        <w:t>%。项目绩效目标完成情况：</w:t>
      </w:r>
      <w:r>
        <w:rPr>
          <w:rFonts w:hint="eastAsia" w:ascii="仿宋" w:hAnsi="仿宋" w:eastAsia="仿宋"/>
          <w:sz w:val="32"/>
          <w:szCs w:val="32"/>
        </w:rPr>
        <w:t>培训农民社员、专业社负责人、农业技术人员500人次，发放种养加技术服务资料2000份，带动致富农户1000户，新增营业面积100平方米，</w:t>
      </w:r>
      <w:r>
        <w:rPr>
          <w:rFonts w:hint="eastAsia" w:ascii="仿宋_GB2312" w:eastAsia="仿宋_GB2312"/>
          <w:sz w:val="32"/>
          <w:szCs w:val="32"/>
        </w:rPr>
        <w:t>项目绩效目标合理、绩效指标明确，</w:t>
      </w:r>
      <w:r>
        <w:rPr>
          <w:rFonts w:ascii="Times New Roman" w:hAnsi="Times New Roman" w:eastAsia="仿宋_GB2312"/>
          <w:sz w:val="32"/>
          <w:szCs w:val="32"/>
        </w:rPr>
        <w:t>通过项目实施，完成了年初设定的各项绩效目标，完成</w:t>
      </w:r>
      <w:r>
        <w:rPr>
          <w:rFonts w:hint="eastAsia" w:ascii="Times New Roman" w:hAnsi="Times New Roman" w:eastAsia="仿宋_GB2312"/>
          <w:sz w:val="32"/>
          <w:szCs w:val="32"/>
        </w:rPr>
        <w:t>100%，</w:t>
      </w:r>
      <w:r>
        <w:rPr>
          <w:rFonts w:ascii="Times New Roman" w:hAnsi="Times New Roman" w:eastAsia="仿宋_GB2312"/>
          <w:sz w:val="32"/>
          <w:szCs w:val="32"/>
        </w:rPr>
        <w:t>未发现问题。</w:t>
      </w:r>
      <w:r>
        <w:rPr>
          <w:rFonts w:ascii="Times New Roman" w:hAnsi="Times New Roman" w:eastAsia="仿宋_GB2312" w:cs="Times New Roman"/>
          <w:sz w:val="32"/>
          <w:szCs w:val="32"/>
        </w:rPr>
        <w:t>附项目支出绩效自评表</w:t>
      </w:r>
    </w:p>
    <w:tbl>
      <w:tblPr>
        <w:tblStyle w:val="11"/>
        <w:tblW w:w="7940" w:type="dxa"/>
        <w:tblInd w:w="89" w:type="dxa"/>
        <w:tblLayout w:type="autofit"/>
        <w:tblCellMar>
          <w:top w:w="0" w:type="dxa"/>
          <w:left w:w="108" w:type="dxa"/>
          <w:bottom w:w="0" w:type="dxa"/>
          <w:right w:w="108" w:type="dxa"/>
        </w:tblCellMar>
      </w:tblPr>
      <w:tblGrid>
        <w:gridCol w:w="862"/>
        <w:gridCol w:w="816"/>
        <w:gridCol w:w="1045"/>
        <w:gridCol w:w="1017"/>
        <w:gridCol w:w="1420"/>
        <w:gridCol w:w="1080"/>
        <w:gridCol w:w="880"/>
        <w:gridCol w:w="820"/>
      </w:tblGrid>
      <w:tr>
        <w:tblPrEx>
          <w:tblCellMar>
            <w:top w:w="0" w:type="dxa"/>
            <w:left w:w="108" w:type="dxa"/>
            <w:bottom w:w="0" w:type="dxa"/>
            <w:right w:w="108" w:type="dxa"/>
          </w:tblCellMar>
        </w:tblPrEx>
        <w:trPr>
          <w:trHeight w:val="375" w:hRule="atLeast"/>
        </w:trPr>
        <w:tc>
          <w:tcPr>
            <w:tcW w:w="3740" w:type="dxa"/>
            <w:gridSpan w:val="4"/>
            <w:tcBorders>
              <w:top w:val="nil"/>
              <w:left w:val="nil"/>
              <w:bottom w:val="nil"/>
              <w:right w:val="nil"/>
            </w:tcBorders>
            <w:shd w:val="clear" w:color="auto" w:fill="auto"/>
            <w:noWrap/>
            <w:vAlign w:val="center"/>
          </w:tcPr>
          <w:p>
            <w:pPr>
              <w:widowControl/>
              <w:jc w:val="left"/>
              <w:rPr>
                <w:rFonts w:ascii="宋体" w:hAnsi="宋体" w:eastAsia="宋体"/>
                <w:color w:val="000000"/>
                <w:sz w:val="20"/>
                <w:szCs w:val="20"/>
              </w:rPr>
            </w:pPr>
          </w:p>
        </w:tc>
        <w:tc>
          <w:tcPr>
            <w:tcW w:w="1420" w:type="dxa"/>
            <w:tcBorders>
              <w:top w:val="nil"/>
              <w:left w:val="nil"/>
              <w:bottom w:val="nil"/>
              <w:right w:val="nil"/>
            </w:tcBorders>
            <w:shd w:val="clear" w:color="auto" w:fill="auto"/>
            <w:noWrap/>
            <w:vAlign w:val="center"/>
          </w:tcPr>
          <w:p>
            <w:pPr>
              <w:widowControl/>
              <w:jc w:val="center"/>
              <w:rPr>
                <w:rFonts w:ascii="宋体" w:hAnsi="宋体" w:eastAsia="宋体"/>
                <w:color w:val="000000"/>
                <w:sz w:val="20"/>
                <w:szCs w:val="20"/>
              </w:rPr>
            </w:pPr>
          </w:p>
        </w:tc>
        <w:tc>
          <w:tcPr>
            <w:tcW w:w="1080" w:type="dxa"/>
            <w:tcBorders>
              <w:top w:val="nil"/>
              <w:left w:val="nil"/>
              <w:bottom w:val="nil"/>
              <w:right w:val="nil"/>
            </w:tcBorders>
            <w:shd w:val="clear" w:color="auto" w:fill="auto"/>
            <w:noWrap/>
            <w:vAlign w:val="center"/>
          </w:tcPr>
          <w:p>
            <w:pPr>
              <w:widowControl/>
              <w:jc w:val="center"/>
              <w:rPr>
                <w:rFonts w:ascii="宋体" w:hAnsi="宋体" w:eastAsia="宋体"/>
                <w:color w:val="000000"/>
                <w:sz w:val="20"/>
                <w:szCs w:val="20"/>
              </w:rPr>
            </w:pPr>
          </w:p>
        </w:tc>
        <w:tc>
          <w:tcPr>
            <w:tcW w:w="1700" w:type="dxa"/>
            <w:gridSpan w:val="2"/>
            <w:tcBorders>
              <w:top w:val="nil"/>
              <w:left w:val="nil"/>
              <w:bottom w:val="single" w:color="000000" w:sz="4" w:space="0"/>
              <w:right w:val="nil"/>
            </w:tcBorders>
            <w:shd w:val="clear" w:color="auto" w:fill="auto"/>
            <w:noWrap/>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金额单位：万元</w:t>
            </w:r>
          </w:p>
        </w:tc>
      </w:tr>
      <w:tr>
        <w:tblPrEx>
          <w:tblCellMar>
            <w:top w:w="0" w:type="dxa"/>
            <w:left w:w="108" w:type="dxa"/>
            <w:bottom w:w="0" w:type="dxa"/>
            <w:right w:w="108" w:type="dxa"/>
          </w:tblCellMar>
        </w:tblPrEx>
        <w:trPr>
          <w:trHeight w:val="375" w:hRule="atLeast"/>
        </w:trPr>
        <w:tc>
          <w:tcPr>
            <w:tcW w:w="684" w:type="dxa"/>
            <w:tcBorders>
              <w:top w:val="single" w:color="000000" w:sz="4" w:space="0"/>
              <w:left w:val="single" w:color="000000" w:sz="4" w:space="0"/>
              <w:bottom w:val="nil"/>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一、</w:t>
            </w:r>
            <w:r>
              <w:rPr>
                <w:rFonts w:ascii="Calibri" w:hAnsi="Calibri" w:eastAsia="宋体"/>
                <w:color w:val="000000"/>
                <w:sz w:val="20"/>
                <w:szCs w:val="20"/>
              </w:rPr>
              <w:t> </w:t>
            </w:r>
            <w:r>
              <w:rPr>
                <w:rFonts w:hint="eastAsia" w:ascii="宋体" w:hAnsi="宋体" w:eastAsia="宋体"/>
                <w:color w:val="000000"/>
                <w:sz w:val="20"/>
                <w:szCs w:val="20"/>
              </w:rPr>
              <w:t>基本情况</w:t>
            </w:r>
          </w:p>
        </w:tc>
        <w:tc>
          <w:tcPr>
            <w:tcW w:w="7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项目名称</w:t>
            </w:r>
          </w:p>
        </w:tc>
        <w:tc>
          <w:tcPr>
            <w:tcW w:w="2296"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社会化服务</w:t>
            </w:r>
          </w:p>
        </w:tc>
        <w:tc>
          <w:tcPr>
            <w:tcW w:w="142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实施</w:t>
            </w:r>
            <w:r>
              <w:rPr>
                <w:rFonts w:hint="eastAsia" w:ascii="宋体" w:hAnsi="宋体" w:eastAsia="宋体"/>
                <w:color w:val="000000"/>
                <w:sz w:val="20"/>
                <w:szCs w:val="20"/>
                <w:lang w:eastAsia="zh-CN"/>
              </w:rPr>
              <w:t>（</w:t>
            </w:r>
            <w:r>
              <w:rPr>
                <w:rFonts w:hint="eastAsia" w:ascii="宋体" w:hAnsi="宋体" w:eastAsia="宋体"/>
                <w:color w:val="000000"/>
                <w:sz w:val="20"/>
                <w:szCs w:val="20"/>
              </w:rPr>
              <w:t>主管）单位</w:t>
            </w:r>
          </w:p>
        </w:tc>
        <w:tc>
          <w:tcPr>
            <w:tcW w:w="2780"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鹿泉区供销合作总社</w:t>
            </w:r>
          </w:p>
        </w:tc>
      </w:tr>
      <w:tr>
        <w:tblPrEx>
          <w:tblCellMar>
            <w:top w:w="0" w:type="dxa"/>
            <w:left w:w="108" w:type="dxa"/>
            <w:bottom w:w="0" w:type="dxa"/>
            <w:right w:w="108" w:type="dxa"/>
          </w:tblCellMar>
        </w:tblPrEx>
        <w:trPr>
          <w:trHeight w:val="375" w:hRule="atLeast"/>
        </w:trPr>
        <w:tc>
          <w:tcPr>
            <w:tcW w:w="6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二、预算执行情况</w:t>
            </w:r>
          </w:p>
        </w:tc>
        <w:tc>
          <w:tcPr>
            <w:tcW w:w="1957"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预算安排情况（调整后）</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资金到位情况</w:t>
            </w:r>
          </w:p>
        </w:tc>
        <w:tc>
          <w:tcPr>
            <w:tcW w:w="196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资金执行情况</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预算执行进度</w:t>
            </w:r>
          </w:p>
        </w:tc>
      </w:tr>
      <w:tr>
        <w:tblPrEx>
          <w:tblCellMar>
            <w:top w:w="0" w:type="dxa"/>
            <w:left w:w="108" w:type="dxa"/>
            <w:bottom w:w="0" w:type="dxa"/>
            <w:right w:w="108" w:type="dxa"/>
          </w:tblCellMar>
        </w:tblPrEx>
        <w:trPr>
          <w:trHeight w:val="375" w:hRule="atLeast"/>
        </w:trPr>
        <w:tc>
          <w:tcPr>
            <w:tcW w:w="68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76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预算数：</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1099"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到位数：</w:t>
            </w:r>
          </w:p>
        </w:tc>
        <w:tc>
          <w:tcPr>
            <w:tcW w:w="14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10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执行数：</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w:t>
            </w:r>
          </w:p>
        </w:tc>
        <w:tc>
          <w:tcPr>
            <w:tcW w:w="8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tblPrEx>
          <w:tblCellMar>
            <w:top w:w="0" w:type="dxa"/>
            <w:left w:w="108" w:type="dxa"/>
            <w:bottom w:w="0" w:type="dxa"/>
            <w:right w:w="108" w:type="dxa"/>
          </w:tblCellMar>
        </w:tblPrEx>
        <w:trPr>
          <w:trHeight w:val="525" w:hRule="atLeast"/>
        </w:trPr>
        <w:tc>
          <w:tcPr>
            <w:tcW w:w="68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76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1099"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14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10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8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375" w:hRule="atLeast"/>
        </w:trPr>
        <w:tc>
          <w:tcPr>
            <w:tcW w:w="68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76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1197" w:type="dxa"/>
            <w:tcBorders>
              <w:top w:val="nil"/>
              <w:left w:val="nil"/>
              <w:bottom w:val="single" w:color="000000" w:sz="4" w:space="0"/>
              <w:right w:val="single" w:color="000000" w:sz="4" w:space="0"/>
            </w:tcBorders>
            <w:shd w:val="clear" w:color="auto" w:fill="auto"/>
            <w:vAlign w:val="center"/>
          </w:tcPr>
          <w:p>
            <w:pPr>
              <w:widowControl/>
              <w:jc w:val="left"/>
              <w:rPr>
                <w:rFonts w:ascii="Calibri" w:hAnsi="Calibri" w:eastAsia="宋体"/>
                <w:color w:val="000000"/>
                <w:sz w:val="20"/>
                <w:szCs w:val="20"/>
              </w:rPr>
            </w:pPr>
            <w:r>
              <w:rPr>
                <w:rFonts w:ascii="Calibri" w:hAnsi="Calibri" w:eastAsia="宋体"/>
                <w:color w:val="000000"/>
                <w:sz w:val="20"/>
                <w:szCs w:val="20"/>
              </w:rPr>
              <w:t>　</w:t>
            </w:r>
          </w:p>
        </w:tc>
        <w:tc>
          <w:tcPr>
            <w:tcW w:w="1099"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142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10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8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8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375" w:hRule="atLeast"/>
        </w:trPr>
        <w:tc>
          <w:tcPr>
            <w:tcW w:w="684"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三、目标完成情况</w:t>
            </w:r>
          </w:p>
        </w:tc>
        <w:tc>
          <w:tcPr>
            <w:tcW w:w="3056"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年度预期目标</w:t>
            </w:r>
          </w:p>
        </w:tc>
        <w:tc>
          <w:tcPr>
            <w:tcW w:w="3380"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具体完成情况</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总体完成率</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05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培训农民社员、专业社负责人、农业技术人员500人次，发放种养加技术服务资料2000份，带动致富农户1000户，加快将供销社打造成为农民生产生活的生力军和综合服务平台。</w:t>
            </w:r>
          </w:p>
        </w:tc>
        <w:tc>
          <w:tcPr>
            <w:tcW w:w="33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培训农民社员、专业社负责人、农业技术人员500人次，发放种养加技术服务资料2000份，带动致富农户1000户，加快将供销社打造成为农民生产生活的生力军和综合服务平台。</w:t>
            </w:r>
          </w:p>
        </w:tc>
        <w:tc>
          <w:tcPr>
            <w:tcW w:w="8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056"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3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8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615" w:hRule="atLeast"/>
        </w:trPr>
        <w:tc>
          <w:tcPr>
            <w:tcW w:w="6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056"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38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8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435" w:hRule="atLeast"/>
        </w:trPr>
        <w:tc>
          <w:tcPr>
            <w:tcW w:w="684" w:type="dxa"/>
            <w:vMerge w:val="restart"/>
            <w:tcBorders>
              <w:top w:val="nil"/>
              <w:left w:val="single" w:color="auto" w:sz="4" w:space="0"/>
              <w:bottom w:val="single" w:color="000000" w:sz="4" w:space="0"/>
              <w:right w:val="nil"/>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四、</w:t>
            </w:r>
            <w:r>
              <w:rPr>
                <w:rFonts w:ascii="Calibri" w:hAnsi="Calibri" w:eastAsia="宋体"/>
                <w:color w:val="000000"/>
                <w:sz w:val="20"/>
                <w:szCs w:val="20"/>
              </w:rPr>
              <w:t> </w:t>
            </w:r>
            <w:r>
              <w:rPr>
                <w:rFonts w:hint="eastAsia" w:ascii="宋体" w:hAnsi="宋体" w:eastAsia="宋体"/>
                <w:color w:val="000000"/>
                <w:sz w:val="20"/>
                <w:szCs w:val="20"/>
              </w:rPr>
              <w:t>年度绩效指标完成情况</w:t>
            </w:r>
          </w:p>
        </w:tc>
        <w:tc>
          <w:tcPr>
            <w:tcW w:w="760"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一级指标</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二级指标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三级指标</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预期指标值</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实际完成值</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自评得分</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产出指标（40）</w:t>
            </w:r>
          </w:p>
        </w:tc>
        <w:tc>
          <w:tcPr>
            <w:tcW w:w="1197"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数量指标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发放宣传资料数量</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18"/>
                <w:szCs w:val="18"/>
              </w:rPr>
            </w:pPr>
            <w:r>
              <w:rPr>
                <w:rFonts w:hint="eastAsia" w:ascii="宋体" w:hAnsi="宋体" w:eastAsia="宋体"/>
                <w:color w:val="000000"/>
                <w:sz w:val="18"/>
                <w:szCs w:val="18"/>
              </w:rPr>
              <w:t>2000份</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18"/>
                <w:szCs w:val="18"/>
              </w:rPr>
            </w:pPr>
            <w:r>
              <w:rPr>
                <w:rFonts w:hint="eastAsia" w:ascii="宋体" w:hAnsi="宋体" w:eastAsia="宋体"/>
                <w:color w:val="000000"/>
                <w:sz w:val="18"/>
                <w:szCs w:val="18"/>
              </w:rPr>
              <w:t>2000分</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197"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培训社员及专业社负责人人数</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500</w:t>
            </w:r>
            <w:r>
              <w:rPr>
                <w:rFonts w:hint="eastAsia" w:ascii="宋体" w:hAnsi="宋体" w:eastAsia="宋体"/>
                <w:color w:val="000000"/>
                <w:sz w:val="20"/>
                <w:szCs w:val="20"/>
              </w:rPr>
              <w:t>人次</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500</w:t>
            </w:r>
            <w:r>
              <w:rPr>
                <w:rFonts w:hint="eastAsia" w:ascii="宋体" w:hAnsi="宋体" w:eastAsia="宋体"/>
                <w:color w:val="000000"/>
                <w:sz w:val="20"/>
                <w:szCs w:val="20"/>
              </w:rPr>
              <w:t>人次</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w:t>
            </w:r>
          </w:p>
        </w:tc>
      </w:tr>
      <w:tr>
        <w:tblPrEx>
          <w:tblCellMar>
            <w:top w:w="0" w:type="dxa"/>
            <w:left w:w="108" w:type="dxa"/>
            <w:bottom w:w="0" w:type="dxa"/>
            <w:right w:w="108" w:type="dxa"/>
          </w:tblCellMar>
        </w:tblPrEx>
        <w:trPr>
          <w:trHeight w:val="72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197"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质量指标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农资、农副产品、日用消费品、再生资源回收利用四个网络区域内货物配送额占货物购进额的比例%</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80%</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80%</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72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时效指标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年度内四个网络健全完成时间占全年时间的比例</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75%</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75%</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72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成本指标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培训人员费用的人均节约额占人均标准额的比例</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15%</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15%</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55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预算执行率指标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执行数/预算数</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57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效益指标（40）</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经济效益指标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农副产品购进额比上年增长的比例%</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57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社会效益指标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带动致富农户的总数量</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1000</w:t>
            </w:r>
            <w:r>
              <w:rPr>
                <w:rFonts w:hint="eastAsia" w:ascii="宋体" w:hAnsi="宋体" w:eastAsia="宋体"/>
                <w:color w:val="000000"/>
                <w:sz w:val="20"/>
                <w:szCs w:val="20"/>
              </w:rPr>
              <w:t>户</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1000</w:t>
            </w:r>
            <w:r>
              <w:rPr>
                <w:rFonts w:hint="eastAsia" w:ascii="宋体" w:hAnsi="宋体" w:eastAsia="宋体"/>
                <w:color w:val="000000"/>
                <w:sz w:val="20"/>
                <w:szCs w:val="20"/>
              </w:rPr>
              <w:t>户</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57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可持续影响指标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供销社带动三农的影响力提高的比例</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16</w:t>
            </w:r>
          </w:p>
        </w:tc>
      </w:tr>
      <w:tr>
        <w:tblPrEx>
          <w:tblCellMar>
            <w:top w:w="0" w:type="dxa"/>
            <w:left w:w="108" w:type="dxa"/>
            <w:bottom w:w="0" w:type="dxa"/>
            <w:right w:w="108" w:type="dxa"/>
          </w:tblCellMar>
        </w:tblPrEx>
        <w:trPr>
          <w:trHeight w:val="70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p>
        </w:tc>
        <w:tc>
          <w:tcPr>
            <w:tcW w:w="251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社员满意和较满意人数占社员总人数的比例</w:t>
            </w:r>
          </w:p>
        </w:tc>
        <w:tc>
          <w:tcPr>
            <w:tcW w:w="10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95%</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95%</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w:t>
            </w:r>
          </w:p>
        </w:tc>
      </w:tr>
      <w:tr>
        <w:tblPrEx>
          <w:tblCellMar>
            <w:top w:w="0" w:type="dxa"/>
            <w:left w:w="108" w:type="dxa"/>
            <w:bottom w:w="0" w:type="dxa"/>
            <w:right w:w="108" w:type="dxa"/>
          </w:tblCellMar>
        </w:tblPrEx>
        <w:trPr>
          <w:trHeight w:val="3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6436"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总分</w:t>
            </w:r>
          </w:p>
        </w:tc>
        <w:tc>
          <w:tcPr>
            <w:tcW w:w="820" w:type="dxa"/>
            <w:tcBorders>
              <w:top w:val="nil"/>
              <w:left w:val="nil"/>
              <w:bottom w:val="single" w:color="auto" w:sz="4" w:space="0"/>
              <w:right w:val="single" w:color="auto"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94</w:t>
            </w:r>
          </w:p>
        </w:tc>
      </w:tr>
      <w:tr>
        <w:tblPrEx>
          <w:tblCellMar>
            <w:top w:w="0" w:type="dxa"/>
            <w:left w:w="108" w:type="dxa"/>
            <w:bottom w:w="0" w:type="dxa"/>
            <w:right w:w="108" w:type="dxa"/>
          </w:tblCellMar>
        </w:tblPrEx>
        <w:trPr>
          <w:trHeight w:val="975" w:hRule="atLeast"/>
        </w:trPr>
        <w:tc>
          <w:tcPr>
            <w:tcW w:w="684"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五、</w:t>
            </w:r>
            <w:r>
              <w:rPr>
                <w:rFonts w:ascii="Calibri" w:hAnsi="Calibri" w:eastAsia="宋体"/>
                <w:color w:val="000000"/>
                <w:sz w:val="20"/>
                <w:szCs w:val="20"/>
              </w:rPr>
              <w:t> </w:t>
            </w:r>
            <w:r>
              <w:rPr>
                <w:rFonts w:hint="eastAsia" w:ascii="宋体" w:hAnsi="宋体" w:eastAsia="宋体"/>
                <w:color w:val="000000"/>
                <w:sz w:val="20"/>
                <w:szCs w:val="20"/>
              </w:rPr>
              <w:t>存在问题、原因及下一步整改措施</w:t>
            </w:r>
          </w:p>
        </w:tc>
        <w:tc>
          <w:tcPr>
            <w:tcW w:w="7256" w:type="dxa"/>
            <w:gridSpan w:val="7"/>
            <w:tcBorders>
              <w:top w:val="single" w:color="auto"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服务农民的方式方法等方面的抓手还不够多，农民进入市场还跟不上农村发展的需要。加强思想观念的转变，拓宽农民进入市场的渠道。</w:t>
            </w:r>
          </w:p>
        </w:tc>
      </w:tr>
    </w:tbl>
    <w:p>
      <w:pPr>
        <w:spacing w:line="560" w:lineRule="exact"/>
        <w:ind w:firstLine="645"/>
        <w:rPr>
          <w:rFonts w:ascii="Times New Roman" w:hAnsi="Times New Roman" w:eastAsia="仿宋_GB2312"/>
          <w:sz w:val="32"/>
          <w:szCs w:val="32"/>
        </w:rPr>
      </w:pPr>
    </w:p>
    <w:p>
      <w:pPr>
        <w:adjustRightInd w:val="0"/>
        <w:snapToGrid w:val="0"/>
        <w:spacing w:line="560" w:lineRule="exact"/>
        <w:ind w:firstLine="700" w:firstLineChars="250"/>
        <w:rPr>
          <w:rFonts w:ascii="Times New Roman" w:hAnsi="Times New Roman" w:eastAsia="仿宋_GB2312" w:cs="Times New Roman"/>
          <w:sz w:val="32"/>
          <w:szCs w:val="32"/>
        </w:rPr>
      </w:pPr>
      <w:r>
        <w:rPr>
          <w:rFonts w:ascii="方正仿宋_GBK" w:hAnsi="方正仿宋_GBK" w:eastAsia="方正仿宋_GBK" w:cs="方正仿宋_GBK"/>
          <w:color w:val="000000"/>
          <w:sz w:val="28"/>
        </w:rPr>
        <w:t>再生资源管理办公费及回收利用体系业务费</w:t>
      </w:r>
      <w:r>
        <w:rPr>
          <w:rFonts w:ascii="Times New Roman" w:hAnsi="Times New Roman" w:eastAsia="仿宋_GB2312"/>
          <w:kern w:val="2"/>
          <w:sz w:val="32"/>
          <w:szCs w:val="32"/>
          <w:lang w:val="zh-CN"/>
        </w:rPr>
        <w:t>项目绩效自评情况。根据年初设定的绩效目标，</w:t>
      </w:r>
      <w:r>
        <w:rPr>
          <w:rFonts w:ascii="方正仿宋_GBK" w:hAnsi="方正仿宋_GBK" w:eastAsia="方正仿宋_GBK" w:cs="方正仿宋_GBK"/>
          <w:color w:val="000000"/>
          <w:sz w:val="28"/>
        </w:rPr>
        <w:t>再生资源管理办公费及回收利用体系业务费</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zh-CN"/>
        </w:rPr>
        <w:t>93</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zh-CN"/>
        </w:rPr>
        <w:t>5</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zh-CN"/>
        </w:rPr>
        <w:t>5</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zh-CN"/>
        </w:rPr>
        <w:t>100</w:t>
      </w:r>
      <w:r>
        <w:rPr>
          <w:rFonts w:ascii="Times New Roman" w:hAnsi="Times New Roman" w:eastAsia="仿宋_GB2312"/>
          <w:kern w:val="2"/>
          <w:sz w:val="32"/>
          <w:szCs w:val="32"/>
          <w:lang w:val="zh-CN"/>
        </w:rPr>
        <w:t>%。项目绩效目标完成情况：</w:t>
      </w:r>
      <w:r>
        <w:rPr>
          <w:rFonts w:hint="eastAsia" w:ascii="仿宋" w:hAnsi="仿宋" w:eastAsia="仿宋"/>
          <w:sz w:val="32"/>
          <w:szCs w:val="32"/>
        </w:rPr>
        <w:t>优化再生资源回收体系，发放垃圾分类和回收利用资料2000份，培训从业人员200人次，提高回收人员专业水平，提高资源利用率，促进回收行业健康发展。制定并实施全区再生资源回收体系建设工作实施方案，加强对再生资源回收企业的指导。</w:t>
      </w:r>
      <w:r>
        <w:rPr>
          <w:rFonts w:ascii="Times New Roman" w:hAnsi="Times New Roman" w:eastAsia="仿宋_GB2312"/>
          <w:sz w:val="32"/>
          <w:szCs w:val="32"/>
        </w:rPr>
        <w:t>通过项目实施，完成了年初设定的各项绩效目标，完成</w:t>
      </w:r>
      <w:r>
        <w:rPr>
          <w:rFonts w:hint="eastAsia" w:ascii="Times New Roman" w:hAnsi="Times New Roman" w:eastAsia="仿宋_GB2312"/>
          <w:sz w:val="32"/>
          <w:szCs w:val="32"/>
        </w:rPr>
        <w:t>100%，</w:t>
      </w:r>
      <w:r>
        <w:rPr>
          <w:rFonts w:ascii="Times New Roman" w:hAnsi="Times New Roman" w:eastAsia="仿宋_GB2312"/>
          <w:sz w:val="32"/>
          <w:szCs w:val="32"/>
        </w:rPr>
        <w:t>未发现问题。</w:t>
      </w:r>
      <w:r>
        <w:rPr>
          <w:rFonts w:ascii="Times New Roman" w:hAnsi="Times New Roman" w:eastAsia="仿宋_GB2312" w:cs="Times New Roman"/>
          <w:sz w:val="32"/>
          <w:szCs w:val="32"/>
        </w:rPr>
        <w:t>附项目支出绩效自评表</w:t>
      </w:r>
    </w:p>
    <w:tbl>
      <w:tblPr>
        <w:tblStyle w:val="11"/>
        <w:tblW w:w="6460" w:type="dxa"/>
        <w:tblInd w:w="89" w:type="dxa"/>
        <w:tblLayout w:type="autofit"/>
        <w:tblCellMar>
          <w:top w:w="0" w:type="dxa"/>
          <w:left w:w="108" w:type="dxa"/>
          <w:bottom w:w="0" w:type="dxa"/>
          <w:right w:w="108" w:type="dxa"/>
        </w:tblCellMar>
      </w:tblPr>
      <w:tblGrid>
        <w:gridCol w:w="862"/>
        <w:gridCol w:w="816"/>
        <w:gridCol w:w="640"/>
        <w:gridCol w:w="782"/>
        <w:gridCol w:w="720"/>
        <w:gridCol w:w="940"/>
        <w:gridCol w:w="880"/>
        <w:gridCol w:w="820"/>
      </w:tblGrid>
      <w:tr>
        <w:trPr>
          <w:trHeight w:val="390" w:hRule="atLeast"/>
        </w:trPr>
        <w:tc>
          <w:tcPr>
            <w:tcW w:w="3100" w:type="dxa"/>
            <w:gridSpan w:val="4"/>
            <w:tcBorders>
              <w:top w:val="nil"/>
              <w:left w:val="nil"/>
              <w:bottom w:val="nil"/>
              <w:right w:val="nil"/>
            </w:tcBorders>
            <w:shd w:val="clear" w:color="auto" w:fill="auto"/>
            <w:noWrap/>
            <w:vAlign w:val="center"/>
          </w:tcPr>
          <w:p>
            <w:pPr>
              <w:widowControl/>
              <w:jc w:val="left"/>
              <w:rPr>
                <w:rFonts w:ascii="宋体" w:hAnsi="宋体" w:eastAsia="宋体"/>
                <w:color w:val="000000"/>
                <w:sz w:val="20"/>
                <w:szCs w:val="20"/>
              </w:rPr>
            </w:pPr>
          </w:p>
        </w:tc>
        <w:tc>
          <w:tcPr>
            <w:tcW w:w="720" w:type="dxa"/>
            <w:tcBorders>
              <w:top w:val="nil"/>
              <w:left w:val="nil"/>
              <w:bottom w:val="nil"/>
              <w:right w:val="nil"/>
            </w:tcBorders>
            <w:shd w:val="clear" w:color="auto" w:fill="auto"/>
            <w:noWrap/>
            <w:vAlign w:val="center"/>
          </w:tcPr>
          <w:p>
            <w:pPr>
              <w:widowControl/>
              <w:jc w:val="center"/>
              <w:rPr>
                <w:rFonts w:ascii="宋体" w:hAnsi="宋体" w:eastAsia="宋体"/>
                <w:color w:val="000000"/>
                <w:sz w:val="20"/>
                <w:szCs w:val="20"/>
              </w:rPr>
            </w:pPr>
          </w:p>
        </w:tc>
        <w:tc>
          <w:tcPr>
            <w:tcW w:w="940" w:type="dxa"/>
            <w:tcBorders>
              <w:top w:val="nil"/>
              <w:left w:val="nil"/>
              <w:bottom w:val="nil"/>
              <w:right w:val="nil"/>
            </w:tcBorders>
            <w:shd w:val="clear" w:color="auto" w:fill="auto"/>
            <w:noWrap/>
            <w:vAlign w:val="center"/>
          </w:tcPr>
          <w:p>
            <w:pPr>
              <w:widowControl/>
              <w:jc w:val="center"/>
              <w:rPr>
                <w:rFonts w:ascii="宋体" w:hAnsi="宋体" w:eastAsia="宋体"/>
                <w:color w:val="000000"/>
                <w:sz w:val="20"/>
                <w:szCs w:val="20"/>
              </w:rPr>
            </w:pPr>
          </w:p>
        </w:tc>
        <w:tc>
          <w:tcPr>
            <w:tcW w:w="1700" w:type="dxa"/>
            <w:gridSpan w:val="2"/>
            <w:tcBorders>
              <w:top w:val="nil"/>
              <w:left w:val="nil"/>
              <w:bottom w:val="single" w:color="000000" w:sz="4" w:space="0"/>
              <w:right w:val="nil"/>
            </w:tcBorders>
            <w:shd w:val="clear" w:color="auto" w:fill="auto"/>
            <w:noWrap/>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金额单位：万元</w:t>
            </w:r>
          </w:p>
        </w:tc>
      </w:tr>
      <w:tr>
        <w:tblPrEx>
          <w:tblCellMar>
            <w:top w:w="0" w:type="dxa"/>
            <w:left w:w="108" w:type="dxa"/>
            <w:bottom w:w="0" w:type="dxa"/>
            <w:right w:w="108" w:type="dxa"/>
          </w:tblCellMar>
        </w:tblPrEx>
        <w:trPr>
          <w:trHeight w:val="600" w:hRule="atLeast"/>
        </w:trPr>
        <w:tc>
          <w:tcPr>
            <w:tcW w:w="684" w:type="dxa"/>
            <w:tcBorders>
              <w:top w:val="single" w:color="000000" w:sz="4" w:space="0"/>
              <w:left w:val="single" w:color="000000" w:sz="4" w:space="0"/>
              <w:bottom w:val="nil"/>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一、</w:t>
            </w:r>
            <w:r>
              <w:rPr>
                <w:rFonts w:ascii="Calibri" w:hAnsi="Calibri" w:eastAsia="宋体"/>
                <w:color w:val="000000"/>
                <w:sz w:val="20"/>
                <w:szCs w:val="20"/>
              </w:rPr>
              <w:t> </w:t>
            </w:r>
            <w:r>
              <w:rPr>
                <w:rFonts w:hint="eastAsia" w:ascii="宋体" w:hAnsi="宋体" w:eastAsia="宋体"/>
                <w:color w:val="000000"/>
                <w:sz w:val="20"/>
                <w:szCs w:val="20"/>
              </w:rPr>
              <w:t>基本情况</w:t>
            </w:r>
          </w:p>
        </w:tc>
        <w:tc>
          <w:tcPr>
            <w:tcW w:w="74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项目名称</w:t>
            </w:r>
          </w:p>
        </w:tc>
        <w:tc>
          <w:tcPr>
            <w:tcW w:w="1676"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再生资源回收利用管理办公业务费</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实施</w:t>
            </w:r>
            <w:r>
              <w:rPr>
                <w:rFonts w:hint="eastAsia" w:ascii="宋体" w:hAnsi="宋体" w:eastAsia="宋体"/>
                <w:color w:val="000000"/>
                <w:sz w:val="20"/>
                <w:szCs w:val="20"/>
                <w:lang w:eastAsia="zh-CN"/>
              </w:rPr>
              <w:t>（</w:t>
            </w:r>
            <w:r>
              <w:rPr>
                <w:rFonts w:hint="eastAsia" w:ascii="宋体" w:hAnsi="宋体" w:eastAsia="宋体"/>
                <w:color w:val="000000"/>
                <w:sz w:val="20"/>
                <w:szCs w:val="20"/>
              </w:rPr>
              <w:t>主管）单位</w:t>
            </w:r>
          </w:p>
        </w:tc>
        <w:tc>
          <w:tcPr>
            <w:tcW w:w="2640"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鹿泉区供销合作总社</w:t>
            </w:r>
          </w:p>
        </w:tc>
      </w:tr>
      <w:tr>
        <w:trPr>
          <w:trHeight w:val="390" w:hRule="atLeast"/>
        </w:trPr>
        <w:tc>
          <w:tcPr>
            <w:tcW w:w="6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二、预算执行情况</w:t>
            </w:r>
          </w:p>
        </w:tc>
        <w:tc>
          <w:tcPr>
            <w:tcW w:w="1536"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预算安排情况（调整后）</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资金到位情况</w:t>
            </w:r>
          </w:p>
        </w:tc>
        <w:tc>
          <w:tcPr>
            <w:tcW w:w="182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资金执行情况</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预算执行进度</w:t>
            </w:r>
          </w:p>
        </w:tc>
      </w:tr>
      <w:tr>
        <w:tblPrEx>
          <w:tblCellMar>
            <w:top w:w="0" w:type="dxa"/>
            <w:left w:w="108" w:type="dxa"/>
            <w:bottom w:w="0" w:type="dxa"/>
            <w:right w:w="108" w:type="dxa"/>
          </w:tblCellMar>
        </w:tblPrEx>
        <w:trPr>
          <w:trHeight w:val="390" w:hRule="atLeast"/>
        </w:trPr>
        <w:tc>
          <w:tcPr>
            <w:tcW w:w="68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74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预算数：</w:t>
            </w:r>
          </w:p>
        </w:tc>
        <w:tc>
          <w:tcPr>
            <w:tcW w:w="79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8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到位数：</w:t>
            </w:r>
          </w:p>
        </w:tc>
        <w:tc>
          <w:tcPr>
            <w:tcW w:w="7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94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执行数：</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w:t>
            </w:r>
          </w:p>
        </w:tc>
        <w:tc>
          <w:tcPr>
            <w:tcW w:w="8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tblPrEx>
          <w:tblCellMar>
            <w:top w:w="0" w:type="dxa"/>
            <w:left w:w="108" w:type="dxa"/>
            <w:bottom w:w="0" w:type="dxa"/>
            <w:right w:w="108" w:type="dxa"/>
          </w:tblCellMar>
        </w:tblPrEx>
        <w:trPr>
          <w:trHeight w:val="525" w:hRule="atLeast"/>
        </w:trPr>
        <w:tc>
          <w:tcPr>
            <w:tcW w:w="68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74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79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8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7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94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c>
          <w:tcPr>
            <w:tcW w:w="8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390" w:hRule="atLeast"/>
        </w:trPr>
        <w:tc>
          <w:tcPr>
            <w:tcW w:w="68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74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796" w:type="dxa"/>
            <w:tcBorders>
              <w:top w:val="nil"/>
              <w:left w:val="nil"/>
              <w:bottom w:val="single" w:color="000000" w:sz="4" w:space="0"/>
              <w:right w:val="single" w:color="000000" w:sz="4" w:space="0"/>
            </w:tcBorders>
            <w:shd w:val="clear" w:color="auto" w:fill="auto"/>
            <w:vAlign w:val="center"/>
          </w:tcPr>
          <w:p>
            <w:pPr>
              <w:widowControl/>
              <w:jc w:val="left"/>
              <w:rPr>
                <w:rFonts w:ascii="Calibri" w:hAnsi="Calibri" w:eastAsia="宋体"/>
                <w:color w:val="000000"/>
                <w:sz w:val="20"/>
                <w:szCs w:val="20"/>
              </w:rPr>
            </w:pPr>
            <w:r>
              <w:rPr>
                <w:rFonts w:ascii="Calibri" w:hAnsi="Calibri" w:eastAsia="宋体"/>
                <w:color w:val="000000"/>
                <w:sz w:val="20"/>
                <w:szCs w:val="20"/>
              </w:rPr>
              <w:t>　</w:t>
            </w:r>
          </w:p>
        </w:tc>
        <w:tc>
          <w:tcPr>
            <w:tcW w:w="8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72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94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8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8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390" w:hRule="atLeast"/>
        </w:trPr>
        <w:tc>
          <w:tcPr>
            <w:tcW w:w="684"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三、目标完成情况</w:t>
            </w:r>
          </w:p>
        </w:tc>
        <w:tc>
          <w:tcPr>
            <w:tcW w:w="2416"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年度预期目标</w:t>
            </w:r>
          </w:p>
        </w:tc>
        <w:tc>
          <w:tcPr>
            <w:tcW w:w="2540"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具体完成情况</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总体完成率</w:t>
            </w:r>
          </w:p>
        </w:tc>
      </w:tr>
      <w:tr>
        <w:tblPrEx>
          <w:tblCellMar>
            <w:top w:w="0" w:type="dxa"/>
            <w:left w:w="108" w:type="dxa"/>
            <w:bottom w:w="0" w:type="dxa"/>
            <w:right w:w="108" w:type="dxa"/>
          </w:tblCellMar>
        </w:tblPrEx>
        <w:trPr>
          <w:trHeight w:val="390" w:hRule="atLeast"/>
        </w:trPr>
        <w:tc>
          <w:tcPr>
            <w:tcW w:w="6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41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加快建立可回收物及大件垃圾回收处理体系，探索利用“互联网+”、“信息化”手段，优化再生资源回收体系。做好宣传落实，发放垃圾分类和回收利用资料2000份，培训从业人员200人次，提高回收人员专业水平，提高资源利用率，</w:t>
            </w:r>
          </w:p>
        </w:tc>
        <w:tc>
          <w:tcPr>
            <w:tcW w:w="25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加快建立可回收物及大件垃圾回收处理体系，探索利用“互联网+”、“信息化”手段，优化再生资源回收体系。做好宣传落实，发放垃圾分类和回收利用资料2000份，培训从业人员200人次，提高回收人员专业水平，提高资源利用率，</w:t>
            </w:r>
          </w:p>
        </w:tc>
        <w:tc>
          <w:tcPr>
            <w:tcW w:w="820"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tblPrEx>
          <w:tblCellMar>
            <w:top w:w="0" w:type="dxa"/>
            <w:left w:w="108" w:type="dxa"/>
            <w:bottom w:w="0" w:type="dxa"/>
            <w:right w:w="108" w:type="dxa"/>
          </w:tblCellMar>
        </w:tblPrEx>
        <w:trPr>
          <w:trHeight w:val="390" w:hRule="atLeast"/>
        </w:trPr>
        <w:tc>
          <w:tcPr>
            <w:tcW w:w="6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416"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5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8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750" w:hRule="atLeast"/>
        </w:trPr>
        <w:tc>
          <w:tcPr>
            <w:tcW w:w="6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416"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5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8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465" w:hRule="atLeast"/>
        </w:trPr>
        <w:tc>
          <w:tcPr>
            <w:tcW w:w="684" w:type="dxa"/>
            <w:vMerge w:val="restart"/>
            <w:tcBorders>
              <w:top w:val="nil"/>
              <w:left w:val="single" w:color="auto" w:sz="4" w:space="0"/>
              <w:bottom w:val="single" w:color="000000" w:sz="4" w:space="0"/>
              <w:right w:val="nil"/>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四、</w:t>
            </w:r>
            <w:r>
              <w:rPr>
                <w:rFonts w:ascii="Calibri" w:hAnsi="Calibri" w:eastAsia="宋体"/>
                <w:color w:val="000000"/>
                <w:sz w:val="20"/>
                <w:szCs w:val="20"/>
              </w:rPr>
              <w:t> </w:t>
            </w:r>
            <w:r>
              <w:rPr>
                <w:rFonts w:hint="eastAsia" w:ascii="宋体" w:hAnsi="宋体" w:eastAsia="宋体"/>
                <w:color w:val="000000"/>
                <w:sz w:val="20"/>
                <w:szCs w:val="20"/>
              </w:rPr>
              <w:t>年度绩效指标完成情况</w:t>
            </w:r>
          </w:p>
        </w:tc>
        <w:tc>
          <w:tcPr>
            <w:tcW w:w="740"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一级指标</w:t>
            </w:r>
          </w:p>
        </w:tc>
        <w:tc>
          <w:tcPr>
            <w:tcW w:w="79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二级指标</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三级指标</w:t>
            </w:r>
          </w:p>
        </w:tc>
        <w:tc>
          <w:tcPr>
            <w:tcW w:w="94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预期指标值</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实际完成值</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自评得分</w:t>
            </w:r>
          </w:p>
        </w:tc>
      </w:tr>
      <w:tr>
        <w:tblPrEx>
          <w:tblCellMar>
            <w:top w:w="0" w:type="dxa"/>
            <w:left w:w="108" w:type="dxa"/>
            <w:bottom w:w="0" w:type="dxa"/>
            <w:right w:w="108" w:type="dxa"/>
          </w:tblCellMar>
        </w:tblPrEx>
        <w:trPr>
          <w:trHeight w:val="66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产出指标（40）</w:t>
            </w:r>
          </w:p>
        </w:tc>
        <w:tc>
          <w:tcPr>
            <w:tcW w:w="796"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数量指标</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发放再生资源分类管理资料的数量（份）</w:t>
            </w:r>
          </w:p>
        </w:tc>
        <w:tc>
          <w:tcPr>
            <w:tcW w:w="94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18"/>
                <w:szCs w:val="18"/>
              </w:rPr>
            </w:pPr>
            <w:r>
              <w:rPr>
                <w:rFonts w:hint="eastAsia" w:ascii="宋体" w:hAnsi="宋体" w:eastAsia="宋体"/>
                <w:color w:val="000000"/>
                <w:sz w:val="18"/>
                <w:szCs w:val="18"/>
              </w:rPr>
              <w:t>2000份</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18"/>
                <w:szCs w:val="18"/>
              </w:rPr>
            </w:pPr>
            <w:r>
              <w:rPr>
                <w:rFonts w:hint="eastAsia" w:ascii="宋体" w:hAnsi="宋体" w:eastAsia="宋体"/>
                <w:color w:val="000000"/>
                <w:sz w:val="18"/>
                <w:szCs w:val="18"/>
              </w:rPr>
              <w:t>2000份</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5</w:t>
            </w:r>
          </w:p>
        </w:tc>
      </w:tr>
      <w:tr>
        <w:tblPrEx>
          <w:tblCellMar>
            <w:top w:w="0" w:type="dxa"/>
            <w:left w:w="108" w:type="dxa"/>
            <w:bottom w:w="0" w:type="dxa"/>
            <w:right w:w="108" w:type="dxa"/>
          </w:tblCellMar>
        </w:tblPrEx>
        <w:trPr>
          <w:trHeight w:val="55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796"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培训从业人员的数量</w:t>
            </w:r>
          </w:p>
        </w:tc>
        <w:tc>
          <w:tcPr>
            <w:tcW w:w="940" w:type="dxa"/>
            <w:tcBorders>
              <w:top w:val="nil"/>
              <w:left w:val="nil"/>
              <w:bottom w:val="nil"/>
              <w:right w:val="nil"/>
            </w:tcBorders>
            <w:shd w:val="clear" w:color="auto" w:fill="auto"/>
            <w:noWrap/>
          </w:tcPr>
          <w:p>
            <w:pPr>
              <w:widowControl/>
              <w:jc w:val="left"/>
              <w:rPr>
                <w:rFonts w:ascii="Calibri" w:hAnsi="Calibri" w:eastAsia="宋体"/>
                <w:color w:val="000000"/>
                <w:sz w:val="22"/>
                <w:szCs w:val="22"/>
              </w:rPr>
            </w:pPr>
            <w:r>
              <w:rPr>
                <w:rFonts w:ascii="Calibri" w:hAnsi="Calibri" w:eastAsia="宋体"/>
                <w:color w:val="000000"/>
                <w:sz w:val="22"/>
                <w:szCs w:val="22"/>
              </w:rPr>
              <w:t>200</w:t>
            </w:r>
            <w:r>
              <w:rPr>
                <w:rFonts w:hint="eastAsia" w:ascii="宋体" w:hAnsi="宋体" w:eastAsia="宋体"/>
                <w:color w:val="000000"/>
                <w:sz w:val="22"/>
                <w:szCs w:val="22"/>
              </w:rPr>
              <w:t>人次</w:t>
            </w:r>
          </w:p>
        </w:tc>
        <w:tc>
          <w:tcPr>
            <w:tcW w:w="880"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200</w:t>
            </w:r>
            <w:r>
              <w:rPr>
                <w:rFonts w:hint="eastAsia" w:ascii="宋体" w:hAnsi="宋体" w:eastAsia="宋体"/>
                <w:color w:val="000000"/>
                <w:sz w:val="20"/>
                <w:szCs w:val="20"/>
              </w:rPr>
              <w:t>人次</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5</w:t>
            </w:r>
          </w:p>
        </w:tc>
      </w:tr>
      <w:tr>
        <w:tblPrEx>
          <w:tblCellMar>
            <w:top w:w="0" w:type="dxa"/>
            <w:left w:w="108" w:type="dxa"/>
            <w:bottom w:w="0" w:type="dxa"/>
            <w:right w:w="108" w:type="dxa"/>
          </w:tblCellMar>
        </w:tblPrEx>
        <w:trPr>
          <w:trHeight w:val="6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796"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质量指标</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生活垃圾中可回收利用部分占应回收利用部分的比例</w:t>
            </w:r>
          </w:p>
        </w:tc>
        <w:tc>
          <w:tcPr>
            <w:tcW w:w="94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95%</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95%</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rPr>
          <w:trHeight w:val="6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79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时效指标</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再生资源回收体系规划制定完成时间占全年时间的比例</w:t>
            </w:r>
          </w:p>
        </w:tc>
        <w:tc>
          <w:tcPr>
            <w:tcW w:w="94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25%</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25%</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67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79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成本指标</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培训人员费用的人均节约额占人均标准额的比例</w:t>
            </w:r>
          </w:p>
        </w:tc>
        <w:tc>
          <w:tcPr>
            <w:tcW w:w="94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20%</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20%</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555"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预算执行率指标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79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预算执行率</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执行数/预算数</w:t>
            </w:r>
          </w:p>
        </w:tc>
        <w:tc>
          <w:tcPr>
            <w:tcW w:w="94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69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　</w:t>
            </w:r>
          </w:p>
        </w:tc>
        <w:tc>
          <w:tcPr>
            <w:tcW w:w="796" w:type="dxa"/>
            <w:vMerge w:val="restart"/>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社会效益指标</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达到标准要求的回收站点数量占全部回收站点的比例</w:t>
            </w:r>
          </w:p>
        </w:tc>
        <w:tc>
          <w:tcPr>
            <w:tcW w:w="94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rPr>
          <w:trHeight w:val="69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796" w:type="dxa"/>
            <w:vMerge w:val="continue"/>
            <w:tcBorders>
              <w:top w:val="nil"/>
              <w:left w:val="nil"/>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合理布局的回收站点占全部站点的比例</w:t>
            </w:r>
          </w:p>
        </w:tc>
        <w:tc>
          <w:tcPr>
            <w:tcW w:w="94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69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79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可持续影响指标</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回收行业可持续发展带动社会效益提高的比例</w:t>
            </w:r>
          </w:p>
        </w:tc>
        <w:tc>
          <w:tcPr>
            <w:tcW w:w="94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15%</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15%</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15</w:t>
            </w:r>
          </w:p>
        </w:tc>
      </w:tr>
      <w:tr>
        <w:tblPrEx>
          <w:tblCellMar>
            <w:top w:w="0" w:type="dxa"/>
            <w:left w:w="108" w:type="dxa"/>
            <w:bottom w:w="0" w:type="dxa"/>
            <w:right w:w="108" w:type="dxa"/>
          </w:tblCellMar>
        </w:tblPrEx>
        <w:trPr>
          <w:trHeight w:val="69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7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79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p>
        </w:tc>
        <w:tc>
          <w:tcPr>
            <w:tcW w:w="16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回收站点满意和较满意数量占全部回收站点数量的比例</w:t>
            </w:r>
          </w:p>
        </w:tc>
        <w:tc>
          <w:tcPr>
            <w:tcW w:w="94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90%</w:t>
            </w:r>
          </w:p>
        </w:tc>
        <w:tc>
          <w:tcPr>
            <w:tcW w:w="88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90%</w:t>
            </w:r>
          </w:p>
        </w:tc>
        <w:tc>
          <w:tcPr>
            <w:tcW w:w="8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w:t>
            </w:r>
          </w:p>
        </w:tc>
      </w:tr>
      <w:tr>
        <w:tblPrEx>
          <w:tblCellMar>
            <w:top w:w="0" w:type="dxa"/>
            <w:left w:w="108" w:type="dxa"/>
            <w:bottom w:w="0" w:type="dxa"/>
            <w:right w:w="108" w:type="dxa"/>
          </w:tblCellMar>
        </w:tblPrEx>
        <w:trPr>
          <w:trHeight w:val="390" w:hRule="atLeast"/>
        </w:trPr>
        <w:tc>
          <w:tcPr>
            <w:tcW w:w="684"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4956"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总分</w:t>
            </w:r>
          </w:p>
        </w:tc>
        <w:tc>
          <w:tcPr>
            <w:tcW w:w="820" w:type="dxa"/>
            <w:tcBorders>
              <w:top w:val="nil"/>
              <w:left w:val="nil"/>
              <w:bottom w:val="single" w:color="auto" w:sz="4" w:space="0"/>
              <w:right w:val="single" w:color="auto"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93</w:t>
            </w:r>
          </w:p>
        </w:tc>
      </w:tr>
      <w:tr>
        <w:tblPrEx>
          <w:tblCellMar>
            <w:top w:w="0" w:type="dxa"/>
            <w:left w:w="108" w:type="dxa"/>
            <w:bottom w:w="0" w:type="dxa"/>
            <w:right w:w="108" w:type="dxa"/>
          </w:tblCellMar>
        </w:tblPrEx>
        <w:trPr>
          <w:trHeight w:val="975" w:hRule="atLeast"/>
        </w:trPr>
        <w:tc>
          <w:tcPr>
            <w:tcW w:w="684"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五、</w:t>
            </w:r>
            <w:r>
              <w:rPr>
                <w:rFonts w:ascii="Calibri" w:hAnsi="Calibri" w:eastAsia="宋体"/>
                <w:color w:val="000000"/>
                <w:sz w:val="20"/>
                <w:szCs w:val="20"/>
              </w:rPr>
              <w:t> </w:t>
            </w:r>
            <w:r>
              <w:rPr>
                <w:rFonts w:hint="eastAsia" w:ascii="宋体" w:hAnsi="宋体" w:eastAsia="宋体"/>
                <w:color w:val="000000"/>
                <w:sz w:val="20"/>
                <w:szCs w:val="20"/>
              </w:rPr>
              <w:t>存在问题、原因及下一步整改措施</w:t>
            </w:r>
          </w:p>
        </w:tc>
        <w:tc>
          <w:tcPr>
            <w:tcW w:w="5776" w:type="dxa"/>
            <w:gridSpan w:val="7"/>
            <w:tcBorders>
              <w:top w:val="single" w:color="auto"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再生资源回收利用行业缺乏专业人才，应健全制度和规范的行业监管行为，建立部门间信息共享机制，应加强回收利用行业指导。</w:t>
            </w:r>
          </w:p>
        </w:tc>
      </w:tr>
    </w:tbl>
    <w:p>
      <w:pPr>
        <w:adjustRightInd w:val="0"/>
        <w:snapToGrid w:val="0"/>
        <w:spacing w:line="560" w:lineRule="exact"/>
        <w:ind w:firstLine="800" w:firstLineChars="250"/>
        <w:rPr>
          <w:rFonts w:ascii="Times New Roman" w:hAnsi="Times New Roman" w:eastAsia="仿宋_GB2312"/>
          <w:sz w:val="32"/>
          <w:szCs w:val="32"/>
        </w:rPr>
      </w:pPr>
    </w:p>
    <w:tbl>
      <w:tblPr>
        <w:tblStyle w:val="11"/>
        <w:tblW w:w="7896" w:type="dxa"/>
        <w:tblInd w:w="89" w:type="dxa"/>
        <w:tblLayout w:type="autofit"/>
        <w:tblCellMar>
          <w:top w:w="0" w:type="dxa"/>
          <w:left w:w="108" w:type="dxa"/>
          <w:bottom w:w="0" w:type="dxa"/>
          <w:right w:w="108" w:type="dxa"/>
        </w:tblCellMar>
      </w:tblPr>
      <w:tblGrid>
        <w:gridCol w:w="862"/>
        <w:gridCol w:w="1160"/>
        <w:gridCol w:w="1038"/>
        <w:gridCol w:w="1180"/>
        <w:gridCol w:w="920"/>
        <w:gridCol w:w="1020"/>
        <w:gridCol w:w="900"/>
        <w:gridCol w:w="816"/>
      </w:tblGrid>
      <w:tr>
        <w:tblPrEx>
          <w:tblCellMar>
            <w:top w:w="0" w:type="dxa"/>
            <w:left w:w="108" w:type="dxa"/>
            <w:bottom w:w="0" w:type="dxa"/>
            <w:right w:w="108" w:type="dxa"/>
          </w:tblCellMar>
        </w:tblPrEx>
        <w:trPr>
          <w:trHeight w:val="540" w:hRule="atLeast"/>
        </w:trPr>
        <w:tc>
          <w:tcPr>
            <w:tcW w:w="7896" w:type="dxa"/>
            <w:gridSpan w:val="8"/>
            <w:tcBorders>
              <w:top w:val="nil"/>
              <w:left w:val="nil"/>
              <w:bottom w:val="nil"/>
              <w:right w:val="nil"/>
            </w:tcBorders>
            <w:shd w:val="clear" w:color="auto" w:fill="auto"/>
            <w:noWrap/>
            <w:vAlign w:val="center"/>
          </w:tcPr>
          <w:p>
            <w:pPr>
              <w:widowControl/>
              <w:ind w:firstLine="280" w:firstLineChars="100"/>
              <w:jc w:val="left"/>
              <w:rPr>
                <w:rFonts w:ascii="方正小标宋_GBK" w:hAnsi="宋体" w:eastAsia="方正小标宋_GBK"/>
                <w:color w:val="000000"/>
                <w:sz w:val="30"/>
                <w:szCs w:val="30"/>
              </w:rPr>
            </w:pPr>
            <w:r>
              <w:rPr>
                <w:rFonts w:ascii="方正仿宋_GBK" w:hAnsi="方正仿宋_GBK" w:eastAsia="方正仿宋_GBK" w:cs="方正仿宋_GBK"/>
                <w:color w:val="000000"/>
                <w:sz w:val="28"/>
              </w:rPr>
              <w:t>退休军人公益岗</w:t>
            </w:r>
            <w:r>
              <w:rPr>
                <w:rFonts w:ascii="Times New Roman" w:hAnsi="Times New Roman" w:eastAsia="仿宋_GB2312"/>
                <w:kern w:val="2"/>
                <w:sz w:val="32"/>
                <w:szCs w:val="32"/>
                <w:lang w:val="zh-CN"/>
              </w:rPr>
              <w:t>项目绩效自评情况。根据年初设定的绩效目标，</w:t>
            </w:r>
            <w:r>
              <w:rPr>
                <w:rFonts w:ascii="方正仿宋_GBK" w:hAnsi="方正仿宋_GBK" w:eastAsia="方正仿宋_GBK" w:cs="方正仿宋_GBK"/>
                <w:color w:val="000000"/>
                <w:sz w:val="28"/>
              </w:rPr>
              <w:t>社会化服务</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zh-CN"/>
              </w:rPr>
              <w:t>98</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zh-CN"/>
              </w:rPr>
              <w:t>56.95</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zh-CN"/>
              </w:rPr>
              <w:t>56.95</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zh-CN"/>
              </w:rPr>
              <w:t>100</w:t>
            </w:r>
            <w:r>
              <w:rPr>
                <w:rFonts w:ascii="Times New Roman" w:hAnsi="Times New Roman" w:eastAsia="仿宋_GB2312"/>
                <w:kern w:val="2"/>
                <w:sz w:val="32"/>
                <w:szCs w:val="32"/>
                <w:lang w:val="zh-CN"/>
              </w:rPr>
              <w:t>%。项目绩效目标完成情况：</w:t>
            </w:r>
            <w:r>
              <w:rPr>
                <w:rFonts w:hint="eastAsia" w:ascii="宋体" w:hAnsi="宋体" w:eastAsia="宋体"/>
                <w:sz w:val="32"/>
                <w:szCs w:val="32"/>
              </w:rPr>
              <w:t>做好</w:t>
            </w:r>
            <w:r>
              <w:rPr>
                <w:rFonts w:hint="eastAsia" w:ascii="___WRD_EMBED_SUB_48" w:hAnsi="___WRD_EMBED_SUB_48" w:eastAsia="___WRD_EMBED_SUB_48" w:cs="___WRD_EMBED_SUB_48"/>
                <w:sz w:val="32"/>
                <w:szCs w:val="32"/>
              </w:rPr>
              <w:t>退</w:t>
            </w:r>
            <w:r>
              <w:rPr>
                <w:rFonts w:hint="eastAsia" w:ascii="宋体" w:hAnsi="宋体" w:eastAsia="宋体"/>
                <w:sz w:val="32"/>
                <w:szCs w:val="32"/>
              </w:rPr>
              <w:t>役军</w:t>
            </w:r>
            <w:r>
              <w:rPr>
                <w:rFonts w:hint="eastAsia" w:ascii="___WRD_EMBED_SUB_48" w:hAnsi="___WRD_EMBED_SUB_48" w:eastAsia="___WRD_EMBED_SUB_48" w:cs="___WRD_EMBED_SUB_48"/>
                <w:sz w:val="32"/>
                <w:szCs w:val="32"/>
              </w:rPr>
              <w:t>人</w:t>
            </w:r>
            <w:r>
              <w:rPr>
                <w:rFonts w:hint="eastAsia" w:ascii="仿宋_GB2312" w:eastAsia="仿宋_GB2312"/>
                <w:sz w:val="32"/>
                <w:szCs w:val="32"/>
              </w:rPr>
              <w:t>12人的安置</w:t>
            </w:r>
            <w:r>
              <w:rPr>
                <w:rFonts w:hint="eastAsia" w:ascii="宋体" w:hAnsi="宋体" w:eastAsia="宋体"/>
                <w:sz w:val="32"/>
                <w:szCs w:val="32"/>
              </w:rPr>
              <w:t>帮扶</w:t>
            </w:r>
            <w:r>
              <w:rPr>
                <w:rFonts w:hint="eastAsia" w:ascii="___WRD_EMBED_SUB_48" w:hAnsi="___WRD_EMBED_SUB_48" w:eastAsia="___WRD_EMBED_SUB_48" w:cs="___WRD_EMBED_SUB_48"/>
                <w:sz w:val="32"/>
                <w:szCs w:val="32"/>
              </w:rPr>
              <w:t>工作，及</w:t>
            </w:r>
            <w:r>
              <w:rPr>
                <w:rFonts w:hint="eastAsia" w:ascii="宋体" w:hAnsi="宋体" w:eastAsia="宋体"/>
                <w:sz w:val="32"/>
                <w:szCs w:val="32"/>
              </w:rPr>
              <w:t>时</w:t>
            </w:r>
            <w:r>
              <w:rPr>
                <w:rFonts w:hint="eastAsia" w:ascii="___WRD_EMBED_SUB_48" w:hAnsi="___WRD_EMBED_SUB_48" w:eastAsia="___WRD_EMBED_SUB_48" w:cs="___WRD_EMBED_SUB_48"/>
                <w:sz w:val="32"/>
                <w:szCs w:val="32"/>
              </w:rPr>
              <w:t>保障退</w:t>
            </w:r>
            <w:r>
              <w:rPr>
                <w:rFonts w:hint="eastAsia" w:ascii="宋体" w:hAnsi="宋体" w:eastAsia="宋体"/>
                <w:sz w:val="32"/>
                <w:szCs w:val="32"/>
              </w:rPr>
              <w:t>役</w:t>
            </w:r>
            <w:r>
              <w:rPr>
                <w:rFonts w:hint="eastAsia" w:ascii="___WRD_EMBED_SUB_48" w:hAnsi="___WRD_EMBED_SUB_48" w:eastAsia="___WRD_EMBED_SUB_48" w:cs="___WRD_EMBED_SUB_48"/>
                <w:sz w:val="32"/>
                <w:szCs w:val="32"/>
              </w:rPr>
              <w:t>人员的生活费，按</w:t>
            </w:r>
            <w:r>
              <w:rPr>
                <w:rFonts w:hint="eastAsia" w:ascii="宋体" w:hAnsi="宋体" w:eastAsia="宋体"/>
                <w:sz w:val="32"/>
                <w:szCs w:val="32"/>
              </w:rPr>
              <w:t>时</w:t>
            </w:r>
            <w:r>
              <w:rPr>
                <w:rFonts w:hint="eastAsia" w:ascii="___WRD_EMBED_SUB_48" w:hAnsi="___WRD_EMBED_SUB_48" w:eastAsia="___WRD_EMBED_SUB_48" w:cs="___WRD_EMBED_SUB_48"/>
                <w:sz w:val="32"/>
                <w:szCs w:val="32"/>
              </w:rPr>
              <w:t>发</w:t>
            </w:r>
            <w:r>
              <w:rPr>
                <w:rFonts w:hint="eastAsia" w:ascii="宋体" w:hAnsi="宋体" w:eastAsia="宋体"/>
                <w:sz w:val="32"/>
                <w:szCs w:val="32"/>
              </w:rPr>
              <w:t>放</w:t>
            </w:r>
            <w:r>
              <w:rPr>
                <w:rFonts w:hint="eastAsia" w:ascii="___WRD_EMBED_SUB_48" w:hAnsi="___WRD_EMBED_SUB_48" w:eastAsia="___WRD_EMBED_SUB_48" w:cs="___WRD_EMBED_SUB_48"/>
                <w:sz w:val="32"/>
                <w:szCs w:val="32"/>
              </w:rPr>
              <w:t>生活补贴及劳务工资</w:t>
            </w:r>
            <w:r>
              <w:rPr>
                <w:rFonts w:hint="eastAsia" w:ascii="仿宋_GB2312" w:eastAsia="仿宋_GB2312"/>
                <w:sz w:val="32"/>
                <w:szCs w:val="32"/>
              </w:rPr>
              <w:t>。</w:t>
            </w:r>
            <w:r>
              <w:rPr>
                <w:rFonts w:ascii="Times New Roman" w:hAnsi="Times New Roman" w:eastAsia="仿宋_GB2312"/>
                <w:sz w:val="32"/>
                <w:szCs w:val="32"/>
              </w:rPr>
              <w:t>通过项目实施，完成了年初设定的各项绩效目标，完成</w:t>
            </w:r>
            <w:r>
              <w:rPr>
                <w:rFonts w:hint="eastAsia" w:ascii="Times New Roman" w:hAnsi="Times New Roman" w:eastAsia="仿宋_GB2312"/>
                <w:sz w:val="32"/>
                <w:szCs w:val="32"/>
              </w:rPr>
              <w:t>100%，</w:t>
            </w:r>
            <w:r>
              <w:rPr>
                <w:rFonts w:ascii="Times New Roman" w:hAnsi="Times New Roman" w:eastAsia="仿宋_GB2312"/>
                <w:sz w:val="32"/>
                <w:szCs w:val="32"/>
              </w:rPr>
              <w:t>未发现问题。</w:t>
            </w:r>
            <w:r>
              <w:rPr>
                <w:rFonts w:ascii="Times New Roman" w:hAnsi="Times New Roman" w:eastAsia="仿宋_GB2312" w:cs="Times New Roman"/>
                <w:sz w:val="32"/>
                <w:szCs w:val="32"/>
              </w:rPr>
              <w:t>附项目支出绩效自评表</w:t>
            </w:r>
          </w:p>
        </w:tc>
      </w:tr>
      <w:tr>
        <w:tblPrEx>
          <w:tblCellMar>
            <w:top w:w="0" w:type="dxa"/>
            <w:left w:w="108" w:type="dxa"/>
            <w:bottom w:w="0" w:type="dxa"/>
            <w:right w:w="108" w:type="dxa"/>
          </w:tblCellMar>
        </w:tblPrEx>
        <w:trPr>
          <w:trHeight w:val="315" w:hRule="atLeast"/>
        </w:trPr>
        <w:tc>
          <w:tcPr>
            <w:tcW w:w="7896" w:type="dxa"/>
            <w:gridSpan w:val="8"/>
            <w:tcBorders>
              <w:top w:val="nil"/>
              <w:left w:val="nil"/>
              <w:bottom w:val="nil"/>
              <w:right w:val="nil"/>
            </w:tcBorders>
            <w:shd w:val="clear" w:color="auto" w:fill="auto"/>
            <w:noWrap/>
            <w:vAlign w:val="bottom"/>
          </w:tcPr>
          <w:p>
            <w:pPr>
              <w:widowControl/>
              <w:jc w:val="center"/>
              <w:rPr>
                <w:rFonts w:ascii="宋体" w:hAnsi="宋体" w:eastAsia="宋体"/>
                <w:color w:val="000000"/>
                <w:sz w:val="20"/>
                <w:szCs w:val="20"/>
              </w:rPr>
            </w:pPr>
          </w:p>
        </w:tc>
      </w:tr>
      <w:tr>
        <w:tblPrEx>
          <w:tblCellMar>
            <w:top w:w="0" w:type="dxa"/>
            <w:left w:w="108" w:type="dxa"/>
            <w:bottom w:w="0" w:type="dxa"/>
            <w:right w:w="108" w:type="dxa"/>
          </w:tblCellMar>
        </w:tblPrEx>
        <w:trPr>
          <w:trHeight w:val="360" w:hRule="atLeast"/>
        </w:trPr>
        <w:tc>
          <w:tcPr>
            <w:tcW w:w="3060" w:type="dxa"/>
            <w:gridSpan w:val="3"/>
            <w:tcBorders>
              <w:top w:val="nil"/>
              <w:left w:val="nil"/>
              <w:bottom w:val="nil"/>
              <w:right w:val="nil"/>
            </w:tcBorders>
            <w:shd w:val="clear" w:color="auto" w:fill="auto"/>
            <w:noWrap/>
            <w:vAlign w:val="center"/>
          </w:tcPr>
          <w:p>
            <w:pPr>
              <w:widowControl/>
              <w:jc w:val="left"/>
              <w:rPr>
                <w:rFonts w:ascii="宋体" w:hAnsi="宋体" w:eastAsia="宋体"/>
                <w:color w:val="000000"/>
                <w:sz w:val="20"/>
                <w:szCs w:val="20"/>
              </w:rPr>
            </w:pPr>
          </w:p>
        </w:tc>
        <w:tc>
          <w:tcPr>
            <w:tcW w:w="1180" w:type="dxa"/>
            <w:tcBorders>
              <w:top w:val="nil"/>
              <w:left w:val="nil"/>
              <w:bottom w:val="nil"/>
              <w:right w:val="nil"/>
            </w:tcBorders>
            <w:shd w:val="clear" w:color="auto" w:fill="auto"/>
            <w:noWrap/>
            <w:vAlign w:val="center"/>
          </w:tcPr>
          <w:p>
            <w:pPr>
              <w:widowControl/>
              <w:jc w:val="center"/>
              <w:rPr>
                <w:rFonts w:ascii="宋体" w:hAnsi="宋体" w:eastAsia="宋体"/>
                <w:color w:val="000000"/>
                <w:sz w:val="20"/>
                <w:szCs w:val="20"/>
              </w:rPr>
            </w:pPr>
          </w:p>
        </w:tc>
        <w:tc>
          <w:tcPr>
            <w:tcW w:w="920" w:type="dxa"/>
            <w:tcBorders>
              <w:top w:val="nil"/>
              <w:left w:val="nil"/>
              <w:bottom w:val="nil"/>
              <w:right w:val="nil"/>
            </w:tcBorders>
            <w:shd w:val="clear" w:color="auto" w:fill="auto"/>
            <w:noWrap/>
            <w:vAlign w:val="center"/>
          </w:tcPr>
          <w:p>
            <w:pPr>
              <w:widowControl/>
              <w:jc w:val="center"/>
              <w:rPr>
                <w:rFonts w:ascii="宋体" w:hAnsi="宋体" w:eastAsia="宋体"/>
                <w:color w:val="000000"/>
                <w:sz w:val="20"/>
                <w:szCs w:val="20"/>
              </w:rPr>
            </w:pPr>
          </w:p>
        </w:tc>
        <w:tc>
          <w:tcPr>
            <w:tcW w:w="1020" w:type="dxa"/>
            <w:tcBorders>
              <w:top w:val="nil"/>
              <w:left w:val="nil"/>
              <w:bottom w:val="nil"/>
              <w:right w:val="nil"/>
            </w:tcBorders>
            <w:shd w:val="clear" w:color="auto" w:fill="auto"/>
            <w:noWrap/>
            <w:vAlign w:val="center"/>
          </w:tcPr>
          <w:p>
            <w:pPr>
              <w:widowControl/>
              <w:jc w:val="center"/>
              <w:rPr>
                <w:rFonts w:ascii="宋体" w:hAnsi="宋体" w:eastAsia="宋体"/>
                <w:color w:val="000000"/>
                <w:sz w:val="20"/>
                <w:szCs w:val="20"/>
              </w:rPr>
            </w:pPr>
          </w:p>
        </w:tc>
        <w:tc>
          <w:tcPr>
            <w:tcW w:w="1716" w:type="dxa"/>
            <w:gridSpan w:val="2"/>
            <w:tcBorders>
              <w:top w:val="nil"/>
              <w:left w:val="nil"/>
              <w:bottom w:val="single" w:color="000000" w:sz="4" w:space="0"/>
              <w:right w:val="nil"/>
            </w:tcBorders>
            <w:shd w:val="clear" w:color="auto" w:fill="auto"/>
            <w:noWrap/>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金额单位：万元</w:t>
            </w:r>
          </w:p>
        </w:tc>
      </w:tr>
      <w:tr>
        <w:tblPrEx>
          <w:tblCellMar>
            <w:top w:w="0" w:type="dxa"/>
            <w:left w:w="108" w:type="dxa"/>
            <w:bottom w:w="0" w:type="dxa"/>
            <w:right w:w="108" w:type="dxa"/>
          </w:tblCellMar>
        </w:tblPrEx>
        <w:trPr>
          <w:trHeight w:val="559" w:hRule="atLeast"/>
        </w:trPr>
        <w:tc>
          <w:tcPr>
            <w:tcW w:w="862" w:type="dxa"/>
            <w:tcBorders>
              <w:top w:val="single" w:color="000000" w:sz="4" w:space="0"/>
              <w:left w:val="single" w:color="000000" w:sz="4" w:space="0"/>
              <w:bottom w:val="nil"/>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一、</w:t>
            </w:r>
            <w:r>
              <w:rPr>
                <w:rFonts w:ascii="Calibri" w:hAnsi="Calibri" w:eastAsia="宋体"/>
                <w:color w:val="000000"/>
                <w:sz w:val="20"/>
                <w:szCs w:val="20"/>
              </w:rPr>
              <w:t> </w:t>
            </w:r>
            <w:r>
              <w:rPr>
                <w:rFonts w:hint="eastAsia" w:ascii="宋体" w:hAnsi="宋体" w:eastAsia="宋体"/>
                <w:color w:val="000000"/>
                <w:sz w:val="20"/>
                <w:szCs w:val="20"/>
              </w:rPr>
              <w:t>基本情况</w:t>
            </w:r>
          </w:p>
        </w:tc>
        <w:tc>
          <w:tcPr>
            <w:tcW w:w="11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项目名称</w:t>
            </w:r>
          </w:p>
        </w:tc>
        <w:tc>
          <w:tcPr>
            <w:tcW w:w="221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right"/>
              <w:rPr>
                <w:rFonts w:ascii="宋体" w:hAnsi="宋体" w:eastAsia="宋体"/>
                <w:color w:val="000000"/>
                <w:sz w:val="20"/>
                <w:szCs w:val="20"/>
              </w:rPr>
            </w:pPr>
            <w:r>
              <w:rPr>
                <w:rFonts w:hint="eastAsia" w:ascii="宋体" w:hAnsi="宋体" w:eastAsia="宋体"/>
                <w:color w:val="000000"/>
                <w:sz w:val="20"/>
                <w:szCs w:val="20"/>
              </w:rPr>
              <w:t>退役军人公益岗</w:t>
            </w:r>
          </w:p>
        </w:tc>
        <w:tc>
          <w:tcPr>
            <w:tcW w:w="92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实施</w:t>
            </w:r>
            <w:r>
              <w:rPr>
                <w:rFonts w:hint="eastAsia" w:ascii="宋体" w:hAnsi="宋体" w:eastAsia="宋体"/>
                <w:color w:val="000000"/>
                <w:sz w:val="20"/>
                <w:szCs w:val="20"/>
                <w:lang w:eastAsia="zh-CN"/>
              </w:rPr>
              <w:t>（</w:t>
            </w:r>
            <w:r>
              <w:rPr>
                <w:rFonts w:hint="eastAsia" w:ascii="宋体" w:hAnsi="宋体" w:eastAsia="宋体"/>
                <w:color w:val="000000"/>
                <w:sz w:val="20"/>
                <w:szCs w:val="20"/>
              </w:rPr>
              <w:t>主管）单位</w:t>
            </w:r>
          </w:p>
        </w:tc>
        <w:tc>
          <w:tcPr>
            <w:tcW w:w="2736"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鹿泉区供销合作总社</w:t>
            </w:r>
          </w:p>
        </w:tc>
      </w:tr>
      <w:tr>
        <w:tblPrEx>
          <w:tblCellMar>
            <w:top w:w="0" w:type="dxa"/>
            <w:left w:w="108" w:type="dxa"/>
            <w:bottom w:w="0" w:type="dxa"/>
            <w:right w:w="108" w:type="dxa"/>
          </w:tblCellMar>
        </w:tblPrEx>
        <w:trPr>
          <w:trHeight w:val="480" w:hRule="atLeast"/>
        </w:trPr>
        <w:tc>
          <w:tcPr>
            <w:tcW w:w="86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二、预算执行情况</w:t>
            </w:r>
          </w:p>
        </w:tc>
        <w:tc>
          <w:tcPr>
            <w:tcW w:w="219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预算安排情况（调整后）</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资金到位情况</w:t>
            </w:r>
          </w:p>
        </w:tc>
        <w:tc>
          <w:tcPr>
            <w:tcW w:w="192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资金执行情况</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预算执行进度</w:t>
            </w:r>
          </w:p>
        </w:tc>
      </w:tr>
      <w:tr>
        <w:tblPrEx>
          <w:tblCellMar>
            <w:top w:w="0" w:type="dxa"/>
            <w:left w:w="108" w:type="dxa"/>
            <w:bottom w:w="0" w:type="dxa"/>
            <w:right w:w="108" w:type="dxa"/>
          </w:tblCellMar>
        </w:tblPrEx>
        <w:trPr>
          <w:trHeight w:val="420" w:hRule="atLeast"/>
        </w:trPr>
        <w:tc>
          <w:tcPr>
            <w:tcW w:w="86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116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预算数：</w:t>
            </w:r>
          </w:p>
        </w:tc>
        <w:tc>
          <w:tcPr>
            <w:tcW w:w="103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eastAsia="宋体"/>
                <w:color w:val="000000"/>
                <w:sz w:val="20"/>
                <w:szCs w:val="20"/>
              </w:rPr>
            </w:pPr>
            <w:r>
              <w:rPr>
                <w:rFonts w:hint="eastAsia" w:ascii="宋体" w:hAnsi="宋体" w:eastAsia="宋体"/>
                <w:color w:val="000000"/>
                <w:sz w:val="20"/>
                <w:szCs w:val="20"/>
              </w:rPr>
              <w:t>65.79</w:t>
            </w:r>
          </w:p>
        </w:tc>
        <w:tc>
          <w:tcPr>
            <w:tcW w:w="11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到位数：</w:t>
            </w:r>
          </w:p>
        </w:tc>
        <w:tc>
          <w:tcPr>
            <w:tcW w:w="9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eastAsia="宋体"/>
                <w:color w:val="000000"/>
                <w:sz w:val="20"/>
                <w:szCs w:val="20"/>
              </w:rPr>
            </w:pPr>
            <w:r>
              <w:rPr>
                <w:rFonts w:hint="eastAsia" w:ascii="宋体" w:hAnsi="宋体" w:eastAsia="宋体"/>
                <w:color w:val="000000"/>
                <w:sz w:val="20"/>
                <w:szCs w:val="20"/>
              </w:rPr>
              <w:t>56.945</w:t>
            </w:r>
          </w:p>
        </w:tc>
        <w:tc>
          <w:tcPr>
            <w:tcW w:w="102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执行数：</w:t>
            </w:r>
          </w:p>
        </w:tc>
        <w:tc>
          <w:tcPr>
            <w:tcW w:w="900" w:type="dxa"/>
            <w:tcBorders>
              <w:top w:val="nil"/>
              <w:left w:val="nil"/>
              <w:bottom w:val="single" w:color="000000" w:sz="4" w:space="0"/>
              <w:right w:val="single" w:color="000000" w:sz="4" w:space="0"/>
            </w:tcBorders>
            <w:shd w:val="clear" w:color="auto" w:fill="auto"/>
            <w:vAlign w:val="center"/>
          </w:tcPr>
          <w:p>
            <w:pPr>
              <w:widowControl/>
              <w:jc w:val="right"/>
              <w:rPr>
                <w:rFonts w:ascii="Calibri" w:hAnsi="Calibri" w:eastAsia="宋体"/>
                <w:color w:val="000000"/>
                <w:sz w:val="20"/>
                <w:szCs w:val="20"/>
              </w:rPr>
            </w:pPr>
            <w:r>
              <w:rPr>
                <w:rFonts w:ascii="Calibri" w:hAnsi="Calibri" w:eastAsia="宋体"/>
                <w:color w:val="000000"/>
                <w:sz w:val="20"/>
                <w:szCs w:val="20"/>
              </w:rPr>
              <w:t>56.945</w:t>
            </w:r>
          </w:p>
        </w:tc>
        <w:tc>
          <w:tcPr>
            <w:tcW w:w="816"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86.56%</w:t>
            </w:r>
          </w:p>
        </w:tc>
      </w:tr>
      <w:tr>
        <w:tblPrEx>
          <w:tblCellMar>
            <w:top w:w="0" w:type="dxa"/>
            <w:left w:w="108" w:type="dxa"/>
            <w:bottom w:w="0" w:type="dxa"/>
            <w:right w:w="108" w:type="dxa"/>
          </w:tblCellMar>
        </w:tblPrEx>
        <w:trPr>
          <w:trHeight w:val="540" w:hRule="atLeast"/>
        </w:trPr>
        <w:tc>
          <w:tcPr>
            <w:tcW w:w="86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116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103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eastAsia="宋体"/>
                <w:color w:val="000000"/>
                <w:sz w:val="20"/>
                <w:szCs w:val="20"/>
              </w:rPr>
            </w:pPr>
            <w:r>
              <w:rPr>
                <w:rFonts w:hint="eastAsia" w:ascii="宋体" w:hAnsi="宋体" w:eastAsia="宋体"/>
                <w:color w:val="000000"/>
                <w:sz w:val="20"/>
                <w:szCs w:val="20"/>
              </w:rPr>
              <w:t>65.79</w:t>
            </w:r>
          </w:p>
        </w:tc>
        <w:tc>
          <w:tcPr>
            <w:tcW w:w="11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9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eastAsia="宋体"/>
                <w:color w:val="000000"/>
                <w:sz w:val="20"/>
                <w:szCs w:val="20"/>
              </w:rPr>
            </w:pPr>
            <w:r>
              <w:rPr>
                <w:rFonts w:hint="eastAsia" w:ascii="宋体" w:hAnsi="宋体" w:eastAsia="宋体"/>
                <w:color w:val="000000"/>
                <w:sz w:val="20"/>
                <w:szCs w:val="20"/>
              </w:rPr>
              <w:t>56.945</w:t>
            </w:r>
          </w:p>
        </w:tc>
        <w:tc>
          <w:tcPr>
            <w:tcW w:w="102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其中：                     财政资金</w:t>
            </w:r>
          </w:p>
        </w:tc>
        <w:tc>
          <w:tcPr>
            <w:tcW w:w="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eastAsia="宋体"/>
                <w:color w:val="000000"/>
                <w:sz w:val="20"/>
                <w:szCs w:val="20"/>
              </w:rPr>
            </w:pPr>
            <w:r>
              <w:rPr>
                <w:rFonts w:hint="eastAsia" w:ascii="宋体" w:hAnsi="宋体" w:eastAsia="宋体"/>
                <w:color w:val="000000"/>
                <w:sz w:val="20"/>
                <w:szCs w:val="20"/>
              </w:rPr>
              <w:t>56.945</w:t>
            </w:r>
          </w:p>
        </w:tc>
        <w:tc>
          <w:tcPr>
            <w:tcW w:w="81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405" w:hRule="atLeast"/>
        </w:trPr>
        <w:tc>
          <w:tcPr>
            <w:tcW w:w="862"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116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1038" w:type="dxa"/>
            <w:tcBorders>
              <w:top w:val="nil"/>
              <w:left w:val="nil"/>
              <w:bottom w:val="single" w:color="000000" w:sz="4" w:space="0"/>
              <w:right w:val="single" w:color="000000" w:sz="4" w:space="0"/>
            </w:tcBorders>
            <w:shd w:val="clear" w:color="auto" w:fill="auto"/>
            <w:vAlign w:val="center"/>
          </w:tcPr>
          <w:p>
            <w:pPr>
              <w:widowControl/>
              <w:jc w:val="left"/>
              <w:rPr>
                <w:rFonts w:ascii="Calibri" w:hAnsi="Calibri" w:eastAsia="宋体"/>
                <w:color w:val="000000"/>
                <w:sz w:val="20"/>
                <w:szCs w:val="20"/>
              </w:rPr>
            </w:pPr>
            <w:r>
              <w:rPr>
                <w:rFonts w:ascii="Calibri" w:hAnsi="Calibri" w:eastAsia="宋体"/>
                <w:color w:val="000000"/>
                <w:sz w:val="20"/>
                <w:szCs w:val="20"/>
              </w:rPr>
              <w:t>　</w:t>
            </w:r>
          </w:p>
        </w:tc>
        <w:tc>
          <w:tcPr>
            <w:tcW w:w="118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92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102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其他</w:t>
            </w:r>
          </w:p>
        </w:tc>
        <w:tc>
          <w:tcPr>
            <w:tcW w:w="90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　</w:t>
            </w:r>
          </w:p>
        </w:tc>
        <w:tc>
          <w:tcPr>
            <w:tcW w:w="81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465" w:hRule="atLeast"/>
        </w:trPr>
        <w:tc>
          <w:tcPr>
            <w:tcW w:w="862"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三、目标完成情况</w:t>
            </w:r>
          </w:p>
        </w:tc>
        <w:tc>
          <w:tcPr>
            <w:tcW w:w="3378"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年度预期目标</w:t>
            </w:r>
          </w:p>
        </w:tc>
        <w:tc>
          <w:tcPr>
            <w:tcW w:w="2840"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具体完成情况</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总体完成率</w:t>
            </w:r>
          </w:p>
        </w:tc>
      </w:tr>
      <w:tr>
        <w:tblPrEx>
          <w:tblCellMar>
            <w:top w:w="0" w:type="dxa"/>
            <w:left w:w="108" w:type="dxa"/>
            <w:bottom w:w="0" w:type="dxa"/>
            <w:right w:w="108" w:type="dxa"/>
          </w:tblCellMar>
        </w:tblPrEx>
        <w:trPr>
          <w:trHeight w:val="312" w:hRule="atLeast"/>
        </w:trPr>
        <w:tc>
          <w:tcPr>
            <w:tcW w:w="862"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37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安置退役人员12人</w:t>
            </w:r>
          </w:p>
        </w:tc>
        <w:tc>
          <w:tcPr>
            <w:tcW w:w="2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安置退役人员12人</w:t>
            </w:r>
          </w:p>
        </w:tc>
        <w:tc>
          <w:tcPr>
            <w:tcW w:w="816"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100%</w:t>
            </w:r>
          </w:p>
        </w:tc>
      </w:tr>
      <w:tr>
        <w:tblPrEx>
          <w:tblCellMar>
            <w:top w:w="0" w:type="dxa"/>
            <w:left w:w="108" w:type="dxa"/>
            <w:bottom w:w="0" w:type="dxa"/>
            <w:right w:w="108" w:type="dxa"/>
          </w:tblCellMar>
        </w:tblPrEx>
        <w:trPr>
          <w:trHeight w:val="312" w:hRule="atLeast"/>
        </w:trPr>
        <w:tc>
          <w:tcPr>
            <w:tcW w:w="862"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378"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8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81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312" w:hRule="atLeast"/>
        </w:trPr>
        <w:tc>
          <w:tcPr>
            <w:tcW w:w="862"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3378"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2840" w:type="dxa"/>
            <w:gridSpan w:val="3"/>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c>
          <w:tcPr>
            <w:tcW w:w="81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olor w:val="000000"/>
                <w:sz w:val="20"/>
                <w:szCs w:val="20"/>
              </w:rPr>
            </w:pPr>
          </w:p>
        </w:tc>
      </w:tr>
      <w:tr>
        <w:tblPrEx>
          <w:tblCellMar>
            <w:top w:w="0" w:type="dxa"/>
            <w:left w:w="108" w:type="dxa"/>
            <w:bottom w:w="0" w:type="dxa"/>
            <w:right w:w="108" w:type="dxa"/>
          </w:tblCellMar>
        </w:tblPrEx>
        <w:trPr>
          <w:trHeight w:val="795" w:hRule="atLeast"/>
        </w:trPr>
        <w:tc>
          <w:tcPr>
            <w:tcW w:w="862" w:type="dxa"/>
            <w:vMerge w:val="restart"/>
            <w:tcBorders>
              <w:top w:val="nil"/>
              <w:left w:val="single" w:color="auto" w:sz="4" w:space="0"/>
              <w:bottom w:val="single" w:color="000000" w:sz="4" w:space="0"/>
              <w:right w:val="nil"/>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四、</w:t>
            </w:r>
            <w:r>
              <w:rPr>
                <w:rFonts w:ascii="Calibri" w:hAnsi="Calibri" w:eastAsia="宋体"/>
                <w:color w:val="000000"/>
                <w:sz w:val="20"/>
                <w:szCs w:val="20"/>
              </w:rPr>
              <w:t> </w:t>
            </w:r>
            <w:r>
              <w:rPr>
                <w:rFonts w:hint="eastAsia" w:ascii="宋体" w:hAnsi="宋体" w:eastAsia="宋体"/>
                <w:color w:val="000000"/>
                <w:sz w:val="20"/>
                <w:szCs w:val="20"/>
              </w:rPr>
              <w:t>年度绩效指标完成情况</w:t>
            </w:r>
          </w:p>
        </w:tc>
        <w:tc>
          <w:tcPr>
            <w:tcW w:w="1160"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一级指标</w:t>
            </w:r>
          </w:p>
        </w:tc>
        <w:tc>
          <w:tcPr>
            <w:tcW w:w="1038"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二级指标</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三级指标</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预期指标值</w:t>
            </w:r>
          </w:p>
        </w:tc>
        <w:tc>
          <w:tcPr>
            <w:tcW w:w="9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实际完成值</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自评得分</w:t>
            </w:r>
          </w:p>
        </w:tc>
      </w:tr>
      <w:tr>
        <w:tblPrEx>
          <w:tblCellMar>
            <w:top w:w="0" w:type="dxa"/>
            <w:left w:w="108" w:type="dxa"/>
            <w:bottom w:w="0" w:type="dxa"/>
            <w:right w:w="108" w:type="dxa"/>
          </w:tblCellMar>
        </w:tblPrEx>
        <w:trPr>
          <w:trHeight w:val="795" w:hRule="atLeast"/>
        </w:trPr>
        <w:tc>
          <w:tcPr>
            <w:tcW w:w="862"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116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产出指标（40）</w:t>
            </w:r>
          </w:p>
        </w:tc>
        <w:tc>
          <w:tcPr>
            <w:tcW w:w="1038" w:type="dxa"/>
            <w:tcBorders>
              <w:top w:val="nil"/>
              <w:left w:val="nil"/>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数量指标</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2"/>
                <w:szCs w:val="22"/>
              </w:rPr>
            </w:pPr>
            <w:r>
              <w:rPr>
                <w:rFonts w:hint="eastAsia" w:ascii="宋体" w:hAnsi="宋体" w:eastAsia="宋体"/>
                <w:color w:val="000000"/>
                <w:sz w:val="22"/>
                <w:szCs w:val="22"/>
              </w:rPr>
              <w:t>保障人数</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2"/>
                <w:szCs w:val="22"/>
              </w:rPr>
            </w:pPr>
            <w:r>
              <w:rPr>
                <w:rFonts w:hint="eastAsia" w:ascii="宋体" w:hAnsi="宋体" w:eastAsia="宋体"/>
                <w:color w:val="000000"/>
                <w:sz w:val="22"/>
                <w:szCs w:val="22"/>
              </w:rPr>
              <w:t>12人</w:t>
            </w:r>
          </w:p>
        </w:tc>
        <w:tc>
          <w:tcPr>
            <w:tcW w:w="90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2"/>
                <w:szCs w:val="22"/>
              </w:rPr>
            </w:pPr>
            <w:r>
              <w:rPr>
                <w:rFonts w:hint="eastAsia" w:ascii="宋体" w:hAnsi="宋体" w:eastAsia="宋体"/>
                <w:color w:val="000000"/>
                <w:sz w:val="22"/>
                <w:szCs w:val="22"/>
              </w:rPr>
              <w:t>12人</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10</w:t>
            </w:r>
          </w:p>
        </w:tc>
      </w:tr>
      <w:tr>
        <w:tblPrEx>
          <w:tblCellMar>
            <w:top w:w="0" w:type="dxa"/>
            <w:left w:w="108" w:type="dxa"/>
            <w:bottom w:w="0" w:type="dxa"/>
            <w:right w:w="108" w:type="dxa"/>
          </w:tblCellMar>
        </w:tblPrEx>
        <w:trPr>
          <w:trHeight w:val="795" w:hRule="atLeast"/>
        </w:trPr>
        <w:tc>
          <w:tcPr>
            <w:tcW w:w="862"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11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038"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质量指标</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2"/>
                <w:szCs w:val="22"/>
              </w:rPr>
            </w:pPr>
            <w:r>
              <w:rPr>
                <w:rFonts w:hint="eastAsia" w:ascii="宋体" w:hAnsi="宋体" w:eastAsia="宋体"/>
                <w:color w:val="000000"/>
                <w:sz w:val="22"/>
                <w:szCs w:val="22"/>
              </w:rPr>
              <w:t>工资发放精准性</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2"/>
                <w:szCs w:val="22"/>
              </w:rPr>
            </w:pPr>
            <w:r>
              <w:rPr>
                <w:rFonts w:ascii="Calibri" w:hAnsi="Calibri" w:eastAsia="宋体"/>
                <w:color w:val="000000"/>
                <w:sz w:val="22"/>
                <w:szCs w:val="22"/>
              </w:rPr>
              <w:t>100%</w:t>
            </w:r>
          </w:p>
        </w:tc>
        <w:tc>
          <w:tcPr>
            <w:tcW w:w="90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2"/>
                <w:szCs w:val="22"/>
              </w:rPr>
            </w:pPr>
            <w:r>
              <w:rPr>
                <w:rFonts w:ascii="Calibri" w:hAnsi="Calibri" w:eastAsia="宋体"/>
                <w:color w:val="000000"/>
                <w:sz w:val="22"/>
                <w:szCs w:val="22"/>
              </w:rPr>
              <w:t>100%</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795" w:hRule="atLeast"/>
        </w:trPr>
        <w:tc>
          <w:tcPr>
            <w:tcW w:w="862"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11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038"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时效指标</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2"/>
                <w:szCs w:val="22"/>
              </w:rPr>
            </w:pPr>
            <w:r>
              <w:rPr>
                <w:rFonts w:hint="eastAsia" w:ascii="宋体" w:hAnsi="宋体" w:eastAsia="宋体"/>
                <w:color w:val="000000"/>
                <w:sz w:val="22"/>
                <w:szCs w:val="22"/>
              </w:rPr>
              <w:t>工资发放及时性</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2"/>
                <w:szCs w:val="22"/>
              </w:rPr>
            </w:pPr>
            <w:r>
              <w:rPr>
                <w:rFonts w:hint="eastAsia" w:ascii="宋体" w:hAnsi="宋体" w:eastAsia="宋体"/>
                <w:color w:val="000000"/>
                <w:sz w:val="22"/>
                <w:szCs w:val="22"/>
              </w:rPr>
              <w:t>按规定时间发放</w:t>
            </w:r>
          </w:p>
        </w:tc>
        <w:tc>
          <w:tcPr>
            <w:tcW w:w="900" w:type="dxa"/>
            <w:tcBorders>
              <w:top w:val="nil"/>
              <w:left w:val="nil"/>
              <w:bottom w:val="single" w:color="000000" w:sz="4" w:space="0"/>
              <w:right w:val="single" w:color="000000" w:sz="4" w:space="0"/>
            </w:tcBorders>
            <w:shd w:val="clear" w:color="auto" w:fill="auto"/>
            <w:vAlign w:val="center"/>
          </w:tcPr>
          <w:p>
            <w:pPr>
              <w:widowControl/>
              <w:jc w:val="left"/>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按规定时间发放</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795" w:hRule="atLeast"/>
        </w:trPr>
        <w:tc>
          <w:tcPr>
            <w:tcW w:w="862"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11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038"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成本指标</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2"/>
                <w:szCs w:val="22"/>
              </w:rPr>
            </w:pPr>
            <w:r>
              <w:rPr>
                <w:rFonts w:hint="eastAsia" w:ascii="宋体" w:hAnsi="宋体" w:eastAsia="宋体"/>
                <w:color w:val="000000"/>
                <w:sz w:val="22"/>
                <w:szCs w:val="22"/>
              </w:rPr>
              <w:t>工资、社会保障等发放（缴纳）标准</w:t>
            </w:r>
          </w:p>
        </w:tc>
        <w:tc>
          <w:tcPr>
            <w:tcW w:w="1020" w:type="dxa"/>
            <w:tcBorders>
              <w:top w:val="nil"/>
              <w:left w:val="nil"/>
              <w:bottom w:val="single" w:color="000000" w:sz="4" w:space="0"/>
              <w:right w:val="single" w:color="000000" w:sz="4" w:space="0"/>
            </w:tcBorders>
            <w:shd w:val="clear" w:color="auto" w:fill="auto"/>
            <w:vAlign w:val="center"/>
          </w:tcPr>
          <w:p>
            <w:pPr>
              <w:widowControl/>
              <w:jc w:val="left"/>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按规定执行</w:t>
            </w:r>
          </w:p>
        </w:tc>
        <w:tc>
          <w:tcPr>
            <w:tcW w:w="900" w:type="dxa"/>
            <w:tcBorders>
              <w:top w:val="nil"/>
              <w:left w:val="nil"/>
              <w:bottom w:val="single" w:color="000000" w:sz="4" w:space="0"/>
              <w:right w:val="single" w:color="000000" w:sz="4" w:space="0"/>
            </w:tcBorders>
            <w:shd w:val="clear" w:color="auto" w:fill="auto"/>
            <w:vAlign w:val="center"/>
          </w:tcPr>
          <w:p>
            <w:pPr>
              <w:widowControl/>
              <w:jc w:val="left"/>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按规定执行</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795" w:hRule="atLeast"/>
        </w:trPr>
        <w:tc>
          <w:tcPr>
            <w:tcW w:w="862"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预算执行率指标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1038"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预算执行率</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执行数占预算数的比例</w:t>
            </w:r>
          </w:p>
        </w:tc>
        <w:tc>
          <w:tcPr>
            <w:tcW w:w="102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100%</w:t>
            </w:r>
          </w:p>
        </w:tc>
        <w:tc>
          <w:tcPr>
            <w:tcW w:w="900"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86.56%</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10</w:t>
            </w:r>
          </w:p>
        </w:tc>
      </w:tr>
      <w:tr>
        <w:tblPrEx>
          <w:tblCellMar>
            <w:top w:w="0" w:type="dxa"/>
            <w:left w:w="108" w:type="dxa"/>
            <w:bottom w:w="0" w:type="dxa"/>
            <w:right w:w="108" w:type="dxa"/>
          </w:tblCellMar>
        </w:tblPrEx>
        <w:trPr>
          <w:trHeight w:val="795" w:hRule="atLeast"/>
        </w:trPr>
        <w:tc>
          <w:tcPr>
            <w:tcW w:w="862"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1160"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　</w:t>
            </w:r>
          </w:p>
        </w:tc>
        <w:tc>
          <w:tcPr>
            <w:tcW w:w="1038"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社会效益指标</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2"/>
                <w:szCs w:val="22"/>
              </w:rPr>
            </w:pPr>
            <w:r>
              <w:rPr>
                <w:rFonts w:hint="eastAsia" w:ascii="宋体" w:hAnsi="宋体" w:eastAsia="宋体"/>
                <w:color w:val="000000"/>
                <w:sz w:val="22"/>
                <w:szCs w:val="22"/>
              </w:rPr>
              <w:t>加强工作人员归属感，保持干部队伍稳定</w:t>
            </w:r>
          </w:p>
        </w:tc>
        <w:tc>
          <w:tcPr>
            <w:tcW w:w="1020" w:type="dxa"/>
            <w:tcBorders>
              <w:top w:val="nil"/>
              <w:left w:val="nil"/>
              <w:bottom w:val="single" w:color="000000" w:sz="4" w:space="0"/>
              <w:right w:val="single" w:color="000000" w:sz="4" w:space="0"/>
            </w:tcBorders>
            <w:shd w:val="clear" w:color="auto" w:fill="auto"/>
            <w:vAlign w:val="center"/>
          </w:tcPr>
          <w:p>
            <w:pPr>
              <w:widowControl/>
              <w:jc w:val="left"/>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保持职工队伍稳定</w:t>
            </w:r>
          </w:p>
        </w:tc>
        <w:tc>
          <w:tcPr>
            <w:tcW w:w="900" w:type="dxa"/>
            <w:tcBorders>
              <w:top w:val="nil"/>
              <w:left w:val="nil"/>
              <w:bottom w:val="single" w:color="000000" w:sz="4" w:space="0"/>
              <w:right w:val="single" w:color="000000" w:sz="4" w:space="0"/>
            </w:tcBorders>
            <w:shd w:val="clear" w:color="auto" w:fill="auto"/>
            <w:vAlign w:val="center"/>
          </w:tcPr>
          <w:p>
            <w:pPr>
              <w:widowControl/>
              <w:jc w:val="left"/>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保持职工队伍稳定</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20</w:t>
            </w:r>
          </w:p>
        </w:tc>
      </w:tr>
      <w:tr>
        <w:tblPrEx>
          <w:tblCellMar>
            <w:top w:w="0" w:type="dxa"/>
            <w:left w:w="108" w:type="dxa"/>
            <w:bottom w:w="0" w:type="dxa"/>
            <w:right w:w="108" w:type="dxa"/>
          </w:tblCellMar>
        </w:tblPrEx>
        <w:trPr>
          <w:trHeight w:val="795" w:hRule="atLeast"/>
        </w:trPr>
        <w:tc>
          <w:tcPr>
            <w:tcW w:w="862"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1160" w:type="dxa"/>
            <w:vMerge w:val="continue"/>
            <w:tcBorders>
              <w:top w:val="nil"/>
              <w:left w:val="single" w:color="000000" w:sz="4" w:space="0"/>
              <w:bottom w:val="nil"/>
              <w:right w:val="single" w:color="000000" w:sz="4" w:space="0"/>
            </w:tcBorders>
            <w:vAlign w:val="center"/>
          </w:tcPr>
          <w:p>
            <w:pPr>
              <w:widowControl/>
              <w:jc w:val="left"/>
              <w:rPr>
                <w:rFonts w:ascii="宋体" w:hAnsi="宋体" w:eastAsia="宋体"/>
                <w:color w:val="000000"/>
                <w:sz w:val="20"/>
                <w:szCs w:val="20"/>
              </w:rPr>
            </w:pPr>
          </w:p>
        </w:tc>
        <w:tc>
          <w:tcPr>
            <w:tcW w:w="1038"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可持续影响指标</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2"/>
                <w:szCs w:val="22"/>
              </w:rPr>
            </w:pPr>
            <w:r>
              <w:rPr>
                <w:rFonts w:hint="eastAsia" w:ascii="宋体" w:hAnsi="宋体" w:eastAsia="宋体"/>
                <w:color w:val="000000"/>
                <w:sz w:val="22"/>
                <w:szCs w:val="22"/>
              </w:rPr>
              <w:t>加强职工的归属感和责任感</w:t>
            </w:r>
          </w:p>
        </w:tc>
        <w:tc>
          <w:tcPr>
            <w:tcW w:w="1020" w:type="dxa"/>
            <w:tcBorders>
              <w:top w:val="nil"/>
              <w:left w:val="nil"/>
              <w:bottom w:val="single" w:color="000000" w:sz="4" w:space="0"/>
              <w:right w:val="single" w:color="000000" w:sz="4" w:space="0"/>
            </w:tcBorders>
            <w:shd w:val="clear" w:color="auto" w:fill="auto"/>
            <w:vAlign w:val="center"/>
          </w:tcPr>
          <w:p>
            <w:pPr>
              <w:widowControl/>
              <w:jc w:val="left"/>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增强职工归属感责任感</w:t>
            </w:r>
          </w:p>
        </w:tc>
        <w:tc>
          <w:tcPr>
            <w:tcW w:w="900" w:type="dxa"/>
            <w:tcBorders>
              <w:top w:val="nil"/>
              <w:left w:val="nil"/>
              <w:bottom w:val="single" w:color="000000" w:sz="4" w:space="0"/>
              <w:right w:val="single" w:color="000000" w:sz="4" w:space="0"/>
            </w:tcBorders>
            <w:shd w:val="clear" w:color="auto" w:fill="auto"/>
            <w:vAlign w:val="center"/>
          </w:tcPr>
          <w:p>
            <w:pPr>
              <w:widowControl/>
              <w:jc w:val="left"/>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增强职工归属感责任感</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20</w:t>
            </w:r>
          </w:p>
        </w:tc>
      </w:tr>
      <w:tr>
        <w:tblPrEx>
          <w:tblCellMar>
            <w:top w:w="0" w:type="dxa"/>
            <w:left w:w="108" w:type="dxa"/>
            <w:bottom w:w="0" w:type="dxa"/>
            <w:right w:w="108" w:type="dxa"/>
          </w:tblCellMar>
        </w:tblPrEx>
        <w:trPr>
          <w:trHeight w:val="795" w:hRule="atLeast"/>
        </w:trPr>
        <w:tc>
          <w:tcPr>
            <w:tcW w:w="862"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11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r>
              <w:rPr>
                <w:rFonts w:hint="eastAsia" w:ascii="宋体" w:hAnsi="宋体" w:eastAsia="宋体"/>
                <w:color w:val="000000"/>
                <w:sz w:val="20"/>
                <w:szCs w:val="20"/>
              </w:rPr>
              <w:br w:type="textWrapping"/>
            </w:r>
            <w:r>
              <w:rPr>
                <w:rFonts w:hint="eastAsia" w:ascii="宋体" w:hAnsi="宋体" w:eastAsia="宋体"/>
                <w:color w:val="000000"/>
                <w:sz w:val="20"/>
                <w:szCs w:val="20"/>
              </w:rPr>
              <w:t>（10分）</w:t>
            </w:r>
          </w:p>
        </w:tc>
        <w:tc>
          <w:tcPr>
            <w:tcW w:w="1038"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满意度指标</w:t>
            </w:r>
          </w:p>
        </w:tc>
        <w:tc>
          <w:tcPr>
            <w:tcW w:w="2100"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宋体" w:hAnsi="宋体" w:eastAsia="宋体"/>
                <w:color w:val="000000"/>
                <w:sz w:val="22"/>
                <w:szCs w:val="22"/>
              </w:rPr>
            </w:pPr>
            <w:r>
              <w:rPr>
                <w:rFonts w:hint="eastAsia" w:ascii="宋体" w:hAnsi="宋体" w:eastAsia="宋体"/>
                <w:color w:val="000000"/>
                <w:sz w:val="22"/>
                <w:szCs w:val="22"/>
              </w:rPr>
              <w:t>单位人员满意度</w:t>
            </w:r>
          </w:p>
        </w:tc>
        <w:tc>
          <w:tcPr>
            <w:tcW w:w="1020" w:type="dxa"/>
            <w:tcBorders>
              <w:top w:val="nil"/>
              <w:left w:val="nil"/>
              <w:bottom w:val="single" w:color="000000" w:sz="4" w:space="0"/>
              <w:right w:val="single" w:color="000000" w:sz="4" w:space="0"/>
            </w:tcBorders>
            <w:shd w:val="clear" w:color="auto" w:fill="auto"/>
            <w:vAlign w:val="center"/>
          </w:tcPr>
          <w:p>
            <w:pPr>
              <w:widowControl/>
              <w:jc w:val="left"/>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≥95%</w:t>
            </w:r>
          </w:p>
        </w:tc>
        <w:tc>
          <w:tcPr>
            <w:tcW w:w="900" w:type="dxa"/>
            <w:tcBorders>
              <w:top w:val="nil"/>
              <w:left w:val="nil"/>
              <w:bottom w:val="single" w:color="000000" w:sz="4" w:space="0"/>
              <w:right w:val="single" w:color="000000" w:sz="4" w:space="0"/>
            </w:tcBorders>
            <w:shd w:val="clear" w:color="auto" w:fill="auto"/>
            <w:vAlign w:val="center"/>
          </w:tcPr>
          <w:p>
            <w:pPr>
              <w:widowControl/>
              <w:jc w:val="left"/>
              <w:rPr>
                <w:rFonts w:ascii="Times New Roman" w:hAnsi="Times New Roman" w:eastAsia="宋体" w:cs="Times New Roman"/>
                <w:color w:val="000000"/>
                <w:sz w:val="22"/>
                <w:szCs w:val="22"/>
              </w:rPr>
            </w:pPr>
            <w:r>
              <w:rPr>
                <w:rFonts w:ascii="Times New Roman" w:hAnsi="Times New Roman" w:eastAsia="宋体" w:cs="Times New Roman"/>
                <w:color w:val="000000"/>
                <w:sz w:val="22"/>
                <w:szCs w:val="22"/>
              </w:rPr>
              <w:t>≥95%</w:t>
            </w:r>
          </w:p>
        </w:tc>
        <w:tc>
          <w:tcPr>
            <w:tcW w:w="816"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8</w:t>
            </w:r>
          </w:p>
        </w:tc>
      </w:tr>
      <w:tr>
        <w:tblPrEx>
          <w:tblCellMar>
            <w:top w:w="0" w:type="dxa"/>
            <w:left w:w="108" w:type="dxa"/>
            <w:bottom w:w="0" w:type="dxa"/>
            <w:right w:w="108" w:type="dxa"/>
          </w:tblCellMar>
        </w:tblPrEx>
        <w:trPr>
          <w:trHeight w:val="795" w:hRule="atLeast"/>
        </w:trPr>
        <w:tc>
          <w:tcPr>
            <w:tcW w:w="862" w:type="dxa"/>
            <w:vMerge w:val="continue"/>
            <w:tcBorders>
              <w:top w:val="nil"/>
              <w:left w:val="single" w:color="auto" w:sz="4" w:space="0"/>
              <w:bottom w:val="single" w:color="000000" w:sz="4" w:space="0"/>
              <w:right w:val="nil"/>
            </w:tcBorders>
            <w:vAlign w:val="center"/>
          </w:tcPr>
          <w:p>
            <w:pPr>
              <w:widowControl/>
              <w:jc w:val="left"/>
              <w:rPr>
                <w:rFonts w:ascii="宋体" w:hAnsi="宋体" w:eastAsia="宋体"/>
                <w:color w:val="000000"/>
                <w:sz w:val="20"/>
                <w:szCs w:val="20"/>
              </w:rPr>
            </w:pPr>
          </w:p>
        </w:tc>
        <w:tc>
          <w:tcPr>
            <w:tcW w:w="6218"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总分</w:t>
            </w:r>
          </w:p>
        </w:tc>
        <w:tc>
          <w:tcPr>
            <w:tcW w:w="816" w:type="dxa"/>
            <w:tcBorders>
              <w:top w:val="nil"/>
              <w:left w:val="nil"/>
              <w:bottom w:val="single" w:color="auto" w:sz="4" w:space="0"/>
              <w:right w:val="single" w:color="auto" w:sz="4" w:space="0"/>
            </w:tcBorders>
            <w:shd w:val="clear" w:color="auto" w:fill="auto"/>
            <w:vAlign w:val="center"/>
          </w:tcPr>
          <w:p>
            <w:pPr>
              <w:widowControl/>
              <w:jc w:val="center"/>
              <w:rPr>
                <w:rFonts w:ascii="Calibri" w:hAnsi="Calibri" w:eastAsia="宋体"/>
                <w:color w:val="000000"/>
                <w:sz w:val="20"/>
                <w:szCs w:val="20"/>
              </w:rPr>
            </w:pPr>
            <w:r>
              <w:rPr>
                <w:rFonts w:ascii="Calibri" w:hAnsi="Calibri" w:eastAsia="宋体"/>
                <w:color w:val="000000"/>
                <w:sz w:val="20"/>
                <w:szCs w:val="20"/>
              </w:rPr>
              <w:t>98</w:t>
            </w:r>
          </w:p>
        </w:tc>
      </w:tr>
      <w:tr>
        <w:tblPrEx>
          <w:tblCellMar>
            <w:top w:w="0" w:type="dxa"/>
            <w:left w:w="108" w:type="dxa"/>
            <w:bottom w:w="0" w:type="dxa"/>
            <w:right w:w="108" w:type="dxa"/>
          </w:tblCellMar>
        </w:tblPrEx>
        <w:trPr>
          <w:trHeight w:val="780" w:hRule="atLeast"/>
        </w:trPr>
        <w:tc>
          <w:tcPr>
            <w:tcW w:w="862"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eastAsia="宋体"/>
                <w:color w:val="000000"/>
                <w:sz w:val="20"/>
                <w:szCs w:val="20"/>
              </w:rPr>
            </w:pPr>
            <w:r>
              <w:rPr>
                <w:rFonts w:hint="eastAsia" w:ascii="宋体" w:hAnsi="宋体" w:eastAsia="宋体"/>
                <w:color w:val="000000"/>
                <w:sz w:val="20"/>
                <w:szCs w:val="20"/>
              </w:rPr>
              <w:t>五、</w:t>
            </w:r>
            <w:r>
              <w:rPr>
                <w:rFonts w:ascii="Calibri" w:hAnsi="Calibri" w:eastAsia="宋体"/>
                <w:color w:val="000000"/>
                <w:sz w:val="20"/>
                <w:szCs w:val="20"/>
              </w:rPr>
              <w:t> </w:t>
            </w:r>
            <w:r>
              <w:rPr>
                <w:rFonts w:hint="eastAsia" w:ascii="宋体" w:hAnsi="宋体" w:eastAsia="宋体"/>
                <w:color w:val="000000"/>
                <w:sz w:val="20"/>
                <w:szCs w:val="20"/>
              </w:rPr>
              <w:t>存在问题、原因及下一步整改措施</w:t>
            </w:r>
          </w:p>
        </w:tc>
        <w:tc>
          <w:tcPr>
            <w:tcW w:w="7034" w:type="dxa"/>
            <w:gridSpan w:val="7"/>
            <w:tcBorders>
              <w:top w:val="single" w:color="auto"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olor w:val="000000"/>
                <w:sz w:val="20"/>
                <w:szCs w:val="20"/>
              </w:rPr>
            </w:pPr>
            <w:r>
              <w:rPr>
                <w:rFonts w:hint="eastAsia" w:ascii="宋体" w:hAnsi="宋体" w:eastAsia="宋体"/>
                <w:color w:val="000000"/>
                <w:sz w:val="20"/>
                <w:szCs w:val="20"/>
              </w:rPr>
              <w:t>加强与退役人员沟通，做好思想工作。</w:t>
            </w:r>
          </w:p>
        </w:tc>
      </w:tr>
    </w:tbl>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 本部门2023年度</w:t>
      </w:r>
      <w:r>
        <w:rPr>
          <w:rFonts w:hint="eastAsia" w:ascii="方正仿宋_GB2312" w:hAnsi="方正仿宋_GB2312" w:eastAsia="方正仿宋_GB2312" w:cs="方正仿宋_GB2312"/>
          <w:bCs/>
          <w:sz w:val="32"/>
          <w:szCs w:val="32"/>
        </w:rPr>
        <w:t>政府性基金预算财政拨款收入支出决算表、国有资本经营预算财政拨款支出决算表、财政拨款“三公”经费支出决算表</w:t>
      </w:r>
      <w:r>
        <w:rPr>
          <w:rFonts w:ascii="Times New Roman" w:hAnsi="Times New Roman" w:eastAsia="仿宋_GB2312" w:cs="Times New Roman"/>
          <w:sz w:val="32"/>
          <w:szCs w:val="32"/>
        </w:rPr>
        <w:t>无收支及结转结余情况，故</w:t>
      </w:r>
      <w:r>
        <w:rPr>
          <w:rFonts w:hint="eastAsia" w:ascii="方正仿宋_GB2312" w:hAnsi="方正仿宋_GB2312" w:eastAsia="方正仿宋_GB2312" w:cs="方正仿宋_GB2312"/>
          <w:bCs/>
          <w:sz w:val="32"/>
          <w:szCs w:val="32"/>
        </w:rPr>
        <w:t>政府性基金预算财政拨款收入支出决算表、国有资本经营预算财政拨款支出决算表、财政拨款“三公”经费支出决算表</w:t>
      </w:r>
      <w:r>
        <w:rPr>
          <w:rFonts w:ascii="Times New Roman" w:hAnsi="Times New Roman" w:eastAsia="仿宋_GB2312" w:cs="Times New Roman"/>
          <w:sz w:val="32"/>
          <w:szCs w:val="32"/>
        </w:rPr>
        <w:t>以空表列示。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rPr>
      </w:pPr>
    </w:p>
    <w:p>
      <w:pPr>
        <w:widowControl/>
        <w:jc w:val="cente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t>第四部分 相关名词解释</w:t>
      </w:r>
    </w:p>
    <w:p>
      <w:pPr>
        <w:rPr>
          <w:rFonts w:ascii="Times New Roman" w:hAnsi="Times New Roman" w:eastAsia="黑体" w:cs="Times New Roman"/>
          <w:color w:val="000000" w:themeColor="text1"/>
          <w:sz w:val="44"/>
          <w:szCs w:val="44"/>
        </w:rPr>
      </w:pPr>
      <w:r>
        <w:rPr>
          <w:rFonts w:ascii="Times New Roman" w:hAnsi="Times New Roman" w:eastAsia="黑体" w:cs="Times New Roman"/>
          <w:color w:val="000000" w:themeColor="text1"/>
          <w:sz w:val="44"/>
          <w:szCs w:val="44"/>
        </w:rPr>
        <w:br w:type="page"/>
      </w:r>
    </w:p>
    <w:p>
      <w:pPr>
        <w:widowControl/>
        <w:jc w:val="center"/>
        <w:rPr>
          <w:rFonts w:ascii="Times New Roman" w:hAnsi="Times New Roman" w:eastAsia="黑体" w:cs="Times New Roman"/>
          <w:color w:val="000000" w:themeColor="text1"/>
          <w:sz w:val="44"/>
          <w:szCs w:val="44"/>
        </w:rPr>
      </w:pPr>
    </w:p>
    <w:p>
      <w:pPr>
        <w:rPr>
          <w:rFonts w:ascii="Times New Roman" w:hAnsi="Times New Roman" w:eastAsia="仿宋_GB2312" w:cs="Times New Roman"/>
          <w:sz w:val="32"/>
          <w:szCs w:val="32"/>
        </w:rPr>
      </w:pP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r>
        <w:rPr>
          <w:rFonts w:hint="eastAsia" w:ascii="Times New Roman" w:hAnsi="Times New Roman" w:eastAsia="仿宋_GB2312" w:cs="Times New Roman"/>
          <w:sz w:val="32"/>
          <w:szCs w:val="32"/>
        </w:rPr>
        <w:t>。</w:t>
      </w:r>
    </w:p>
    <w:p>
      <w:pPr>
        <w:rPr>
          <w:rFonts w:ascii="Times New Roman" w:hAnsi="Times New Roman" w:cs="Times New Roman"/>
        </w:rPr>
      </w:pPr>
    </w:p>
    <w:p>
      <w:pPr>
        <w:pStyle w:val="10"/>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EDF77FF-50DA-4DCF-9AE3-227AED057B1C}"/>
  </w:font>
  <w:font w:name="黑体">
    <w:panose1 w:val="02010609060101010101"/>
    <w:charset w:val="86"/>
    <w:family w:val="auto"/>
    <w:pitch w:val="default"/>
    <w:sig w:usb0="800002BF" w:usb1="38CF7CFA" w:usb2="00000016" w:usb3="00000000" w:csb0="00040001" w:csb1="00000000"/>
    <w:embedRegular r:id="rId2" w:fontKey="{6C357BE0-9A65-4C90-A9FA-9CF4FE38B1C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E963FF0C-22EE-4125-AEAE-E3EF73F7B030}"/>
  </w:font>
  <w:font w:name="仿宋">
    <w:panose1 w:val="02010609060101010101"/>
    <w:charset w:val="86"/>
    <w:family w:val="modern"/>
    <w:pitch w:val="default"/>
    <w:sig w:usb0="800002BF" w:usb1="38CF7CFA" w:usb2="00000016" w:usb3="00000000" w:csb0="00040001" w:csb1="00000000"/>
    <w:embedRegular r:id="rId4" w:fontKey="{69DF3438-5450-4DAF-9155-A26E4EB0230F}"/>
  </w:font>
  <w:font w:name="Calibri Light">
    <w:panose1 w:val="020F0302020204030204"/>
    <w:charset w:val="00"/>
    <w:family w:val="swiss"/>
    <w:pitch w:val="default"/>
    <w:sig w:usb0="E4002EFF" w:usb1="C000247B" w:usb2="00000009" w:usb3="00000000" w:csb0="200001FF" w:csb1="00000000"/>
  </w:font>
  <w:font w:name="华文中宋">
    <w:altName w:val="宋体"/>
    <w:panose1 w:val="00000000000000000000"/>
    <w:charset w:val="86"/>
    <w:family w:val="auto"/>
    <w:pitch w:val="default"/>
    <w:sig w:usb0="00000000" w:usb1="00000000" w:usb2="00000000" w:usb3="00000000" w:csb0="0004009F" w:csb1="DFD70000"/>
  </w:font>
  <w:font w:name="方正仿宋_GBK">
    <w:panose1 w:val="02000000000000000000"/>
    <w:charset w:val="86"/>
    <w:family w:val="roman"/>
    <w:pitch w:val="default"/>
    <w:sig w:usb0="A00002BF" w:usb1="38CF7CFA" w:usb2="00082016" w:usb3="00000000" w:csb0="00040001" w:csb1="00000000"/>
    <w:embedRegular r:id="rId5" w:fontKey="{1B7A2143-0381-49BF-88DA-1E6FF98D403C}"/>
  </w:font>
  <w:font w:name="楷体_GB2312">
    <w:altName w:val="楷体"/>
    <w:panose1 w:val="00000000000000000000"/>
    <w:charset w:val="86"/>
    <w:family w:val="auto"/>
    <w:pitch w:val="default"/>
    <w:sig w:usb0="00000000" w:usb1="00000000" w:usb2="00000000" w:usb3="00000000" w:csb0="00040000" w:csb1="00000000"/>
    <w:embedRegular r:id="rId6" w:fontKey="{4550CFD4-DF86-4A55-A186-2CE8FCC2F351}"/>
  </w:font>
  <w:font w:name="仿宋_GB2312">
    <w:altName w:val="仿宋"/>
    <w:panose1 w:val="00000000000000000000"/>
    <w:charset w:val="86"/>
    <w:family w:val="auto"/>
    <w:pitch w:val="default"/>
    <w:sig w:usb0="00000000" w:usb1="00000000" w:usb2="00000000" w:usb3="00000000" w:csb0="00040000" w:csb1="00000000"/>
    <w:embedRegular r:id="rId7" w:fontKey="{C9E03251-ADDF-40C4-BDF0-BDC9DE361FD2}"/>
  </w:font>
  <w:font w:name="ArialUnicodeMS">
    <w:altName w:val="Malgun Gothic"/>
    <w:panose1 w:val="00000000000000000000"/>
    <w:charset w:val="81"/>
    <w:family w:val="auto"/>
    <w:pitch w:val="default"/>
    <w:sig w:usb0="00000000" w:usb1="00000000" w:usb2="00000010" w:usb3="00000000" w:csb0="00080001" w:csb1="00000000"/>
    <w:embedRegular r:id="rId8" w:fontKey="{F319D02B-11DB-47FC-B9FF-94D6D8F4D570}"/>
  </w:font>
  <w:font w:name="方正仿宋_GB2312">
    <w:altName w:val="仿宋"/>
    <w:panose1 w:val="00000000000000000000"/>
    <w:charset w:val="86"/>
    <w:family w:val="auto"/>
    <w:pitch w:val="default"/>
    <w:sig w:usb0="00000000" w:usb1="00000000" w:usb2="00000012" w:usb3="00000000" w:csb0="00040001" w:csb1="00000000"/>
    <w:embedRegular r:id="rId9" w:fontKey="{E5C726E4-040D-4860-B4E7-D65408550E4D}"/>
  </w:font>
  <w:font w:name="___WRD_EMBED_SUB_52">
    <w:panose1 w:val="02000000000000000000"/>
    <w:charset w:val="86"/>
    <w:family w:val="auto"/>
    <w:pitch w:val="default"/>
    <w:sig w:usb0="A00002BF" w:usb1="184F6CFA" w:usb2="00000012" w:usb3="00000000" w:csb0="00040001" w:csb1="00000000"/>
    <w:embedRegular r:id="rId10" w:fontKey="{29291A3F-F694-4AFE-9A71-84885A830877}"/>
  </w:font>
  <w:font w:name="___WRD_EMBED_SUB_48">
    <w:panose1 w:val="02010609030101010101"/>
    <w:charset w:val="86"/>
    <w:family w:val="auto"/>
    <w:pitch w:val="default"/>
    <w:sig w:usb0="00000001" w:usb1="080E0000" w:usb2="00000000" w:usb3="00000000" w:csb0="00040000" w:csb1="00000000"/>
    <w:embedRegular r:id="rId11" w:fontKey="{5A5C3D07-9DC2-4113-8B97-28367E22B7CA}"/>
  </w:font>
  <w:font w:name="DengXian-Regular">
    <w:altName w:val="宋体"/>
    <w:panose1 w:val="00000000000000000000"/>
    <w:charset w:val="86"/>
    <w:family w:val="auto"/>
    <w:pitch w:val="default"/>
    <w:sig w:usb0="00000000" w:usb1="00000000" w:usb2="00000010" w:usb3="00000000" w:csb0="00040001" w:csb1="00000000"/>
    <w:embedRegular r:id="rId12" w:fontKey="{7E00CE56-7DBD-4183-95BD-2C3B36FC193A}"/>
  </w:font>
  <w:font w:name="方正小标宋_GBK">
    <w:panose1 w:val="02000000000000000000"/>
    <w:charset w:val="86"/>
    <w:family w:val="roman"/>
    <w:pitch w:val="default"/>
    <w:sig w:usb0="A00002BF" w:usb1="38CF7CFA" w:usb2="00082016" w:usb3="00000000" w:csb0="00040001" w:csb1="00000000"/>
    <w:embedRegular r:id="rId13" w:fontKey="{0F2E4ED9-F2C9-4A23-9E30-DAF49C1DD13F}"/>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267209"/>
      <w:docPartObj>
        <w:docPartGallery w:val="autotext"/>
      </w:docPartObj>
    </w:sdtPr>
    <w:sdtContent>
      <w:p>
        <w:pPr>
          <w:pStyle w:val="8"/>
          <w:jc w:val="center"/>
        </w:pPr>
        <w:r>
          <w:fldChar w:fldCharType="begin"/>
        </w:r>
        <w:r>
          <w:instrText xml:space="preserve"> PAGE   \* MERGEFORMAT </w:instrText>
        </w:r>
        <w:r>
          <w:fldChar w:fldCharType="separate"/>
        </w:r>
        <w:r>
          <w:rPr>
            <w:lang w:val="zh-CN"/>
          </w:rPr>
          <w:t>3</w:t>
        </w:r>
        <w:r>
          <w:rPr>
            <w:lang w:val="zh-CN"/>
          </w:rPr>
          <w:fldChar w:fldCharType="end"/>
        </w:r>
      </w:p>
    </w:sdtContent>
  </w:sdt>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MjAsImhkaWQiOiJiMzk2N2EzZjUyYWViODRjZjJhMDZjM2YyYjk4MTExMiIsInVzZXJDb3VudCI6MX0="/>
  </w:docVars>
  <w:rsids>
    <w:rsidRoot w:val="000506C6"/>
    <w:rsid w:val="000506C6"/>
    <w:rsid w:val="00086151"/>
    <w:rsid w:val="000F7ED1"/>
    <w:rsid w:val="00110065"/>
    <w:rsid w:val="00150558"/>
    <w:rsid w:val="00236F8C"/>
    <w:rsid w:val="002D3999"/>
    <w:rsid w:val="00377D62"/>
    <w:rsid w:val="00401204"/>
    <w:rsid w:val="00441B97"/>
    <w:rsid w:val="004E6A37"/>
    <w:rsid w:val="00596228"/>
    <w:rsid w:val="00705BFD"/>
    <w:rsid w:val="007776F9"/>
    <w:rsid w:val="00877981"/>
    <w:rsid w:val="008E12CF"/>
    <w:rsid w:val="0096690D"/>
    <w:rsid w:val="00B979E6"/>
    <w:rsid w:val="00C25C40"/>
    <w:rsid w:val="00C65689"/>
    <w:rsid w:val="00CC2C8E"/>
    <w:rsid w:val="00EC7897"/>
    <w:rsid w:val="00F27B04"/>
    <w:rsid w:val="00FC7BED"/>
    <w:rsid w:val="00FD08C3"/>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0F35A7F"/>
    <w:rsid w:val="11177F57"/>
    <w:rsid w:val="11217C97"/>
    <w:rsid w:val="11464C20"/>
    <w:rsid w:val="115E4926"/>
    <w:rsid w:val="118A1FFA"/>
    <w:rsid w:val="11E35B5A"/>
    <w:rsid w:val="11E42DD6"/>
    <w:rsid w:val="125F5A1B"/>
    <w:rsid w:val="126979D6"/>
    <w:rsid w:val="129E45A7"/>
    <w:rsid w:val="13074404"/>
    <w:rsid w:val="136A5C00"/>
    <w:rsid w:val="13C527AC"/>
    <w:rsid w:val="13E0418E"/>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500B4"/>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DB2E3F"/>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733B0F"/>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8D42D4"/>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01B96"/>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980F89"/>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012C8"/>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单位职责文件"/>
    <w:basedOn w:val="1"/>
    <w:qFormat/>
    <w:uiPriority w:val="0"/>
    <w:pPr>
      <w:widowControl/>
      <w:spacing w:line="500" w:lineRule="exact"/>
      <w:ind w:firstLine="560"/>
      <w:jc w:val="left"/>
    </w:pPr>
    <w:rPr>
      <w:rFonts w:ascii="Times New Roman" w:hAnsi="Times New Roman" w:eastAsia="方正仿宋_GBK" w:cs="Times New Roman"/>
      <w:sz w:val="28"/>
      <w:lang w:eastAsia="uk-U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numbering" Target="numbering.xml"/><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theme" Target="theme/theme1.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358.37</c:v>
                </c:pt>
                <c:pt idx="1">
                  <c:v>358.09</c:v>
                </c:pt>
              </c:numCache>
            </c:numRef>
          </c:val>
        </c:ser>
        <c:dLbls>
          <c:showLegendKey val="0"/>
          <c:showVal val="1"/>
          <c:showCatName val="0"/>
          <c:showSerName val="0"/>
          <c:showPercent val="0"/>
          <c:showBubbleSize val="0"/>
        </c:dLbls>
        <c:gapWidth val="246"/>
        <c:overlap val="-28"/>
        <c:axId val="53390336"/>
        <c:axId val="53523200"/>
      </c:barChart>
      <c:catAx>
        <c:axId val="5339033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523200"/>
        <c:crosses val="autoZero"/>
        <c:auto val="1"/>
        <c:lblAlgn val="ctr"/>
        <c:lblOffset val="100"/>
        <c:noMultiLvlLbl val="0"/>
      </c:catAx>
      <c:valAx>
        <c:axId val="535232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390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3580946.32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3380946.32</c:v>
                </c:pt>
                <c:pt idx="1">
                  <c:v>200000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358.37</c:v>
                </c:pt>
                <c:pt idx="1">
                  <c:v>358.37</c:v>
                </c:pt>
                <c:pt idx="2">
                  <c:v>358.37</c:v>
                </c:pt>
                <c:pt idx="3">
                  <c:v>358.37</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358.09</c:v>
                </c:pt>
                <c:pt idx="1">
                  <c:v>358.09</c:v>
                </c:pt>
                <c:pt idx="2">
                  <c:v>358.09</c:v>
                </c:pt>
                <c:pt idx="3">
                  <c:v>358.09</c:v>
                </c:pt>
                <c:pt idx="4">
                  <c:v>0</c:v>
                </c:pt>
                <c:pt idx="5">
                  <c:v>0</c:v>
                </c:pt>
                <c:pt idx="6">
                  <c:v>0</c:v>
                </c:pt>
                <c:pt idx="7">
                  <c:v>0</c:v>
                </c:pt>
              </c:numCache>
            </c:numRef>
          </c:val>
        </c:ser>
        <c:dLbls>
          <c:showLegendKey val="0"/>
          <c:showVal val="1"/>
          <c:showCatName val="0"/>
          <c:showSerName val="0"/>
          <c:showPercent val="0"/>
          <c:showBubbleSize val="0"/>
        </c:dLbls>
        <c:gapWidth val="246"/>
        <c:overlap val="-28"/>
        <c:axId val="123184640"/>
        <c:axId val="123186560"/>
      </c:barChart>
      <c:catAx>
        <c:axId val="123184640"/>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3186560"/>
        <c:crosses val="autoZero"/>
        <c:auto val="1"/>
        <c:lblAlgn val="ctr"/>
        <c:lblOffset val="100"/>
        <c:noMultiLvlLbl val="0"/>
      </c:catAx>
      <c:valAx>
        <c:axId val="12318656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3184640"/>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355.05</c:v>
                </c:pt>
                <c:pt idx="1">
                  <c:v>355.05</c:v>
                </c:pt>
                <c:pt idx="2">
                  <c:v>355.05</c:v>
                </c:pt>
                <c:pt idx="3">
                  <c:v>355.05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358.09</c:v>
                </c:pt>
                <c:pt idx="1">
                  <c:v>358.09</c:v>
                </c:pt>
                <c:pt idx="2">
                  <c:v>358.09</c:v>
                </c:pt>
                <c:pt idx="3">
                  <c:v>358.09</c:v>
                </c:pt>
                <c:pt idx="4">
                  <c:v>0</c:v>
                </c:pt>
                <c:pt idx="5">
                  <c:v>0</c:v>
                </c:pt>
                <c:pt idx="6">
                  <c:v>0</c:v>
                </c:pt>
                <c:pt idx="7">
                  <c:v>0</c:v>
                </c:pt>
              </c:numCache>
            </c:numRef>
          </c:val>
        </c:ser>
        <c:dLbls>
          <c:showLegendKey val="0"/>
          <c:showVal val="1"/>
          <c:showCatName val="0"/>
          <c:showSerName val="0"/>
          <c:showPercent val="0"/>
          <c:showBubbleSize val="0"/>
        </c:dLbls>
        <c:gapWidth val="150"/>
        <c:axId val="53194752"/>
        <c:axId val="53196288"/>
      </c:barChart>
      <c:catAx>
        <c:axId val="531947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196288"/>
        <c:crosses val="autoZero"/>
        <c:auto val="1"/>
        <c:lblAlgn val="ctr"/>
        <c:lblOffset val="100"/>
        <c:noMultiLvlLbl val="0"/>
      </c:catAx>
      <c:valAx>
        <c:axId val="5319628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194752"/>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170.95</c:v>
                </c:pt>
                <c:pt idx="7">
                  <c:v>10</c:v>
                </c:pt>
                <c:pt idx="8">
                  <c:v>0</c:v>
                </c:pt>
                <c:pt idx="9">
                  <c:v>0</c:v>
                </c:pt>
                <c:pt idx="10">
                  <c:v>0</c:v>
                </c:pt>
                <c:pt idx="11">
                  <c:v>0</c:v>
                </c:pt>
                <c:pt idx="12">
                  <c:v>0</c:v>
                </c:pt>
                <c:pt idx="13">
                  <c:v>164.05</c:v>
                </c:pt>
                <c:pt idx="14">
                  <c:v>0</c:v>
                </c:pt>
                <c:pt idx="15">
                  <c:v>0</c:v>
                </c:pt>
                <c:pt idx="16">
                  <c:v>13.1</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F8EEE75-447C-422E-9320-03C3DC7935B1}">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43</Pages>
  <Words>2701</Words>
  <Characters>15400</Characters>
  <Lines>128</Lines>
  <Paragraphs>36</Paragraphs>
  <TotalTime>3</TotalTime>
  <ScaleCrop>false</ScaleCrop>
  <LinksUpToDate>false</LinksUpToDate>
  <CharactersWithSpaces>18065</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2024-09-25T08:16:45Z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