
<file path=[Content_Types].xml><?xml version="1.0" encoding="utf-8"?>
<Types xmlns="http://schemas.openxmlformats.org/package/2006/content-types">
  <Default Extension="xml" ContentType="application/xml"/>
  <Default Extension="xlsx" ContentType="application/vnd.openxmlformats-officedocument.spreadsheetml.sheet"/>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spacing w:line="600" w:lineRule="auto"/>
        <w:jc w:val="center"/>
        <w:rPr>
          <w:rFonts w:ascii="楷体_GB2312" w:hAnsi="楷体_GB2312" w:eastAsia="楷体_GB2312" w:cs="楷体_GB2312"/>
          <w:color w:val="000000"/>
          <w:sz w:val="40"/>
          <w:szCs w:val="40"/>
        </w:rPr>
      </w:pPr>
    </w:p>
    <w:p>
      <w:pPr>
        <w:rPr>
          <w:rFonts w:ascii="黑体" w:hAnsi="黑体" w:eastAsia="黑体" w:cs="黑体"/>
          <w:b/>
          <w:bCs/>
          <w:sz w:val="32"/>
          <w:szCs w:val="36"/>
          <w:highlight w:val="yellow"/>
        </w:rPr>
      </w:pPr>
    </w:p>
    <w:p>
      <w:pPr>
        <w:jc w:val="center"/>
        <w:rPr>
          <w:rFonts w:hint="eastAsia" w:ascii="宋体" w:hAnsi="宋体" w:eastAsia="宋体" w:cs="宋体"/>
          <w:b/>
          <w:bCs/>
          <w:spacing w:val="-20"/>
          <w:sz w:val="44"/>
          <w:szCs w:val="44"/>
        </w:rPr>
      </w:pPr>
      <w:r>
        <w:rPr>
          <w:rFonts w:hint="eastAsia" w:ascii="宋体" w:hAnsi="宋体" w:eastAsia="宋体" w:cs="宋体"/>
          <w:b/>
          <w:bCs/>
          <w:spacing w:val="-20"/>
          <w:sz w:val="44"/>
          <w:szCs w:val="44"/>
        </w:rPr>
        <w:t>2023年度</w:t>
      </w:r>
      <w:r>
        <w:rPr>
          <w:rFonts w:hint="eastAsia" w:ascii="宋体" w:hAnsi="宋体" w:eastAsia="宋体" w:cs="宋体"/>
          <w:color w:val="000000"/>
          <w:spacing w:val="-20"/>
          <w:sz w:val="44"/>
          <w:szCs w:val="44"/>
          <w:shd w:val="clear" w:color="auto" w:fill="FFFFFF"/>
        </w:rPr>
        <w:t>单位</w:t>
      </w:r>
      <w:r>
        <w:rPr>
          <w:rFonts w:hint="eastAsia" w:ascii="宋体" w:hAnsi="宋体" w:eastAsia="宋体" w:cs="宋体"/>
          <w:b/>
          <w:bCs/>
          <w:spacing w:val="-20"/>
          <w:sz w:val="44"/>
          <w:szCs w:val="44"/>
        </w:rPr>
        <w:t>决算公开文本</w:t>
      </w:r>
    </w:p>
    <w:p>
      <w:pPr>
        <w:spacing w:line="360" w:lineRule="auto"/>
        <w:jc w:val="center"/>
        <w:rPr>
          <w:rFonts w:ascii="黑体" w:hAnsi="黑体" w:eastAsia="黑体" w:cs="黑体"/>
          <w:spacing w:val="-20"/>
          <w:sz w:val="56"/>
          <w:szCs w:val="72"/>
        </w:rPr>
      </w:pPr>
    </w:p>
    <w:p>
      <w:pPr>
        <w:spacing w:line="600" w:lineRule="auto"/>
        <w:jc w:val="center"/>
        <w:rPr>
          <w:rFonts w:ascii="黑体" w:hAnsi="黑体" w:eastAsia="黑体" w:cs="黑体"/>
          <w:sz w:val="56"/>
          <w:szCs w:val="72"/>
        </w:rPr>
      </w:pPr>
    </w:p>
    <w:p>
      <w:pPr>
        <w:spacing w:line="600" w:lineRule="auto"/>
        <w:jc w:val="center"/>
        <w:rPr>
          <w:rFonts w:hint="eastAsia" w:ascii="黑体" w:hAnsi="黑体" w:eastAsia="黑体" w:cs="黑体"/>
          <w:sz w:val="56"/>
          <w:szCs w:val="72"/>
        </w:rPr>
      </w:pPr>
    </w:p>
    <w:p>
      <w:pPr>
        <w:spacing w:line="600" w:lineRule="auto"/>
        <w:jc w:val="center"/>
        <w:rPr>
          <w:rFonts w:hint="eastAsia" w:ascii="黑体" w:hAnsi="黑体" w:eastAsia="黑体" w:cs="黑体"/>
          <w:sz w:val="56"/>
          <w:szCs w:val="72"/>
        </w:rPr>
      </w:pPr>
    </w:p>
    <w:p>
      <w:pPr>
        <w:spacing w:line="600" w:lineRule="auto"/>
        <w:jc w:val="center"/>
        <w:rPr>
          <w:rFonts w:hint="eastAsia"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rPr>
          <w:rFonts w:hint="eastAsia" w:ascii="仿宋" w:hAnsi="仿宋" w:eastAsia="仿宋" w:cs="仿宋"/>
          <w:sz w:val="32"/>
          <w:szCs w:val="32"/>
        </w:rPr>
      </w:pPr>
    </w:p>
    <w:p>
      <w:pPr>
        <w:snapToGrid w:val="0"/>
        <w:jc w:val="center"/>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石家庄市鹿泉区供销合作社</w:t>
      </w:r>
    </w:p>
    <w:p>
      <w:pPr>
        <w:snapToGrid w:val="0"/>
        <w:jc w:val="center"/>
        <w:rPr>
          <w:rFonts w:hint="eastAsia" w:ascii="仿宋" w:hAnsi="仿宋" w:eastAsia="仿宋" w:cs="仿宋"/>
          <w:color w:val="000000" w:themeColor="text1"/>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1134" w:right="1134" w:bottom="1134" w:left="1134" w:header="851" w:footer="992" w:gutter="0"/>
          <w:cols w:space="720" w:num="1"/>
          <w:docGrid w:type="lines" w:linePitch="312" w:charSpace="0"/>
        </w:sectPr>
      </w:pPr>
      <w:r>
        <w:rPr>
          <w:rFonts w:hint="eastAsia" w:ascii="仿宋" w:hAnsi="仿宋" w:eastAsia="仿宋" w:cs="仿宋"/>
          <w:color w:val="000000" w:themeColor="text1"/>
          <w:sz w:val="32"/>
          <w:szCs w:val="32"/>
        </w:rPr>
        <w:t>二〇二四年八月</w:t>
      </w:r>
    </w:p>
    <w:p>
      <w:pPr>
        <w:widowControl/>
        <w:spacing w:line="600" w:lineRule="exact"/>
        <w:jc w:val="left"/>
        <w:rPr>
          <w:rFonts w:ascii="黑体" w:hAnsi="黑体" w:eastAsia="黑体" w:cs="黑体"/>
          <w:bCs/>
          <w:sz w:val="32"/>
          <w:szCs w:val="32"/>
        </w:rPr>
      </w:pPr>
    </w:p>
    <w:p>
      <w:pPr>
        <w:tabs>
          <w:tab w:val="left" w:pos="2728"/>
        </w:tabs>
        <w:jc w:val="center"/>
        <w:rPr>
          <w:rFonts w:ascii="黑体" w:hAnsi="Times New Roman" w:eastAsia="黑体" w:cs="Times New Roman"/>
          <w:sz w:val="48"/>
          <w:szCs w:val="48"/>
        </w:rPr>
      </w:pPr>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黑体" w:cs="Times New Roman"/>
          <w:sz w:val="32"/>
          <w:szCs w:val="32"/>
        </w:rPr>
        <w:t xml:space="preserve">第一部分   </w:t>
      </w:r>
      <w:r>
        <w:rPr>
          <w:rFonts w:hint="eastAsia" w:ascii="Times New Roman" w:hAnsi="Times New Roman" w:eastAsia="黑体" w:cs="Times New Roman"/>
          <w:sz w:val="32"/>
          <w:szCs w:val="32"/>
        </w:rPr>
        <w:t>单位概况</w:t>
      </w:r>
    </w:p>
    <w:p>
      <w:pPr>
        <w:widowControl/>
        <w:spacing w:after="160" w:line="580" w:lineRule="exact"/>
        <w:ind w:firstLine="1273" w:firstLineChars="398"/>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一、单位职责</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after="160" w:line="580" w:lineRule="exact"/>
        <w:ind w:firstLine="1280" w:firstLineChars="4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sectPr>
          <w:headerReference r:id="rId10" w:type="first"/>
          <w:footerReference r:id="rId12" w:type="first"/>
          <w:headerReference r:id="rId9" w:type="default"/>
          <w:footerReference r:id="rId11" w:type="default"/>
          <w:pgSz w:w="11906" w:h="16838"/>
          <w:pgMar w:top="1474" w:right="1531" w:bottom="1474" w:left="1531" w:header="851" w:footer="992" w:gutter="0"/>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rPr>
          <w:rFonts w:ascii="Arial" w:hAnsi="Arial" w:eastAsia="Arial" w:cs="Arial"/>
          <w:color w:val="000000"/>
          <w:sz w:val="18"/>
          <w:szCs w:val="18"/>
          <w:shd w:val="clear" w:color="auto" w:fill="FFFFFF"/>
        </w:rPr>
      </w:pP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rPr>
          <w:rFonts w:ascii="Arial" w:hAnsi="Arial" w:eastAsia="Arial" w:cs="Arial"/>
          <w:color w:val="000000"/>
          <w:sz w:val="18"/>
          <w:szCs w:val="18"/>
          <w:shd w:val="clear" w:color="auto" w:fill="FFFFFF"/>
        </w:rPr>
      </w:pPr>
    </w:p>
    <w:p>
      <w:pPr>
        <w:pStyle w:val="10"/>
        <w:widowControl/>
        <w:shd w:val="clear" w:color="auto" w:fill="FFFFFF"/>
        <w:spacing w:beforeAutospacing="0" w:afterAutospacing="0"/>
        <w:jc w:val="center"/>
        <w:rPr>
          <w:rFonts w:ascii="黑体" w:hAnsi="宋体" w:eastAsia="黑体" w:cs="黑体"/>
          <w:color w:val="000000"/>
          <w:sz w:val="72"/>
          <w:szCs w:val="72"/>
          <w:shd w:val="clear" w:color="auto" w:fill="FFFFFF"/>
        </w:rPr>
      </w:pPr>
    </w:p>
    <w:p>
      <w:pPr>
        <w:pStyle w:val="10"/>
        <w:widowControl/>
        <w:shd w:val="clear" w:color="auto" w:fill="FFFFFF"/>
        <w:spacing w:beforeAutospacing="0" w:afterAutospacing="0"/>
        <w:jc w:val="center"/>
        <w:rPr>
          <w:rFonts w:ascii="黑体" w:hAnsi="宋体" w:eastAsia="黑体" w:cs="黑体"/>
          <w:color w:val="000000"/>
          <w:sz w:val="72"/>
          <w:szCs w:val="72"/>
          <w:shd w:val="clear" w:color="auto" w:fill="FFFFFF"/>
        </w:rPr>
      </w:pPr>
    </w:p>
    <w:p>
      <w:pPr>
        <w:pStyle w:val="10"/>
        <w:widowControl/>
        <w:shd w:val="clear" w:color="auto" w:fill="FFFFFF"/>
        <w:spacing w:beforeAutospacing="0" w:afterAutospacing="0"/>
        <w:jc w:val="center"/>
        <w:rPr>
          <w:rFonts w:ascii="黑体" w:hAnsi="宋体" w:eastAsia="黑体" w:cs="黑体"/>
          <w:color w:val="000000"/>
          <w:sz w:val="72"/>
          <w:szCs w:val="72"/>
          <w:shd w:val="clear" w:color="auto" w:fill="FFFFFF"/>
        </w:rPr>
      </w:pPr>
    </w:p>
    <w:p>
      <w:pPr>
        <w:pStyle w:val="10"/>
        <w:widowControl/>
        <w:shd w:val="clear" w:color="auto" w:fill="FFFFFF"/>
        <w:spacing w:beforeAutospacing="0" w:afterAutospacing="0"/>
        <w:jc w:val="center"/>
        <w:rPr>
          <w:rFonts w:ascii="Arial" w:hAnsi="Arial" w:eastAsia="Arial" w:cs="Arial"/>
          <w:color w:val="000000"/>
          <w:sz w:val="18"/>
          <w:szCs w:val="18"/>
        </w:rPr>
      </w:pPr>
      <w:r>
        <w:rPr>
          <w:rFonts w:hint="eastAsia" w:ascii="黑体" w:hAnsi="宋体" w:eastAsia="黑体" w:cs="黑体"/>
          <w:color w:val="000000"/>
          <w:sz w:val="72"/>
          <w:szCs w:val="72"/>
          <w:shd w:val="clear" w:color="auto" w:fill="FFFFFF"/>
        </w:rPr>
        <w:t>第一部分  单位概况</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rPr>
          <w:rFonts w:ascii="黑体" w:hAnsi="宋体" w:eastAsia="黑体" w:cs="黑体"/>
          <w:color w:val="000000"/>
          <w:sz w:val="33"/>
          <w:szCs w:val="33"/>
          <w:shd w:val="clear" w:color="auto" w:fill="FFFFFF"/>
        </w:rPr>
      </w:pPr>
      <w:r>
        <w:rPr>
          <w:rFonts w:hint="eastAsia" w:ascii="黑体" w:hAnsi="宋体" w:eastAsia="黑体" w:cs="黑体"/>
          <w:color w:val="000000"/>
          <w:sz w:val="33"/>
          <w:szCs w:val="33"/>
          <w:shd w:val="clear" w:color="auto" w:fill="FFFFFF"/>
        </w:rPr>
        <w:br w:type="page"/>
      </w:r>
    </w:p>
    <w:p>
      <w:pPr>
        <w:pStyle w:val="10"/>
        <w:widowControl/>
        <w:shd w:val="clear" w:color="auto" w:fill="FFFFFF"/>
        <w:spacing w:beforeAutospacing="0" w:afterAutospacing="0"/>
        <w:outlineLvl w:val="1"/>
        <w:rPr>
          <w:rFonts w:ascii="Arial" w:hAnsi="Arial" w:eastAsia="Arial" w:cs="Arial"/>
          <w:color w:val="000000"/>
          <w:sz w:val="32"/>
          <w:szCs w:val="32"/>
        </w:rPr>
      </w:pPr>
      <w:r>
        <w:rPr>
          <w:rFonts w:hint="eastAsia" w:ascii="黑体" w:hAnsi="宋体" w:eastAsia="黑体" w:cs="黑体"/>
          <w:color w:val="000000"/>
          <w:sz w:val="32"/>
          <w:szCs w:val="32"/>
          <w:shd w:val="clear" w:color="auto" w:fill="FFFFFF"/>
        </w:rPr>
        <w:t>一、单位职责</w:t>
      </w:r>
    </w:p>
    <w:p>
      <w:pPr>
        <w:pStyle w:val="10"/>
        <w:widowControl/>
        <w:shd w:val="clear" w:color="auto" w:fill="FFFFFF"/>
        <w:spacing w:beforeAutospacing="0" w:afterAutospacing="0"/>
        <w:rPr>
          <w:sz w:val="28"/>
          <w:szCs w:val="28"/>
        </w:rPr>
      </w:pPr>
      <w:r>
        <w:rPr>
          <w:rFonts w:ascii="Arial" w:hAnsi="Arial" w:eastAsia="Arial" w:cs="Arial"/>
          <w:color w:val="000000"/>
          <w:sz w:val="18"/>
          <w:szCs w:val="18"/>
          <w:shd w:val="clear" w:color="auto" w:fill="FFFFFF"/>
        </w:rPr>
        <w:t> </w:t>
      </w:r>
      <w:r>
        <w:rPr>
          <w:rFonts w:hint="eastAsia" w:ascii="Arial" w:hAnsi="Arial" w:cs="Arial"/>
          <w:color w:val="000000"/>
          <w:sz w:val="18"/>
          <w:szCs w:val="18"/>
          <w:shd w:val="clear" w:color="auto" w:fill="FFFFFF"/>
        </w:rPr>
        <w:t xml:space="preserve">   </w:t>
      </w:r>
      <w:r>
        <w:rPr>
          <w:rFonts w:hint="eastAsia" w:ascii="Arial" w:hAnsi="Arial" w:cs="Arial"/>
          <w:color w:val="000000"/>
          <w:sz w:val="28"/>
          <w:szCs w:val="28"/>
          <w:shd w:val="clear" w:color="auto" w:fill="FFFFFF"/>
        </w:rPr>
        <w:t xml:space="preserve"> </w:t>
      </w:r>
      <w:r>
        <w:rPr>
          <w:sz w:val="28"/>
          <w:szCs w:val="28"/>
        </w:rPr>
        <w:t>负责宣传、贯彻中央、省、市有关供销合作社发展的方针、政策，参与研究和实施农村经济改革发展规划；</w:t>
      </w:r>
    </w:p>
    <w:p>
      <w:pPr>
        <w:pStyle w:val="25"/>
      </w:pPr>
      <w:r>
        <w:t>推进农村建设现代流通网络体系建设；</w:t>
      </w:r>
    </w:p>
    <w:p>
      <w:pPr>
        <w:pStyle w:val="25"/>
      </w:pPr>
      <w:r>
        <w:t>负责社有企业的改革发展稳定，指导社有资产运营等相关工作；</w:t>
      </w:r>
    </w:p>
    <w:p>
      <w:pPr>
        <w:pStyle w:val="25"/>
      </w:pPr>
      <w:r>
        <w:t>负责全区再生资源回收利用服务工作，规范回收从业行为，参与垃圾分类工作，促进再生资源行业健康、有序发展；</w:t>
      </w:r>
    </w:p>
    <w:p>
      <w:pPr>
        <w:pStyle w:val="25"/>
      </w:pPr>
      <w:r>
        <w:t>负责农村产权交易市场体系建设相关工作。</w:t>
      </w:r>
    </w:p>
    <w:p>
      <w:pPr>
        <w:pStyle w:val="25"/>
      </w:pPr>
      <w:r>
        <w:t>做好供销合作社系统综合事务管理，处理好改制遗留问题，突出抓好系统内商品经营安全和商场、市场等人员密集场所消防安全，做好区供销合作社退役人员的安置帮扶工作。</w:t>
      </w:r>
    </w:p>
    <w:p>
      <w:pPr>
        <w:pStyle w:val="10"/>
        <w:widowControl/>
        <w:shd w:val="clear" w:color="auto" w:fill="FFFFFF"/>
        <w:spacing w:beforeAutospacing="0" w:afterAutospacing="0"/>
        <w:outlineLvl w:val="1"/>
        <w:rPr>
          <w:rFonts w:ascii="Arial" w:hAnsi="Arial" w:eastAsia="Arial" w:cs="Arial"/>
          <w:color w:val="000000"/>
          <w:sz w:val="32"/>
          <w:szCs w:val="32"/>
        </w:rPr>
      </w:pPr>
      <w:r>
        <w:rPr>
          <w:rFonts w:hint="eastAsia" w:ascii="黑体" w:hAnsi="宋体" w:eastAsia="黑体" w:cs="黑体"/>
          <w:color w:val="000000"/>
          <w:sz w:val="32"/>
          <w:szCs w:val="32"/>
          <w:shd w:val="clear" w:color="auto" w:fill="FFFFFF"/>
        </w:rPr>
        <w:t>二、机构设置</w:t>
      </w:r>
    </w:p>
    <w:p>
      <w:pPr>
        <w:pStyle w:val="10"/>
        <w:widowControl/>
        <w:shd w:val="clear" w:color="auto" w:fill="FFFFFF"/>
        <w:spacing w:beforeAutospacing="0" w:afterAutospacing="0"/>
        <w:ind w:firstLine="640" w:firstLineChars="200"/>
        <w:rPr>
          <w:rFonts w:ascii="仿宋_GB2312" w:hAnsi="仿宋_GB2312" w:eastAsia="仿宋_GB2312" w:cs="仿宋_GB2312"/>
          <w:sz w:val="32"/>
          <w:szCs w:val="32"/>
          <w:shd w:val="clear" w:color="auto" w:fill="FFFFFF"/>
        </w:rPr>
      </w:pPr>
      <w:r>
        <w:rPr>
          <w:rFonts w:ascii="仿宋_GB2312" w:hAnsi="仿宋_GB2312" w:eastAsia="仿宋_GB2312" w:cs="仿宋_GB2312"/>
          <w:sz w:val="32"/>
          <w:szCs w:val="32"/>
          <w:shd w:val="clear" w:color="auto" w:fill="FFFFFF"/>
        </w:rPr>
        <w:t>从决算编报</w:t>
      </w:r>
      <w:r>
        <w:rPr>
          <w:rFonts w:hint="eastAsia" w:ascii="仿宋_GB2312" w:hAnsi="仿宋_GB2312" w:eastAsia="仿宋_GB2312" w:cs="仿宋_GB2312"/>
          <w:sz w:val="32"/>
          <w:szCs w:val="32"/>
          <w:shd w:val="clear" w:color="auto" w:fill="FFFFFF"/>
        </w:rPr>
        <w:t>单位</w:t>
      </w:r>
      <w:r>
        <w:rPr>
          <w:rFonts w:ascii="仿宋_GB2312" w:hAnsi="仿宋_GB2312" w:eastAsia="仿宋_GB2312" w:cs="仿宋_GB2312"/>
          <w:sz w:val="32"/>
          <w:szCs w:val="32"/>
          <w:shd w:val="clear" w:color="auto" w:fill="FFFFFF"/>
        </w:rPr>
        <w:t>构成看，纳入</w:t>
      </w:r>
      <w:r>
        <w:rPr>
          <w:rFonts w:hint="eastAsia" w:ascii="仿宋_GB2312" w:hAnsi="仿宋_GB2312" w:eastAsia="仿宋_GB2312" w:cs="仿宋_GB2312"/>
          <w:sz w:val="32"/>
          <w:szCs w:val="32"/>
          <w:shd w:val="clear" w:color="auto" w:fill="FFFFFF"/>
        </w:rPr>
        <w:t>2023</w:t>
      </w:r>
      <w:r>
        <w:rPr>
          <w:rFonts w:ascii="仿宋_GB2312" w:hAnsi="仿宋_GB2312" w:eastAsia="仿宋_GB2312" w:cs="仿宋_GB2312"/>
          <w:sz w:val="32"/>
          <w:szCs w:val="32"/>
          <w:shd w:val="clear" w:color="auto" w:fill="FFFFFF"/>
        </w:rPr>
        <w:t>年度</w:t>
      </w:r>
      <w:r>
        <w:rPr>
          <w:rFonts w:hint="eastAsia" w:ascii="仿宋_GB2312" w:hAnsi="仿宋_GB2312" w:eastAsia="仿宋_GB2312" w:cs="仿宋_GB2312"/>
          <w:sz w:val="32"/>
          <w:szCs w:val="32"/>
          <w:shd w:val="clear" w:color="auto" w:fill="FFFFFF"/>
        </w:rPr>
        <w:t>本部门</w:t>
      </w:r>
      <w:r>
        <w:rPr>
          <w:rFonts w:ascii="仿宋_GB2312" w:hAnsi="仿宋_GB2312" w:eastAsia="仿宋_GB2312" w:cs="仿宋_GB2312"/>
          <w:sz w:val="32"/>
          <w:szCs w:val="32"/>
          <w:shd w:val="clear" w:color="auto" w:fill="FFFFFF"/>
        </w:rPr>
        <w:t>决算汇编范围的独立核算</w:t>
      </w:r>
      <w:r>
        <w:rPr>
          <w:rFonts w:hint="eastAsia" w:ascii="仿宋_GB2312" w:hAnsi="仿宋_GB2312" w:eastAsia="仿宋_GB2312" w:cs="仿宋_GB2312"/>
          <w:sz w:val="32"/>
          <w:szCs w:val="32"/>
          <w:shd w:val="clear" w:color="auto" w:fill="FFFFFF"/>
        </w:rPr>
        <w:t>单位</w:t>
      </w:r>
      <w:r>
        <w:rPr>
          <w:rFonts w:ascii="仿宋_GB2312" w:hAnsi="仿宋_GB2312" w:eastAsia="仿宋_GB2312" w:cs="仿宋_GB2312"/>
          <w:sz w:val="32"/>
          <w:szCs w:val="32"/>
          <w:shd w:val="clear" w:color="auto" w:fill="FFFFFF"/>
        </w:rPr>
        <w:t>（以下简称“</w:t>
      </w:r>
      <w:r>
        <w:rPr>
          <w:rFonts w:hint="eastAsia" w:ascii="仿宋_GB2312" w:hAnsi="仿宋_GB2312" w:eastAsia="仿宋_GB2312" w:cs="仿宋_GB2312"/>
          <w:sz w:val="32"/>
          <w:szCs w:val="32"/>
          <w:shd w:val="clear" w:color="auto" w:fill="FFFFFF"/>
        </w:rPr>
        <w:t>单位</w:t>
      </w:r>
      <w:r>
        <w:rPr>
          <w:rFonts w:ascii="仿宋_GB2312" w:hAnsi="仿宋_GB2312" w:eastAsia="仿宋_GB2312" w:cs="仿宋_GB2312"/>
          <w:sz w:val="32"/>
          <w:szCs w:val="32"/>
          <w:shd w:val="clear" w:color="auto" w:fill="FFFFFF"/>
        </w:rPr>
        <w:t xml:space="preserve">”）共 </w:t>
      </w:r>
      <w:r>
        <w:rPr>
          <w:rFonts w:hint="eastAsia" w:ascii="仿宋_GB2312" w:hAnsi="仿宋_GB2312" w:eastAsia="仿宋_GB2312" w:cs="仿宋_GB2312"/>
          <w:sz w:val="32"/>
          <w:szCs w:val="32"/>
          <w:shd w:val="clear" w:color="auto" w:fill="FFFFFF"/>
        </w:rPr>
        <w:t>1</w:t>
      </w:r>
      <w:r>
        <w:rPr>
          <w:rFonts w:ascii="仿宋_GB2312" w:hAnsi="仿宋_GB2312" w:eastAsia="仿宋_GB2312" w:cs="仿宋_GB2312"/>
          <w:sz w:val="32"/>
          <w:szCs w:val="32"/>
          <w:shd w:val="clear" w:color="auto" w:fill="FFFFFF"/>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1" w:hRule="atLeast"/>
          <w:jc w:val="center"/>
        </w:trPr>
        <w:tc>
          <w:tcPr>
            <w:tcW w:w="985" w:type="dxa"/>
            <w:vAlign w:val="center"/>
          </w:tcPr>
          <w:p>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序号</w:t>
            </w:r>
          </w:p>
        </w:tc>
        <w:tc>
          <w:tcPr>
            <w:tcW w:w="3485" w:type="dxa"/>
            <w:vAlign w:val="center"/>
          </w:tcPr>
          <w:p>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单位名称</w:t>
            </w:r>
          </w:p>
        </w:tc>
        <w:tc>
          <w:tcPr>
            <w:tcW w:w="2445" w:type="dxa"/>
            <w:vAlign w:val="center"/>
          </w:tcPr>
          <w:p>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单位基本性质</w:t>
            </w:r>
          </w:p>
        </w:tc>
        <w:tc>
          <w:tcPr>
            <w:tcW w:w="2665" w:type="dxa"/>
            <w:vAlign w:val="center"/>
          </w:tcPr>
          <w:p>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1</w:t>
            </w:r>
          </w:p>
        </w:tc>
        <w:tc>
          <w:tcPr>
            <w:tcW w:w="3485" w:type="dxa"/>
          </w:tcPr>
          <w:p>
            <w:pPr>
              <w:spacing w:line="560" w:lineRule="exact"/>
              <w:rPr>
                <w:rFonts w:hint="eastAsia" w:ascii="仿宋_GB2312" w:hAnsi="Calibri" w:eastAsia="仿宋_GB2312" w:cs="ArialUnicodeMS"/>
                <w:sz w:val="28"/>
                <w:szCs w:val="28"/>
                <w:lang w:eastAsia="zh-CN"/>
              </w:rPr>
            </w:pPr>
            <w:r>
              <w:rPr>
                <w:rFonts w:hint="eastAsia" w:ascii="宋体" w:hAnsi="宋体" w:eastAsia="宋体"/>
                <w:sz w:val="28"/>
                <w:szCs w:val="28"/>
              </w:rPr>
              <w:t>石家庄市鹿泉区供销合作社</w:t>
            </w:r>
            <w:r>
              <w:rPr>
                <w:rFonts w:hint="eastAsia" w:ascii="仿宋_GB2312" w:hAnsi="Calibri" w:eastAsia="仿宋_GB2312" w:cs="ArialUnicodeMS"/>
                <w:sz w:val="28"/>
                <w:szCs w:val="28"/>
                <w:lang w:eastAsia="zh-CN"/>
              </w:rPr>
              <w:t>（</w:t>
            </w:r>
            <w:r>
              <w:rPr>
                <w:rFonts w:hint="eastAsia" w:ascii="仿宋_GB2312" w:hAnsi="Calibri" w:eastAsia="仿宋_GB2312" w:cs="ArialUnicodeMS"/>
                <w:sz w:val="28"/>
                <w:szCs w:val="28"/>
              </w:rPr>
              <w:t>本级</w:t>
            </w:r>
            <w:r>
              <w:rPr>
                <w:rFonts w:hint="eastAsia" w:ascii="仿宋_GB2312" w:hAnsi="Calibri" w:eastAsia="仿宋_GB2312" w:cs="ArialUnicodeMS"/>
                <w:sz w:val="28"/>
                <w:szCs w:val="28"/>
                <w:lang w:eastAsia="zh-CN"/>
              </w:rPr>
              <w:t>）</w:t>
            </w:r>
          </w:p>
        </w:tc>
        <w:tc>
          <w:tcPr>
            <w:tcW w:w="2445" w:type="dxa"/>
          </w:tcPr>
          <w:p>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财政补助事业单位</w:t>
            </w:r>
          </w:p>
        </w:tc>
        <w:tc>
          <w:tcPr>
            <w:tcW w:w="2665" w:type="dxa"/>
          </w:tcPr>
          <w:p>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line="560" w:lineRule="exact"/>
              <w:jc w:val="left"/>
              <w:rPr>
                <w:rFonts w:ascii="仿宋_GB2312" w:hAnsi="Calibri" w:eastAsia="仿宋_GB2312" w:cs="ArialUnicodeMS"/>
                <w:sz w:val="28"/>
                <w:szCs w:val="28"/>
              </w:rPr>
            </w:pPr>
            <w:r>
              <w:rPr>
                <w:rFonts w:hint="eastAsia" w:ascii="仿宋_GB2312" w:hAnsi="Calibri" w:eastAsia="仿宋_GB2312" w:cs="ArialUnicodeMS"/>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UnicodeMS"/>
                <w:sz w:val="28"/>
                <w:szCs w:val="28"/>
              </w:rPr>
            </w:pPr>
            <w:r>
              <w:rPr>
                <w:rFonts w:hint="eastAsia" w:ascii="仿宋_GB2312" w:hAnsi="Calibri" w:eastAsia="仿宋_GB2312" w:cs="ArialUnicodeMS"/>
                <w:sz w:val="28"/>
                <w:szCs w:val="28"/>
              </w:rPr>
              <w:t>2、经费形式分为财政拨款、财政性资金基本保证、财政性资金定额或定项补助、财政性资金零补助四类。</w:t>
            </w:r>
          </w:p>
        </w:tc>
      </w:tr>
    </w:tbl>
    <w:p>
      <w:pPr>
        <w:pStyle w:val="10"/>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widowControl/>
        <w:spacing w:after="160" w:line="580" w:lineRule="exact"/>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rPr>
        <w:t>我部门无二级预算单位，因此，石家庄市鹿泉区供销合作社2023年度部门决算即石家庄市鹿泉区供销合作社本级2023年度决算。</w:t>
      </w:r>
    </w:p>
    <w:p>
      <w:pPr>
        <w:rPr>
          <w:rFonts w:ascii="Times New Roman" w:hAnsi="Times New Roman" w:eastAsia="黑体" w:cs="Times New Roman"/>
          <w:sz w:val="32"/>
          <w:szCs w:val="32"/>
        </w:rPr>
      </w:pPr>
      <w:r>
        <w:rPr>
          <w:rFonts w:hint="eastAsia" w:ascii="Times New Roman" w:hAnsi="Times New Roman" w:eastAsia="黑体" w:cs="Times New Roman"/>
          <w:sz w:val="32"/>
          <w:szCs w:val="32"/>
        </w:rPr>
        <w:br w:type="page"/>
      </w:r>
    </w:p>
    <w:p>
      <w:pPr>
        <w:widowControl/>
        <w:spacing w:after="160" w:line="580" w:lineRule="exact"/>
        <w:ind w:firstLine="640" w:firstLineChars="200"/>
        <w:rPr>
          <w:rFonts w:ascii="Times New Roman" w:hAnsi="Times New Roman" w:eastAsia="黑体" w:cs="Times New Roman"/>
          <w:sz w:val="32"/>
          <w:szCs w:val="32"/>
          <w:highlight w:val="yellow"/>
        </w:rPr>
      </w:pPr>
    </w:p>
    <w:p>
      <w:pPr>
        <w:pStyle w:val="10"/>
        <w:widowControl/>
        <w:shd w:val="clear" w:color="auto" w:fill="FFFFFF"/>
        <w:spacing w:beforeAutospacing="0" w:afterAutospacing="0"/>
        <w:rPr>
          <w:rFonts w:ascii="Arial" w:hAnsi="Arial" w:eastAsia="Arial" w:cs="Arial"/>
          <w:color w:val="000000"/>
          <w:sz w:val="18"/>
          <w:szCs w:val="18"/>
          <w:shd w:val="clear" w:color="auto" w:fill="FFFFFF"/>
        </w:rPr>
      </w:pPr>
    </w:p>
    <w:p>
      <w:pPr>
        <w:widowControl/>
        <w:shd w:val="clear" w:color="auto" w:fill="FFFFFF"/>
        <w:jc w:val="left"/>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outlineLvl w:val="0"/>
        <w:rPr>
          <w:rFonts w:ascii="Arial" w:hAnsi="Arial" w:eastAsia="Arial" w:cs="Arial"/>
        </w:rPr>
      </w:pPr>
      <w:r>
        <w:rPr>
          <w:rFonts w:hint="eastAsia" w:ascii="黑体" w:hAnsi="宋体" w:eastAsia="黑体" w:cs="黑体"/>
          <w:color w:val="000000"/>
          <w:sz w:val="72"/>
          <w:szCs w:val="72"/>
          <w:shd w:val="clear" w:color="auto" w:fill="FFFFFF"/>
        </w:rPr>
        <w:t>第二部分</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hint="eastAsia" w:ascii="黑体" w:hAnsi="宋体" w:eastAsia="黑体" w:cs="黑体"/>
          <w:color w:val="000000"/>
          <w:sz w:val="72"/>
          <w:szCs w:val="72"/>
          <w:shd w:val="clear" w:color="auto" w:fill="FFFFFF"/>
        </w:rPr>
        <w:t>2023年度部门决算报表</w:t>
      </w:r>
    </w:p>
    <w:p>
      <w:pPr>
        <w:pStyle w:val="10"/>
        <w:widowControl/>
        <w:spacing w:beforeAutospacing="0" w:afterAutospacing="0"/>
        <w:jc w:val="center"/>
        <w:rPr>
          <w:rFonts w:ascii="仿宋_GB2312" w:hAnsi="仿宋_GB2312" w:eastAsia="仿宋_GB2312" w:cs="仿宋_GB2312"/>
          <w:color w:val="FF0000"/>
          <w:sz w:val="33"/>
          <w:szCs w:val="33"/>
          <w:shd w:val="clear" w:color="auto" w:fill="FFFFFF"/>
        </w:rPr>
      </w:pPr>
    </w:p>
    <w:p>
      <w:pPr>
        <w:pStyle w:val="10"/>
        <w:widowControl/>
        <w:spacing w:beforeAutospacing="0" w:afterAutospacing="0"/>
        <w:jc w:val="center"/>
        <w:rPr>
          <w:rFonts w:ascii="仿宋_GB2312" w:hAnsi="仿宋_GB2312" w:eastAsia="仿宋_GB2312" w:cs="仿宋_GB2312"/>
          <w:color w:val="FF0000"/>
          <w:sz w:val="33"/>
          <w:szCs w:val="33"/>
          <w:shd w:val="clear" w:color="auto" w:fill="FFFFFF"/>
        </w:rPr>
        <w:sectPr>
          <w:headerReference r:id="rId13" w:type="default"/>
          <w:pgSz w:w="11906" w:h="16838"/>
          <w:pgMar w:top="1134" w:right="1134" w:bottom="1134" w:left="1134" w:header="851" w:footer="992" w:gutter="0"/>
          <w:cols w:space="720" w:num="1"/>
          <w:docGrid w:type="lines" w:linePitch="312" w:charSpace="0"/>
        </w:sectPr>
      </w:pPr>
    </w:p>
    <w:tbl>
      <w:tblPr>
        <w:tblStyle w:val="11"/>
        <w:tblW w:w="7250" w:type="pct"/>
        <w:tblInd w:w="-1817" w:type="dxa"/>
        <w:tblLayout w:type="fixed"/>
        <w:tblCellMar>
          <w:top w:w="0" w:type="dxa"/>
          <w:left w:w="108" w:type="dxa"/>
          <w:bottom w:w="0" w:type="dxa"/>
          <w:right w:w="108" w:type="dxa"/>
        </w:tblCellMar>
      </w:tblPr>
      <w:tblGrid>
        <w:gridCol w:w="3343"/>
        <w:gridCol w:w="623"/>
        <w:gridCol w:w="613"/>
        <w:gridCol w:w="1317"/>
        <w:gridCol w:w="1625"/>
        <w:gridCol w:w="1548"/>
        <w:gridCol w:w="623"/>
        <w:gridCol w:w="1931"/>
        <w:gridCol w:w="35"/>
      </w:tblGrid>
      <w:tr>
        <w:tblPrEx>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收入支出决算总表</w:t>
            </w:r>
          </w:p>
        </w:tc>
      </w:tr>
      <w:tr>
        <w:tblPrEx>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 公开</w:t>
            </w:r>
            <w:r>
              <w:rPr>
                <w:rFonts w:hint="eastAsia" w:ascii="Times New Roman" w:hAnsi="Times New Roman" w:eastAsia="宋体" w:cs="Times New Roman"/>
                <w:color w:val="000000"/>
                <w:sz w:val="20"/>
                <w:szCs w:val="20"/>
              </w:rPr>
              <w:t>01</w:t>
            </w:r>
            <w:r>
              <w:rPr>
                <w:rFonts w:hint="eastAsia" w:ascii="方正仿宋_GB2312" w:hAnsi="方正仿宋_GB2312" w:eastAsia="方正仿宋_GB2312" w:cs="方正仿宋_GB2312"/>
                <w:color w:val="000000"/>
                <w:sz w:val="20"/>
                <w:szCs w:val="20"/>
              </w:rPr>
              <w:t>表</w:t>
            </w:r>
          </w:p>
        </w:tc>
      </w:tr>
      <w:tr>
        <w:tblPrEx>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pPr>
              <w:rPr>
                <w:rFonts w:hint="eastAsia" w:ascii="宋体" w:hAnsi="宋体" w:eastAsia="方正仿宋_GB2312"/>
                <w:color w:val="000000"/>
                <w:sz w:val="20"/>
                <w:szCs w:val="20"/>
                <w:lang w:eastAsia="zh-CN"/>
              </w:rPr>
            </w:pPr>
            <w:r>
              <w:rPr>
                <w:rFonts w:hint="eastAsia" w:ascii="方正仿宋_GB2312" w:hAnsi="方正仿宋_GB2312" w:eastAsia="方正仿宋_GB2312" w:cs="方正仿宋_GB2312"/>
                <w:color w:val="000000"/>
                <w:sz w:val="20"/>
                <w:szCs w:val="20"/>
              </w:rPr>
              <w:t>编制部门（单位）：</w:t>
            </w:r>
            <w:r>
              <w:rPr>
                <w:rFonts w:hint="eastAsia" w:ascii="宋体" w:hAnsi="宋体" w:eastAsia="宋体"/>
                <w:color w:val="000000"/>
                <w:sz w:val="20"/>
                <w:szCs w:val="20"/>
              </w:rPr>
              <w:t>石</w:t>
            </w:r>
            <w:r>
              <w:rPr>
                <w:rFonts w:hint="eastAsia" w:ascii="___WRD_EMBED_SUB_52" w:hAnsi="___WRD_EMBED_SUB_52" w:eastAsia="___WRD_EMBED_SUB_52" w:cs="___WRD_EMBED_SUB_52"/>
                <w:color w:val="000000"/>
                <w:sz w:val="20"/>
                <w:szCs w:val="20"/>
              </w:rPr>
              <w:t>家</w:t>
            </w:r>
            <w:r>
              <w:rPr>
                <w:rFonts w:hint="eastAsia" w:ascii="宋体" w:hAnsi="宋体" w:eastAsia="宋体"/>
                <w:color w:val="000000"/>
                <w:sz w:val="20"/>
                <w:szCs w:val="20"/>
              </w:rPr>
              <w:t>庄市鹿泉</w:t>
            </w:r>
            <w:r>
              <w:rPr>
                <w:rFonts w:hint="eastAsia" w:ascii="___WRD_EMBED_SUB_52" w:hAnsi="___WRD_EMBED_SUB_52" w:eastAsia="___WRD_EMBED_SUB_52" w:cs="___WRD_EMBED_SUB_52"/>
                <w:color w:val="000000"/>
                <w:sz w:val="20"/>
                <w:szCs w:val="20"/>
              </w:rPr>
              <w:t>区</w:t>
            </w:r>
            <w:r>
              <w:rPr>
                <w:rFonts w:hint="eastAsia" w:ascii="宋体" w:hAnsi="宋体" w:eastAsia="宋体"/>
                <w:color w:val="000000"/>
                <w:sz w:val="20"/>
                <w:szCs w:val="20"/>
              </w:rPr>
              <w:t>供销</w:t>
            </w:r>
            <w:r>
              <w:rPr>
                <w:rFonts w:hint="eastAsia" w:ascii="___WRD_EMBED_SUB_52" w:hAnsi="___WRD_EMBED_SUB_52" w:eastAsia="___WRD_EMBED_SUB_52" w:cs="___WRD_EMBED_SUB_52"/>
                <w:color w:val="000000"/>
                <w:sz w:val="20"/>
                <w:szCs w:val="20"/>
              </w:rPr>
              <w:t>合</w:t>
            </w:r>
            <w:r>
              <w:rPr>
                <w:rFonts w:hint="eastAsia" w:ascii="宋体" w:hAnsi="宋体" w:eastAsia="宋体"/>
                <w:color w:val="000000"/>
                <w:sz w:val="20"/>
                <w:szCs w:val="20"/>
              </w:rPr>
              <w:t>作</w:t>
            </w:r>
            <w:r>
              <w:rPr>
                <w:rFonts w:hint="eastAsia" w:ascii="方正仿宋_GB2312" w:hAnsi="方正仿宋_GB2312" w:eastAsia="方正仿宋_GB2312" w:cs="方正仿宋_GB2312"/>
                <w:color w:val="000000"/>
                <w:sz w:val="20"/>
                <w:szCs w:val="20"/>
              </w:rPr>
              <w:t>社</w:t>
            </w:r>
            <w:r>
              <w:rPr>
                <w:rFonts w:hint="eastAsia" w:ascii="方正仿宋_GB2312" w:hAnsi="方正仿宋_GB2312" w:eastAsia="方正仿宋_GB2312" w:cs="方正仿宋_GB2312"/>
                <w:color w:val="000000"/>
                <w:sz w:val="20"/>
                <w:szCs w:val="20"/>
                <w:lang w:eastAsia="zh-CN"/>
              </w:rPr>
              <w:t>（</w:t>
            </w:r>
            <w:r>
              <w:rPr>
                <w:rFonts w:hint="eastAsia" w:ascii="方正仿宋_GB2312" w:hAnsi="方正仿宋_GB2312" w:eastAsia="方正仿宋_GB2312" w:cs="方正仿宋_GB2312"/>
                <w:color w:val="000000"/>
                <w:sz w:val="20"/>
                <w:szCs w:val="20"/>
              </w:rPr>
              <w:t>本级</w:t>
            </w:r>
            <w:r>
              <w:rPr>
                <w:rFonts w:hint="eastAsia" w:ascii="方正仿宋_GB2312" w:hAnsi="方正仿宋_GB2312" w:eastAsia="方正仿宋_GB2312" w:cs="方正仿宋_GB2312"/>
                <w:color w:val="000000"/>
                <w:sz w:val="20"/>
                <w:szCs w:val="20"/>
                <w:lang w:eastAsia="zh-CN"/>
              </w:rPr>
              <w:t>）</w:t>
            </w:r>
          </w:p>
        </w:tc>
        <w:tc>
          <w:tcPr>
            <w:tcW w:w="1262" w:type="pct"/>
            <w:gridSpan w:val="2"/>
            <w:tcBorders>
              <w:top w:val="nil"/>
              <w:left w:val="nil"/>
              <w:bottom w:val="single" w:color="auto" w:sz="4" w:space="0"/>
              <w:right w:val="nil"/>
            </w:tcBorders>
            <w:noWrap/>
            <w:vAlign w:val="bottom"/>
          </w:tcPr>
          <w:p>
            <w:pPr>
              <w:jc w:val="center"/>
              <w:rPr>
                <w:rFonts w:ascii="宋体" w:hAnsi="宋体" w:eastAsia="宋体"/>
                <w:color w:val="000000"/>
                <w:sz w:val="20"/>
                <w:szCs w:val="20"/>
              </w:rPr>
            </w:pPr>
            <w:r>
              <w:rPr>
                <w:rFonts w:hint="eastAsia" w:ascii="Times New Roman" w:hAnsi="Times New Roman" w:eastAsia="宋体"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1757" w:type="pct"/>
            <w:gridSpan w:val="3"/>
            <w:tcBorders>
              <w:top w:val="nil"/>
              <w:left w:val="nil"/>
              <w:bottom w:val="single" w:color="auto" w:sz="4" w:space="0"/>
              <w:right w:val="nil"/>
            </w:tcBorders>
            <w:noWrap/>
            <w:vAlign w:val="bottom"/>
          </w:tcPr>
          <w:p>
            <w:pPr>
              <w:jc w:val="right"/>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tblPrEx>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收入</w:t>
            </w:r>
          </w:p>
        </w:tc>
        <w:tc>
          <w:tcPr>
            <w:tcW w:w="2456" w:type="pct"/>
            <w:gridSpan w:val="4"/>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支出</w:t>
            </w:r>
          </w:p>
        </w:tc>
      </w:tr>
      <w:tr>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项目</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行次</w:t>
            </w:r>
          </w:p>
        </w:tc>
        <w:tc>
          <w:tcPr>
            <w:tcW w:w="826" w:type="pct"/>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决算数</w:t>
            </w: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项目</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行次</w:t>
            </w:r>
          </w:p>
        </w:tc>
        <w:tc>
          <w:tcPr>
            <w:tcW w:w="826"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决算数</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栏次</w:t>
            </w:r>
          </w:p>
        </w:tc>
        <w:tc>
          <w:tcPr>
            <w:tcW w:w="267" w:type="pct"/>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826" w:type="pct"/>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1</w:t>
            </w: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栏次</w:t>
            </w:r>
          </w:p>
        </w:tc>
        <w:tc>
          <w:tcPr>
            <w:tcW w:w="267" w:type="pct"/>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826"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2</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宋体" w:hAnsi="宋体" w:eastAsia="宋体"/>
                <w:color w:val="000000"/>
                <w:sz w:val="20"/>
                <w:szCs w:val="20"/>
              </w:rPr>
              <w:t>1</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358.09</w:t>
            </w: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一、一般公共服务支出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二、外交支出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三、国防支出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四、上级补助收入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四、公共安全支出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五、事业收入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五、教育支出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六、经营收入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六、科学技术支出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七、附属单位上缴收入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七、文化旅游体育与传媒支出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八、其他收入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八、社会保障和就业支出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170.95</w:t>
            </w:r>
          </w:p>
        </w:tc>
      </w:tr>
      <w:tr>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九、卫生健康支出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10.00</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十、节能环保支出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十一、城乡社区支出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十二、农林水支出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43</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十三、交通运输支出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auto"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w:t>
            </w:r>
          </w:p>
        </w:tc>
        <w:tc>
          <w:tcPr>
            <w:tcW w:w="826" w:type="pct"/>
            <w:gridSpan w:val="2"/>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auto"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十四、资源勘探工业信息等支出</w:t>
            </w:r>
          </w:p>
        </w:tc>
        <w:tc>
          <w:tcPr>
            <w:tcW w:w="267" w:type="pct"/>
            <w:tcBorders>
              <w:top w:val="nil"/>
              <w:left w:val="nil"/>
              <w:bottom w:val="single" w:color="auto"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45</w:t>
            </w:r>
          </w:p>
        </w:tc>
        <w:tc>
          <w:tcPr>
            <w:tcW w:w="826" w:type="pct"/>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164.05</w:t>
            </w: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13.10</w:t>
            </w: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w:t>
            </w:r>
          </w:p>
        </w:tc>
        <w:tc>
          <w:tcPr>
            <w:tcW w:w="826" w:type="pct"/>
            <w:gridSpan w:val="2"/>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w:t>
            </w:r>
          </w:p>
        </w:tc>
        <w:tc>
          <w:tcPr>
            <w:tcW w:w="826" w:type="pct"/>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二十二、灾害防治及应急管理支出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二十三、其他支出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二十四、债务还本支出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二十五、债务付息支出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二十六、抗疫特别国债安排的支出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57</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本年收入合计</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358.09</w:t>
            </w: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本年支出合计</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58</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358.09</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使用非财政拨款结余（含专用结余）</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结余分配</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59</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年初结转和结余</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年末结转和结余</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358.09</w:t>
            </w: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358.09</w:t>
            </w:r>
          </w:p>
        </w:tc>
      </w:tr>
      <w:tr>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注：1.本表反映部门本年度的总收支和年末结转结余情况。2.本套报表金额转换时可能存在尾数误差。</w:t>
            </w:r>
          </w:p>
        </w:tc>
      </w:tr>
    </w:tbl>
    <w:p>
      <w:pPr>
        <w:rPr>
          <w:rFonts w:ascii="仿宋_GB2312" w:hAnsi="宋体" w:eastAsia="仿宋_GB2312"/>
          <w:b/>
          <w:sz w:val="32"/>
          <w:szCs w:val="32"/>
        </w:rPr>
      </w:pPr>
      <w:r>
        <w:rPr>
          <w:rFonts w:hint="eastAsia" w:ascii="仿宋_GB2312" w:hAnsi="宋体" w:eastAsia="仿宋_GB2312"/>
          <w:b/>
          <w:sz w:val="32"/>
          <w:szCs w:val="32"/>
        </w:rPr>
        <w:br w:type="page"/>
      </w:r>
    </w:p>
    <w:p>
      <w:pPr>
        <w:widowControl/>
        <w:jc w:val="center"/>
        <w:textAlignment w:val="bottom"/>
        <w:rPr>
          <w:rFonts w:ascii="黑体" w:hAnsi="黑体" w:eastAsia="黑体"/>
          <w:bCs/>
          <w:sz w:val="32"/>
          <w:szCs w:val="32"/>
        </w:rPr>
      </w:pPr>
    </w:p>
    <w:tbl>
      <w:tblPr>
        <w:tblStyle w:val="11"/>
        <w:tblW w:w="9230" w:type="dxa"/>
        <w:jc w:val="center"/>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收入决算表</w:t>
            </w:r>
          </w:p>
        </w:tc>
      </w:tr>
      <w:tr>
        <w:tblPrEx>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hint="eastAsia" w:ascii="Times New Roman" w:hAnsi="Times New Roman" w:eastAsia="宋体" w:cs="Times New Roman"/>
                <w:color w:val="000000"/>
                <w:sz w:val="20"/>
                <w:szCs w:val="20"/>
              </w:rPr>
              <w:t>02</w:t>
            </w:r>
            <w:r>
              <w:rPr>
                <w:rFonts w:hint="eastAsia" w:ascii="方正仿宋_GB2312" w:hAnsi="方正仿宋_GB2312" w:eastAsia="方正仿宋_GB2312" w:cs="方正仿宋_GB2312"/>
                <w:color w:val="000000"/>
                <w:sz w:val="20"/>
                <w:szCs w:val="20"/>
              </w:rPr>
              <w:t>表</w:t>
            </w:r>
          </w:p>
        </w:tc>
      </w:tr>
      <w:tr>
        <w:tblPrEx>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编制部门（单位）：</w:t>
            </w:r>
            <w:r>
              <w:rPr>
                <w:rFonts w:hint="eastAsia" w:ascii="宋体" w:hAnsi="宋体" w:eastAsia="宋体"/>
                <w:color w:val="000000"/>
                <w:sz w:val="20"/>
                <w:szCs w:val="20"/>
              </w:rPr>
              <w:t>石</w:t>
            </w:r>
            <w:r>
              <w:rPr>
                <w:rFonts w:hint="eastAsia" w:ascii="___WRD_EMBED_SUB_52" w:hAnsi="___WRD_EMBED_SUB_52" w:eastAsia="___WRD_EMBED_SUB_52" w:cs="___WRD_EMBED_SUB_52"/>
                <w:color w:val="000000"/>
                <w:sz w:val="20"/>
                <w:szCs w:val="20"/>
              </w:rPr>
              <w:t>家</w:t>
            </w:r>
            <w:r>
              <w:rPr>
                <w:rFonts w:hint="eastAsia" w:ascii="宋体" w:hAnsi="宋体" w:eastAsia="宋体"/>
                <w:color w:val="000000"/>
                <w:sz w:val="20"/>
                <w:szCs w:val="20"/>
              </w:rPr>
              <w:t>庄市鹿泉</w:t>
            </w:r>
            <w:r>
              <w:rPr>
                <w:rFonts w:hint="eastAsia" w:ascii="___WRD_EMBED_SUB_52" w:hAnsi="___WRD_EMBED_SUB_52" w:eastAsia="___WRD_EMBED_SUB_52" w:cs="___WRD_EMBED_SUB_52"/>
                <w:color w:val="000000"/>
                <w:sz w:val="20"/>
                <w:szCs w:val="20"/>
              </w:rPr>
              <w:t>区</w:t>
            </w:r>
            <w:r>
              <w:rPr>
                <w:rFonts w:hint="eastAsia" w:ascii="宋体" w:hAnsi="宋体" w:eastAsia="宋体"/>
                <w:color w:val="000000"/>
                <w:sz w:val="20"/>
                <w:szCs w:val="20"/>
              </w:rPr>
              <w:t>供销</w:t>
            </w:r>
            <w:r>
              <w:rPr>
                <w:rFonts w:hint="eastAsia" w:ascii="___WRD_EMBED_SUB_52" w:hAnsi="___WRD_EMBED_SUB_52" w:eastAsia="___WRD_EMBED_SUB_52" w:cs="___WRD_EMBED_SUB_52"/>
                <w:color w:val="000000"/>
                <w:sz w:val="20"/>
                <w:szCs w:val="20"/>
              </w:rPr>
              <w:t>合</w:t>
            </w:r>
            <w:r>
              <w:rPr>
                <w:rFonts w:hint="eastAsia" w:ascii="宋体" w:hAnsi="宋体" w:eastAsia="宋体"/>
                <w:color w:val="000000"/>
                <w:sz w:val="20"/>
                <w:szCs w:val="20"/>
              </w:rPr>
              <w:t>作</w:t>
            </w:r>
            <w:r>
              <w:rPr>
                <w:rFonts w:hint="eastAsia" w:ascii="方正仿宋_GB2312" w:hAnsi="方正仿宋_GB2312" w:eastAsia="方正仿宋_GB2312" w:cs="方正仿宋_GB2312"/>
                <w:color w:val="000000"/>
                <w:sz w:val="20"/>
                <w:szCs w:val="20"/>
              </w:rPr>
              <w:t>社</w:t>
            </w:r>
            <w:r>
              <w:rPr>
                <w:rFonts w:hint="eastAsia" w:ascii="方正仿宋_GB2312" w:hAnsi="方正仿宋_GB2312" w:eastAsia="方正仿宋_GB2312" w:cs="方正仿宋_GB2312"/>
                <w:color w:val="000000"/>
                <w:sz w:val="20"/>
                <w:szCs w:val="20"/>
                <w:lang w:eastAsia="zh-CN"/>
              </w:rPr>
              <w:t>（</w:t>
            </w:r>
            <w:r>
              <w:rPr>
                <w:rFonts w:hint="eastAsia" w:ascii="方正仿宋_GB2312" w:hAnsi="方正仿宋_GB2312" w:eastAsia="方正仿宋_GB2312" w:cs="方正仿宋_GB2312"/>
                <w:color w:val="000000"/>
                <w:sz w:val="20"/>
                <w:szCs w:val="20"/>
              </w:rPr>
              <w:t>本级</w:t>
            </w:r>
            <w:r>
              <w:rPr>
                <w:rFonts w:hint="eastAsia" w:ascii="方正仿宋_GB2312" w:hAnsi="方正仿宋_GB2312" w:eastAsia="方正仿宋_GB2312" w:cs="方正仿宋_GB2312"/>
                <w:color w:val="000000"/>
                <w:sz w:val="20"/>
                <w:szCs w:val="20"/>
                <w:lang w:eastAsia="zh-CN"/>
              </w:rPr>
              <w:t>）</w:t>
            </w:r>
            <w:r>
              <w:rPr>
                <w:rFonts w:hint="eastAsia" w:ascii="方正仿宋_GB2312" w:hAnsi="方正仿宋_GB2312" w:eastAsia="方正仿宋_GB2312" w:cs="方正仿宋_GB2312"/>
                <w:color w:val="000000"/>
                <w:sz w:val="20"/>
                <w:szCs w:val="20"/>
              </w:rPr>
              <w:t xml:space="preserve">                                                                                                         </w:t>
            </w:r>
          </w:p>
        </w:tc>
        <w:tc>
          <w:tcPr>
            <w:tcW w:w="3405" w:type="dxa"/>
            <w:gridSpan w:val="4"/>
            <w:tcBorders>
              <w:top w:val="nil"/>
              <w:left w:val="nil"/>
              <w:bottom w:val="single" w:color="auto" w:sz="4" w:space="0"/>
              <w:right w:val="nil"/>
            </w:tcBorders>
            <w:noWrap/>
            <w:vAlign w:val="bottom"/>
          </w:tcPr>
          <w:p>
            <w:pPr>
              <w:jc w:val="center"/>
              <w:rPr>
                <w:rFonts w:ascii="方正仿宋_GB2312" w:hAnsi="方正仿宋_GB2312" w:eastAsia="方正仿宋_GB2312" w:cs="方正仿宋_GB2312"/>
                <w:color w:val="000000"/>
                <w:sz w:val="20"/>
                <w:szCs w:val="20"/>
              </w:rPr>
            </w:pPr>
            <w:r>
              <w:rPr>
                <w:rFonts w:ascii="Times New Roman" w:hAnsi="Times New Roman" w:eastAsia="方正仿宋_GB2312"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2588" w:type="dxa"/>
            <w:gridSpan w:val="3"/>
            <w:tcBorders>
              <w:top w:val="nil"/>
              <w:left w:val="nil"/>
              <w:bottom w:val="single" w:color="auto" w:sz="4" w:space="0"/>
              <w:right w:val="nil"/>
            </w:tcBorders>
            <w:noWrap/>
            <w:vAlign w:val="bottom"/>
          </w:tcPr>
          <w:p>
            <w:pPr>
              <w:jc w:val="righ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金额单位：万元</w:t>
            </w:r>
          </w:p>
        </w:tc>
      </w:tr>
      <w:tr>
        <w:tblPrEx>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1037"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本年收入合计</w:t>
            </w:r>
          </w:p>
        </w:tc>
        <w:tc>
          <w:tcPr>
            <w:tcW w:w="1037"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财政拨款收入</w:t>
            </w:r>
          </w:p>
        </w:tc>
        <w:tc>
          <w:tcPr>
            <w:tcW w:w="1037"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上级补助收入</w:t>
            </w:r>
          </w:p>
        </w:tc>
        <w:tc>
          <w:tcPr>
            <w:tcW w:w="964" w:type="dxa"/>
            <w:vMerge w:val="restart"/>
            <w:tcBorders>
              <w:top w:val="single" w:color="auto" w:sz="4" w:space="0"/>
              <w:left w:val="nil"/>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事业收入</w:t>
            </w:r>
          </w:p>
        </w:tc>
        <w:tc>
          <w:tcPr>
            <w:tcW w:w="964" w:type="dxa"/>
            <w:gridSpan w:val="2"/>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经营收入</w:t>
            </w:r>
          </w:p>
        </w:tc>
        <w:tc>
          <w:tcPr>
            <w:tcW w:w="1027"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附属单位上缴收入</w:t>
            </w:r>
          </w:p>
        </w:tc>
        <w:tc>
          <w:tcPr>
            <w:tcW w:w="964"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其他收入</w:t>
            </w:r>
          </w:p>
        </w:tc>
      </w:tr>
      <w:tr>
        <w:tblPrEx>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160" w:type="dxa"/>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964" w:type="dxa"/>
            <w:vMerge w:val="continue"/>
            <w:tcBorders>
              <w:left w:val="nil"/>
              <w:right w:val="single" w:color="000000" w:sz="4" w:space="0"/>
            </w:tcBorders>
            <w:vAlign w:val="center"/>
          </w:tcPr>
          <w:p>
            <w:pPr>
              <w:widowControl/>
              <w:jc w:val="center"/>
              <w:textAlignment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1160" w:type="dxa"/>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964" w:type="dxa"/>
            <w:vMerge w:val="continue"/>
            <w:tcBorders>
              <w:left w:val="nil"/>
              <w:right w:val="single" w:color="000000" w:sz="4" w:space="0"/>
            </w:tcBorders>
            <w:vAlign w:val="center"/>
          </w:tcPr>
          <w:p>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1160" w:type="dxa"/>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964" w:type="dxa"/>
            <w:vMerge w:val="continue"/>
            <w:tcBorders>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1037" w:type="dxa"/>
            <w:tcBorders>
              <w:top w:val="nil"/>
              <w:left w:val="nil"/>
              <w:bottom w:val="single" w:color="000000" w:sz="4" w:space="0"/>
              <w:right w:val="single" w:color="000000" w:sz="4" w:space="0"/>
            </w:tcBorders>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1037" w:type="dxa"/>
            <w:tcBorders>
              <w:top w:val="nil"/>
              <w:left w:val="nil"/>
              <w:bottom w:val="single" w:color="000000" w:sz="4" w:space="0"/>
              <w:right w:val="single" w:color="000000" w:sz="4" w:space="0"/>
            </w:tcBorders>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1037" w:type="dxa"/>
            <w:tcBorders>
              <w:top w:val="nil"/>
              <w:left w:val="nil"/>
              <w:bottom w:val="single" w:color="000000" w:sz="4" w:space="0"/>
              <w:right w:val="single" w:color="000000" w:sz="4" w:space="0"/>
            </w:tcBorders>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c>
          <w:tcPr>
            <w:tcW w:w="964" w:type="dxa"/>
            <w:tcBorders>
              <w:top w:val="nil"/>
              <w:left w:val="nil"/>
              <w:bottom w:val="single" w:color="000000" w:sz="4" w:space="0"/>
              <w:right w:val="single" w:color="000000" w:sz="4" w:space="0"/>
            </w:tcBorders>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4</w:t>
            </w:r>
          </w:p>
        </w:tc>
        <w:tc>
          <w:tcPr>
            <w:tcW w:w="964" w:type="dxa"/>
            <w:gridSpan w:val="2"/>
            <w:tcBorders>
              <w:top w:val="nil"/>
              <w:left w:val="nil"/>
              <w:bottom w:val="single" w:color="000000" w:sz="4" w:space="0"/>
              <w:right w:val="single" w:color="000000" w:sz="4" w:space="0"/>
            </w:tcBorders>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5</w:t>
            </w:r>
          </w:p>
        </w:tc>
        <w:tc>
          <w:tcPr>
            <w:tcW w:w="1027" w:type="dxa"/>
            <w:tcBorders>
              <w:top w:val="nil"/>
              <w:left w:val="nil"/>
              <w:bottom w:val="single" w:color="000000" w:sz="4" w:space="0"/>
              <w:right w:val="single" w:color="000000" w:sz="4" w:space="0"/>
            </w:tcBorders>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6</w:t>
            </w:r>
          </w:p>
        </w:tc>
        <w:tc>
          <w:tcPr>
            <w:tcW w:w="964" w:type="dxa"/>
            <w:tcBorders>
              <w:top w:val="nil"/>
              <w:left w:val="nil"/>
              <w:bottom w:val="single" w:color="000000" w:sz="4" w:space="0"/>
              <w:right w:val="single" w:color="000000" w:sz="4" w:space="0"/>
            </w:tcBorders>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7</w:t>
            </w:r>
          </w:p>
        </w:tc>
      </w:tr>
      <w:tr>
        <w:tblPrEx>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358.09</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358.09</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170.95</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170.95</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行政事业单位养老支出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114.00</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114.00</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行政单位离退休</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100.09</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100.09</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2080505</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机关事业单位基本养老保险缴费支出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13.91</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13.91</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20809</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退役安置</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56.95</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56.95</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2080901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退役士兵安置</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56.95</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56.95</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卫生健康支出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10.00</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10.00</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行政事业单位医疗</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10.00</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10.00</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2101101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行政单位医疗</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10.00</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10.00</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216</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商业服务业等支出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164.05</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164.05</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21602</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商业流通事务</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164.05</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164.05</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2160250</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事业运行</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144.05</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144.05</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2160299</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其他商业流通事务支出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20.00</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20.00</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住房保障支出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13.10</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13.10</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22102</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住房改革支出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13.10</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13.10</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2210201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住房公积金</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13.10</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13.10</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注：本表反映部门本年度取得的各项收入情况。</w:t>
            </w:r>
          </w:p>
        </w:tc>
      </w:tr>
    </w:tbl>
    <w:p>
      <w:pPr>
        <w:rPr>
          <w:rFonts w:ascii="黑体" w:hAnsi="黑体" w:eastAsia="黑体"/>
          <w:bCs/>
          <w:sz w:val="32"/>
          <w:szCs w:val="32"/>
        </w:rPr>
      </w:pPr>
      <w:r>
        <w:rPr>
          <w:rFonts w:hint="eastAsia" w:ascii="仿宋_GB2312" w:hAnsi="宋体" w:eastAsia="仿宋_GB2312"/>
          <w:b/>
          <w:sz w:val="32"/>
          <w:szCs w:val="32"/>
        </w:rPr>
        <w:br w:type="page"/>
      </w:r>
    </w:p>
    <w:p>
      <w:pPr>
        <w:widowControl/>
        <w:jc w:val="center"/>
        <w:textAlignment w:val="bottom"/>
        <w:rPr>
          <w:rFonts w:ascii="宋体" w:hAnsi="宋体" w:eastAsia="宋体"/>
          <w:spacing w:val="-2"/>
          <w:sz w:val="20"/>
        </w:rPr>
      </w:pPr>
    </w:p>
    <w:tbl>
      <w:tblPr>
        <w:tblStyle w:val="11"/>
        <w:tblW w:w="5812" w:type="pct"/>
        <w:jc w:val="center"/>
        <w:tblLayout w:type="fixed"/>
        <w:tblCellMar>
          <w:top w:w="0" w:type="dxa"/>
          <w:left w:w="108" w:type="dxa"/>
          <w:bottom w:w="0" w:type="dxa"/>
          <w:right w:w="108" w:type="dxa"/>
        </w:tblCellMar>
      </w:tblPr>
      <w:tblGrid>
        <w:gridCol w:w="1040"/>
        <w:gridCol w:w="1187"/>
        <w:gridCol w:w="1127"/>
        <w:gridCol w:w="127"/>
        <w:gridCol w:w="998"/>
        <w:gridCol w:w="1125"/>
        <w:gridCol w:w="499"/>
        <w:gridCol w:w="626"/>
        <w:gridCol w:w="1125"/>
        <w:gridCol w:w="1492"/>
      </w:tblGrid>
      <w:tr>
        <w:tblPrEx>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pPr>
              <w:jc w:val="center"/>
              <w:outlineLvl w:val="1"/>
              <w:rPr>
                <w:rFonts w:ascii="宋体" w:hAnsi="宋体" w:eastAsia="宋体"/>
                <w:color w:val="000000"/>
                <w:sz w:val="20"/>
                <w:szCs w:val="20"/>
              </w:rPr>
            </w:pPr>
            <w:r>
              <w:rPr>
                <w:rFonts w:hint="eastAsia" w:ascii="方正仿宋_GB2312" w:hAnsi="方正仿宋_GB2312" w:eastAsia="方正仿宋_GB2312" w:cs="方正仿宋_GB2312"/>
                <w:bCs/>
                <w:sz w:val="32"/>
                <w:szCs w:val="32"/>
              </w:rPr>
              <w:br w:type="page"/>
            </w:r>
            <w:r>
              <w:rPr>
                <w:rFonts w:hint="eastAsia" w:ascii="方正仿宋_GB2312" w:hAnsi="方正仿宋_GB2312" w:eastAsia="方正仿宋_GB2312" w:cs="方正仿宋_GB2312"/>
                <w:bCs/>
                <w:sz w:val="32"/>
                <w:szCs w:val="32"/>
              </w:rPr>
              <w:t>支出决算表</w:t>
            </w:r>
          </w:p>
        </w:tc>
      </w:tr>
      <w:tr>
        <w:tblPrEx>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宋体" w:cs="Times New Roman"/>
                <w:color w:val="000000"/>
                <w:sz w:val="20"/>
                <w:szCs w:val="20"/>
              </w:rPr>
              <w:t>03</w:t>
            </w:r>
            <w:r>
              <w:rPr>
                <w:rFonts w:hint="eastAsia" w:ascii="方正仿宋_GB2312" w:hAnsi="方正仿宋_GB2312" w:eastAsia="方正仿宋_GB2312" w:cs="方正仿宋_GB2312"/>
                <w:color w:val="000000"/>
                <w:sz w:val="20"/>
                <w:szCs w:val="20"/>
              </w:rPr>
              <w:t>表</w:t>
            </w:r>
          </w:p>
        </w:tc>
      </w:tr>
      <w:tr>
        <w:tblPrEx>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编制部门（单位）：</w:t>
            </w:r>
            <w:r>
              <w:rPr>
                <w:rFonts w:hint="eastAsia" w:ascii="宋体" w:hAnsi="宋体" w:eastAsia="宋体"/>
                <w:color w:val="000000"/>
                <w:sz w:val="20"/>
                <w:szCs w:val="20"/>
              </w:rPr>
              <w:t>石</w:t>
            </w:r>
            <w:r>
              <w:rPr>
                <w:rFonts w:hint="eastAsia" w:ascii="___WRD_EMBED_SUB_52" w:hAnsi="___WRD_EMBED_SUB_52" w:eastAsia="___WRD_EMBED_SUB_52" w:cs="___WRD_EMBED_SUB_52"/>
                <w:color w:val="000000"/>
                <w:sz w:val="20"/>
                <w:szCs w:val="20"/>
              </w:rPr>
              <w:t>家</w:t>
            </w:r>
            <w:r>
              <w:rPr>
                <w:rFonts w:hint="eastAsia" w:ascii="宋体" w:hAnsi="宋体" w:eastAsia="宋体"/>
                <w:color w:val="000000"/>
                <w:sz w:val="20"/>
                <w:szCs w:val="20"/>
              </w:rPr>
              <w:t>庄市鹿泉</w:t>
            </w:r>
            <w:r>
              <w:rPr>
                <w:rFonts w:hint="eastAsia" w:ascii="___WRD_EMBED_SUB_52" w:hAnsi="___WRD_EMBED_SUB_52" w:eastAsia="___WRD_EMBED_SUB_52" w:cs="___WRD_EMBED_SUB_52"/>
                <w:color w:val="000000"/>
                <w:sz w:val="20"/>
                <w:szCs w:val="20"/>
              </w:rPr>
              <w:t>区</w:t>
            </w:r>
            <w:r>
              <w:rPr>
                <w:rFonts w:hint="eastAsia" w:ascii="宋体" w:hAnsi="宋体" w:eastAsia="宋体"/>
                <w:color w:val="000000"/>
                <w:sz w:val="20"/>
                <w:szCs w:val="20"/>
              </w:rPr>
              <w:t>供销</w:t>
            </w:r>
            <w:r>
              <w:rPr>
                <w:rFonts w:hint="eastAsia" w:ascii="___WRD_EMBED_SUB_52" w:hAnsi="___WRD_EMBED_SUB_52" w:eastAsia="___WRD_EMBED_SUB_52" w:cs="___WRD_EMBED_SUB_52"/>
                <w:color w:val="000000"/>
                <w:sz w:val="20"/>
                <w:szCs w:val="20"/>
              </w:rPr>
              <w:t>合</w:t>
            </w:r>
            <w:r>
              <w:rPr>
                <w:rFonts w:hint="eastAsia" w:ascii="宋体" w:hAnsi="宋体" w:eastAsia="宋体"/>
                <w:color w:val="000000"/>
                <w:sz w:val="20"/>
                <w:szCs w:val="20"/>
              </w:rPr>
              <w:t>作</w:t>
            </w:r>
            <w:r>
              <w:rPr>
                <w:rFonts w:hint="eastAsia" w:ascii="方正仿宋_GB2312" w:hAnsi="方正仿宋_GB2312" w:eastAsia="方正仿宋_GB2312" w:cs="方正仿宋_GB2312"/>
                <w:color w:val="000000"/>
                <w:sz w:val="20"/>
                <w:szCs w:val="20"/>
              </w:rPr>
              <w:t>社</w:t>
            </w:r>
            <w:r>
              <w:rPr>
                <w:rFonts w:hint="eastAsia" w:ascii="方正仿宋_GB2312" w:hAnsi="方正仿宋_GB2312" w:eastAsia="方正仿宋_GB2312" w:cs="方正仿宋_GB2312"/>
                <w:color w:val="000000"/>
                <w:sz w:val="20"/>
                <w:szCs w:val="20"/>
                <w:lang w:eastAsia="zh-CN"/>
              </w:rPr>
              <w:t>（</w:t>
            </w:r>
            <w:r>
              <w:rPr>
                <w:rFonts w:hint="eastAsia" w:ascii="方正仿宋_GB2312" w:hAnsi="方正仿宋_GB2312" w:eastAsia="方正仿宋_GB2312" w:cs="方正仿宋_GB2312"/>
                <w:color w:val="000000"/>
                <w:sz w:val="20"/>
                <w:szCs w:val="20"/>
              </w:rPr>
              <w:t>本级</w:t>
            </w:r>
            <w:r>
              <w:rPr>
                <w:rFonts w:hint="eastAsia" w:ascii="方正仿宋_GB2312" w:hAnsi="方正仿宋_GB2312" w:eastAsia="方正仿宋_GB2312" w:cs="方正仿宋_GB2312"/>
                <w:color w:val="000000"/>
                <w:sz w:val="20"/>
                <w:szCs w:val="20"/>
                <w:lang w:eastAsia="zh-CN"/>
              </w:rPr>
              <w:t>）</w:t>
            </w:r>
            <w:r>
              <w:rPr>
                <w:rFonts w:hint="eastAsia" w:ascii="方正仿宋_GB2312" w:hAnsi="方正仿宋_GB2312" w:eastAsia="方正仿宋_GB2312" w:cs="方正仿宋_GB2312"/>
                <w:color w:val="000000"/>
                <w:sz w:val="20"/>
                <w:szCs w:val="20"/>
              </w:rPr>
              <w:t xml:space="preserve"> </w:t>
            </w:r>
            <w:r>
              <w:rPr>
                <w:rFonts w:hint="eastAsia" w:asciiTheme="minorEastAsia" w:hAnsiTheme="minorEastAsia" w:cstheme="minorEastAsia"/>
                <w:color w:val="000000"/>
                <w:sz w:val="20"/>
                <w:szCs w:val="20"/>
              </w:rPr>
              <w:t xml:space="preserve">                                                                                                         </w:t>
            </w:r>
          </w:p>
        </w:tc>
        <w:tc>
          <w:tcPr>
            <w:tcW w:w="1403" w:type="pct"/>
            <w:gridSpan w:val="3"/>
            <w:tcBorders>
              <w:top w:val="nil"/>
              <w:left w:val="nil"/>
              <w:bottom w:val="single" w:color="auto" w:sz="4" w:space="0"/>
              <w:right w:val="nil"/>
            </w:tcBorders>
            <w:noWrap/>
            <w:vAlign w:val="bottom"/>
          </w:tcPr>
          <w:p>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1734" w:type="pct"/>
            <w:gridSpan w:val="3"/>
            <w:tcBorders>
              <w:top w:val="nil"/>
              <w:left w:val="nil"/>
              <w:bottom w:val="single" w:color="auto" w:sz="4" w:space="0"/>
              <w:right w:val="nil"/>
            </w:tcBorders>
            <w:noWrap/>
            <w:vAlign w:val="bottom"/>
          </w:tcPr>
          <w:p>
            <w:pPr>
              <w:widowControl/>
              <w:jc w:val="right"/>
              <w:textAlignment w:val="bottom"/>
              <w:rPr>
                <w:rFonts w:asciiTheme="minorEastAsia" w:hAnsiTheme="minorEastAsia" w:cstheme="minorEastAsia"/>
                <w:color w:val="000000"/>
                <w:sz w:val="20"/>
                <w:szCs w:val="20"/>
              </w:rPr>
            </w:pPr>
            <w:r>
              <w:rPr>
                <w:rFonts w:hint="eastAsia" w:ascii="方正仿宋_GB2312" w:hAnsi="方正仿宋_GB2312" w:eastAsia="方正仿宋_GB2312" w:cs="方正仿宋_GB2312"/>
                <w:color w:val="000000"/>
                <w:sz w:val="20"/>
                <w:szCs w:val="20"/>
              </w:rPr>
              <w:t xml:space="preserve"> 金额单位：万元</w:t>
            </w:r>
          </w:p>
        </w:tc>
      </w:tr>
      <w:tr>
        <w:tblPrEx>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603" w:type="pct"/>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本年支出合计</w:t>
            </w:r>
          </w:p>
        </w:tc>
        <w:tc>
          <w:tcPr>
            <w:tcW w:w="602" w:type="pct"/>
            <w:gridSpan w:val="2"/>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602" w:type="pct"/>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c>
          <w:tcPr>
            <w:tcW w:w="602" w:type="pct"/>
            <w:gridSpan w:val="2"/>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上缴上级支出</w:t>
            </w:r>
          </w:p>
        </w:tc>
        <w:tc>
          <w:tcPr>
            <w:tcW w:w="602" w:type="pct"/>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经营支出</w:t>
            </w:r>
          </w:p>
        </w:tc>
        <w:tc>
          <w:tcPr>
            <w:tcW w:w="795" w:type="pct"/>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对附属单位补助支出</w:t>
            </w:r>
          </w:p>
        </w:tc>
      </w:tr>
      <w:tr>
        <w:tblPrEx>
          <w:tblCellMar>
            <w:top w:w="0" w:type="dxa"/>
            <w:left w:w="108" w:type="dxa"/>
            <w:bottom w:w="0" w:type="dxa"/>
            <w:right w:w="108" w:type="dxa"/>
          </w:tblCellMar>
        </w:tblPrEx>
        <w:trPr>
          <w:trHeight w:val="312" w:hRule="atLeast"/>
          <w:jc w:val="center"/>
        </w:trPr>
        <w:tc>
          <w:tcPr>
            <w:tcW w:w="556" w:type="pct"/>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635"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603"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35" w:type="pct"/>
            <w:vMerge w:val="continue"/>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3"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35" w:type="pct"/>
            <w:vMerge w:val="continue"/>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3"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603" w:type="pct"/>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w:t>
            </w:r>
          </w:p>
        </w:tc>
        <w:tc>
          <w:tcPr>
            <w:tcW w:w="602" w:type="pct"/>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602" w:type="pct"/>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602" w:type="pct"/>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602" w:type="pct"/>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795" w:type="pct"/>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r>
      <w:tr>
        <w:tblPrEx>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358.09</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338.09</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20.00</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170.95</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170.95</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114.00</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114.00</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行政单位离退休</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100.09</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100.09</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2080505</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机关事业单位基本养老保险缴费支出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13.91</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13.91</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20809</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退役安置</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56.95</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56.95</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2080901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退役士兵安置</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56.95</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56.95</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10.00</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10.00</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10.00</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10.00</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行政单位医疗</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10.00</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10.00</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216</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商业服务业等支出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164.05</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144.05</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20.00</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21602</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商业流通事务</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164.05</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144.05</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20.00</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2160250</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事业运行</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144.05</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144.05</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2160299</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其他商业流通事务支出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20.00</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20.00</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13.10</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13.10</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13.10</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13.10</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13.10</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13.10</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注：本表反映部门本年度各项支出情况。</w:t>
            </w:r>
          </w:p>
        </w:tc>
      </w:tr>
    </w:tbl>
    <w:p>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7281" w:type="pct"/>
        <w:tblInd w:w="-1857" w:type="dxa"/>
        <w:tblLayout w:type="fixed"/>
        <w:tblCellMar>
          <w:top w:w="0" w:type="dxa"/>
          <w:left w:w="108" w:type="dxa"/>
          <w:bottom w:w="0" w:type="dxa"/>
          <w:right w:w="108" w:type="dxa"/>
        </w:tblCellMar>
      </w:tblPr>
      <w:tblGrid>
        <w:gridCol w:w="1982"/>
        <w:gridCol w:w="623"/>
        <w:gridCol w:w="1428"/>
        <w:gridCol w:w="1658"/>
        <w:gridCol w:w="438"/>
        <w:gridCol w:w="623"/>
        <w:gridCol w:w="459"/>
        <w:gridCol w:w="834"/>
        <w:gridCol w:w="1218"/>
        <w:gridCol w:w="1218"/>
        <w:gridCol w:w="1227"/>
      </w:tblGrid>
      <w:tr>
        <w:tblPrEx>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财政拨款收入支出决算总表</w:t>
            </w:r>
          </w:p>
        </w:tc>
      </w:tr>
      <w:tr>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公开04表</w:t>
            </w:r>
          </w:p>
        </w:tc>
      </w:tr>
      <w:tr>
        <w:tblPrEx>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pPr>
              <w:rPr>
                <w:rFonts w:ascii="仿宋" w:hAnsi="仿宋" w:eastAsia="仿宋" w:cs="仿宋"/>
                <w:color w:val="000000"/>
                <w:sz w:val="20"/>
                <w:szCs w:val="20"/>
              </w:rPr>
            </w:pPr>
            <w:r>
              <w:rPr>
                <w:rFonts w:hint="eastAsia" w:ascii="方正仿宋_GB2312" w:hAnsi="方正仿宋_GB2312" w:eastAsia="方正仿宋_GB2312" w:cs="方正仿宋_GB2312"/>
                <w:color w:val="000000"/>
                <w:sz w:val="20"/>
                <w:szCs w:val="20"/>
              </w:rPr>
              <w:t>编制部门（单位）：</w:t>
            </w:r>
            <w:r>
              <w:rPr>
                <w:rFonts w:hint="eastAsia" w:ascii="宋体" w:hAnsi="宋体" w:eastAsia="宋体"/>
                <w:color w:val="000000"/>
                <w:sz w:val="20"/>
                <w:szCs w:val="20"/>
              </w:rPr>
              <w:t>石</w:t>
            </w:r>
            <w:r>
              <w:rPr>
                <w:rFonts w:hint="eastAsia" w:ascii="___WRD_EMBED_SUB_52" w:hAnsi="___WRD_EMBED_SUB_52" w:eastAsia="___WRD_EMBED_SUB_52" w:cs="___WRD_EMBED_SUB_52"/>
                <w:color w:val="000000"/>
                <w:sz w:val="20"/>
                <w:szCs w:val="20"/>
              </w:rPr>
              <w:t>家</w:t>
            </w:r>
            <w:r>
              <w:rPr>
                <w:rFonts w:hint="eastAsia" w:ascii="宋体" w:hAnsi="宋体" w:eastAsia="宋体"/>
                <w:color w:val="000000"/>
                <w:sz w:val="20"/>
                <w:szCs w:val="20"/>
              </w:rPr>
              <w:t>庄市鹿泉</w:t>
            </w:r>
            <w:r>
              <w:rPr>
                <w:rFonts w:hint="eastAsia" w:ascii="___WRD_EMBED_SUB_52" w:hAnsi="___WRD_EMBED_SUB_52" w:eastAsia="___WRD_EMBED_SUB_52" w:cs="___WRD_EMBED_SUB_52"/>
                <w:color w:val="000000"/>
                <w:sz w:val="20"/>
                <w:szCs w:val="20"/>
              </w:rPr>
              <w:t>区</w:t>
            </w:r>
            <w:r>
              <w:rPr>
                <w:rFonts w:hint="eastAsia" w:ascii="宋体" w:hAnsi="宋体" w:eastAsia="宋体"/>
                <w:color w:val="000000"/>
                <w:sz w:val="20"/>
                <w:szCs w:val="20"/>
              </w:rPr>
              <w:t>供销</w:t>
            </w:r>
            <w:r>
              <w:rPr>
                <w:rFonts w:hint="eastAsia" w:ascii="___WRD_EMBED_SUB_52" w:hAnsi="___WRD_EMBED_SUB_52" w:eastAsia="___WRD_EMBED_SUB_52" w:cs="___WRD_EMBED_SUB_52"/>
                <w:color w:val="000000"/>
                <w:sz w:val="20"/>
                <w:szCs w:val="20"/>
              </w:rPr>
              <w:t>合</w:t>
            </w:r>
            <w:r>
              <w:rPr>
                <w:rFonts w:hint="eastAsia" w:ascii="宋体" w:hAnsi="宋体" w:eastAsia="宋体"/>
                <w:color w:val="000000"/>
                <w:sz w:val="20"/>
                <w:szCs w:val="20"/>
              </w:rPr>
              <w:t>作</w:t>
            </w:r>
            <w:r>
              <w:rPr>
                <w:rFonts w:hint="eastAsia" w:ascii="方正仿宋_GB2312" w:hAnsi="方正仿宋_GB2312" w:eastAsia="方正仿宋_GB2312" w:cs="方正仿宋_GB2312"/>
                <w:color w:val="000000"/>
                <w:sz w:val="20"/>
                <w:szCs w:val="20"/>
              </w:rPr>
              <w:t>社</w:t>
            </w:r>
            <w:r>
              <w:rPr>
                <w:rFonts w:hint="eastAsia" w:ascii="方正仿宋_GB2312" w:hAnsi="方正仿宋_GB2312" w:eastAsia="方正仿宋_GB2312" w:cs="方正仿宋_GB2312"/>
                <w:color w:val="000000"/>
                <w:sz w:val="20"/>
                <w:szCs w:val="20"/>
                <w:lang w:eastAsia="zh-CN"/>
              </w:rPr>
              <w:t>（</w:t>
            </w:r>
            <w:r>
              <w:rPr>
                <w:rFonts w:hint="eastAsia" w:ascii="方正仿宋_GB2312" w:hAnsi="方正仿宋_GB2312" w:eastAsia="方正仿宋_GB2312" w:cs="方正仿宋_GB2312"/>
                <w:color w:val="000000"/>
                <w:sz w:val="20"/>
                <w:szCs w:val="20"/>
              </w:rPr>
              <w:t>本级</w:t>
            </w:r>
            <w:r>
              <w:rPr>
                <w:rFonts w:hint="eastAsia" w:ascii="方正仿宋_GB2312" w:hAnsi="方正仿宋_GB2312" w:eastAsia="方正仿宋_GB2312" w:cs="方正仿宋_GB2312"/>
                <w:color w:val="000000"/>
                <w:sz w:val="20"/>
                <w:szCs w:val="20"/>
                <w:lang w:eastAsia="zh-CN"/>
              </w:rPr>
              <w:t>）</w:t>
            </w:r>
            <w:r>
              <w:rPr>
                <w:rFonts w:hint="eastAsia" w:ascii="方正仿宋_GB2312" w:hAnsi="方正仿宋_GB2312" w:eastAsia="方正仿宋_GB2312" w:cs="方正仿宋_GB2312"/>
                <w:color w:val="000000"/>
                <w:sz w:val="20"/>
                <w:szCs w:val="20"/>
              </w:rPr>
              <w:t xml:space="preserve"> </w:t>
            </w:r>
            <w:r>
              <w:rPr>
                <w:rFonts w:hint="eastAsia" w:asciiTheme="minorEastAsia" w:hAnsiTheme="minorEastAsia" w:cstheme="minorEastAsia"/>
                <w:color w:val="000000"/>
                <w:sz w:val="20"/>
                <w:szCs w:val="20"/>
              </w:rPr>
              <w:t xml:space="preserve">                                                                                                   </w:t>
            </w:r>
          </w:p>
        </w:tc>
        <w:tc>
          <w:tcPr>
            <w:tcW w:w="649" w:type="pct"/>
            <w:gridSpan w:val="3"/>
            <w:tcBorders>
              <w:top w:val="nil"/>
              <w:left w:val="nil"/>
              <w:bottom w:val="single" w:color="auto" w:sz="4" w:space="0"/>
              <w:right w:val="nil"/>
            </w:tcBorders>
            <w:noWrap/>
            <w:vAlign w:val="bottom"/>
          </w:tcPr>
          <w:p>
            <w:pPr>
              <w:jc w:val="center"/>
              <w:rPr>
                <w:rFonts w:asciiTheme="minorEastAsia" w:hAnsiTheme="minorEastAsia" w:cstheme="minorEastAsia"/>
                <w:color w:val="000000"/>
                <w:sz w:val="20"/>
                <w:szCs w:val="20"/>
              </w:rPr>
            </w:pPr>
            <w:r>
              <w:rPr>
                <w:rFonts w:ascii="Times New Roman" w:hAnsi="Times New Roman"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1919" w:type="pct"/>
            <w:gridSpan w:val="4"/>
            <w:tcBorders>
              <w:top w:val="nil"/>
              <w:left w:val="nil"/>
              <w:bottom w:val="single" w:color="auto" w:sz="4" w:space="0"/>
              <w:right w:val="nil"/>
            </w:tcBorders>
            <w:noWrap/>
            <w:vAlign w:val="bottom"/>
          </w:tcPr>
          <w:p>
            <w:pPr>
              <w:jc w:val="right"/>
              <w:rPr>
                <w:rFonts w:asciiTheme="minorEastAsia" w:hAnsiTheme="minorEastAsia" w:cstheme="minorEastAsia"/>
                <w:color w:val="000000"/>
                <w:sz w:val="20"/>
                <w:szCs w:val="20"/>
              </w:rPr>
            </w:pPr>
            <w:r>
              <w:rPr>
                <w:rFonts w:hint="eastAsia" w:ascii="方正仿宋_GB2312" w:hAnsi="方正仿宋_GB2312" w:eastAsia="方正仿宋_GB2312" w:cs="方正仿宋_GB2312"/>
                <w:color w:val="000000"/>
                <w:sz w:val="20"/>
                <w:szCs w:val="20"/>
              </w:rPr>
              <w:t>金额单位：万元</w:t>
            </w:r>
          </w:p>
        </w:tc>
      </w:tr>
      <w:tr>
        <w:tblPrEx>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收入</w:t>
            </w:r>
          </w:p>
        </w:tc>
        <w:tc>
          <w:tcPr>
            <w:tcW w:w="3276" w:type="pct"/>
            <w:gridSpan w:val="8"/>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支出</w:t>
            </w:r>
          </w:p>
        </w:tc>
      </w:tr>
      <w:tr>
        <w:tblPrEx>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    目</w:t>
            </w:r>
          </w:p>
        </w:tc>
        <w:tc>
          <w:tcPr>
            <w:tcW w:w="266" w:type="pct"/>
            <w:vMerge w:val="restar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行次</w:t>
            </w:r>
          </w:p>
        </w:tc>
        <w:tc>
          <w:tcPr>
            <w:tcW w:w="609" w:type="pct"/>
            <w:vMerge w:val="restar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w:t>
            </w:r>
          </w:p>
        </w:tc>
        <w:tc>
          <w:tcPr>
            <w:tcW w:w="895" w:type="pct"/>
            <w:gridSpan w:val="2"/>
            <w:vMerge w:val="restar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266" w:type="pct"/>
            <w:vMerge w:val="restar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行次</w:t>
            </w:r>
          </w:p>
        </w:tc>
        <w:tc>
          <w:tcPr>
            <w:tcW w:w="552" w:type="pct"/>
            <w:gridSpan w:val="2"/>
            <w:vMerge w:val="restart"/>
            <w:tcBorders>
              <w:top w:val="nil"/>
              <w:left w:val="nil"/>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520" w:type="pct"/>
            <w:vMerge w:val="restart"/>
            <w:tcBorders>
              <w:top w:val="nil"/>
              <w:left w:val="nil"/>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一般公共预算财政拨款</w:t>
            </w:r>
          </w:p>
        </w:tc>
        <w:tc>
          <w:tcPr>
            <w:tcW w:w="520" w:type="pct"/>
            <w:vMerge w:val="restart"/>
            <w:tcBorders>
              <w:top w:val="nil"/>
              <w:left w:val="nil"/>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政府性基金预算财政拨款</w:t>
            </w:r>
          </w:p>
        </w:tc>
        <w:tc>
          <w:tcPr>
            <w:tcW w:w="520" w:type="pct"/>
            <w:vMerge w:val="restart"/>
            <w:tcBorders>
              <w:top w:val="nil"/>
              <w:left w:val="nil"/>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国有资本经营预算财政拨款</w:t>
            </w:r>
          </w:p>
        </w:tc>
      </w:tr>
      <w:tr>
        <w:tblPrEx>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266"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609"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895" w:type="pct"/>
            <w:gridSpan w:val="2"/>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266"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52" w:type="pct"/>
            <w:gridSpan w:val="2"/>
            <w:vMerge w:val="continue"/>
            <w:tcBorders>
              <w:left w:val="nil"/>
              <w:bottom w:val="single" w:color="000000" w:sz="4" w:space="0"/>
              <w:right w:val="single" w:color="000000" w:sz="8" w:space="0"/>
            </w:tcBorders>
            <w:vAlign w:val="center"/>
          </w:tcPr>
          <w:p>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pPr>
              <w:widowControl/>
              <w:jc w:val="center"/>
              <w:textAlignment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    次</w:t>
            </w:r>
          </w:p>
        </w:tc>
        <w:tc>
          <w:tcPr>
            <w:tcW w:w="266" w:type="pct"/>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9"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895"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    次</w:t>
            </w:r>
          </w:p>
        </w:tc>
        <w:tc>
          <w:tcPr>
            <w:tcW w:w="266" w:type="pct"/>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552" w:type="pct"/>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520"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c>
          <w:tcPr>
            <w:tcW w:w="520"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4</w:t>
            </w:r>
          </w:p>
        </w:tc>
        <w:tc>
          <w:tcPr>
            <w:tcW w:w="520" w:type="pct"/>
            <w:tcBorders>
              <w:top w:val="nil"/>
              <w:left w:val="nil"/>
              <w:bottom w:val="single" w:color="000000" w:sz="4" w:space="0"/>
              <w:right w:val="single" w:color="000000" w:sz="8"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5</w:t>
            </w: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358.09</w:t>
            </w: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一、一般公共服务支出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二、外交支出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三、国防支出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四、公共安全支出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五、教育支出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六、科学技术支出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七、文化旅游体育与传媒支出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八、社会保障和就业支出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170.95</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170.95</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九、卫生健康支出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10.00</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10.00</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十、节能环保支出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十一、城乡社区支出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43</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auto"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w:t>
            </w:r>
          </w:p>
        </w:tc>
        <w:tc>
          <w:tcPr>
            <w:tcW w:w="609" w:type="pct"/>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auto"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十二、农林水支出</w:t>
            </w:r>
          </w:p>
        </w:tc>
        <w:tc>
          <w:tcPr>
            <w:tcW w:w="266" w:type="pct"/>
            <w:tcBorders>
              <w:top w:val="nil"/>
              <w:left w:val="nil"/>
              <w:bottom w:val="single" w:color="auto"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w:t>
            </w:r>
          </w:p>
        </w:tc>
        <w:tc>
          <w:tcPr>
            <w:tcW w:w="552" w:type="pct"/>
            <w:gridSpan w:val="2"/>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164.05</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164.05</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13.10</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13.10</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w:t>
            </w:r>
          </w:p>
        </w:tc>
        <w:tc>
          <w:tcPr>
            <w:tcW w:w="609" w:type="pct"/>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w:t>
            </w:r>
          </w:p>
        </w:tc>
        <w:tc>
          <w:tcPr>
            <w:tcW w:w="552" w:type="pct"/>
            <w:gridSpan w:val="2"/>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ascii="宋体" w:hAnsi="宋体" w:eastAsia="宋体"/>
                <w:b/>
                <w:bCs/>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二十五、债务付息支出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57</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二十六、抗疫特别国债安排的支出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58</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本年收入合计</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358.09</w:t>
            </w:r>
          </w:p>
        </w:tc>
        <w:tc>
          <w:tcPr>
            <w:tcW w:w="895"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本年支出合计</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59</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358.09</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358.09</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年初财政拨款结转和结余</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年末财政拨款结转和结余</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lef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lef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63</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lef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6" w:type="pct"/>
            <w:tcBorders>
              <w:top w:val="nil"/>
              <w:left w:val="nil"/>
              <w:bottom w:val="single" w:color="000000" w:sz="8"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w:t>
            </w:r>
          </w:p>
        </w:tc>
        <w:tc>
          <w:tcPr>
            <w:tcW w:w="609" w:type="pct"/>
            <w:tcBorders>
              <w:top w:val="nil"/>
              <w:left w:val="nil"/>
              <w:bottom w:val="single" w:color="000000" w:sz="8"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358.09</w:t>
            </w:r>
          </w:p>
        </w:tc>
        <w:tc>
          <w:tcPr>
            <w:tcW w:w="895" w:type="pct"/>
            <w:gridSpan w:val="2"/>
            <w:tcBorders>
              <w:top w:val="nil"/>
              <w:left w:val="nil"/>
              <w:bottom w:val="single" w:color="000000" w:sz="8"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6" w:type="pct"/>
            <w:tcBorders>
              <w:top w:val="nil"/>
              <w:left w:val="nil"/>
              <w:bottom w:val="single" w:color="000000" w:sz="8"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w:t>
            </w:r>
          </w:p>
        </w:tc>
        <w:tc>
          <w:tcPr>
            <w:tcW w:w="552" w:type="pct"/>
            <w:gridSpan w:val="2"/>
            <w:tcBorders>
              <w:top w:val="nil"/>
              <w:left w:val="nil"/>
              <w:bottom w:val="single" w:color="000000" w:sz="8"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358.09</w:t>
            </w:r>
          </w:p>
        </w:tc>
        <w:tc>
          <w:tcPr>
            <w:tcW w:w="520" w:type="pct"/>
            <w:tcBorders>
              <w:top w:val="nil"/>
              <w:left w:val="nil"/>
              <w:bottom w:val="single" w:color="000000" w:sz="8" w:space="0"/>
              <w:right w:val="single" w:color="000000" w:sz="4" w:space="0"/>
            </w:tcBorders>
            <w:noWrap/>
            <w:vAlign w:val="center"/>
          </w:tcPr>
          <w:p>
            <w:pPr>
              <w:jc w:val="right"/>
              <w:rPr>
                <w:rFonts w:ascii="Times New Roman" w:hAnsi="Times New Roman" w:cs="Times New Roman"/>
                <w:sz w:val="20"/>
                <w:szCs w:val="20"/>
              </w:rPr>
            </w:pPr>
          </w:p>
          <w:p>
            <w:pPr>
              <w:jc w:val="right"/>
              <w:rPr>
                <w:rFonts w:ascii="Times New Roman" w:hAnsi="Times New Roman" w:cs="Times New Roman"/>
                <w:sz w:val="20"/>
                <w:szCs w:val="20"/>
              </w:rPr>
            </w:pPr>
            <w:r>
              <w:rPr>
                <w:rFonts w:ascii="Times New Roman" w:hAnsi="Times New Roman" w:cs="Times New Roman"/>
                <w:sz w:val="20"/>
                <w:szCs w:val="20"/>
              </w:rPr>
              <w:t>358.09</w:t>
            </w:r>
          </w:p>
          <w:p>
            <w:pPr>
              <w:jc w:val="right"/>
              <w:rPr>
                <w:rFonts w:ascii="Times New Roman" w:hAnsi="Times New Roman" w:eastAsia="宋体" w:cs="Times New Roman"/>
                <w:color w:val="000000"/>
                <w:sz w:val="20"/>
                <w:szCs w:val="20"/>
              </w:rPr>
            </w:pPr>
          </w:p>
        </w:tc>
        <w:tc>
          <w:tcPr>
            <w:tcW w:w="520" w:type="pct"/>
            <w:tcBorders>
              <w:top w:val="nil"/>
              <w:left w:val="nil"/>
              <w:bottom w:val="single" w:color="000000" w:sz="8"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8"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注：本表反映部门本年度一般公共预算财政拨款、政府性基金预算财政拨款和国有资本经营预算财政拨款的总收支和年末结转结余情况。</w:t>
            </w:r>
          </w:p>
        </w:tc>
      </w:tr>
    </w:tbl>
    <w:p>
      <w:pPr>
        <w:rPr>
          <w:rFonts w:ascii="仿宋_GB2312" w:hAnsi="宋体" w:eastAsia="仿宋_GB2312"/>
          <w:b/>
          <w:sz w:val="32"/>
          <w:szCs w:val="32"/>
        </w:rPr>
      </w:pPr>
      <w:r>
        <w:rPr>
          <w:rFonts w:hint="eastAsia" w:ascii="仿宋_GB2312" w:hAnsi="宋体" w:eastAsia="仿宋_GB2312"/>
          <w:b/>
          <w:sz w:val="32"/>
          <w:szCs w:val="32"/>
        </w:rPr>
        <w:br w:type="page"/>
      </w:r>
    </w:p>
    <w:p>
      <w:pPr>
        <w:jc w:val="center"/>
        <w:rPr>
          <w:rFonts w:ascii="宋体" w:hAnsi="宋体" w:eastAsia="宋体"/>
          <w:spacing w:val="-2"/>
          <w:sz w:val="20"/>
        </w:rPr>
      </w:pPr>
    </w:p>
    <w:tbl>
      <w:tblPr>
        <w:tblStyle w:val="11"/>
        <w:tblW w:w="5455" w:type="pct"/>
        <w:tblInd w:w="-657" w:type="dxa"/>
        <w:tblLayout w:type="autofit"/>
        <w:tblCellMar>
          <w:top w:w="0" w:type="dxa"/>
          <w:left w:w="108" w:type="dxa"/>
          <w:bottom w:w="0" w:type="dxa"/>
          <w:right w:w="108" w:type="dxa"/>
        </w:tblCellMar>
      </w:tblPr>
      <w:tblGrid>
        <w:gridCol w:w="1962"/>
        <w:gridCol w:w="3416"/>
        <w:gridCol w:w="1149"/>
        <w:gridCol w:w="762"/>
        <w:gridCol w:w="794"/>
        <w:gridCol w:w="383"/>
        <w:gridCol w:w="1233"/>
      </w:tblGrid>
      <w:tr>
        <w:tblPrEx>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一般公共预算财政拨款支出决算表</w:t>
            </w:r>
          </w:p>
        </w:tc>
      </w:tr>
      <w:tr>
        <w:tblPrEx>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方正仿宋_GB2312" w:cs="Times New Roman"/>
                <w:color w:val="000000"/>
                <w:sz w:val="20"/>
                <w:szCs w:val="20"/>
              </w:rPr>
              <w:t>05</w:t>
            </w:r>
            <w:r>
              <w:rPr>
                <w:rFonts w:hint="eastAsia" w:ascii="方正仿宋_GB2312" w:hAnsi="方正仿宋_GB2312" w:eastAsia="方正仿宋_GB2312" w:cs="方正仿宋_GB2312"/>
                <w:color w:val="000000"/>
                <w:sz w:val="20"/>
                <w:szCs w:val="20"/>
              </w:rPr>
              <w:t>表</w:t>
            </w:r>
          </w:p>
        </w:tc>
      </w:tr>
      <w:tr>
        <w:tblPrEx>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pPr>
              <w:widowControl/>
              <w:jc w:val="left"/>
              <w:textAlignment w:val="bottom"/>
              <w:rPr>
                <w:rFonts w:hint="eastAsia" w:ascii="宋体" w:hAnsi="宋体" w:eastAsia="方正仿宋_GB2312"/>
                <w:color w:val="000000"/>
                <w:sz w:val="20"/>
                <w:szCs w:val="20"/>
                <w:lang w:eastAsia="zh-CN"/>
              </w:rPr>
            </w:pPr>
            <w:r>
              <w:rPr>
                <w:rFonts w:hint="eastAsia" w:ascii="方正仿宋_GB2312" w:hAnsi="方正仿宋_GB2312" w:eastAsia="方正仿宋_GB2312" w:cs="方正仿宋_GB2312"/>
                <w:color w:val="000000"/>
                <w:sz w:val="20"/>
                <w:szCs w:val="20"/>
              </w:rPr>
              <w:t>编制部门（单位）：</w:t>
            </w:r>
            <w:r>
              <w:rPr>
                <w:rFonts w:hint="eastAsia" w:ascii="宋体" w:hAnsi="宋体" w:eastAsia="宋体"/>
                <w:color w:val="000000"/>
                <w:sz w:val="20"/>
                <w:szCs w:val="20"/>
              </w:rPr>
              <w:t>石</w:t>
            </w:r>
            <w:r>
              <w:rPr>
                <w:rFonts w:hint="eastAsia" w:ascii="___WRD_EMBED_SUB_52" w:hAnsi="___WRD_EMBED_SUB_52" w:eastAsia="___WRD_EMBED_SUB_52" w:cs="___WRD_EMBED_SUB_52"/>
                <w:color w:val="000000"/>
                <w:sz w:val="20"/>
                <w:szCs w:val="20"/>
              </w:rPr>
              <w:t>家</w:t>
            </w:r>
            <w:r>
              <w:rPr>
                <w:rFonts w:hint="eastAsia" w:ascii="宋体" w:hAnsi="宋体" w:eastAsia="宋体"/>
                <w:color w:val="000000"/>
                <w:sz w:val="20"/>
                <w:szCs w:val="20"/>
              </w:rPr>
              <w:t>庄市鹿泉</w:t>
            </w:r>
            <w:r>
              <w:rPr>
                <w:rFonts w:hint="eastAsia" w:ascii="___WRD_EMBED_SUB_52" w:hAnsi="___WRD_EMBED_SUB_52" w:eastAsia="___WRD_EMBED_SUB_52" w:cs="___WRD_EMBED_SUB_52"/>
                <w:color w:val="000000"/>
                <w:sz w:val="20"/>
                <w:szCs w:val="20"/>
              </w:rPr>
              <w:t>区</w:t>
            </w:r>
            <w:r>
              <w:rPr>
                <w:rFonts w:hint="eastAsia" w:ascii="宋体" w:hAnsi="宋体" w:eastAsia="宋体"/>
                <w:color w:val="000000"/>
                <w:sz w:val="20"/>
                <w:szCs w:val="20"/>
              </w:rPr>
              <w:t>供销</w:t>
            </w:r>
            <w:r>
              <w:rPr>
                <w:rFonts w:hint="eastAsia" w:ascii="___WRD_EMBED_SUB_52" w:hAnsi="___WRD_EMBED_SUB_52" w:eastAsia="___WRD_EMBED_SUB_52" w:cs="___WRD_EMBED_SUB_52"/>
                <w:color w:val="000000"/>
                <w:sz w:val="20"/>
                <w:szCs w:val="20"/>
              </w:rPr>
              <w:t>合</w:t>
            </w:r>
            <w:r>
              <w:rPr>
                <w:rFonts w:hint="eastAsia" w:ascii="宋体" w:hAnsi="宋体" w:eastAsia="宋体"/>
                <w:color w:val="000000"/>
                <w:sz w:val="20"/>
                <w:szCs w:val="20"/>
              </w:rPr>
              <w:t>作</w:t>
            </w:r>
            <w:r>
              <w:rPr>
                <w:rFonts w:hint="eastAsia" w:ascii="方正仿宋_GB2312" w:hAnsi="方正仿宋_GB2312" w:eastAsia="方正仿宋_GB2312" w:cs="方正仿宋_GB2312"/>
                <w:color w:val="000000"/>
                <w:sz w:val="20"/>
                <w:szCs w:val="20"/>
              </w:rPr>
              <w:t>社</w:t>
            </w:r>
            <w:r>
              <w:rPr>
                <w:rFonts w:hint="eastAsia" w:ascii="方正仿宋_GB2312" w:hAnsi="方正仿宋_GB2312" w:eastAsia="方正仿宋_GB2312" w:cs="方正仿宋_GB2312"/>
                <w:color w:val="000000"/>
                <w:sz w:val="20"/>
                <w:szCs w:val="20"/>
                <w:lang w:eastAsia="zh-CN"/>
              </w:rPr>
              <w:t>（</w:t>
            </w:r>
            <w:r>
              <w:rPr>
                <w:rFonts w:hint="eastAsia" w:ascii="方正仿宋_GB2312" w:hAnsi="方正仿宋_GB2312" w:eastAsia="方正仿宋_GB2312" w:cs="方正仿宋_GB2312"/>
                <w:color w:val="000000"/>
                <w:sz w:val="20"/>
                <w:szCs w:val="20"/>
              </w:rPr>
              <w:t>本级</w:t>
            </w:r>
            <w:r>
              <w:rPr>
                <w:rFonts w:hint="eastAsia" w:ascii="方正仿宋_GB2312" w:hAnsi="方正仿宋_GB2312" w:eastAsia="方正仿宋_GB2312" w:cs="方正仿宋_GB2312"/>
                <w:color w:val="000000"/>
                <w:sz w:val="20"/>
                <w:szCs w:val="20"/>
                <w:lang w:eastAsia="zh-CN"/>
              </w:rPr>
              <w:t>）</w:t>
            </w:r>
          </w:p>
        </w:tc>
        <w:tc>
          <w:tcPr>
            <w:tcW w:w="1551" w:type="pct"/>
            <w:gridSpan w:val="2"/>
            <w:tcBorders>
              <w:top w:val="nil"/>
              <w:left w:val="nil"/>
              <w:bottom w:val="single" w:color="auto" w:sz="4" w:space="0"/>
              <w:right w:val="nil"/>
            </w:tcBorders>
            <w:noWrap/>
            <w:vAlign w:val="bottom"/>
          </w:tcPr>
          <w:p>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1591" w:type="pct"/>
            <w:gridSpan w:val="2"/>
            <w:tcBorders>
              <w:top w:val="nil"/>
              <w:left w:val="nil"/>
              <w:bottom w:val="single" w:color="auto" w:sz="4" w:space="0"/>
              <w:right w:val="nil"/>
            </w:tcBorders>
            <w:noWrap/>
            <w:vAlign w:val="bottom"/>
          </w:tcPr>
          <w:p>
            <w:pPr>
              <w:widowControl/>
              <w:jc w:val="right"/>
              <w:textAlignment w:val="bottom"/>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金额单位：万元</w:t>
            </w:r>
          </w:p>
        </w:tc>
      </w:tr>
      <w:tr>
        <w:tblPrEx>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3552" w:type="pct"/>
            <w:gridSpan w:val="5"/>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r>
      <w:tr>
        <w:tblPrEx>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748" w:type="pct"/>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1213" w:type="pct"/>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r>
      <w:tr>
        <w:tblPrEx>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748"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1169" w:type="pct"/>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1169" w:type="pct"/>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1213"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748"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1169" w:type="pct"/>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1169" w:type="pct"/>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1213"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1213"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r>
      <w:tr>
        <w:tblPrEx>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358.09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338.09</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20.00</w:t>
            </w: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170.95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170.95</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114.00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114.00</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行政单位离退休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100.09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100.09</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机关事业单位基本养老保险缴费支出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13.91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13.91</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20809</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退役安置</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56.95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56.95</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2080901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退役士兵安置</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56.95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56.95</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10.00</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10.00</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10.00</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216</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商业服务业等支出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164.05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144.05</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20.00</w:t>
            </w: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21602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商业流通事务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164.05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144.05</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20.00</w:t>
            </w: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2160250</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144.05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144.05</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2160299</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其他商业流通事务支出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20.00</w:t>
            </w: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13.10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13.10</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13.10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13.10</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13.10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13.10</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注：本表反映部门本年度一般公共预算财政拨款支出情况。</w:t>
            </w:r>
          </w:p>
        </w:tc>
      </w:tr>
    </w:tbl>
    <w:p>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7050" w:type="pct"/>
        <w:tblInd w:w="-1617" w:type="dxa"/>
        <w:tblLayout w:type="fixed"/>
        <w:tblCellMar>
          <w:top w:w="0" w:type="dxa"/>
          <w:left w:w="108" w:type="dxa"/>
          <w:bottom w:w="0" w:type="dxa"/>
          <w:right w:w="108" w:type="dxa"/>
        </w:tblCellMar>
      </w:tblPr>
      <w:tblGrid>
        <w:gridCol w:w="963"/>
        <w:gridCol w:w="1813"/>
        <w:gridCol w:w="1018"/>
        <w:gridCol w:w="964"/>
        <w:gridCol w:w="440"/>
        <w:gridCol w:w="1372"/>
        <w:gridCol w:w="589"/>
        <w:gridCol w:w="374"/>
        <w:gridCol w:w="964"/>
        <w:gridCol w:w="1816"/>
        <w:gridCol w:w="1023"/>
      </w:tblGrid>
      <w:tr>
        <w:tblPrEx>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pPr>
              <w:widowControl/>
              <w:jc w:val="center"/>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bCs/>
                <w:sz w:val="32"/>
                <w:szCs w:val="32"/>
              </w:rPr>
              <w:t>一般公共预算财政拨款基本支出决算表</w:t>
            </w:r>
          </w:p>
        </w:tc>
      </w:tr>
      <w:tr>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widowControl/>
              <w:jc w:val="right"/>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公开</w:t>
            </w:r>
            <w:r>
              <w:rPr>
                <w:rFonts w:ascii="Times New Roman" w:hAnsi="Times New Roman" w:eastAsia="方正仿宋_GB2312" w:cs="Times New Roman"/>
                <w:color w:val="000000"/>
                <w:sz w:val="18"/>
                <w:szCs w:val="18"/>
              </w:rPr>
              <w:t>06</w:t>
            </w:r>
            <w:r>
              <w:rPr>
                <w:rFonts w:hint="eastAsia" w:ascii="方正仿宋_GB2312" w:hAnsi="方正仿宋_GB2312" w:eastAsia="方正仿宋_GB2312" w:cs="方正仿宋_GB2312"/>
                <w:color w:val="000000"/>
                <w:sz w:val="18"/>
                <w:szCs w:val="18"/>
              </w:rPr>
              <w:t>表</w:t>
            </w:r>
          </w:p>
        </w:tc>
      </w:tr>
      <w:tr>
        <w:tblPrEx>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pP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编制部门（单位）：</w:t>
            </w:r>
            <w:r>
              <w:rPr>
                <w:rFonts w:hint="eastAsia" w:ascii="宋体" w:hAnsi="宋体" w:eastAsia="宋体"/>
                <w:color w:val="000000"/>
                <w:sz w:val="18"/>
                <w:szCs w:val="18"/>
              </w:rPr>
              <w:t>石</w:t>
            </w:r>
            <w:r>
              <w:rPr>
                <w:rFonts w:hint="eastAsia" w:ascii="___WRD_EMBED_SUB_52" w:hAnsi="___WRD_EMBED_SUB_52" w:eastAsia="___WRD_EMBED_SUB_52" w:cs="___WRD_EMBED_SUB_52"/>
                <w:color w:val="000000"/>
                <w:sz w:val="18"/>
                <w:szCs w:val="18"/>
              </w:rPr>
              <w:t>家</w:t>
            </w:r>
            <w:r>
              <w:rPr>
                <w:rFonts w:hint="eastAsia" w:ascii="宋体" w:hAnsi="宋体" w:eastAsia="宋体"/>
                <w:color w:val="000000"/>
                <w:sz w:val="18"/>
                <w:szCs w:val="18"/>
              </w:rPr>
              <w:t>庄市鹿泉</w:t>
            </w:r>
            <w:r>
              <w:rPr>
                <w:rFonts w:hint="eastAsia" w:ascii="___WRD_EMBED_SUB_52" w:hAnsi="___WRD_EMBED_SUB_52" w:eastAsia="___WRD_EMBED_SUB_52" w:cs="___WRD_EMBED_SUB_52"/>
                <w:color w:val="000000"/>
                <w:sz w:val="18"/>
                <w:szCs w:val="18"/>
              </w:rPr>
              <w:t>区</w:t>
            </w:r>
            <w:r>
              <w:rPr>
                <w:rFonts w:hint="eastAsia" w:ascii="宋体" w:hAnsi="宋体" w:eastAsia="宋体"/>
                <w:color w:val="000000"/>
                <w:sz w:val="18"/>
                <w:szCs w:val="18"/>
              </w:rPr>
              <w:t>供销</w:t>
            </w:r>
            <w:r>
              <w:rPr>
                <w:rFonts w:hint="eastAsia" w:ascii="___WRD_EMBED_SUB_52" w:hAnsi="___WRD_EMBED_SUB_52" w:eastAsia="___WRD_EMBED_SUB_52" w:cs="___WRD_EMBED_SUB_52"/>
                <w:color w:val="000000"/>
                <w:sz w:val="18"/>
                <w:szCs w:val="18"/>
              </w:rPr>
              <w:t>合</w:t>
            </w:r>
            <w:r>
              <w:rPr>
                <w:rFonts w:hint="eastAsia" w:ascii="宋体" w:hAnsi="宋体" w:eastAsia="宋体"/>
                <w:color w:val="000000"/>
                <w:sz w:val="18"/>
                <w:szCs w:val="18"/>
              </w:rPr>
              <w:t>作</w:t>
            </w:r>
            <w:r>
              <w:rPr>
                <w:rFonts w:hint="eastAsia" w:ascii="方正仿宋_GB2312" w:hAnsi="方正仿宋_GB2312" w:eastAsia="方正仿宋_GB2312" w:cs="方正仿宋_GB2312"/>
                <w:color w:val="000000"/>
                <w:sz w:val="18"/>
                <w:szCs w:val="18"/>
              </w:rPr>
              <w:t>社</w:t>
            </w:r>
            <w:r>
              <w:rPr>
                <w:rFonts w:hint="eastAsia" w:ascii="方正仿宋_GB2312" w:hAnsi="方正仿宋_GB2312" w:eastAsia="方正仿宋_GB2312" w:cs="方正仿宋_GB2312"/>
                <w:color w:val="000000"/>
                <w:sz w:val="18"/>
                <w:szCs w:val="18"/>
                <w:lang w:eastAsia="zh-CN"/>
              </w:rPr>
              <w:t>（</w:t>
            </w:r>
            <w:r>
              <w:rPr>
                <w:rFonts w:hint="eastAsia" w:ascii="方正仿宋_GB2312" w:hAnsi="方正仿宋_GB2312" w:eastAsia="方正仿宋_GB2312" w:cs="方正仿宋_GB2312"/>
                <w:color w:val="000000"/>
                <w:sz w:val="18"/>
                <w:szCs w:val="18"/>
              </w:rPr>
              <w:t>本级</w:t>
            </w:r>
            <w:r>
              <w:rPr>
                <w:rFonts w:hint="eastAsia" w:ascii="方正仿宋_GB2312" w:hAnsi="方正仿宋_GB2312" w:eastAsia="方正仿宋_GB2312" w:cs="方正仿宋_GB2312"/>
                <w:color w:val="000000"/>
                <w:sz w:val="18"/>
                <w:szCs w:val="18"/>
                <w:lang w:eastAsia="zh-CN"/>
              </w:rPr>
              <w:t>）</w:t>
            </w:r>
            <w:r>
              <w:rPr>
                <w:rFonts w:hint="eastAsia" w:ascii="方正仿宋_GB2312" w:hAnsi="方正仿宋_GB2312" w:eastAsia="方正仿宋_GB2312" w:cs="方正仿宋_GB2312"/>
                <w:color w:val="000000"/>
                <w:sz w:val="18"/>
                <w:szCs w:val="18"/>
              </w:rPr>
              <w:t xml:space="preserve"> </w:t>
            </w:r>
            <w:r>
              <w:rPr>
                <w:rFonts w:hint="eastAsia" w:asciiTheme="minorEastAsia" w:hAnsiTheme="minorEastAsia" w:cstheme="minorEastAsia"/>
                <w:color w:val="000000"/>
                <w:sz w:val="18"/>
                <w:szCs w:val="18"/>
              </w:rPr>
              <w:t xml:space="preserve">                                                                   </w:t>
            </w:r>
          </w:p>
        </w:tc>
        <w:tc>
          <w:tcPr>
            <w:tcW w:w="865" w:type="pct"/>
            <w:gridSpan w:val="2"/>
            <w:tcBorders>
              <w:top w:val="nil"/>
              <w:left w:val="nil"/>
              <w:bottom w:val="single" w:color="auto" w:sz="4" w:space="0"/>
              <w:right w:val="nil"/>
            </w:tcBorders>
            <w:noWrap/>
            <w:vAlign w:val="bottom"/>
          </w:tcPr>
          <w:p>
            <w:pPr>
              <w:jc w:val="center"/>
              <w:rPr>
                <w:rFonts w:asciiTheme="minorEastAsia" w:hAnsiTheme="minorEastAsia" w:cstheme="minorEastAsia"/>
                <w:color w:val="000000"/>
                <w:sz w:val="18"/>
                <w:szCs w:val="18"/>
              </w:rPr>
            </w:pPr>
            <w:r>
              <w:rPr>
                <w:rFonts w:hint="eastAsia" w:asciiTheme="minorEastAsia" w:hAnsiTheme="minorEastAsia" w:cstheme="minorEastAsia"/>
                <w:color w:val="000000"/>
                <w:sz w:val="18"/>
                <w:szCs w:val="18"/>
              </w:rPr>
              <w:t>2023</w:t>
            </w:r>
            <w:r>
              <w:rPr>
                <w:rFonts w:hint="eastAsia" w:ascii="方正仿宋_GB2312" w:hAnsi="方正仿宋_GB2312" w:eastAsia="方正仿宋_GB2312" w:cs="方正仿宋_GB2312"/>
                <w:color w:val="000000"/>
                <w:sz w:val="18"/>
                <w:szCs w:val="18"/>
              </w:rPr>
              <w:t>年度</w:t>
            </w:r>
          </w:p>
        </w:tc>
        <w:tc>
          <w:tcPr>
            <w:tcW w:w="1841" w:type="pct"/>
            <w:gridSpan w:val="4"/>
            <w:tcBorders>
              <w:top w:val="nil"/>
              <w:left w:val="nil"/>
              <w:bottom w:val="single" w:color="auto" w:sz="4" w:space="0"/>
              <w:right w:val="nil"/>
            </w:tcBorders>
            <w:noWrap/>
            <w:vAlign w:val="bottom"/>
          </w:tcPr>
          <w:p>
            <w:pPr>
              <w:jc w:val="right"/>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金额单位：万元</w:t>
            </w:r>
          </w:p>
        </w:tc>
      </w:tr>
      <w:tr>
        <w:tblPrEx>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公用经费</w:t>
            </w: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425"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425"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r>
      <w:tr>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154.07</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84.48</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104.33</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0.15</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0.41</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11.36</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0.76</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0.08</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13.91</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0.02</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p>
        </w:tc>
      </w:tr>
      <w:tr>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10.00</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4.03</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1.38</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1.67</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13.10</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0.22</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99.54</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76.07</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2.17</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33.67</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36.60</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0.63</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21.30</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2.60</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1.98</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1.66</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cs="Times New Roman"/>
                <w:sz w:val="18"/>
                <w:szCs w:val="18"/>
              </w:rPr>
            </w:pPr>
            <w:r>
              <w:rPr>
                <w:rFonts w:hint="eastAsia" w:ascii="方正仿宋_GB2312" w:hAnsi="方正仿宋_GB2312" w:eastAsia="方正仿宋_GB2312" w:cs="方正仿宋_GB2312"/>
                <w:color w:val="000000"/>
                <w:sz w:val="18"/>
                <w:szCs w:val="18"/>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ascii="Times New Roman" w:hAnsi="Times New Roman" w:cs="Times New Roman"/>
                <w:sz w:val="18"/>
                <w:szCs w:val="18"/>
              </w:rPr>
              <w:t>253.61</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ascii="Times New Roman" w:hAnsi="Times New Roman" w:cs="Times New Roman"/>
                <w:sz w:val="18"/>
                <w:szCs w:val="18"/>
              </w:rPr>
              <w:t>84.48</w:t>
            </w:r>
          </w:p>
        </w:tc>
      </w:tr>
      <w:tr>
        <w:trPr>
          <w:trHeight w:val="510" w:hRule="atLeast"/>
        </w:trPr>
        <w:tc>
          <w:tcPr>
            <w:tcW w:w="5000" w:type="pct"/>
            <w:gridSpan w:val="11"/>
            <w:tcBorders>
              <w:top w:val="single" w:color="auto" w:sz="4" w:space="0"/>
              <w:left w:val="nil"/>
              <w:bottom w:val="nil"/>
              <w:right w:val="nil"/>
            </w:tcBorders>
            <w:noWrap/>
            <w:vAlign w:val="center"/>
          </w:tcPr>
          <w:p>
            <w:pPr>
              <w:widowControl/>
              <w:jc w:val="left"/>
              <w:textAlignment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注：本表反映部门本年度一般公共预算财政拨款基本支出明细情况。</w:t>
            </w:r>
          </w:p>
        </w:tc>
      </w:tr>
    </w:tbl>
    <w:p>
      <w:pPr>
        <w:rPr>
          <w:rFonts w:ascii="仿宋_GB2312" w:hAnsi="宋体" w:eastAsia="仿宋_GB2312"/>
          <w:b/>
          <w:sz w:val="32"/>
          <w:szCs w:val="32"/>
        </w:rPr>
      </w:pPr>
      <w:r>
        <w:rPr>
          <w:rFonts w:hint="eastAsia" w:ascii="仿宋_GB2312" w:hAnsi="宋体" w:eastAsia="仿宋_GB2312"/>
          <w:b/>
          <w:sz w:val="32"/>
          <w:szCs w:val="32"/>
        </w:rPr>
        <w:br w:type="page"/>
      </w:r>
    </w:p>
    <w:p>
      <w:pPr>
        <w:jc w:val="center"/>
        <w:rPr>
          <w:rFonts w:ascii="仿宋_GB2312" w:hAnsi="宋体" w:eastAsia="仿宋_GB2312"/>
          <w:b/>
          <w:sz w:val="32"/>
          <w:szCs w:val="32"/>
        </w:rPr>
      </w:pPr>
    </w:p>
    <w:tbl>
      <w:tblPr>
        <w:tblStyle w:val="11"/>
        <w:tblW w:w="6517" w:type="pct"/>
        <w:tblInd w:w="-1404" w:type="dxa"/>
        <w:tblLayout w:type="fixed"/>
        <w:tblCellMar>
          <w:top w:w="0" w:type="dxa"/>
          <w:left w:w="108" w:type="dxa"/>
          <w:bottom w:w="0" w:type="dxa"/>
          <w:right w:w="108" w:type="dxa"/>
        </w:tblCellMar>
      </w:tblPr>
      <w:tblGrid>
        <w:gridCol w:w="1260"/>
        <w:gridCol w:w="1473"/>
        <w:gridCol w:w="1306"/>
        <w:gridCol w:w="1025"/>
        <w:gridCol w:w="1107"/>
        <w:gridCol w:w="419"/>
        <w:gridCol w:w="700"/>
        <w:gridCol w:w="1146"/>
        <w:gridCol w:w="2043"/>
      </w:tblGrid>
      <w:tr>
        <w:tblPrEx>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政府性基金预算财政拨款收入支出决算表</w:t>
            </w:r>
          </w:p>
        </w:tc>
      </w:tr>
      <w:tr>
        <w:tblPrEx>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宋体" w:cs="Times New Roman"/>
                <w:color w:val="000000"/>
                <w:sz w:val="20"/>
                <w:szCs w:val="20"/>
              </w:rPr>
              <w:t>07</w:t>
            </w:r>
            <w:r>
              <w:rPr>
                <w:rFonts w:hint="eastAsia" w:ascii="方正仿宋_GB2312" w:hAnsi="方正仿宋_GB2312" w:eastAsia="方正仿宋_GB2312" w:cs="方正仿宋_GB2312"/>
                <w:color w:val="000000"/>
                <w:sz w:val="20"/>
                <w:szCs w:val="20"/>
              </w:rPr>
              <w:t>表</w:t>
            </w:r>
          </w:p>
        </w:tc>
      </w:tr>
      <w:tr>
        <w:tblPrEx>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编制部门（单位）：</w:t>
            </w:r>
            <w:r>
              <w:rPr>
                <w:rFonts w:hint="eastAsia" w:ascii="宋体" w:hAnsi="宋体" w:eastAsia="宋体"/>
                <w:color w:val="000000"/>
                <w:sz w:val="20"/>
                <w:szCs w:val="20"/>
              </w:rPr>
              <w:t>石</w:t>
            </w:r>
            <w:r>
              <w:rPr>
                <w:rFonts w:hint="eastAsia" w:ascii="___WRD_EMBED_SUB_52" w:hAnsi="___WRD_EMBED_SUB_52" w:eastAsia="___WRD_EMBED_SUB_52" w:cs="___WRD_EMBED_SUB_52"/>
                <w:color w:val="000000"/>
                <w:sz w:val="20"/>
                <w:szCs w:val="20"/>
              </w:rPr>
              <w:t>家</w:t>
            </w:r>
            <w:r>
              <w:rPr>
                <w:rFonts w:hint="eastAsia" w:ascii="宋体" w:hAnsi="宋体" w:eastAsia="宋体"/>
                <w:color w:val="000000"/>
                <w:sz w:val="20"/>
                <w:szCs w:val="20"/>
              </w:rPr>
              <w:t>庄市鹿泉</w:t>
            </w:r>
            <w:r>
              <w:rPr>
                <w:rFonts w:hint="eastAsia" w:ascii="___WRD_EMBED_SUB_52" w:hAnsi="___WRD_EMBED_SUB_52" w:eastAsia="___WRD_EMBED_SUB_52" w:cs="___WRD_EMBED_SUB_52"/>
                <w:color w:val="000000"/>
                <w:sz w:val="20"/>
                <w:szCs w:val="20"/>
              </w:rPr>
              <w:t>区</w:t>
            </w:r>
            <w:r>
              <w:rPr>
                <w:rFonts w:hint="eastAsia" w:ascii="宋体" w:hAnsi="宋体" w:eastAsia="宋体"/>
                <w:color w:val="000000"/>
                <w:sz w:val="20"/>
                <w:szCs w:val="20"/>
              </w:rPr>
              <w:t>供销</w:t>
            </w:r>
            <w:r>
              <w:rPr>
                <w:rFonts w:hint="eastAsia" w:ascii="___WRD_EMBED_SUB_52" w:hAnsi="___WRD_EMBED_SUB_52" w:eastAsia="___WRD_EMBED_SUB_52" w:cs="___WRD_EMBED_SUB_52"/>
                <w:color w:val="000000"/>
                <w:sz w:val="20"/>
                <w:szCs w:val="20"/>
              </w:rPr>
              <w:t>合</w:t>
            </w:r>
            <w:r>
              <w:rPr>
                <w:rFonts w:hint="eastAsia" w:ascii="宋体" w:hAnsi="宋体" w:eastAsia="宋体"/>
                <w:color w:val="000000"/>
                <w:sz w:val="20"/>
                <w:szCs w:val="20"/>
              </w:rPr>
              <w:t>作</w:t>
            </w:r>
            <w:r>
              <w:rPr>
                <w:rFonts w:hint="eastAsia" w:ascii="方正仿宋_GB2312" w:hAnsi="方正仿宋_GB2312" w:eastAsia="方正仿宋_GB2312" w:cs="方正仿宋_GB2312"/>
                <w:color w:val="000000"/>
                <w:sz w:val="20"/>
                <w:szCs w:val="20"/>
              </w:rPr>
              <w:t>社</w:t>
            </w:r>
            <w:r>
              <w:rPr>
                <w:rFonts w:hint="eastAsia" w:ascii="方正仿宋_GB2312" w:hAnsi="方正仿宋_GB2312" w:eastAsia="方正仿宋_GB2312" w:cs="方正仿宋_GB2312"/>
                <w:color w:val="000000"/>
                <w:sz w:val="20"/>
                <w:szCs w:val="20"/>
                <w:lang w:eastAsia="zh-CN"/>
              </w:rPr>
              <w:t>（</w:t>
            </w:r>
            <w:r>
              <w:rPr>
                <w:rFonts w:hint="eastAsia" w:ascii="方正仿宋_GB2312" w:hAnsi="方正仿宋_GB2312" w:eastAsia="方正仿宋_GB2312" w:cs="方正仿宋_GB2312"/>
                <w:color w:val="000000"/>
                <w:sz w:val="20"/>
                <w:szCs w:val="20"/>
              </w:rPr>
              <w:t>本级</w:t>
            </w:r>
            <w:r>
              <w:rPr>
                <w:rFonts w:hint="eastAsia" w:ascii="方正仿宋_GB2312" w:hAnsi="方正仿宋_GB2312" w:eastAsia="方正仿宋_GB2312" w:cs="方正仿宋_GB2312"/>
                <w:color w:val="000000"/>
                <w:sz w:val="20"/>
                <w:szCs w:val="20"/>
                <w:lang w:eastAsia="zh-CN"/>
              </w:rPr>
              <w:t>）</w:t>
            </w:r>
            <w:r>
              <w:rPr>
                <w:rFonts w:hint="eastAsia" w:ascii="方正仿宋_GB2312" w:hAnsi="方正仿宋_GB2312" w:eastAsia="方正仿宋_GB2312" w:cs="方正仿宋_GB2312"/>
                <w:color w:val="000000"/>
                <w:sz w:val="20"/>
                <w:szCs w:val="20"/>
              </w:rPr>
              <w:t xml:space="preserve"> </w:t>
            </w:r>
            <w:r>
              <w:rPr>
                <w:rFonts w:hint="eastAsia" w:ascii="宋体" w:hAnsi="宋体" w:eastAsia="宋体"/>
                <w:color w:val="000000"/>
                <w:sz w:val="20"/>
                <w:szCs w:val="20"/>
              </w:rPr>
              <w:t xml:space="preserve">                                                                                     </w:t>
            </w:r>
          </w:p>
        </w:tc>
        <w:tc>
          <w:tcPr>
            <w:tcW w:w="1217" w:type="pct"/>
            <w:gridSpan w:val="3"/>
            <w:tcBorders>
              <w:top w:val="nil"/>
              <w:left w:val="nil"/>
              <w:bottom w:val="single" w:color="auto" w:sz="4" w:space="0"/>
              <w:right w:val="nil"/>
            </w:tcBorders>
            <w:noWrap/>
            <w:vAlign w:val="bottom"/>
          </w:tcPr>
          <w:p>
            <w:pPr>
              <w:widowControl/>
              <w:jc w:val="center"/>
              <w:textAlignment w:val="bottom"/>
              <w:rPr>
                <w:rFonts w:ascii="宋体" w:hAnsi="宋体" w:eastAsia="宋体"/>
                <w:color w:val="000000"/>
                <w:sz w:val="20"/>
                <w:szCs w:val="20"/>
              </w:rPr>
            </w:pPr>
            <w:r>
              <w:rPr>
                <w:rFonts w:ascii="Times New Roman" w:hAnsi="Times New Roman" w:eastAsia="宋体"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1854" w:type="pct"/>
            <w:gridSpan w:val="3"/>
            <w:tcBorders>
              <w:top w:val="nil"/>
              <w:left w:val="nil"/>
              <w:bottom w:val="single" w:color="auto" w:sz="4" w:space="0"/>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623" w:type="pct"/>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年初结转和结余</w:t>
            </w:r>
          </w:p>
        </w:tc>
        <w:tc>
          <w:tcPr>
            <w:tcW w:w="489" w:type="pct"/>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本年收入</w:t>
            </w:r>
          </w:p>
        </w:tc>
        <w:tc>
          <w:tcPr>
            <w:tcW w:w="1609" w:type="pct"/>
            <w:gridSpan w:val="4"/>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c>
          <w:tcPr>
            <w:tcW w:w="973" w:type="pct"/>
            <w:vMerge w:val="restart"/>
            <w:tcBorders>
              <w:top w:val="single" w:color="auto" w:sz="4" w:space="0"/>
              <w:left w:val="nil"/>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年末结转和结余</w:t>
            </w:r>
          </w:p>
        </w:tc>
      </w:tr>
      <w:tr>
        <w:tblPrEx>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703" w:type="pct"/>
            <w:vMerge w:val="restar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623" w:type="pct"/>
            <w:vMerge w:val="continue"/>
            <w:tcBorders>
              <w:top w:val="single" w:color="000000" w:sz="4" w:space="0"/>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28" w:type="pct"/>
            <w:vMerge w:val="restar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534" w:type="pct"/>
            <w:gridSpan w:val="2"/>
            <w:vMerge w:val="restar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546" w:type="pct"/>
            <w:vMerge w:val="restar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c>
          <w:tcPr>
            <w:tcW w:w="973" w:type="pct"/>
            <w:vMerge w:val="continue"/>
            <w:tcBorders>
              <w:left w:val="nil"/>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结转</w:t>
            </w:r>
          </w:p>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结余</w:t>
            </w:r>
          </w:p>
        </w:tc>
      </w:tr>
      <w:tr>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703"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973" w:type="pct"/>
            <w:vMerge w:val="continue"/>
            <w:tcBorders>
              <w:left w:val="nil"/>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703" w:type="pct"/>
            <w:vMerge w:val="continue"/>
            <w:tcBorders>
              <w:top w:val="nil"/>
              <w:left w:val="nil"/>
              <w:bottom w:val="single" w:color="auto"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973" w:type="pct"/>
            <w:vMerge w:val="continue"/>
            <w:tcBorders>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623" w:type="pct"/>
            <w:tcBorders>
              <w:top w:val="nil"/>
              <w:left w:val="single" w:color="auto" w:sz="4" w:space="0"/>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1</w:t>
            </w:r>
          </w:p>
        </w:tc>
        <w:tc>
          <w:tcPr>
            <w:tcW w:w="489"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w:t>
            </w:r>
          </w:p>
        </w:tc>
        <w:tc>
          <w:tcPr>
            <w:tcW w:w="528"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3</w:t>
            </w:r>
          </w:p>
        </w:tc>
        <w:tc>
          <w:tcPr>
            <w:tcW w:w="534" w:type="pct"/>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4</w:t>
            </w:r>
          </w:p>
        </w:tc>
        <w:tc>
          <w:tcPr>
            <w:tcW w:w="54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5</w:t>
            </w:r>
          </w:p>
        </w:tc>
        <w:tc>
          <w:tcPr>
            <w:tcW w:w="973"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6</w:t>
            </w:r>
          </w:p>
        </w:tc>
      </w:tr>
      <w:tr>
        <w:tblPrEx>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623" w:type="pct"/>
            <w:tcBorders>
              <w:top w:val="nil"/>
              <w:left w:val="single" w:color="auto" w:sz="4" w:space="0"/>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48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8"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34"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4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7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注：本表反映部门本年度政府性基金预算财政拨款收入、支出及结转和结余情况。本单位无政府性基金预算财政拨款收入，则空表列示</w:t>
            </w:r>
            <w:r>
              <w:rPr>
                <w:rFonts w:hint="eastAsia" w:ascii="宋体" w:hAnsi="宋体" w:eastAsia="宋体"/>
                <w:color w:val="000000"/>
                <w:sz w:val="20"/>
                <w:szCs w:val="20"/>
              </w:rPr>
              <w:t>。</w:t>
            </w:r>
          </w:p>
        </w:tc>
      </w:tr>
    </w:tbl>
    <w:p>
      <w:pPr>
        <w:rPr>
          <w:rFonts w:ascii="仿宋_GB2312" w:hAnsi="宋体" w:eastAsia="仿宋_GB2312"/>
          <w:b/>
          <w:sz w:val="32"/>
          <w:szCs w:val="32"/>
        </w:rPr>
      </w:pPr>
      <w:r>
        <w:rPr>
          <w:rFonts w:hint="eastAsia" w:ascii="仿宋_GB2312" w:hAnsi="宋体" w:eastAsia="仿宋_GB2312"/>
          <w:b/>
          <w:sz w:val="32"/>
          <w:szCs w:val="32"/>
        </w:rPr>
        <w:br w:type="page"/>
      </w:r>
    </w:p>
    <w:p>
      <w:pPr>
        <w:widowControl/>
        <w:jc w:val="center"/>
        <w:textAlignment w:val="bottom"/>
        <w:rPr>
          <w:rFonts w:ascii="宋体" w:hAnsi="宋体" w:eastAsia="宋体"/>
          <w:spacing w:val="-2"/>
          <w:sz w:val="20"/>
        </w:rPr>
      </w:pPr>
    </w:p>
    <w:tbl>
      <w:tblPr>
        <w:tblStyle w:val="11"/>
        <w:tblW w:w="5000" w:type="pct"/>
        <w:tblInd w:w="0" w:type="dxa"/>
        <w:tblLayout w:type="fixed"/>
        <w:tblCellMar>
          <w:top w:w="0" w:type="dxa"/>
          <w:left w:w="108" w:type="dxa"/>
          <w:bottom w:w="0" w:type="dxa"/>
          <w:right w:w="108" w:type="dxa"/>
        </w:tblCellMar>
      </w:tblPr>
      <w:tblGrid>
        <w:gridCol w:w="2017"/>
        <w:gridCol w:w="730"/>
        <w:gridCol w:w="1298"/>
        <w:gridCol w:w="1336"/>
        <w:gridCol w:w="45"/>
        <w:gridCol w:w="1291"/>
        <w:gridCol w:w="1323"/>
      </w:tblGrid>
      <w:tr>
        <w:tblPrEx>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国有资本经营预算财政拨款支出决算表</w:t>
            </w:r>
          </w:p>
        </w:tc>
      </w:tr>
      <w:tr>
        <w:tblPrEx>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方正仿宋_GB2312" w:cs="Times New Roman"/>
                <w:color w:val="000000"/>
                <w:sz w:val="20"/>
                <w:szCs w:val="20"/>
              </w:rPr>
              <w:t>08</w:t>
            </w:r>
            <w:r>
              <w:rPr>
                <w:rFonts w:hint="eastAsia" w:ascii="方正仿宋_GB2312" w:hAnsi="方正仿宋_GB2312" w:eastAsia="方正仿宋_GB2312" w:cs="方正仿宋_GB2312"/>
                <w:color w:val="000000"/>
                <w:sz w:val="20"/>
                <w:szCs w:val="20"/>
              </w:rPr>
              <w:t>表</w:t>
            </w:r>
          </w:p>
        </w:tc>
      </w:tr>
      <w:tr>
        <w:tblPrEx>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pPr>
              <w:widowControl/>
              <w:textAlignment w:val="bottom"/>
              <w:rPr>
                <w:rFonts w:hint="eastAsia" w:ascii="宋体" w:hAnsi="宋体" w:eastAsia="方正仿宋_GB2312"/>
                <w:color w:val="000000"/>
                <w:sz w:val="20"/>
                <w:szCs w:val="20"/>
                <w:lang w:eastAsia="zh-CN"/>
              </w:rPr>
            </w:pPr>
            <w:r>
              <w:rPr>
                <w:rFonts w:hint="eastAsia" w:ascii="方正仿宋_GB2312" w:hAnsi="方正仿宋_GB2312" w:eastAsia="方正仿宋_GB2312" w:cs="方正仿宋_GB2312"/>
                <w:color w:val="000000"/>
                <w:sz w:val="20"/>
                <w:szCs w:val="20"/>
              </w:rPr>
              <w:t>编制部门（单位）：</w:t>
            </w:r>
            <w:r>
              <w:rPr>
                <w:rFonts w:hint="eastAsia" w:ascii="宋体" w:hAnsi="宋体" w:eastAsia="宋体"/>
                <w:color w:val="000000"/>
                <w:sz w:val="20"/>
                <w:szCs w:val="20"/>
              </w:rPr>
              <w:t>石</w:t>
            </w:r>
            <w:r>
              <w:rPr>
                <w:rFonts w:hint="eastAsia" w:ascii="___WRD_EMBED_SUB_52" w:hAnsi="___WRD_EMBED_SUB_52" w:eastAsia="___WRD_EMBED_SUB_52" w:cs="___WRD_EMBED_SUB_52"/>
                <w:color w:val="000000"/>
                <w:sz w:val="20"/>
                <w:szCs w:val="20"/>
              </w:rPr>
              <w:t>家</w:t>
            </w:r>
            <w:r>
              <w:rPr>
                <w:rFonts w:hint="eastAsia" w:ascii="宋体" w:hAnsi="宋体" w:eastAsia="宋体"/>
                <w:color w:val="000000"/>
                <w:sz w:val="20"/>
                <w:szCs w:val="20"/>
              </w:rPr>
              <w:t>庄市鹿泉</w:t>
            </w:r>
            <w:r>
              <w:rPr>
                <w:rFonts w:hint="eastAsia" w:ascii="___WRD_EMBED_SUB_52" w:hAnsi="___WRD_EMBED_SUB_52" w:eastAsia="___WRD_EMBED_SUB_52" w:cs="___WRD_EMBED_SUB_52"/>
                <w:color w:val="000000"/>
                <w:sz w:val="20"/>
                <w:szCs w:val="20"/>
              </w:rPr>
              <w:t>区</w:t>
            </w:r>
            <w:r>
              <w:rPr>
                <w:rFonts w:hint="eastAsia" w:ascii="宋体" w:hAnsi="宋体" w:eastAsia="宋体"/>
                <w:color w:val="000000"/>
                <w:sz w:val="20"/>
                <w:szCs w:val="20"/>
              </w:rPr>
              <w:t>供销</w:t>
            </w:r>
            <w:r>
              <w:rPr>
                <w:rFonts w:hint="eastAsia" w:ascii="___WRD_EMBED_SUB_52" w:hAnsi="___WRD_EMBED_SUB_52" w:eastAsia="___WRD_EMBED_SUB_52" w:cs="___WRD_EMBED_SUB_52"/>
                <w:color w:val="000000"/>
                <w:sz w:val="20"/>
                <w:szCs w:val="20"/>
              </w:rPr>
              <w:t>合</w:t>
            </w:r>
            <w:r>
              <w:rPr>
                <w:rFonts w:hint="eastAsia" w:ascii="宋体" w:hAnsi="宋体" w:eastAsia="宋体"/>
                <w:color w:val="000000"/>
                <w:sz w:val="20"/>
                <w:szCs w:val="20"/>
              </w:rPr>
              <w:t>作</w:t>
            </w:r>
            <w:r>
              <w:rPr>
                <w:rFonts w:hint="eastAsia" w:ascii="方正仿宋_GB2312" w:hAnsi="方正仿宋_GB2312" w:eastAsia="方正仿宋_GB2312" w:cs="方正仿宋_GB2312"/>
                <w:color w:val="000000"/>
                <w:sz w:val="20"/>
                <w:szCs w:val="20"/>
              </w:rPr>
              <w:t>社</w:t>
            </w:r>
            <w:r>
              <w:rPr>
                <w:rFonts w:hint="eastAsia" w:ascii="方正仿宋_GB2312" w:hAnsi="方正仿宋_GB2312" w:eastAsia="方正仿宋_GB2312" w:cs="方正仿宋_GB2312"/>
                <w:color w:val="000000"/>
                <w:sz w:val="20"/>
                <w:szCs w:val="20"/>
                <w:lang w:eastAsia="zh-CN"/>
              </w:rPr>
              <w:t>（</w:t>
            </w:r>
            <w:r>
              <w:rPr>
                <w:rFonts w:hint="eastAsia" w:ascii="方正仿宋_GB2312" w:hAnsi="方正仿宋_GB2312" w:eastAsia="方正仿宋_GB2312" w:cs="方正仿宋_GB2312"/>
                <w:color w:val="000000"/>
                <w:sz w:val="20"/>
                <w:szCs w:val="20"/>
              </w:rPr>
              <w:t>本级</w:t>
            </w:r>
            <w:r>
              <w:rPr>
                <w:rFonts w:hint="eastAsia" w:ascii="方正仿宋_GB2312" w:hAnsi="方正仿宋_GB2312" w:eastAsia="方正仿宋_GB2312" w:cs="方正仿宋_GB2312"/>
                <w:color w:val="000000"/>
                <w:sz w:val="20"/>
                <w:szCs w:val="20"/>
                <w:lang w:eastAsia="zh-CN"/>
              </w:rPr>
              <w:t>）</w:t>
            </w:r>
          </w:p>
        </w:tc>
        <w:tc>
          <w:tcPr>
            <w:tcW w:w="1666" w:type="pct"/>
            <w:gridSpan w:val="3"/>
            <w:tcBorders>
              <w:top w:val="nil"/>
              <w:left w:val="nil"/>
              <w:bottom w:val="single" w:color="auto" w:sz="4" w:space="0"/>
              <w:right w:val="nil"/>
            </w:tcBorders>
            <w:noWrap/>
            <w:vAlign w:val="bottom"/>
          </w:tcPr>
          <w:p>
            <w:pPr>
              <w:widowControl/>
              <w:jc w:val="center"/>
              <w:textAlignment w:val="bottom"/>
              <w:rPr>
                <w:rFonts w:ascii="宋体" w:hAnsi="宋体" w:eastAsia="宋体"/>
                <w:color w:val="000000"/>
                <w:sz w:val="20"/>
                <w:szCs w:val="20"/>
              </w:rPr>
            </w:pPr>
            <w:r>
              <w:rPr>
                <w:rFonts w:ascii="Times New Roman" w:hAnsi="Times New Roman" w:eastAsia="宋体"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1624" w:type="pct"/>
            <w:gridSpan w:val="2"/>
            <w:tcBorders>
              <w:top w:val="nil"/>
              <w:left w:val="nil"/>
              <w:bottom w:val="single" w:color="auto" w:sz="4" w:space="0"/>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tblPrEx>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 xml:space="preserve"> 项目</w:t>
            </w:r>
          </w:p>
        </w:tc>
        <w:tc>
          <w:tcPr>
            <w:tcW w:w="2484" w:type="pct"/>
            <w:gridSpan w:val="4"/>
            <w:vMerge w:val="restart"/>
            <w:tcBorders>
              <w:top w:val="single" w:color="auto" w:sz="4" w:space="0"/>
              <w:left w:val="single" w:color="auto"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r>
      <w:tr>
        <w:tblPrEx>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p>
        </w:tc>
        <w:tc>
          <w:tcPr>
            <w:tcW w:w="2484" w:type="pct"/>
            <w:gridSpan w:val="4"/>
            <w:vMerge w:val="continue"/>
            <w:tcBorders>
              <w:left w:val="single" w:color="auto" w:sz="4" w:space="0"/>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831" w:type="pct"/>
            <w:vMerge w:val="restart"/>
            <w:tcBorders>
              <w:top w:val="nil"/>
              <w:left w:val="single" w:color="auto"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831" w:type="pct"/>
            <w:gridSpan w:val="2"/>
            <w:vMerge w:val="restart"/>
            <w:tcBorders>
              <w:top w:val="nil"/>
              <w:left w:val="nil"/>
              <w:right w:val="single" w:color="000000" w:sz="4" w:space="0"/>
            </w:tcBorders>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821" w:type="pct"/>
            <w:vMerge w:val="restart"/>
            <w:tcBorders>
              <w:top w:val="nil"/>
              <w:left w:val="nil"/>
              <w:right w:val="single" w:color="000000" w:sz="4" w:space="0"/>
            </w:tcBorders>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r>
      <w:tr>
        <w:tblPrEx>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1260" w:type="pct"/>
            <w:gridSpan w:val="2"/>
            <w:vMerge w:val="continue"/>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color w:val="000000"/>
                <w:sz w:val="20"/>
                <w:szCs w:val="20"/>
              </w:rPr>
            </w:pPr>
          </w:p>
        </w:tc>
        <w:tc>
          <w:tcPr>
            <w:tcW w:w="831" w:type="pct"/>
            <w:vMerge w:val="continue"/>
            <w:tcBorders>
              <w:left w:val="single" w:color="auto" w:sz="4" w:space="0"/>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831" w:type="pct"/>
            <w:gridSpan w:val="2"/>
            <w:vMerge w:val="continue"/>
            <w:tcBorders>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821" w:type="pct"/>
            <w:vMerge w:val="continue"/>
            <w:tcBorders>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栏次</w:t>
            </w:r>
          </w:p>
        </w:tc>
        <w:tc>
          <w:tcPr>
            <w:tcW w:w="828" w:type="pct"/>
            <w:tcBorders>
              <w:top w:val="nil"/>
              <w:left w:val="single" w:color="auto" w:sz="4" w:space="0"/>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1</w:t>
            </w:r>
          </w:p>
        </w:tc>
        <w:tc>
          <w:tcPr>
            <w:tcW w:w="828" w:type="pct"/>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2</w:t>
            </w:r>
          </w:p>
        </w:tc>
        <w:tc>
          <w:tcPr>
            <w:tcW w:w="828"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3</w:t>
            </w:r>
          </w:p>
        </w:tc>
      </w:tr>
      <w:tr>
        <w:tblPrEx>
          <w:tblCellMar>
            <w:top w:w="0" w:type="dxa"/>
            <w:left w:w="108" w:type="dxa"/>
            <w:bottom w:w="0" w:type="dxa"/>
            <w:right w:w="108" w:type="dxa"/>
          </w:tblCellMar>
        </w:tblPrEx>
        <w:trPr>
          <w:trHeight w:val="308"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eastAsia="宋体" w:cs="Times New Roman"/>
                <w:color w:val="000000"/>
                <w:sz w:val="20"/>
                <w:szCs w:val="20"/>
              </w:rPr>
            </w:pPr>
            <w:r>
              <w:rPr>
                <w:rFonts w:hint="eastAsia" w:ascii="Times New Roman" w:hAnsi="Times New Roman" w:eastAsia="方正仿宋_GB2312" w:cs="Times New Roman"/>
                <w:color w:val="000000"/>
                <w:sz w:val="20"/>
                <w:szCs w:val="20"/>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28" w:type="pct"/>
            <w:tcBorders>
              <w:top w:val="single" w:color="000000" w:sz="4" w:space="0"/>
              <w:left w:val="single" w:color="000000" w:sz="4" w:space="0"/>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5000" w:type="pct"/>
            <w:gridSpan w:val="7"/>
            <w:tcBorders>
              <w:top w:val="nil"/>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注：本表反映部门本年度国有资本经营预算财政拨款支出情况。本单位无国有资本经营预算财政拨款支出，则空表列示。</w:t>
            </w:r>
          </w:p>
        </w:tc>
      </w:tr>
    </w:tbl>
    <w:p>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pPr w:leftFromText="180" w:rightFromText="180" w:vertAnchor="text" w:horzAnchor="page" w:tblpX="282" w:tblpY="39"/>
        <w:tblOverlap w:val="never"/>
        <w:tblW w:w="7211" w:type="pct"/>
        <w:tblInd w:w="0" w:type="dxa"/>
        <w:tblLayout w:type="fixed"/>
        <w:tblCellMar>
          <w:top w:w="0" w:type="dxa"/>
          <w:left w:w="108" w:type="dxa"/>
          <w:bottom w:w="0" w:type="dxa"/>
          <w:right w:w="108" w:type="dxa"/>
        </w:tblCellMar>
      </w:tblPr>
      <w:tblGrid>
        <w:gridCol w:w="985"/>
        <w:gridCol w:w="1224"/>
        <w:gridCol w:w="812"/>
        <w:gridCol w:w="944"/>
        <w:gridCol w:w="524"/>
        <w:gridCol w:w="543"/>
        <w:gridCol w:w="779"/>
        <w:gridCol w:w="849"/>
        <w:gridCol w:w="1132"/>
        <w:gridCol w:w="638"/>
        <w:gridCol w:w="1025"/>
        <w:gridCol w:w="948"/>
        <w:gridCol w:w="1192"/>
      </w:tblGrid>
      <w:tr>
        <w:tblPrEx>
          <w:tblCellMar>
            <w:top w:w="0" w:type="dxa"/>
            <w:left w:w="108" w:type="dxa"/>
            <w:bottom w:w="0" w:type="dxa"/>
            <w:right w:w="108" w:type="dxa"/>
          </w:tblCellMar>
        </w:tblPrEx>
        <w:trPr>
          <w:trHeight w:val="550" w:hRule="atLeast"/>
        </w:trPr>
        <w:tc>
          <w:tcPr>
            <w:tcW w:w="5000" w:type="pct"/>
            <w:gridSpan w:val="13"/>
            <w:tcBorders>
              <w:top w:val="nil"/>
              <w:left w:val="nil"/>
              <w:bottom w:val="nil"/>
              <w:right w:val="nil"/>
            </w:tcBorders>
            <w:noWrap/>
            <w:vAlign w:val="bottom"/>
          </w:tcPr>
          <w:p>
            <w:pPr>
              <w:widowControl/>
              <w:jc w:val="center"/>
              <w:textAlignment w:val="bottom"/>
              <w:rPr>
                <w:rFonts w:ascii="宋体" w:hAnsi="宋体" w:eastAsia="宋体"/>
                <w:color w:val="000000"/>
                <w:sz w:val="18"/>
                <w:szCs w:val="18"/>
              </w:rPr>
            </w:pPr>
            <w:r>
              <w:rPr>
                <w:rFonts w:hint="eastAsia" w:ascii="方正仿宋_GB2312" w:hAnsi="方正仿宋_GB2312" w:eastAsia="方正仿宋_GB2312" w:cs="方正仿宋_GB2312"/>
                <w:bCs/>
                <w:sz w:val="32"/>
                <w:szCs w:val="32"/>
              </w:rPr>
              <w:t>财政拨款“三公”经费支出决算表</w:t>
            </w:r>
          </w:p>
        </w:tc>
      </w:tr>
      <w:tr>
        <w:tblPrEx>
          <w:tblCellMar>
            <w:top w:w="0" w:type="dxa"/>
            <w:left w:w="108" w:type="dxa"/>
            <w:bottom w:w="0" w:type="dxa"/>
            <w:right w:w="108" w:type="dxa"/>
          </w:tblCellMar>
        </w:tblPrEx>
        <w:trPr>
          <w:trHeight w:val="260" w:hRule="atLeast"/>
        </w:trPr>
        <w:tc>
          <w:tcPr>
            <w:tcW w:w="5000" w:type="pct"/>
            <w:gridSpan w:val="13"/>
            <w:tcBorders>
              <w:top w:val="nil"/>
              <w:left w:val="nil"/>
              <w:bottom w:val="nil"/>
              <w:right w:val="nil"/>
            </w:tcBorders>
            <w:noWrap/>
            <w:vAlign w:val="bottom"/>
          </w:tcPr>
          <w:p>
            <w:pPr>
              <w:widowControl/>
              <w:jc w:val="righ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公开</w:t>
            </w:r>
            <w:r>
              <w:rPr>
                <w:rFonts w:ascii="Times New Roman" w:hAnsi="Times New Roman" w:eastAsia="方正仿宋_GB2312" w:cs="Times New Roman"/>
                <w:color w:val="000000"/>
                <w:sz w:val="18"/>
                <w:szCs w:val="18"/>
              </w:rPr>
              <w:t>09</w:t>
            </w:r>
            <w:r>
              <w:rPr>
                <w:rFonts w:hint="eastAsia" w:ascii="方正仿宋_GB2312" w:hAnsi="方正仿宋_GB2312" w:eastAsia="方正仿宋_GB2312" w:cs="方正仿宋_GB2312"/>
                <w:color w:val="000000"/>
                <w:sz w:val="18"/>
                <w:szCs w:val="18"/>
              </w:rPr>
              <w:t>表</w:t>
            </w:r>
          </w:p>
        </w:tc>
      </w:tr>
      <w:tr>
        <w:tblPrEx>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pPr>
              <w:widowControl/>
              <w:jc w:val="left"/>
              <w:textAlignment w:val="bottom"/>
              <w:rPr>
                <w:rFonts w:hint="eastAsia" w:ascii="宋体" w:hAnsi="宋体" w:eastAsia="方正仿宋_GB2312"/>
                <w:color w:val="000000"/>
                <w:sz w:val="18"/>
                <w:szCs w:val="18"/>
                <w:lang w:eastAsia="zh-CN"/>
              </w:rPr>
            </w:pPr>
            <w:r>
              <w:rPr>
                <w:rFonts w:hint="eastAsia" w:ascii="方正仿宋_GB2312" w:hAnsi="方正仿宋_GB2312" w:eastAsia="方正仿宋_GB2312" w:cs="方正仿宋_GB2312"/>
                <w:color w:val="000000"/>
                <w:sz w:val="18"/>
                <w:szCs w:val="18"/>
              </w:rPr>
              <w:t>编制部门（单位）：</w:t>
            </w:r>
            <w:r>
              <w:rPr>
                <w:rFonts w:hint="eastAsia" w:ascii="宋体" w:hAnsi="宋体" w:eastAsia="宋体"/>
                <w:color w:val="000000"/>
                <w:sz w:val="18"/>
                <w:szCs w:val="18"/>
              </w:rPr>
              <w:t>石</w:t>
            </w:r>
            <w:r>
              <w:rPr>
                <w:rFonts w:hint="eastAsia" w:ascii="___WRD_EMBED_SUB_52" w:hAnsi="___WRD_EMBED_SUB_52" w:eastAsia="___WRD_EMBED_SUB_52" w:cs="___WRD_EMBED_SUB_52"/>
                <w:color w:val="000000"/>
                <w:sz w:val="18"/>
                <w:szCs w:val="18"/>
              </w:rPr>
              <w:t>家</w:t>
            </w:r>
            <w:r>
              <w:rPr>
                <w:rFonts w:hint="eastAsia" w:ascii="宋体" w:hAnsi="宋体" w:eastAsia="宋体"/>
                <w:color w:val="000000"/>
                <w:sz w:val="18"/>
                <w:szCs w:val="18"/>
              </w:rPr>
              <w:t>庄市鹿泉</w:t>
            </w:r>
            <w:r>
              <w:rPr>
                <w:rFonts w:hint="eastAsia" w:ascii="___WRD_EMBED_SUB_52" w:hAnsi="___WRD_EMBED_SUB_52" w:eastAsia="___WRD_EMBED_SUB_52" w:cs="___WRD_EMBED_SUB_52"/>
                <w:color w:val="000000"/>
                <w:sz w:val="18"/>
                <w:szCs w:val="18"/>
              </w:rPr>
              <w:t>区</w:t>
            </w:r>
            <w:r>
              <w:rPr>
                <w:rFonts w:hint="eastAsia" w:ascii="宋体" w:hAnsi="宋体" w:eastAsia="宋体"/>
                <w:color w:val="000000"/>
                <w:sz w:val="18"/>
                <w:szCs w:val="18"/>
              </w:rPr>
              <w:t>供销</w:t>
            </w:r>
            <w:r>
              <w:rPr>
                <w:rFonts w:hint="eastAsia" w:ascii="___WRD_EMBED_SUB_52" w:hAnsi="___WRD_EMBED_SUB_52" w:eastAsia="___WRD_EMBED_SUB_52" w:cs="___WRD_EMBED_SUB_52"/>
                <w:color w:val="000000"/>
                <w:sz w:val="18"/>
                <w:szCs w:val="18"/>
              </w:rPr>
              <w:t>合</w:t>
            </w:r>
            <w:r>
              <w:rPr>
                <w:rFonts w:hint="eastAsia" w:ascii="宋体" w:hAnsi="宋体" w:eastAsia="宋体"/>
                <w:color w:val="000000"/>
                <w:sz w:val="18"/>
                <w:szCs w:val="18"/>
              </w:rPr>
              <w:t>作</w:t>
            </w:r>
            <w:r>
              <w:rPr>
                <w:rFonts w:hint="eastAsia" w:ascii="方正仿宋_GB2312" w:hAnsi="方正仿宋_GB2312" w:eastAsia="方正仿宋_GB2312" w:cs="方正仿宋_GB2312"/>
                <w:color w:val="000000"/>
                <w:sz w:val="18"/>
                <w:szCs w:val="18"/>
              </w:rPr>
              <w:t>社</w:t>
            </w:r>
            <w:r>
              <w:rPr>
                <w:rFonts w:hint="eastAsia" w:ascii="方正仿宋_GB2312" w:hAnsi="方正仿宋_GB2312" w:eastAsia="方正仿宋_GB2312" w:cs="方正仿宋_GB2312"/>
                <w:color w:val="000000"/>
                <w:sz w:val="18"/>
                <w:szCs w:val="18"/>
                <w:lang w:eastAsia="zh-CN"/>
              </w:rPr>
              <w:t>（</w:t>
            </w:r>
            <w:r>
              <w:rPr>
                <w:rFonts w:hint="eastAsia" w:ascii="方正仿宋_GB2312" w:hAnsi="方正仿宋_GB2312" w:eastAsia="方正仿宋_GB2312" w:cs="方正仿宋_GB2312"/>
                <w:color w:val="000000"/>
                <w:sz w:val="18"/>
                <w:szCs w:val="18"/>
              </w:rPr>
              <w:t>本级</w:t>
            </w:r>
            <w:r>
              <w:rPr>
                <w:rFonts w:hint="eastAsia" w:ascii="方正仿宋_GB2312" w:hAnsi="方正仿宋_GB2312" w:eastAsia="方正仿宋_GB2312" w:cs="方正仿宋_GB2312"/>
                <w:color w:val="000000"/>
                <w:sz w:val="18"/>
                <w:szCs w:val="18"/>
                <w:lang w:eastAsia="zh-CN"/>
              </w:rPr>
              <w:t>）</w:t>
            </w:r>
          </w:p>
        </w:tc>
        <w:tc>
          <w:tcPr>
            <w:tcW w:w="933" w:type="pct"/>
            <w:gridSpan w:val="3"/>
            <w:tcBorders>
              <w:top w:val="nil"/>
              <w:left w:val="nil"/>
              <w:bottom w:val="single" w:color="auto" w:sz="4" w:space="0"/>
              <w:right w:val="nil"/>
            </w:tcBorders>
            <w:noWrap/>
            <w:vAlign w:val="bottom"/>
          </w:tcPr>
          <w:p>
            <w:pPr>
              <w:widowControl/>
              <w:jc w:val="center"/>
              <w:textAlignment w:val="bottom"/>
              <w:rPr>
                <w:rFonts w:ascii="宋体" w:hAnsi="宋体" w:eastAsia="宋体"/>
                <w:color w:val="000000"/>
                <w:sz w:val="18"/>
                <w:szCs w:val="18"/>
              </w:rPr>
            </w:pPr>
            <w:r>
              <w:rPr>
                <w:rFonts w:ascii="Times New Roman" w:hAnsi="Times New Roman" w:eastAsia="宋体" w:cs="Times New Roman"/>
                <w:color w:val="000000"/>
                <w:sz w:val="18"/>
                <w:szCs w:val="18"/>
              </w:rPr>
              <w:t>2023</w:t>
            </w:r>
            <w:r>
              <w:rPr>
                <w:rFonts w:hint="eastAsia" w:ascii="方正仿宋_GB2312" w:hAnsi="方正仿宋_GB2312" w:eastAsia="方正仿宋_GB2312" w:cs="方正仿宋_GB2312"/>
                <w:color w:val="000000"/>
                <w:sz w:val="18"/>
                <w:szCs w:val="18"/>
              </w:rPr>
              <w:t>年度</w:t>
            </w:r>
          </w:p>
        </w:tc>
        <w:tc>
          <w:tcPr>
            <w:tcW w:w="2129" w:type="pct"/>
            <w:gridSpan w:val="5"/>
            <w:tcBorders>
              <w:top w:val="nil"/>
              <w:left w:val="nil"/>
              <w:bottom w:val="single" w:color="auto" w:sz="4" w:space="0"/>
              <w:right w:val="nil"/>
            </w:tcBorders>
            <w:noWrap/>
            <w:vAlign w:val="bottom"/>
          </w:tcPr>
          <w:p>
            <w:pPr>
              <w:widowControl/>
              <w:jc w:val="righ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金额单位：万元</w:t>
            </w:r>
          </w:p>
        </w:tc>
      </w:tr>
      <w:tr>
        <w:tblPrEx>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预算数</w:t>
            </w:r>
          </w:p>
        </w:tc>
        <w:tc>
          <w:tcPr>
            <w:tcW w:w="2493" w:type="pct"/>
            <w:gridSpan w:val="6"/>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决算数</w:t>
            </w:r>
          </w:p>
        </w:tc>
      </w:tr>
      <w:tr>
        <w:tblPrEx>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528"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w:t>
            </w:r>
          </w:p>
        </w:tc>
        <w:tc>
          <w:tcPr>
            <w:tcW w:w="1217" w:type="pct"/>
            <w:gridSpan w:val="4"/>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c>
          <w:tcPr>
            <w:tcW w:w="366"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488"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w:t>
            </w:r>
          </w:p>
        </w:tc>
        <w:tc>
          <w:tcPr>
            <w:tcW w:w="1126" w:type="pct"/>
            <w:gridSpan w:val="3"/>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r>
      <w:tr>
        <w:tblPrEx>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528"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350"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407"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公务用车购置费</w:t>
            </w:r>
          </w:p>
        </w:tc>
        <w:tc>
          <w:tcPr>
            <w:tcW w:w="458"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335"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366"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488"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275"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442"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公务用车购置费</w:t>
            </w:r>
          </w:p>
        </w:tc>
        <w:tc>
          <w:tcPr>
            <w:tcW w:w="407"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511"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r>
      <w:tr>
        <w:tblPrEx>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w:t>
            </w:r>
          </w:p>
        </w:tc>
        <w:tc>
          <w:tcPr>
            <w:tcW w:w="528"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w:t>
            </w:r>
          </w:p>
        </w:tc>
        <w:tc>
          <w:tcPr>
            <w:tcW w:w="350"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w:t>
            </w:r>
          </w:p>
        </w:tc>
        <w:tc>
          <w:tcPr>
            <w:tcW w:w="40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4</w:t>
            </w:r>
          </w:p>
        </w:tc>
        <w:tc>
          <w:tcPr>
            <w:tcW w:w="458" w:type="pct"/>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5</w:t>
            </w:r>
          </w:p>
        </w:tc>
        <w:tc>
          <w:tcPr>
            <w:tcW w:w="335"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6</w:t>
            </w:r>
          </w:p>
        </w:tc>
        <w:tc>
          <w:tcPr>
            <w:tcW w:w="3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7</w:t>
            </w:r>
          </w:p>
        </w:tc>
        <w:tc>
          <w:tcPr>
            <w:tcW w:w="488"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8</w:t>
            </w:r>
          </w:p>
        </w:tc>
        <w:tc>
          <w:tcPr>
            <w:tcW w:w="275"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9</w:t>
            </w:r>
          </w:p>
        </w:tc>
        <w:tc>
          <w:tcPr>
            <w:tcW w:w="442"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10</w:t>
            </w:r>
          </w:p>
        </w:tc>
        <w:tc>
          <w:tcPr>
            <w:tcW w:w="40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11</w:t>
            </w:r>
          </w:p>
        </w:tc>
        <w:tc>
          <w:tcPr>
            <w:tcW w:w="511"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12</w:t>
            </w:r>
          </w:p>
        </w:tc>
      </w:tr>
      <w:tr>
        <w:tblPrEx>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528"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350"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407"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458"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335"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366"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488"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275"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442"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407"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511"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r>
      <w:tr>
        <w:tblPrEx>
          <w:tblCellMar>
            <w:top w:w="0" w:type="dxa"/>
            <w:left w:w="108" w:type="dxa"/>
            <w:bottom w:w="0" w:type="dxa"/>
            <w:right w:w="108" w:type="dxa"/>
          </w:tblCellMar>
        </w:tblPrEx>
        <w:trPr>
          <w:trHeight w:val="431" w:hRule="atLeast"/>
        </w:trPr>
        <w:tc>
          <w:tcPr>
            <w:tcW w:w="5000" w:type="pct"/>
            <w:gridSpan w:val="13"/>
            <w:tcBorders>
              <w:top w:val="nil"/>
              <w:left w:val="nil"/>
              <w:bottom w:val="nil"/>
              <w:right w:val="nil"/>
            </w:tcBorders>
            <w:noWrap/>
            <w:vAlign w:val="center"/>
          </w:tcPr>
          <w:p>
            <w:pPr>
              <w:widowControl/>
              <w:jc w:val="left"/>
              <w:textAlignment w:val="center"/>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注：本表反映部门本年度财政拨款“三公”经费支出预决算情况。其中：预算数为“三公”经费全年预算数，反映按规定程序调整后的预算数；决算数是包括当年财政拨款和以前年度结转资金安排的实际支出。本单位无财政拨款“三公”经费支出预算，则空表列示。</w:t>
            </w:r>
          </w:p>
        </w:tc>
      </w:tr>
    </w:tbl>
    <w:p>
      <w:pPr>
        <w:rPr>
          <w:rFonts w:ascii="仿宋_GB2312" w:hAnsi="宋体" w:eastAsia="仿宋_GB2312"/>
          <w:b/>
          <w:sz w:val="32"/>
          <w:szCs w:val="32"/>
        </w:rPr>
      </w:pPr>
      <w:r>
        <w:rPr>
          <w:rFonts w:hint="eastAsia" w:ascii="仿宋_GB2312" w:hAnsi="宋体" w:eastAsia="仿宋_GB2312"/>
          <w:b/>
          <w:sz w:val="32"/>
          <w:szCs w:val="32"/>
        </w:rPr>
        <w:br w:type="page"/>
      </w:r>
    </w:p>
    <w:p>
      <w:pPr>
        <w:rPr>
          <w:rFonts w:ascii="仿宋_GB2312" w:hAnsi="宋体" w:eastAsia="仿宋_GB2312"/>
          <w:b/>
          <w:sz w:val="32"/>
          <w:szCs w:val="32"/>
        </w:rPr>
        <w:sectPr>
          <w:pgSz w:w="11906" w:h="16838"/>
          <w:pgMar w:top="1531" w:right="1984" w:bottom="1531" w:left="2098" w:header="851" w:footer="992" w:gutter="0"/>
          <w:cols w:space="720" w:num="1"/>
          <w:docGrid w:type="lines" w:linePitch="312" w:charSpace="0"/>
        </w:sectPr>
      </w:pPr>
    </w:p>
    <w:p>
      <w:pPr>
        <w:pStyle w:val="10"/>
        <w:widowControl/>
        <w:spacing w:beforeAutospacing="0" w:afterAutospacing="0"/>
        <w:jc w:val="both"/>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outlineLvl w:val="0"/>
        <w:rPr>
          <w:rFonts w:ascii="Arial" w:hAnsi="Arial" w:eastAsia="Arial" w:cs="Arial"/>
        </w:rPr>
      </w:pPr>
      <w:r>
        <w:rPr>
          <w:rFonts w:hint="eastAsia" w:ascii="黑体" w:hAnsi="宋体" w:eastAsia="黑体" w:cs="黑体"/>
          <w:color w:val="000000"/>
          <w:sz w:val="72"/>
          <w:szCs w:val="72"/>
          <w:shd w:val="clear" w:color="auto" w:fill="FFFFFF"/>
        </w:rPr>
        <w:t>第三部分</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spacing w:val="-20"/>
        </w:rPr>
      </w:pPr>
      <w:r>
        <w:rPr>
          <w:rFonts w:hint="eastAsia" w:ascii="黑体" w:hAnsi="宋体" w:eastAsia="黑体" w:cs="黑体"/>
          <w:color w:val="000000"/>
          <w:spacing w:val="-20"/>
          <w:sz w:val="72"/>
          <w:szCs w:val="72"/>
          <w:shd w:val="clear" w:color="auto" w:fill="FFFFFF"/>
        </w:rPr>
        <w:t>2023年度部门决算情况说明</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t> </w:t>
      </w:r>
    </w:p>
    <w:p>
      <w:pP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br w:type="page"/>
      </w:r>
    </w:p>
    <w:p>
      <w:pPr>
        <w:pStyle w:val="10"/>
        <w:widowControl/>
        <w:spacing w:beforeAutospacing="0" w:afterAutospacing="0"/>
        <w:jc w:val="center"/>
        <w:rPr>
          <w:rFonts w:ascii="Arial" w:hAnsi="Arial" w:eastAsia="Arial" w:cs="Arial"/>
          <w:color w:val="000000"/>
          <w:sz w:val="18"/>
          <w:szCs w:val="18"/>
          <w:shd w:val="clear" w:color="auto" w:fill="FFFFFF"/>
        </w:rPr>
      </w:pP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both"/>
        <w:outlineLvl w:val="1"/>
        <w:rPr>
          <w:rFonts w:ascii="黑体" w:hAnsi="Calibri" w:eastAsia="黑体"/>
          <w:kern w:val="2"/>
          <w:sz w:val="32"/>
          <w:szCs w:val="32"/>
        </w:rPr>
      </w:pPr>
      <w:r>
        <w:rPr>
          <w:rFonts w:hint="eastAsia" w:ascii="黑体" w:hAnsi="Calibri" w:eastAsia="黑体"/>
          <w:kern w:val="2"/>
          <w:sz w:val="32"/>
          <w:szCs w:val="32"/>
        </w:rPr>
        <w:t>一、收入支出决算总体情况说明</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本单位</w:t>
      </w:r>
      <w:r>
        <w:rPr>
          <w:rFonts w:ascii="Times New Roman" w:hAnsi="Times New Roman" w:eastAsia="仿宋_GB2312" w:cs="Times New Roman"/>
          <w:kern w:val="2"/>
          <w:sz w:val="32"/>
          <w:szCs w:val="32"/>
          <w:lang w:val="zh-CN"/>
        </w:rPr>
        <w:t>2023年度收</w:t>
      </w:r>
      <w:r>
        <w:rPr>
          <w:rFonts w:hint="eastAsia"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rPr>
        <w:t>支</w:t>
      </w:r>
      <w:r>
        <w:rPr>
          <w:rFonts w:ascii="Times New Roman" w:hAnsi="Times New Roman" w:eastAsia="仿宋_GB2312" w:cs="Times New Roman"/>
          <w:kern w:val="2"/>
          <w:sz w:val="32"/>
          <w:szCs w:val="32"/>
          <w:lang w:val="zh-CN"/>
        </w:rPr>
        <w:t>总计</w:t>
      </w:r>
      <w:bookmarkStart w:id="0" w:name="_GoBack"/>
      <w:bookmarkEnd w:id="0"/>
      <w:r>
        <w:rPr>
          <w:rFonts w:hint="eastAsia" w:ascii="Times New Roman" w:hAnsi="Times New Roman" w:eastAsia="仿宋_GB2312" w:cs="Times New Roman"/>
          <w:kern w:val="2"/>
          <w:sz w:val="32"/>
          <w:szCs w:val="32"/>
          <w:lang w:val="zh-CN"/>
        </w:rPr>
        <w:t>（含结转和结余）</w:t>
      </w:r>
      <w:r>
        <w:rPr>
          <w:rFonts w:ascii="Times New Roman" w:hAnsi="Times New Roman" w:eastAsia="仿宋_GB2312" w:cs="Times New Roman"/>
          <w:kern w:val="2"/>
          <w:sz w:val="32"/>
          <w:szCs w:val="32"/>
          <w:lang w:val="zh-CN"/>
        </w:rPr>
        <w:t>358.09</w:t>
      </w:r>
      <w:r>
        <w:rPr>
          <w:rFonts w:ascii="Times New Roman" w:hAnsi="Times New Roman" w:eastAsia="仿宋_GB2312" w:cs="Times New Roman"/>
          <w:kern w:val="2"/>
          <w:sz w:val="32"/>
          <w:szCs w:val="32"/>
        </w:rPr>
        <w:t>万元，与2022年度决算相比</w:t>
      </w:r>
      <w:r>
        <w:rPr>
          <w:rFonts w:hint="eastAsia" w:ascii="Times New Roman" w:hAnsi="Times New Roman" w:eastAsia="仿宋_GB2312" w:cs="Times New Roman"/>
          <w:kern w:val="2"/>
          <w:sz w:val="32"/>
          <w:szCs w:val="32"/>
        </w:rPr>
        <w:t>，</w:t>
      </w:r>
      <w:r>
        <w:rPr>
          <w:rFonts w:ascii="Times New Roman" w:hAnsi="Times New Roman" w:eastAsia="仿宋_GB2312" w:cs="Times New Roman"/>
          <w:kern w:val="2"/>
          <w:sz w:val="32"/>
          <w:szCs w:val="32"/>
        </w:rPr>
        <w:t>收支各</w:t>
      </w:r>
      <w:r>
        <w:rPr>
          <w:rFonts w:hint="eastAsia" w:ascii="Times New Roman" w:hAnsi="Times New Roman" w:eastAsia="仿宋_GB2312" w:cs="Times New Roman"/>
          <w:sz w:val="30"/>
          <w:szCs w:val="30"/>
          <w:lang w:val="zh-CN"/>
        </w:rPr>
        <w:t>减少0.28万元</w:t>
      </w:r>
      <w:r>
        <w:rPr>
          <w:rFonts w:hint="eastAsia" w:ascii="Times New Roman" w:hAnsi="Times New Roman" w:eastAsia="仿宋_GB2312" w:cs="Times New Roman"/>
          <w:sz w:val="30"/>
          <w:szCs w:val="30"/>
        </w:rPr>
        <w:t>,</w:t>
      </w:r>
      <w:r>
        <w:rPr>
          <w:rFonts w:hint="eastAsia" w:ascii="Times New Roman" w:hAnsi="Times New Roman" w:eastAsia="仿宋_GB2312" w:cs="Times New Roman"/>
          <w:sz w:val="30"/>
          <w:szCs w:val="30"/>
          <w:lang w:val="zh-CN"/>
        </w:rPr>
        <w:t>下降0.08%，</w:t>
      </w:r>
      <w:r>
        <w:rPr>
          <w:rFonts w:ascii="Times New Roman" w:hAnsi="Times New Roman" w:eastAsia="仿宋_GB2312" w:cs="Times New Roman"/>
          <w:kern w:val="2"/>
          <w:sz w:val="32"/>
          <w:szCs w:val="32"/>
        </w:rPr>
        <w:t>主要是</w:t>
      </w:r>
      <w:r>
        <w:rPr>
          <w:rFonts w:hint="eastAsia" w:ascii="宋体" w:hAnsi="宋体" w:eastAsia="宋体"/>
          <w:kern w:val="2"/>
          <w:sz w:val="32"/>
          <w:szCs w:val="32"/>
        </w:rPr>
        <w:t>精减节约。</w:t>
      </w:r>
    </w:p>
    <w:p>
      <w:pPr>
        <w:pStyle w:val="10"/>
        <w:widowControl/>
        <w:spacing w:beforeAutospacing="0" w:afterAutospacing="0"/>
        <w:jc w:val="center"/>
        <w:rPr>
          <w:rFonts w:ascii="Times New Roman" w:hAnsi="Times New Roman" w:eastAsia="Arial"/>
        </w:rPr>
      </w:pPr>
      <w:r>
        <w:rPr>
          <w:rFonts w:hint="eastAsia" w:ascii="Times New Roman" w:hAnsi="Times New Roman" w:eastAsia="宋体"/>
        </w:rPr>
        <w:drawing>
          <wp:inline distT="0" distB="0" distL="114300" distR="114300">
            <wp:extent cx="5256530" cy="2988310"/>
            <wp:effectExtent l="5080" t="4445" r="11430" b="952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Fonts w:ascii="Times New Roman" w:hAnsi="Times New Roman" w:eastAsia="Arial"/>
          <w:color w:val="000000"/>
          <w:sz w:val="18"/>
          <w:szCs w:val="18"/>
          <w:shd w:val="clear" w:color="auto" w:fill="FFFFFF"/>
        </w:rPr>
        <w:t> </w:t>
      </w:r>
    </w:p>
    <w:p>
      <w:pPr>
        <w:pStyle w:val="10"/>
        <w:widowControl/>
        <w:spacing w:beforeAutospacing="0" w:afterAutospacing="0"/>
        <w:jc w:val="both"/>
        <w:outlineLvl w:val="1"/>
        <w:rPr>
          <w:rFonts w:ascii="Times New Roman" w:hAnsi="Times New Roman" w:eastAsia="黑体"/>
          <w:kern w:val="2"/>
          <w:sz w:val="32"/>
          <w:szCs w:val="32"/>
        </w:rPr>
      </w:pPr>
      <w:r>
        <w:rPr>
          <w:rFonts w:ascii="Times New Roman" w:hAnsi="Times New Roman" w:eastAsia="黑体"/>
          <w:kern w:val="2"/>
          <w:sz w:val="32"/>
          <w:szCs w:val="32"/>
        </w:rPr>
        <w:t>二、收入决算情况说明</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lang w:val="zh-CN"/>
        </w:rPr>
        <w:t>本单位2023年度本年收入合计</w:t>
      </w:r>
      <w:r>
        <w:rPr>
          <w:rFonts w:ascii="Times New Roman" w:hAnsi="Times New Roman" w:eastAsia="仿宋_GB2312" w:cs="Times New Roman"/>
          <w:sz w:val="30"/>
          <w:szCs w:val="30"/>
        </w:rPr>
        <w:t>358.09</w:t>
      </w:r>
      <w:r>
        <w:rPr>
          <w:rFonts w:ascii="Times New Roman" w:hAnsi="Times New Roman" w:eastAsia="仿宋_GB2312" w:cs="Times New Roman"/>
          <w:kern w:val="2"/>
          <w:sz w:val="32"/>
          <w:szCs w:val="32"/>
          <w:lang w:val="zh-CN"/>
        </w:rPr>
        <w:t>万元，其中：财政拨款收入358.09万元，占100%；上级补助收入0万元，占0%；事业收入0万元，占0%；经营收入0万元，占0%；附属单位上缴收入0万元，占0%；其他收入0万元，占0%</w:t>
      </w:r>
      <w:r>
        <w:rPr>
          <w:rFonts w:hint="eastAsia" w:ascii="Times New Roman" w:hAnsi="Times New Roman" w:eastAsia="仿宋_GB2312" w:cs="Times New Roman"/>
          <w:kern w:val="2"/>
          <w:sz w:val="32"/>
          <w:szCs w:val="32"/>
          <w:lang w:val="zh-CN"/>
        </w:rPr>
        <w:t>。</w:t>
      </w:r>
    </w:p>
    <w:p>
      <w:pPr>
        <w:adjustRightInd w:val="0"/>
        <w:snapToGrid w:val="0"/>
        <w:spacing w:line="580" w:lineRule="exact"/>
        <w:rPr>
          <w:rFonts w:ascii="Times New Roman" w:hAnsi="Times New Roman" w:eastAsia="黑体"/>
          <w:kern w:val="2"/>
          <w:sz w:val="32"/>
          <w:szCs w:val="32"/>
        </w:rPr>
      </w:pPr>
      <w:r>
        <w:rPr>
          <w:rFonts w:ascii="Times New Roman" w:hAnsi="Times New Roman" w:eastAsia="仿宋_GB2312"/>
          <w:kern w:val="2"/>
          <w:sz w:val="32"/>
          <w:szCs w:val="32"/>
          <w:highlight w:val="yellow"/>
        </w:rPr>
        <w:drawing>
          <wp:anchor distT="0" distB="0" distL="114300" distR="114300" simplePos="0" relativeHeight="251659264" behindDoc="0" locked="0" layoutInCell="1" allowOverlap="1">
            <wp:simplePos x="0" y="0"/>
            <wp:positionH relativeFrom="column">
              <wp:posOffset>24130</wp:posOffset>
            </wp:positionH>
            <wp:positionV relativeFrom="paragraph">
              <wp:posOffset>404495</wp:posOffset>
            </wp:positionV>
            <wp:extent cx="5256530" cy="2988310"/>
            <wp:effectExtent l="5080" t="4445" r="11430" b="952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Pr>
          <w:rFonts w:ascii="Times New Roman" w:hAnsi="Times New Roman" w:eastAsia="黑体"/>
          <w:kern w:val="2"/>
          <w:sz w:val="32"/>
          <w:szCs w:val="32"/>
        </w:rPr>
        <w:t>三、支出决算情况说明</w:t>
      </w:r>
    </w:p>
    <w:p>
      <w:pPr>
        <w:autoSpaceDE w:val="0"/>
        <w:autoSpaceDN w:val="0"/>
        <w:adjustRightInd w:val="0"/>
        <w:spacing w:line="580" w:lineRule="exact"/>
        <w:ind w:firstLine="600"/>
        <w:jc w:val="left"/>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lang w:val="zh-CN"/>
        </w:rPr>
        <w:t>本单位2023年度本年支出合计358.09万元，其中：基本支出338.09万元，占94.41%；项目支出20万元，占5.59%；上缴上级支出0万元，占0%；经营支出0万元，占0%</w:t>
      </w:r>
      <w:r>
        <w:rPr>
          <w:rFonts w:hint="eastAsia" w:ascii="Times New Roman" w:hAnsi="Times New Roman" w:eastAsia="仿宋_GB2312" w:cs="Times New Roman"/>
          <w:kern w:val="2"/>
          <w:sz w:val="32"/>
          <w:szCs w:val="32"/>
          <w:lang w:val="zh-CN"/>
        </w:rPr>
        <w:t>；</w:t>
      </w:r>
      <w:r>
        <w:rPr>
          <w:rFonts w:ascii="Times New Roman" w:hAnsi="Times New Roman" w:eastAsia="仿宋_GB2312" w:cs="Times New Roman"/>
          <w:kern w:val="2"/>
          <w:sz w:val="32"/>
          <w:szCs w:val="32"/>
          <w:lang w:val="zh-CN"/>
        </w:rPr>
        <w:t>对附属单位补助支出0万元，占0%</w:t>
      </w:r>
      <w:r>
        <w:rPr>
          <w:rFonts w:hint="eastAsia" w:ascii="Times New Roman" w:hAnsi="Times New Roman" w:eastAsia="仿宋_GB2312" w:cs="Times New Roman"/>
          <w:kern w:val="2"/>
          <w:sz w:val="32"/>
          <w:szCs w:val="32"/>
          <w:lang w:val="zh-CN"/>
        </w:rPr>
        <w:t>。</w:t>
      </w:r>
    </w:p>
    <w:p>
      <w:pPr>
        <w:autoSpaceDE w:val="0"/>
        <w:autoSpaceDN w:val="0"/>
        <w:adjustRightInd w:val="0"/>
        <w:jc w:val="left"/>
        <w:rPr>
          <w:rFonts w:ascii="Times New Roman" w:hAnsi="Times New Roman" w:eastAsia="仿宋_GB2312" w:cs="Times New Roman"/>
          <w:sz w:val="32"/>
          <w:szCs w:val="32"/>
          <w:highlight w:val="yellow"/>
        </w:rPr>
      </w:pPr>
      <w:r>
        <w:rPr>
          <w:rFonts w:ascii="Times New Roman" w:hAnsi="Times New Roman" w:eastAsia="仿宋_GB2312" w:cs="Times New Roman"/>
          <w:sz w:val="32"/>
          <w:szCs w:val="32"/>
          <w:highlight w:val="yellow"/>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pStyle w:val="10"/>
        <w:widowControl/>
        <w:spacing w:beforeAutospacing="0" w:afterAutospacing="0"/>
        <w:jc w:val="both"/>
        <w:outlineLvl w:val="1"/>
        <w:rPr>
          <w:rFonts w:ascii="Times New Roman" w:hAnsi="Times New Roman" w:eastAsia="Arial"/>
        </w:rPr>
      </w:pPr>
      <w:r>
        <w:rPr>
          <w:rFonts w:ascii="Times New Roman" w:hAnsi="Times New Roman" w:eastAsia="黑体"/>
          <w:kern w:val="2"/>
          <w:sz w:val="32"/>
          <w:szCs w:val="32"/>
        </w:rPr>
        <w:t>四、财政拨款收入支出决算总体情况说明</w:t>
      </w:r>
    </w:p>
    <w:p>
      <w:pPr>
        <w:pStyle w:val="10"/>
        <w:widowControl/>
        <w:spacing w:beforeAutospacing="0" w:afterAutospacing="0"/>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（一）财政拨款收支与2022年度决算对比情况</w:t>
      </w:r>
    </w:p>
    <w:p>
      <w:pPr>
        <w:pStyle w:val="10"/>
        <w:widowControl/>
        <w:spacing w:beforeAutospacing="0" w:afterAutospacing="0"/>
        <w:ind w:firstLine="640" w:firstLineChars="200"/>
        <w:rPr>
          <w:rFonts w:ascii="Times New Roman" w:hAnsi="Times New Roman" w:eastAsia="仿宋_GB2312"/>
          <w:sz w:val="30"/>
          <w:szCs w:val="30"/>
        </w:rPr>
      </w:pPr>
      <w:r>
        <w:rPr>
          <w:rFonts w:ascii="Times New Roman" w:hAnsi="Times New Roman" w:eastAsia="仿宋_GB2312"/>
          <w:kern w:val="2"/>
          <w:sz w:val="32"/>
          <w:szCs w:val="32"/>
          <w:lang w:val="zh-CN"/>
        </w:rPr>
        <w:t>本单位202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年度财政拨款本年收入358.09</w:t>
      </w:r>
      <w:r>
        <w:rPr>
          <w:rFonts w:ascii="Times New Roman" w:hAnsi="Times New Roman" w:eastAsia="仿宋_GB2312"/>
          <w:kern w:val="2"/>
          <w:sz w:val="32"/>
          <w:szCs w:val="32"/>
        </w:rPr>
        <w:t>万</w:t>
      </w:r>
      <w:r>
        <w:rPr>
          <w:rFonts w:ascii="Times New Roman" w:hAnsi="Times New Roman" w:eastAsia="仿宋_GB2312"/>
          <w:kern w:val="2"/>
          <w:sz w:val="32"/>
          <w:szCs w:val="32"/>
          <w:lang w:val="zh-CN"/>
        </w:rPr>
        <w:t>元,比上年</w:t>
      </w:r>
      <w:r>
        <w:rPr>
          <w:rFonts w:hint="eastAsia" w:ascii="Times New Roman" w:hAnsi="Times New Roman" w:eastAsia="仿宋_GB2312"/>
          <w:sz w:val="30"/>
          <w:szCs w:val="30"/>
          <w:lang w:val="zh-CN"/>
        </w:rPr>
        <w:t>减少0.28万元</w:t>
      </w:r>
      <w:r>
        <w:rPr>
          <w:rFonts w:ascii="Times New Roman" w:hAnsi="Times New Roman" w:eastAsia="仿宋_GB2312"/>
          <w:kern w:val="2"/>
          <w:sz w:val="32"/>
          <w:szCs w:val="32"/>
          <w:lang w:val="zh-CN"/>
        </w:rPr>
        <w:t>，</w:t>
      </w:r>
      <w:r>
        <w:rPr>
          <w:rFonts w:hint="eastAsia" w:ascii="Times New Roman" w:hAnsi="Times New Roman" w:eastAsia="仿宋_GB2312"/>
          <w:sz w:val="30"/>
          <w:szCs w:val="30"/>
          <w:lang w:val="zh-CN"/>
        </w:rPr>
        <w:t>降低0.08%，</w:t>
      </w:r>
      <w:r>
        <w:rPr>
          <w:rFonts w:ascii="Times New Roman" w:hAnsi="Times New Roman" w:eastAsia="仿宋_GB2312"/>
          <w:kern w:val="2"/>
          <w:sz w:val="32"/>
          <w:szCs w:val="32"/>
          <w:lang w:val="zh-CN"/>
        </w:rPr>
        <w:t>主要是</w:t>
      </w:r>
      <w:r>
        <w:rPr>
          <w:rFonts w:hint="eastAsia" w:ascii="Times New Roman" w:hAnsi="Times New Roman" w:eastAsia="仿宋_GB2312"/>
          <w:kern w:val="2"/>
          <w:sz w:val="32"/>
          <w:szCs w:val="32"/>
          <w:lang w:val="zh-CN"/>
        </w:rPr>
        <w:t>厉行节约</w:t>
      </w:r>
      <w:r>
        <w:rPr>
          <w:rFonts w:ascii="Times New Roman" w:hAnsi="Times New Roman" w:eastAsia="仿宋_GB2312"/>
          <w:kern w:val="2"/>
          <w:sz w:val="32"/>
          <w:szCs w:val="32"/>
          <w:lang w:val="zh-CN"/>
        </w:rPr>
        <w:t>；本年支出 358.09</w:t>
      </w:r>
      <w:r>
        <w:rPr>
          <w:rFonts w:hint="eastAsia" w:ascii="Times New Roman" w:hAnsi="Times New Roman" w:eastAsia="仿宋_GB2312"/>
          <w:kern w:val="2"/>
          <w:sz w:val="32"/>
          <w:szCs w:val="32"/>
        </w:rPr>
        <w:t>万</w:t>
      </w:r>
      <w:r>
        <w:rPr>
          <w:rFonts w:ascii="Times New Roman" w:hAnsi="Times New Roman" w:eastAsia="仿宋_GB2312"/>
          <w:kern w:val="2"/>
          <w:sz w:val="32"/>
          <w:szCs w:val="32"/>
          <w:lang w:val="zh-CN"/>
        </w:rPr>
        <w:t>元，比上年</w:t>
      </w:r>
      <w:r>
        <w:rPr>
          <w:rFonts w:hint="eastAsia" w:ascii="Times New Roman" w:hAnsi="Times New Roman" w:eastAsia="仿宋_GB2312"/>
          <w:sz w:val="30"/>
          <w:szCs w:val="30"/>
          <w:lang w:val="zh-CN"/>
        </w:rPr>
        <w:t>减少0.28万元</w:t>
      </w:r>
      <w:r>
        <w:rPr>
          <w:rFonts w:ascii="Times New Roman" w:hAnsi="Times New Roman" w:eastAsia="仿宋_GB2312"/>
          <w:kern w:val="2"/>
          <w:sz w:val="32"/>
          <w:szCs w:val="32"/>
          <w:lang w:val="zh-CN"/>
        </w:rPr>
        <w:t>，</w:t>
      </w:r>
      <w:r>
        <w:rPr>
          <w:rFonts w:hint="eastAsia" w:ascii="Times New Roman" w:hAnsi="Times New Roman" w:eastAsia="仿宋_GB2312"/>
          <w:sz w:val="30"/>
          <w:szCs w:val="30"/>
          <w:lang w:val="zh-CN"/>
        </w:rPr>
        <w:t>降低0.08%，</w:t>
      </w:r>
      <w:r>
        <w:rPr>
          <w:rFonts w:ascii="Times New Roman" w:hAnsi="Times New Roman" w:eastAsia="仿宋_GB2312"/>
          <w:kern w:val="2"/>
          <w:sz w:val="32"/>
          <w:szCs w:val="32"/>
          <w:lang w:val="zh-CN"/>
        </w:rPr>
        <w:t>主要是</w:t>
      </w:r>
      <w:r>
        <w:rPr>
          <w:rFonts w:hint="eastAsia" w:ascii="宋体" w:hAnsi="宋体" w:eastAsia="宋体" w:cs="宋体"/>
          <w:kern w:val="2"/>
          <w:sz w:val="32"/>
          <w:szCs w:val="32"/>
          <w:lang w:val="zh-CN"/>
        </w:rPr>
        <w:t>厉</w:t>
      </w:r>
      <w:r>
        <w:rPr>
          <w:rFonts w:hint="eastAsia" w:ascii="___WRD_EMBED_SUB_48" w:hAnsi="___WRD_EMBED_SUB_48" w:eastAsia="___WRD_EMBED_SUB_48" w:cs="___WRD_EMBED_SUB_48"/>
          <w:kern w:val="2"/>
          <w:sz w:val="32"/>
          <w:szCs w:val="32"/>
          <w:lang w:val="zh-CN"/>
        </w:rPr>
        <w:t>行节</w:t>
      </w:r>
      <w:r>
        <w:rPr>
          <w:rFonts w:hint="eastAsia" w:ascii="宋体" w:hAnsi="宋体" w:eastAsia="宋体" w:cs="宋体"/>
          <w:kern w:val="2"/>
          <w:sz w:val="32"/>
          <w:szCs w:val="32"/>
          <w:lang w:val="zh-CN"/>
        </w:rPr>
        <w:t>约</w:t>
      </w:r>
      <w:r>
        <w:rPr>
          <w:rFonts w:ascii="Times New Roman" w:hAnsi="Times New Roman" w:eastAsia="仿宋_GB2312"/>
          <w:kern w:val="2"/>
          <w:sz w:val="32"/>
          <w:szCs w:val="32"/>
          <w:lang w:val="zh-CN"/>
        </w:rPr>
        <w:t>。具体情况如下：</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1. 一般公共预算财政拨款本年收入358.09万元,比上年</w:t>
      </w:r>
      <w:r>
        <w:rPr>
          <w:rFonts w:hint="eastAsia" w:ascii="Times New Roman" w:hAnsi="Times New Roman" w:eastAsia="仿宋_GB2312" w:cs="Times New Roman"/>
          <w:sz w:val="30"/>
          <w:szCs w:val="30"/>
          <w:lang w:val="zh-CN"/>
        </w:rPr>
        <w:t>减少0.28万元，降低0.08%，</w:t>
      </w:r>
      <w:r>
        <w:rPr>
          <w:rFonts w:ascii="Times New Roman" w:hAnsi="Times New Roman" w:eastAsia="仿宋_GB2312" w:cs="Times New Roman"/>
          <w:kern w:val="2"/>
          <w:sz w:val="32"/>
          <w:szCs w:val="32"/>
          <w:lang w:val="zh-CN"/>
        </w:rPr>
        <w:t>主要是</w:t>
      </w:r>
      <w:r>
        <w:rPr>
          <w:rFonts w:hint="eastAsia" w:ascii="宋体" w:hAnsi="宋体" w:eastAsia="宋体"/>
          <w:kern w:val="2"/>
          <w:sz w:val="32"/>
          <w:szCs w:val="32"/>
          <w:lang w:val="zh-CN"/>
        </w:rPr>
        <w:t>厉</w:t>
      </w:r>
      <w:r>
        <w:rPr>
          <w:rFonts w:hint="eastAsia" w:ascii="___WRD_EMBED_SUB_48" w:hAnsi="___WRD_EMBED_SUB_48" w:eastAsia="___WRD_EMBED_SUB_48" w:cs="___WRD_EMBED_SUB_48"/>
          <w:kern w:val="2"/>
          <w:sz w:val="32"/>
          <w:szCs w:val="32"/>
          <w:lang w:val="zh-CN"/>
        </w:rPr>
        <w:t>行节</w:t>
      </w:r>
      <w:r>
        <w:rPr>
          <w:rFonts w:hint="eastAsia" w:ascii="宋体" w:hAnsi="宋体" w:eastAsia="宋体"/>
          <w:kern w:val="2"/>
          <w:sz w:val="32"/>
          <w:szCs w:val="32"/>
          <w:lang w:val="zh-CN"/>
        </w:rPr>
        <w:t>约</w:t>
      </w:r>
      <w:r>
        <w:rPr>
          <w:rFonts w:ascii="Times New Roman" w:hAnsi="Times New Roman" w:eastAsia="仿宋_GB2312" w:cs="Times New Roman"/>
          <w:kern w:val="2"/>
          <w:sz w:val="32"/>
          <w:szCs w:val="32"/>
          <w:lang w:val="zh-CN"/>
        </w:rPr>
        <w:t>；本年支出 358.09</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lang w:val="zh-CN"/>
        </w:rPr>
        <w:t>减少0.28万元</w:t>
      </w:r>
      <w:r>
        <w:rPr>
          <w:rFonts w:ascii="Times New Roman" w:hAnsi="Times New Roman" w:eastAsia="仿宋_GB2312" w:cs="Times New Roman"/>
          <w:kern w:val="2"/>
          <w:sz w:val="32"/>
          <w:szCs w:val="32"/>
          <w:lang w:val="zh-CN"/>
        </w:rPr>
        <w:t>，</w:t>
      </w:r>
      <w:r>
        <w:rPr>
          <w:rFonts w:hint="eastAsia" w:ascii="Times New Roman" w:hAnsi="Times New Roman" w:eastAsia="仿宋_GB2312" w:cs="Times New Roman"/>
          <w:sz w:val="30"/>
          <w:szCs w:val="30"/>
          <w:lang w:val="zh-CN"/>
        </w:rPr>
        <w:t>降低0.08%，</w:t>
      </w:r>
      <w:r>
        <w:rPr>
          <w:rFonts w:ascii="Times New Roman" w:hAnsi="Times New Roman" w:eastAsia="仿宋_GB2312" w:cs="Times New Roman"/>
          <w:kern w:val="2"/>
          <w:sz w:val="32"/>
          <w:szCs w:val="32"/>
          <w:lang w:val="zh-CN"/>
        </w:rPr>
        <w:t>主要是</w:t>
      </w:r>
      <w:r>
        <w:rPr>
          <w:rFonts w:hint="eastAsia" w:ascii="宋体" w:hAnsi="宋体" w:eastAsia="宋体"/>
          <w:kern w:val="2"/>
          <w:sz w:val="32"/>
          <w:szCs w:val="32"/>
          <w:lang w:val="zh-CN"/>
        </w:rPr>
        <w:t>厉</w:t>
      </w:r>
      <w:r>
        <w:rPr>
          <w:rFonts w:hint="eastAsia" w:ascii="___WRD_EMBED_SUB_48" w:hAnsi="___WRD_EMBED_SUB_48" w:eastAsia="___WRD_EMBED_SUB_48" w:cs="___WRD_EMBED_SUB_48"/>
          <w:kern w:val="2"/>
          <w:sz w:val="32"/>
          <w:szCs w:val="32"/>
          <w:lang w:val="zh-CN"/>
        </w:rPr>
        <w:t>行节</w:t>
      </w:r>
      <w:r>
        <w:rPr>
          <w:rFonts w:hint="eastAsia" w:ascii="宋体" w:hAnsi="宋体" w:eastAsia="宋体"/>
          <w:kern w:val="2"/>
          <w:sz w:val="32"/>
          <w:szCs w:val="32"/>
          <w:lang w:val="zh-CN"/>
        </w:rPr>
        <w:t>约</w:t>
      </w:r>
      <w:r>
        <w:rPr>
          <w:rFonts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kern w:val="2"/>
          <w:sz w:val="32"/>
          <w:szCs w:val="32"/>
          <w:lang w:val="zh-CN"/>
        </w:rPr>
        <w:t>2. 政府性基金预算财政拨款本年收入0</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lang w:val="zh-CN"/>
        </w:rPr>
        <w:t>持平</w:t>
      </w:r>
      <w:r>
        <w:rPr>
          <w:rFonts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本单位无政府性基金预算</w:t>
      </w:r>
      <w:r>
        <w:rPr>
          <w:rFonts w:ascii="Times New Roman" w:hAnsi="Times New Roman" w:eastAsia="仿宋_GB2312" w:cs="Times New Roman"/>
          <w:kern w:val="2"/>
          <w:sz w:val="32"/>
          <w:szCs w:val="32"/>
          <w:lang w:val="zh-CN"/>
        </w:rPr>
        <w:t>；本年支出 0</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lang w:val="zh-CN"/>
        </w:rPr>
        <w:t>持平</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本单位无政府性基金预算</w:t>
      </w:r>
      <w:r>
        <w:rPr>
          <w:rFonts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3. 国有资本经营预算财政拨款本年收入0</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lang w:val="zh-CN"/>
        </w:rPr>
        <w:t>持平</w:t>
      </w:r>
      <w:r>
        <w:rPr>
          <w:rFonts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无</w:t>
      </w:r>
      <w:r>
        <w:rPr>
          <w:rFonts w:ascii="Times New Roman" w:hAnsi="Times New Roman" w:eastAsia="仿宋_GB2312" w:cs="Times New Roman"/>
          <w:kern w:val="2"/>
          <w:sz w:val="32"/>
          <w:szCs w:val="32"/>
          <w:lang w:val="zh-CN"/>
        </w:rPr>
        <w:t>国有资本经营预算；本年支出0</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lang w:val="zh-CN"/>
        </w:rPr>
        <w:t>持平</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无</w:t>
      </w:r>
      <w:r>
        <w:rPr>
          <w:rFonts w:ascii="Times New Roman" w:hAnsi="Times New Roman" w:eastAsia="仿宋_GB2312" w:cs="Times New Roman"/>
          <w:kern w:val="2"/>
          <w:sz w:val="32"/>
          <w:szCs w:val="32"/>
          <w:lang w:val="zh-CN"/>
        </w:rPr>
        <w:t>国有资本经营预算。</w:t>
      </w:r>
    </w:p>
    <w:p>
      <w:pPr>
        <w:pStyle w:val="10"/>
        <w:widowControl/>
        <w:spacing w:beforeAutospacing="0" w:afterAutospacing="0"/>
        <w:rPr>
          <w:rFonts w:ascii="Times New Roman" w:hAnsi="Times New Roman" w:eastAsia="仿宋_GB2312"/>
          <w:sz w:val="32"/>
          <w:szCs w:val="32"/>
          <w:highlight w:val="yellow"/>
        </w:rPr>
      </w:pPr>
      <w:r>
        <w:rPr>
          <w:rFonts w:ascii="Times New Roman" w:hAnsi="Times New Roman" w:eastAsia="仿宋_GB2312"/>
          <w:sz w:val="32"/>
          <w:szCs w:val="32"/>
        </w:rPr>
        <w:drawing>
          <wp:inline distT="0" distB="0" distL="114300" distR="114300">
            <wp:extent cx="5256530" cy="2988310"/>
            <wp:effectExtent l="5080" t="4445" r="11430" b="952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snapToGrid w:val="0"/>
        <w:spacing w:line="580" w:lineRule="exact"/>
        <w:rPr>
          <w:rFonts w:ascii="Times New Roman" w:hAnsi="Times New Roman" w:eastAsia="楷体_GB2312" w:cs="Times New Roman"/>
          <w:b/>
          <w:bCs/>
          <w:kern w:val="2"/>
          <w:sz w:val="32"/>
          <w:szCs w:val="32"/>
        </w:rPr>
      </w:pPr>
      <w:r>
        <w:rPr>
          <w:rFonts w:ascii="Times New Roman" w:hAnsi="Times New Roman" w:eastAsia="楷体_GB2312" w:cs="Times New Roman"/>
          <w:b/>
          <w:bCs/>
          <w:kern w:val="2"/>
          <w:sz w:val="32"/>
          <w:szCs w:val="32"/>
        </w:rPr>
        <w:t>（二）财政拨款收支与年初预算数对比情况</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本单位202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年度财政拨款本年收入358.09万元，完成年初预算的100.86%，比年初预算</w:t>
      </w:r>
      <w:r>
        <w:rPr>
          <w:rFonts w:hint="eastAsia" w:ascii="Times New Roman" w:hAnsi="Times New Roman" w:eastAsia="仿宋_GB2312" w:cs="Times New Roman"/>
          <w:sz w:val="30"/>
          <w:szCs w:val="30"/>
          <w:lang w:val="zh-CN"/>
        </w:rPr>
        <w:t>增加3.05万元</w:t>
      </w:r>
      <w:r>
        <w:rPr>
          <w:rFonts w:ascii="Times New Roman" w:hAnsi="Times New Roman" w:eastAsia="仿宋_GB2312" w:cs="Times New Roman"/>
          <w:kern w:val="2"/>
          <w:sz w:val="32"/>
          <w:szCs w:val="32"/>
          <w:lang w:val="zh-CN"/>
        </w:rPr>
        <w:t>，决算数大于预算数主要原因是</w:t>
      </w:r>
      <w:r>
        <w:rPr>
          <w:rFonts w:hint="eastAsia" w:ascii="Times New Roman" w:hAnsi="Times New Roman" w:eastAsia="仿宋_GB2312" w:cs="Times New Roman"/>
          <w:kern w:val="2"/>
          <w:sz w:val="32"/>
          <w:szCs w:val="32"/>
          <w:lang w:val="zh-CN"/>
        </w:rPr>
        <w:t>人员经费增加</w:t>
      </w:r>
      <w:r>
        <w:rPr>
          <w:rFonts w:ascii="Times New Roman" w:hAnsi="Times New Roman" w:eastAsia="仿宋_GB2312" w:cs="Times New Roman"/>
          <w:kern w:val="2"/>
          <w:sz w:val="32"/>
          <w:szCs w:val="32"/>
          <w:lang w:val="zh-CN"/>
        </w:rPr>
        <w:t>；本年支出358.09万元，完成年初预算的100.86%，比年初预算</w:t>
      </w:r>
      <w:r>
        <w:rPr>
          <w:rFonts w:hint="eastAsia" w:ascii="Times New Roman" w:hAnsi="Times New Roman" w:eastAsia="仿宋_GB2312" w:cs="Times New Roman"/>
          <w:sz w:val="30"/>
          <w:szCs w:val="30"/>
          <w:lang w:val="zh-CN"/>
        </w:rPr>
        <w:t>增加3.05万元</w:t>
      </w:r>
      <w:r>
        <w:rPr>
          <w:rFonts w:ascii="Times New Roman" w:hAnsi="Times New Roman" w:eastAsia="仿宋_GB2312" w:cs="Times New Roman"/>
          <w:kern w:val="2"/>
          <w:sz w:val="32"/>
          <w:szCs w:val="32"/>
          <w:lang w:val="zh-CN"/>
        </w:rPr>
        <w:t>，决算数大于预算数主要原因是</w:t>
      </w:r>
      <w:r>
        <w:rPr>
          <w:rFonts w:hint="eastAsia" w:ascii="Times New Roman" w:hAnsi="Times New Roman" w:eastAsia="仿宋_GB2312" w:cs="Times New Roman"/>
          <w:kern w:val="2"/>
          <w:sz w:val="32"/>
          <w:szCs w:val="32"/>
          <w:lang w:val="zh-CN"/>
        </w:rPr>
        <w:t>人员经费增加</w:t>
      </w:r>
      <w:r>
        <w:rPr>
          <w:rFonts w:ascii="Times New Roman" w:hAnsi="Times New Roman" w:eastAsia="仿宋_GB2312" w:cs="Times New Roman"/>
          <w:kern w:val="2"/>
          <w:sz w:val="32"/>
          <w:szCs w:val="32"/>
          <w:lang w:val="zh-CN"/>
        </w:rPr>
        <w:t>。具体情况如下：</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rPr>
        <w:t>1.</w:t>
      </w:r>
      <w:r>
        <w:rPr>
          <w:rFonts w:ascii="Times New Roman" w:hAnsi="Times New Roman" w:eastAsia="仿宋_GB2312" w:cs="Times New Roman"/>
          <w:kern w:val="2"/>
          <w:sz w:val="32"/>
          <w:szCs w:val="32"/>
          <w:lang w:val="zh-CN"/>
        </w:rPr>
        <w:t>一般公共预算财政拨款</w:t>
      </w:r>
      <w:r>
        <w:rPr>
          <w:rFonts w:ascii="Times New Roman" w:hAnsi="Times New Roman" w:eastAsia="仿宋_GB2312" w:cs="Times New Roman"/>
          <w:kern w:val="2"/>
          <w:sz w:val="32"/>
          <w:szCs w:val="32"/>
        </w:rPr>
        <w:t>本年</w:t>
      </w:r>
      <w:r>
        <w:rPr>
          <w:rFonts w:ascii="Times New Roman" w:hAnsi="Times New Roman" w:eastAsia="仿宋_GB2312" w:cs="Times New Roman"/>
          <w:kern w:val="2"/>
          <w:sz w:val="32"/>
          <w:szCs w:val="32"/>
          <w:lang w:val="zh-CN"/>
        </w:rPr>
        <w:t>收入358.09万元，完成年初预算的 100.86%，比年初预算</w:t>
      </w:r>
      <w:r>
        <w:rPr>
          <w:rFonts w:hint="eastAsia" w:ascii="Times New Roman" w:hAnsi="Times New Roman" w:eastAsia="仿宋_GB2312" w:cs="Times New Roman"/>
          <w:sz w:val="30"/>
          <w:szCs w:val="30"/>
          <w:lang w:val="zh-CN"/>
        </w:rPr>
        <w:t>增加3.05万元</w:t>
      </w:r>
      <w:r>
        <w:rPr>
          <w:rFonts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人员经费增加</w:t>
      </w:r>
      <w:r>
        <w:rPr>
          <w:rFonts w:ascii="Times New Roman" w:hAnsi="Times New Roman" w:eastAsia="仿宋_GB2312" w:cs="Times New Roman"/>
          <w:kern w:val="2"/>
          <w:sz w:val="32"/>
          <w:szCs w:val="32"/>
          <w:lang w:val="zh-CN"/>
        </w:rPr>
        <w:t>；本年支出358.09万元，完成年初预算的100.86%，比年初预算</w:t>
      </w:r>
      <w:r>
        <w:rPr>
          <w:rFonts w:hint="eastAsia" w:ascii="Times New Roman" w:hAnsi="Times New Roman" w:eastAsia="仿宋_GB2312" w:cs="Times New Roman"/>
          <w:sz w:val="30"/>
          <w:szCs w:val="30"/>
          <w:lang w:val="zh-CN"/>
        </w:rPr>
        <w:t>增加3.05万元</w:t>
      </w:r>
      <w:r>
        <w:rPr>
          <w:rFonts w:ascii="Times New Roman" w:hAnsi="Times New Roman" w:eastAsia="仿宋_GB2312" w:cs="Times New Roman"/>
          <w:kern w:val="2"/>
          <w:sz w:val="32"/>
          <w:szCs w:val="32"/>
          <w:lang w:val="zh-CN"/>
        </w:rPr>
        <w:t>，主要原因是主要是</w:t>
      </w:r>
      <w:r>
        <w:rPr>
          <w:rFonts w:hint="eastAsia" w:ascii="Times New Roman" w:hAnsi="Times New Roman" w:eastAsia="仿宋_GB2312" w:cs="Times New Roman"/>
          <w:kern w:val="2"/>
          <w:sz w:val="32"/>
          <w:szCs w:val="32"/>
          <w:lang w:val="zh-CN"/>
        </w:rPr>
        <w:t>人员经费增加</w:t>
      </w:r>
      <w:r>
        <w:rPr>
          <w:rFonts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2. 政府性基金预算财政拨款本年收入0万元，完成年初预算的0%，比年初预算</w:t>
      </w:r>
      <w:r>
        <w:rPr>
          <w:rFonts w:hint="eastAsia" w:ascii="Times New Roman" w:hAnsi="Times New Roman" w:eastAsia="仿宋_GB2312" w:cs="Times New Roman"/>
          <w:sz w:val="30"/>
          <w:szCs w:val="30"/>
          <w:lang w:val="zh-CN"/>
        </w:rPr>
        <w:t>持平</w:t>
      </w:r>
      <w:r>
        <w:rPr>
          <w:rFonts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无政府性基金预算</w:t>
      </w:r>
      <w:r>
        <w:rPr>
          <w:rFonts w:ascii="Times New Roman" w:hAnsi="Times New Roman" w:eastAsia="仿宋_GB2312" w:cs="Times New Roman"/>
          <w:kern w:val="2"/>
          <w:sz w:val="32"/>
          <w:szCs w:val="32"/>
          <w:lang w:val="zh-CN"/>
        </w:rPr>
        <w:t>；本年支出0万元，完成年初预算的0%，比年初预算</w:t>
      </w:r>
      <w:r>
        <w:rPr>
          <w:rFonts w:hint="eastAsia" w:ascii="Times New Roman" w:hAnsi="Times New Roman" w:eastAsia="仿宋_GB2312" w:cs="Times New Roman"/>
          <w:sz w:val="30"/>
          <w:szCs w:val="30"/>
          <w:lang w:val="zh-CN"/>
        </w:rPr>
        <w:t>持平</w:t>
      </w:r>
      <w:r>
        <w:rPr>
          <w:rFonts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无政府性基金预算</w:t>
      </w:r>
      <w:r>
        <w:rPr>
          <w:rFonts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ascii="Times New Roman" w:hAnsi="Times New Roman" w:eastAsia="仿宋_GB2312" w:cs="Times New Roman"/>
          <w:color w:val="000000"/>
          <w:sz w:val="33"/>
          <w:szCs w:val="33"/>
          <w:shd w:val="clear" w:color="auto" w:fill="FFFFFF"/>
        </w:rPr>
      </w:pPr>
      <w:r>
        <w:rPr>
          <w:rFonts w:ascii="Times New Roman" w:hAnsi="Times New Roman" w:eastAsia="仿宋_GB2312" w:cs="Times New Roman"/>
          <w:kern w:val="2"/>
          <w:sz w:val="32"/>
          <w:szCs w:val="32"/>
          <w:lang w:val="zh-CN"/>
        </w:rPr>
        <w:t>3. 国有资本经营预算财政拨款本年收入0万元，完成年初预算的0%，</w:t>
      </w:r>
      <w:r>
        <w:rPr>
          <w:rFonts w:ascii="Times New Roman" w:hAnsi="Times New Roman" w:eastAsia="仿宋_GB2312" w:cs="Times New Roman"/>
          <w:sz w:val="30"/>
          <w:szCs w:val="30"/>
          <w:lang w:val="zh-CN"/>
        </w:rPr>
        <w:t>比年初预算</w:t>
      </w:r>
      <w:r>
        <w:rPr>
          <w:rFonts w:hint="eastAsia" w:ascii="Times New Roman" w:hAnsi="Times New Roman" w:eastAsia="仿宋_GB2312" w:cs="Times New Roman"/>
          <w:sz w:val="30"/>
          <w:szCs w:val="30"/>
          <w:lang w:val="zh-CN"/>
        </w:rPr>
        <w:t>持平</w:t>
      </w:r>
      <w:r>
        <w:rPr>
          <w:rFonts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无</w:t>
      </w:r>
      <w:r>
        <w:rPr>
          <w:rFonts w:ascii="Times New Roman" w:hAnsi="Times New Roman" w:eastAsia="仿宋_GB2312" w:cs="Times New Roman"/>
          <w:kern w:val="2"/>
          <w:sz w:val="32"/>
          <w:szCs w:val="32"/>
          <w:lang w:val="zh-CN"/>
        </w:rPr>
        <w:t>国有资本经营预算；本年支出0万元，完成年初预算的0%，比年初预算</w:t>
      </w:r>
      <w:r>
        <w:rPr>
          <w:rFonts w:hint="eastAsia" w:ascii="Times New Roman" w:hAnsi="Times New Roman" w:eastAsia="仿宋_GB2312" w:cs="Times New Roman"/>
          <w:sz w:val="30"/>
          <w:szCs w:val="30"/>
          <w:lang w:val="zh-CN"/>
        </w:rPr>
        <w:t>持平</w:t>
      </w:r>
      <w:r>
        <w:rPr>
          <w:rFonts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无</w:t>
      </w:r>
      <w:r>
        <w:rPr>
          <w:rFonts w:ascii="Times New Roman" w:hAnsi="Times New Roman" w:eastAsia="仿宋_GB2312" w:cs="Times New Roman"/>
          <w:kern w:val="2"/>
          <w:sz w:val="32"/>
          <w:szCs w:val="32"/>
          <w:lang w:val="zh-CN"/>
        </w:rPr>
        <w:t>国有资本经营预算。</w:t>
      </w:r>
    </w:p>
    <w:p>
      <w:pPr>
        <w:pStyle w:val="10"/>
        <w:widowControl/>
        <w:spacing w:beforeAutospacing="0" w:afterAutospacing="0"/>
        <w:rPr>
          <w:rFonts w:ascii="Times New Roman" w:hAnsi="Times New Roman" w:eastAsia="Arial"/>
        </w:rPr>
      </w:pPr>
    </w:p>
    <w:p>
      <w:pPr>
        <w:pStyle w:val="10"/>
        <w:widowControl/>
        <w:spacing w:beforeAutospacing="0" w:afterAutospacing="0"/>
        <w:rPr>
          <w:rFonts w:ascii="Times New Roman" w:hAnsi="Times New Roman" w:eastAsia="仿宋_GB2312"/>
          <w:sz w:val="32"/>
          <w:szCs w:val="32"/>
          <w:highlight w:val="yellow"/>
        </w:rPr>
      </w:pPr>
      <w:r>
        <w:rPr>
          <w:rFonts w:ascii="Times New Roman" w:hAnsi="Times New Roman" w:eastAsia="仿宋_GB2312"/>
          <w:sz w:val="32"/>
          <w:szCs w:val="32"/>
          <w:highlight w:val="yellow"/>
        </w:rPr>
        <w:drawing>
          <wp:inline distT="0" distB="0" distL="114300" distR="114300">
            <wp:extent cx="5256530" cy="2988310"/>
            <wp:effectExtent l="5080" t="4445" r="11430" b="952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pStyle w:val="10"/>
        <w:widowControl/>
        <w:spacing w:beforeAutospacing="0" w:afterAutospacing="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（三）财政拨款支出决算结构情况</w:t>
      </w:r>
    </w:p>
    <w:p>
      <w:pPr>
        <w:adjustRightInd w:val="0"/>
        <w:snapToGrid w:val="0"/>
        <w:spacing w:line="580" w:lineRule="exact"/>
        <w:ind w:firstLine="660" w:firstLineChars="200"/>
        <w:jc w:val="left"/>
        <w:rPr>
          <w:rFonts w:ascii="Times New Roman" w:hAnsi="Times New Roman" w:eastAsia="仿宋_GB2312" w:cs="Times New Roman"/>
          <w:sz w:val="32"/>
          <w:szCs w:val="32"/>
          <w:highlight w:val="yellow"/>
        </w:rPr>
      </w:pPr>
      <w:r>
        <w:rPr>
          <w:rFonts w:ascii="Times New Roman" w:hAnsi="Times New Roman" w:eastAsia="仿宋_GB2312" w:cs="Times New Roman"/>
          <w:color w:val="000000"/>
          <w:sz w:val="33"/>
          <w:szCs w:val="33"/>
          <w:shd w:val="clear" w:color="auto" w:fill="FFFFFF"/>
        </w:rPr>
        <w:t> </w:t>
      </w:r>
      <w:r>
        <w:rPr>
          <w:rFonts w:ascii="Times New Roman" w:hAnsi="Times New Roman" w:eastAsia="仿宋_GB2312" w:cs="Times New Roman"/>
          <w:kern w:val="2"/>
          <w:sz w:val="32"/>
          <w:szCs w:val="32"/>
          <w:lang w:val="zh-CN"/>
        </w:rPr>
        <w:t> 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年度财政拨款支出358.09万元，主要用于以下方面：</w:t>
      </w:r>
    </w:p>
    <w:p>
      <w:pPr>
        <w:pStyle w:val="10"/>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kern w:val="2"/>
          <w:sz w:val="32"/>
          <w:szCs w:val="32"/>
          <w:lang w:val="zh-CN"/>
        </w:rPr>
        <w:t>一般公共服务（类）支出0万元，占0%；</w:t>
      </w:r>
      <w:r>
        <w:rPr>
          <w:rFonts w:ascii="Times New Roman" w:hAnsi="Times New Roman" w:eastAsia="仿宋_GB2312"/>
          <w:kern w:val="2"/>
          <w:sz w:val="32"/>
          <w:szCs w:val="32"/>
        </w:rPr>
        <w:t>外交</w:t>
      </w:r>
      <w:r>
        <w:rPr>
          <w:rFonts w:ascii="Times New Roman" w:hAnsi="Times New Roman" w:eastAsia="仿宋_GB2312"/>
          <w:kern w:val="2"/>
          <w:sz w:val="32"/>
          <w:szCs w:val="32"/>
          <w:lang w:val="zh-CN"/>
        </w:rPr>
        <w:t>（类）支出0万元，占0%；国防（类）支出0万元，占0%；公共安全类（类）支出0万元，占0%；教育（类）支出0万元，占0%；科学技术（类）支出0万元，占0%；文化旅游体育与传媒（类）支出0万元，占0%；社会保障和就业 （类）支出170.95万元，占47.74%；卫生健康（类）支出10万元，占2.79%；节能环保（类）支出0万元，占0%；城乡社区（类）支出0万元，占0%；农林水（类）支出0万元，占0%；交通运输（类）支出0万元，占0%；资源勘探信息等（类）支出0万元，占0%；商业服务业等（类）支出164.05万元，占45.81%；金融（类）支出0万元，占0%；援助其他地区（类）支出0万元，占0%；自然资源海洋气象等（类）支出0万元，占0%；住房保障（类）支出13.1万元，占3.66%；粮油物资储备（类）支出0万元，占0%；国有资本经营预算支出0万元，占0%；害防治及应急管理（类）支出0万元，占0%；其他（类）支出0万元，占0%；债务</w:t>
      </w:r>
      <w:r>
        <w:rPr>
          <w:rFonts w:ascii="Times New Roman" w:hAnsi="Times New Roman" w:eastAsia="仿宋_GB2312"/>
          <w:kern w:val="2"/>
          <w:sz w:val="32"/>
          <w:szCs w:val="32"/>
        </w:rPr>
        <w:t>还本</w:t>
      </w:r>
      <w:r>
        <w:rPr>
          <w:rFonts w:ascii="Times New Roman" w:hAnsi="Times New Roman" w:eastAsia="仿宋_GB2312"/>
          <w:kern w:val="2"/>
          <w:sz w:val="32"/>
          <w:szCs w:val="32"/>
          <w:lang w:val="zh-CN"/>
        </w:rPr>
        <w:t>（类）支出0万元，占0%；债务付息（类）支出0万元，占0%；抗疫特别国债安排的支出0万元，占0%。</w:t>
      </w:r>
    </w:p>
    <w:p>
      <w:pPr>
        <w:pStyle w:val="10"/>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kern w:val="2"/>
          <w:sz w:val="32"/>
          <w:szCs w:val="32"/>
        </w:rPr>
        <w:drawing>
          <wp:inline distT="0" distB="0" distL="114300" distR="114300">
            <wp:extent cx="5256530" cy="2988310"/>
            <wp:effectExtent l="5080" t="4445" r="11430" b="952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pStyle w:val="10"/>
        <w:widowControl/>
        <w:numPr>
          <w:ilvl w:val="0"/>
          <w:numId w:val="2"/>
        </w:numPr>
        <w:spacing w:beforeAutospacing="0" w:afterAutospacing="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一般公共预算基本支出决算情况说明</w:t>
      </w:r>
    </w:p>
    <w:p>
      <w:pPr>
        <w:pStyle w:val="10"/>
        <w:widowControl/>
        <w:spacing w:beforeAutospacing="0" w:afterAutospacing="0"/>
        <w:ind w:firstLine="640" w:firstLineChars="200"/>
        <w:rPr>
          <w:rFonts w:ascii="Times New Roman" w:hAnsi="Times New Roman" w:eastAsia="仿宋_GB2312"/>
          <w:kern w:val="2"/>
          <w:sz w:val="32"/>
          <w:szCs w:val="32"/>
          <w:lang w:val="zh-CN"/>
        </w:rPr>
      </w:pPr>
      <w:r>
        <w:rPr>
          <w:rFonts w:ascii="Times New Roman" w:hAnsi="Times New Roman" w:eastAsia="仿宋_GB2312"/>
          <w:kern w:val="2"/>
          <w:sz w:val="32"/>
          <w:szCs w:val="32"/>
          <w:lang w:val="zh-CN"/>
        </w:rPr>
        <w:t>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年度财政拨款基本支出338.09万元，其中：</w:t>
      </w:r>
    </w:p>
    <w:p>
      <w:pPr>
        <w:pStyle w:val="10"/>
        <w:widowControl/>
        <w:spacing w:beforeAutospacing="0" w:afterAutospacing="0"/>
        <w:ind w:firstLine="640" w:firstLineChars="200"/>
        <w:rPr>
          <w:rFonts w:ascii="Times New Roman" w:hAnsi="Times New Roman" w:eastAsia="仿宋_GB2312"/>
          <w:sz w:val="32"/>
          <w:szCs w:val="32"/>
        </w:rPr>
      </w:pPr>
      <w:r>
        <w:rPr>
          <w:rFonts w:ascii="Times New Roman" w:hAnsi="Times New Roman" w:eastAsia="仿宋_GB2312"/>
          <w:kern w:val="2"/>
          <w:sz w:val="32"/>
          <w:szCs w:val="32"/>
          <w:lang w:val="zh-CN"/>
        </w:rPr>
        <w:t>人员经费253.61万元，主要包括基本工资、津贴补贴、奖金、伙食补助费、绩效工资、机关事业部门基本养老保险缴费、职业年金缴费、职工基本医疗保险缴费、公务员医疗补助缴费、住房公积金、其他社会保障缴费、其他工资福利支出、退休费、 抚恤金、生活补助、奖励金、其他对</w:t>
      </w:r>
      <w:r>
        <w:rPr>
          <w:rFonts w:ascii="Times New Roman" w:hAnsi="Times New Roman" w:eastAsia="仿宋_GB2312"/>
          <w:color w:val="333333"/>
          <w:sz w:val="33"/>
          <w:szCs w:val="33"/>
          <w:shd w:val="clear" w:color="auto" w:fill="FFFFFF"/>
        </w:rPr>
        <w:t>个人和家庭</w:t>
      </w:r>
      <w:r>
        <w:rPr>
          <w:rFonts w:ascii="Times New Roman" w:hAnsi="Times New Roman" w:eastAsia="仿宋_GB2312"/>
          <w:kern w:val="2"/>
          <w:sz w:val="32"/>
          <w:szCs w:val="32"/>
          <w:lang w:val="zh-CN"/>
        </w:rPr>
        <w:t>的补助支出。</w:t>
      </w:r>
    </w:p>
    <w:p>
      <w:pPr>
        <w:pStyle w:val="10"/>
        <w:widowControl/>
        <w:spacing w:beforeAutospacing="0" w:afterAutospacing="0"/>
        <w:rPr>
          <w:rFonts w:ascii="Times New Roman" w:hAnsi="Times New Roman" w:eastAsia="仿宋_GB2312"/>
          <w:sz w:val="32"/>
          <w:szCs w:val="32"/>
          <w:highlight w:val="yellow"/>
        </w:rPr>
      </w:pPr>
      <w:r>
        <w:rPr>
          <w:rFonts w:ascii="Times New Roman" w:hAnsi="Times New Roman" w:eastAsia="仿宋_GB2312"/>
          <w:color w:val="333333"/>
          <w:sz w:val="33"/>
          <w:szCs w:val="33"/>
          <w:shd w:val="clear" w:color="auto" w:fill="FFFFFF"/>
        </w:rPr>
        <w:t xml:space="preserve">    </w:t>
      </w:r>
      <w:r>
        <w:rPr>
          <w:rFonts w:ascii="Times New Roman" w:hAnsi="Times New Roman" w:eastAsia="仿宋_GB2312"/>
          <w:kern w:val="2"/>
          <w:sz w:val="32"/>
          <w:szCs w:val="32"/>
          <w:lang w:val="zh-CN"/>
        </w:rPr>
        <w:t>公用经费84.48万元，主要包括办公费、印刷费、咨询费、手续费、水费、电费、邮电费、取暖费、物业管理费、差旅费、维修（护）费、租赁费、培训费、劳务费、委托业务费、工会经费、福利费、其他交通费用、其他商品和服务支出、办公设备购置。</w:t>
      </w:r>
    </w:p>
    <w:p>
      <w:pPr>
        <w:pStyle w:val="10"/>
        <w:widowControl/>
        <w:spacing w:beforeAutospacing="0" w:afterAutospacing="0"/>
        <w:jc w:val="both"/>
        <w:outlineLvl w:val="1"/>
        <w:rPr>
          <w:rFonts w:ascii="Times New Roman" w:hAnsi="Times New Roman" w:eastAsia="黑体"/>
          <w:kern w:val="2"/>
          <w:sz w:val="32"/>
          <w:szCs w:val="32"/>
        </w:rPr>
      </w:pPr>
      <w:r>
        <w:rPr>
          <w:rFonts w:ascii="Times New Roman" w:hAnsi="Times New Roman" w:eastAsia="黑体"/>
          <w:kern w:val="2"/>
          <w:sz w:val="32"/>
          <w:szCs w:val="32"/>
        </w:rPr>
        <w:t>五、财政拨款“三公” 经费支出决算情况说明</w:t>
      </w:r>
    </w:p>
    <w:p>
      <w:pPr>
        <w:pStyle w:val="10"/>
        <w:widowControl/>
        <w:spacing w:beforeAutospacing="0" w:afterAutospacing="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（一）“三公”经费财政拨款支出决算总体情况说明</w:t>
      </w:r>
    </w:p>
    <w:p>
      <w:pPr>
        <w:pStyle w:val="10"/>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color w:val="333333"/>
          <w:sz w:val="33"/>
          <w:szCs w:val="33"/>
          <w:shd w:val="clear" w:color="auto" w:fill="FFFFFF"/>
        </w:rPr>
        <w:t xml:space="preserve">    </w:t>
      </w:r>
      <w:r>
        <w:rPr>
          <w:rFonts w:ascii="Times New Roman" w:hAnsi="Times New Roman" w:eastAsia="仿宋_GB2312"/>
          <w:kern w:val="2"/>
          <w:sz w:val="32"/>
          <w:szCs w:val="32"/>
        </w:rPr>
        <w:t xml:space="preserve"> </w:t>
      </w:r>
      <w:r>
        <w:rPr>
          <w:rFonts w:ascii="Times New Roman" w:hAnsi="Times New Roman" w:eastAsia="仿宋_GB2312"/>
          <w:kern w:val="2"/>
          <w:sz w:val="32"/>
          <w:szCs w:val="32"/>
          <w:lang w:val="zh-CN"/>
        </w:rPr>
        <w:t>本单位202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年度“三公”经费财政拨款支出预算为0万元，支出决算为0万元，完成预算的0%，较预算</w:t>
      </w:r>
      <w:r>
        <w:rPr>
          <w:rFonts w:hint="eastAsia" w:ascii="Times New Roman" w:hAnsi="Times New Roman" w:eastAsia="仿宋_GB2312"/>
          <w:kern w:val="2"/>
          <w:sz w:val="32"/>
          <w:szCs w:val="32"/>
          <w:lang w:val="zh-CN"/>
        </w:rPr>
        <w:t>持平，</w:t>
      </w:r>
      <w:r>
        <w:rPr>
          <w:rFonts w:ascii="Times New Roman" w:hAnsi="Times New Roman" w:eastAsia="仿宋_GB2312"/>
          <w:kern w:val="2"/>
          <w:sz w:val="32"/>
          <w:szCs w:val="32"/>
          <w:lang w:val="zh-CN"/>
        </w:rPr>
        <w:t>主要是</w:t>
      </w:r>
      <w:r>
        <w:rPr>
          <w:rFonts w:hint="eastAsia" w:ascii="Times New Roman" w:hAnsi="Times New Roman" w:eastAsia="仿宋_GB2312"/>
          <w:kern w:val="2"/>
          <w:sz w:val="32"/>
          <w:szCs w:val="32"/>
          <w:lang w:val="zh-CN"/>
        </w:rPr>
        <w:t>无</w:t>
      </w:r>
      <w:r>
        <w:rPr>
          <w:rFonts w:ascii="Times New Roman" w:hAnsi="Times New Roman" w:eastAsia="仿宋_GB2312"/>
          <w:kern w:val="2"/>
          <w:sz w:val="32"/>
          <w:szCs w:val="32"/>
          <w:lang w:val="zh-CN"/>
        </w:rPr>
        <w:t>“三公”经费财政拨款支出预算；较2022年度决算</w:t>
      </w:r>
      <w:r>
        <w:rPr>
          <w:rFonts w:hint="eastAsia" w:ascii="Times New Roman" w:hAnsi="Times New Roman" w:eastAsia="仿宋_GB2312"/>
          <w:kern w:val="2"/>
          <w:sz w:val="32"/>
          <w:szCs w:val="32"/>
          <w:lang w:val="zh-CN"/>
        </w:rPr>
        <w:t>持平</w:t>
      </w:r>
      <w:r>
        <w:rPr>
          <w:rFonts w:hint="eastAsia" w:ascii="Times New Roman" w:hAnsi="Times New Roman" w:eastAsia="仿宋_GB2312" w:cs="仿宋_GB2312"/>
          <w:sz w:val="30"/>
          <w:szCs w:val="30"/>
        </w:rPr>
        <w:t>，</w:t>
      </w:r>
      <w:r>
        <w:rPr>
          <w:rFonts w:ascii="Times New Roman" w:hAnsi="Times New Roman" w:eastAsia="仿宋_GB2312"/>
          <w:kern w:val="2"/>
          <w:sz w:val="32"/>
          <w:szCs w:val="32"/>
          <w:lang w:val="zh-CN"/>
        </w:rPr>
        <w:t>主要是“三公”经费财政拨款支出预算。</w:t>
      </w:r>
    </w:p>
    <w:p>
      <w:pPr>
        <w:adjustRightInd w:val="0"/>
        <w:snapToGrid w:val="0"/>
        <w:spacing w:line="580" w:lineRule="exact"/>
        <w:rPr>
          <w:rFonts w:ascii="Times New Roman" w:hAnsi="Times New Roman" w:eastAsia="楷体_GB2312" w:cs="Times New Roman"/>
          <w:b/>
          <w:bCs/>
          <w:kern w:val="2"/>
          <w:sz w:val="32"/>
          <w:szCs w:val="32"/>
        </w:rPr>
      </w:pPr>
      <w:r>
        <w:rPr>
          <w:rFonts w:ascii="Times New Roman" w:hAnsi="Times New Roman" w:eastAsia="楷体_GB2312" w:cs="Times New Roman"/>
          <w:b/>
          <w:bCs/>
          <w:kern w:val="2"/>
          <w:sz w:val="32"/>
          <w:szCs w:val="32"/>
        </w:rPr>
        <w:t>（二）“三公”经费财政拨款支出决算具体情况说明</w:t>
      </w:r>
    </w:p>
    <w:p>
      <w:pPr>
        <w:pStyle w:val="10"/>
        <w:widowControl/>
        <w:spacing w:beforeAutospacing="0" w:afterAutospacing="0"/>
        <w:ind w:firstLine="643" w:firstLineChars="200"/>
        <w:rPr>
          <w:rFonts w:ascii="Times New Roman" w:hAnsi="Times New Roman" w:eastAsia="仿宋_GB2312"/>
          <w:kern w:val="2"/>
          <w:sz w:val="32"/>
          <w:szCs w:val="32"/>
        </w:rPr>
      </w:pPr>
      <w:r>
        <w:rPr>
          <w:rFonts w:ascii="Times New Roman" w:hAnsi="Times New Roman" w:eastAsia="楷体_GB2312"/>
          <w:b/>
          <w:bCs/>
          <w:kern w:val="2"/>
          <w:sz w:val="32"/>
          <w:szCs w:val="32"/>
        </w:rPr>
        <w:t>1.因公出国（境）费支出情况。</w:t>
      </w:r>
      <w:r>
        <w:rPr>
          <w:rFonts w:ascii="Times New Roman" w:hAnsi="Times New Roman" w:eastAsia="仿宋_GB2312"/>
          <w:kern w:val="2"/>
          <w:sz w:val="32"/>
          <w:szCs w:val="32"/>
          <w:lang w:val="zh-CN"/>
        </w:rPr>
        <w:t>本单位</w:t>
      </w:r>
      <w:r>
        <w:rPr>
          <w:rFonts w:ascii="Times New Roman" w:hAnsi="Times New Roman" w:eastAsia="仿宋_GB2312"/>
          <w:kern w:val="2"/>
          <w:sz w:val="32"/>
          <w:szCs w:val="32"/>
        </w:rPr>
        <w:t>2023年度因公出国（境）费支出预算为0万元,支出决算0万元。完成预算的0%。因公出国（境）费支出较预算</w:t>
      </w:r>
      <w:r>
        <w:rPr>
          <w:rFonts w:hint="eastAsia" w:ascii="Times New Roman" w:hAnsi="Times New Roman" w:eastAsia="仿宋_GB2312"/>
          <w:kern w:val="2"/>
          <w:sz w:val="32"/>
          <w:szCs w:val="32"/>
          <w:lang w:val="zh-CN"/>
        </w:rPr>
        <w:t>持平</w:t>
      </w:r>
      <w:r>
        <w:rPr>
          <w:rFonts w:ascii="Times New Roman" w:hAnsi="Times New Roman" w:eastAsia="仿宋_GB2312"/>
          <w:kern w:val="2"/>
          <w:sz w:val="32"/>
          <w:szCs w:val="32"/>
        </w:rPr>
        <w:t>，主要是</w:t>
      </w:r>
      <w:r>
        <w:rPr>
          <w:rFonts w:hint="eastAsia" w:ascii="Times New Roman" w:hAnsi="Times New Roman" w:eastAsia="仿宋_GB2312"/>
          <w:kern w:val="2"/>
          <w:sz w:val="32"/>
          <w:szCs w:val="32"/>
        </w:rPr>
        <w:t>无</w:t>
      </w:r>
      <w:r>
        <w:rPr>
          <w:rFonts w:ascii="Times New Roman" w:hAnsi="Times New Roman" w:eastAsia="楷体_GB2312"/>
          <w:bCs/>
          <w:kern w:val="2"/>
          <w:sz w:val="32"/>
          <w:szCs w:val="32"/>
        </w:rPr>
        <w:t>因公出国（境）费支出</w:t>
      </w:r>
      <w:r>
        <w:rPr>
          <w:rFonts w:hint="eastAsia" w:ascii="Times New Roman" w:hAnsi="Times New Roman" w:eastAsia="楷体_GB2312"/>
          <w:bCs/>
          <w:kern w:val="2"/>
          <w:sz w:val="32"/>
          <w:szCs w:val="32"/>
        </w:rPr>
        <w:t>预算</w:t>
      </w:r>
      <w:r>
        <w:rPr>
          <w:rFonts w:ascii="Times New Roman" w:hAnsi="Times New Roman" w:eastAsia="仿宋_GB2312"/>
          <w:kern w:val="2"/>
          <w:sz w:val="32"/>
          <w:szCs w:val="32"/>
        </w:rPr>
        <w:t>；较上年</w:t>
      </w:r>
      <w:r>
        <w:rPr>
          <w:rFonts w:hint="eastAsia" w:ascii="Times New Roman" w:hAnsi="Times New Roman" w:eastAsia="仿宋_GB2312"/>
          <w:kern w:val="2"/>
          <w:sz w:val="32"/>
          <w:szCs w:val="32"/>
          <w:lang w:val="zh-CN"/>
        </w:rPr>
        <w:t>持平</w:t>
      </w:r>
      <w:r>
        <w:rPr>
          <w:rFonts w:ascii="Times New Roman" w:hAnsi="Times New Roman" w:eastAsia="仿宋_GB2312"/>
          <w:kern w:val="2"/>
          <w:sz w:val="32"/>
          <w:szCs w:val="32"/>
        </w:rPr>
        <w:t>，主要是</w:t>
      </w:r>
      <w:r>
        <w:rPr>
          <w:rFonts w:hint="eastAsia" w:ascii="Times New Roman" w:hAnsi="Times New Roman" w:eastAsia="仿宋_GB2312"/>
          <w:kern w:val="2"/>
          <w:sz w:val="32"/>
          <w:szCs w:val="32"/>
        </w:rPr>
        <w:t>无</w:t>
      </w:r>
      <w:r>
        <w:rPr>
          <w:rFonts w:ascii="Times New Roman" w:hAnsi="Times New Roman" w:eastAsia="楷体_GB2312"/>
          <w:bCs/>
          <w:kern w:val="2"/>
          <w:sz w:val="32"/>
          <w:szCs w:val="32"/>
        </w:rPr>
        <w:t>因公出国（境）费支出</w:t>
      </w:r>
      <w:r>
        <w:rPr>
          <w:rFonts w:hint="eastAsia" w:ascii="Times New Roman" w:hAnsi="Times New Roman" w:eastAsia="楷体_GB2312"/>
          <w:bCs/>
          <w:kern w:val="2"/>
          <w:sz w:val="32"/>
          <w:szCs w:val="32"/>
        </w:rPr>
        <w:t>预算</w:t>
      </w:r>
      <w:r>
        <w:rPr>
          <w:rFonts w:ascii="Times New Roman" w:hAnsi="Times New Roman" w:eastAsia="仿宋_GB2312"/>
          <w:kern w:val="2"/>
          <w:sz w:val="32"/>
          <w:szCs w:val="32"/>
        </w:rPr>
        <w:t>。因公出国（境）团组0个、共0人、参加其他单位组织的因公出国（境）团组</w:t>
      </w:r>
      <w:r>
        <w:rPr>
          <w:rFonts w:hint="eastAsia" w:ascii="Times New Roman" w:hAnsi="Times New Roman" w:eastAsia="仿宋_GB2312"/>
          <w:kern w:val="2"/>
          <w:sz w:val="32"/>
          <w:szCs w:val="32"/>
        </w:rPr>
        <w:t>0</w:t>
      </w:r>
      <w:r>
        <w:rPr>
          <w:rFonts w:ascii="Times New Roman" w:hAnsi="Times New Roman" w:eastAsia="仿宋_GB2312"/>
          <w:kern w:val="2"/>
          <w:sz w:val="32"/>
          <w:szCs w:val="32"/>
        </w:rPr>
        <w:t>个、共</w:t>
      </w:r>
      <w:r>
        <w:rPr>
          <w:rFonts w:hint="eastAsia" w:ascii="Times New Roman" w:hAnsi="Times New Roman" w:eastAsia="仿宋_GB2312"/>
          <w:kern w:val="2"/>
          <w:sz w:val="32"/>
          <w:szCs w:val="32"/>
        </w:rPr>
        <w:t>0</w:t>
      </w:r>
      <w:r>
        <w:rPr>
          <w:rFonts w:ascii="Times New Roman" w:hAnsi="Times New Roman" w:eastAsia="仿宋_GB2312"/>
          <w:kern w:val="2"/>
          <w:sz w:val="32"/>
          <w:szCs w:val="32"/>
        </w:rPr>
        <w:t>人</w:t>
      </w:r>
      <w:r>
        <w:rPr>
          <w:rFonts w:hint="eastAsia" w:ascii="Times New Roman" w:hAnsi="Times New Roman" w:eastAsia="仿宋_GB2312"/>
          <w:kern w:val="2"/>
          <w:sz w:val="32"/>
          <w:szCs w:val="32"/>
        </w:rPr>
        <w:t>，</w:t>
      </w:r>
      <w:r>
        <w:rPr>
          <w:rFonts w:ascii="Times New Roman" w:hAnsi="Times New Roman" w:eastAsia="仿宋_GB2312"/>
          <w:kern w:val="2"/>
          <w:sz w:val="32"/>
          <w:szCs w:val="32"/>
        </w:rPr>
        <w:t>无本部门组织的出国（境）团组。</w:t>
      </w:r>
    </w:p>
    <w:p>
      <w:pPr>
        <w:adjustRightInd w:val="0"/>
        <w:snapToGrid w:val="0"/>
        <w:spacing w:line="580" w:lineRule="exact"/>
        <w:ind w:firstLine="643" w:firstLineChars="200"/>
        <w:jc w:val="left"/>
        <w:rPr>
          <w:rFonts w:ascii="Times New Roman" w:hAnsi="Times New Roman" w:eastAsia="Arial"/>
        </w:rPr>
      </w:pPr>
      <w:r>
        <w:rPr>
          <w:rFonts w:ascii="Times New Roman" w:hAnsi="Times New Roman" w:eastAsia="楷体_GB2312" w:cs="Times New Roman"/>
          <w:b/>
          <w:bCs/>
          <w:kern w:val="2"/>
          <w:sz w:val="32"/>
          <w:szCs w:val="32"/>
        </w:rPr>
        <w:t>2.</w:t>
      </w:r>
      <w:r>
        <w:rPr>
          <w:rFonts w:ascii="Times New Roman" w:hAnsi="Times New Roman" w:eastAsia="楷体_GB2312" w:cs="Times New Roman"/>
          <w:b/>
          <w:bCs/>
          <w:sz w:val="32"/>
          <w:szCs w:val="32"/>
        </w:rPr>
        <w:t>公务用车购置及运行维护费支出情况。</w:t>
      </w:r>
      <w:r>
        <w:rPr>
          <w:rFonts w:ascii="Times New Roman" w:hAnsi="Times New Roman" w:eastAsia="仿宋_GB2312" w:cs="Times New Roman"/>
          <w:kern w:val="2"/>
          <w:sz w:val="32"/>
          <w:szCs w:val="32"/>
          <w:lang w:val="zh-CN"/>
        </w:rPr>
        <w:t>本单位202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年度公务用车购置及运行维护费预算为0万元，支出决算 0万元，完成预算的0%,较预算</w:t>
      </w:r>
      <w:r>
        <w:rPr>
          <w:rFonts w:hint="eastAsia" w:ascii="Times New Roman" w:hAnsi="Times New Roman" w:eastAsia="仿宋_GB2312" w:cs="Times New Roman"/>
          <w:kern w:val="2"/>
          <w:sz w:val="32"/>
          <w:szCs w:val="32"/>
          <w:lang w:val="zh-CN"/>
        </w:rPr>
        <w:t>持平</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无</w:t>
      </w:r>
      <w:r>
        <w:rPr>
          <w:rFonts w:ascii="Times New Roman" w:hAnsi="Times New Roman" w:eastAsia="仿宋_GB2312" w:cs="Times New Roman"/>
          <w:kern w:val="2"/>
          <w:sz w:val="32"/>
          <w:szCs w:val="32"/>
          <w:lang w:val="zh-CN"/>
        </w:rPr>
        <w:t>公务用车购置及运行维护费预算；较上年</w:t>
      </w:r>
      <w:r>
        <w:rPr>
          <w:rFonts w:hint="eastAsia" w:ascii="Times New Roman" w:hAnsi="Times New Roman" w:eastAsia="仿宋_GB2312" w:cs="Times New Roman"/>
          <w:kern w:val="2"/>
          <w:sz w:val="32"/>
          <w:szCs w:val="32"/>
          <w:lang w:val="zh-CN"/>
        </w:rPr>
        <w:t>持平</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无</w:t>
      </w:r>
      <w:r>
        <w:rPr>
          <w:rFonts w:ascii="Times New Roman" w:hAnsi="Times New Roman" w:eastAsia="仿宋_GB2312" w:cs="Times New Roman"/>
          <w:kern w:val="2"/>
          <w:sz w:val="32"/>
          <w:szCs w:val="32"/>
          <w:lang w:val="zh-CN"/>
        </w:rPr>
        <w:t>公务用车购置及运行维护费预算。其中：</w:t>
      </w:r>
    </w:p>
    <w:p>
      <w:pPr>
        <w:adjustRightInd w:val="0"/>
        <w:snapToGrid w:val="0"/>
        <w:spacing w:line="580" w:lineRule="exact"/>
        <w:ind w:firstLine="643" w:firstLineChars="200"/>
        <w:rPr>
          <w:rFonts w:ascii="Times New Roman" w:hAnsi="Times New Roman" w:eastAsia="仿宋_GB2312" w:cs="Times New Roman"/>
          <w:kern w:val="2"/>
          <w:sz w:val="32"/>
          <w:szCs w:val="32"/>
          <w:lang w:val="zh-CN"/>
        </w:rPr>
      </w:pPr>
      <w:r>
        <w:rPr>
          <w:rFonts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rPr>
        <w:t>0</w:t>
      </w:r>
      <w:r>
        <w:rPr>
          <w:rFonts w:ascii="Times New Roman" w:hAnsi="Times New Roman" w:eastAsia="楷体_GB2312" w:cs="Times New Roman"/>
          <w:b/>
          <w:bCs/>
          <w:sz w:val="32"/>
          <w:szCs w:val="32"/>
        </w:rPr>
        <w:t>万元</w:t>
      </w:r>
      <w:r>
        <w:rPr>
          <w:rFonts w:ascii="Times New Roman" w:hAnsi="Times New Roman" w:eastAsia="仿宋_GB2312" w:cs="Times New Roman"/>
          <w:b/>
          <w:sz w:val="32"/>
          <w:szCs w:val="32"/>
        </w:rPr>
        <w:t>：</w:t>
      </w:r>
      <w:r>
        <w:rPr>
          <w:rFonts w:ascii="Times New Roman" w:hAnsi="Times New Roman" w:eastAsia="仿宋_GB2312" w:cs="Times New Roman"/>
          <w:kern w:val="2"/>
          <w:sz w:val="32"/>
          <w:szCs w:val="32"/>
          <w:lang w:val="zh-CN"/>
        </w:rPr>
        <w:t>本单位202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年度公务用车购置量0辆，发生“公务用车购置”经费支出 0万元。公务用车购置费支出较预算</w:t>
      </w:r>
      <w:r>
        <w:rPr>
          <w:rFonts w:hint="eastAsia" w:ascii="Times New Roman" w:hAnsi="Times New Roman" w:eastAsia="仿宋_GB2312" w:cs="Times New Roman"/>
          <w:kern w:val="2"/>
          <w:sz w:val="32"/>
          <w:szCs w:val="32"/>
          <w:lang w:val="zh-CN"/>
        </w:rPr>
        <w:t>持平</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单位无公车，无</w:t>
      </w:r>
      <w:r>
        <w:rPr>
          <w:rFonts w:ascii="Times New Roman" w:hAnsi="Times New Roman" w:eastAsia="仿宋_GB2312" w:cs="Times New Roman"/>
          <w:kern w:val="2"/>
          <w:sz w:val="32"/>
          <w:szCs w:val="32"/>
          <w:lang w:val="zh-CN"/>
        </w:rPr>
        <w:t>公务用车购置及运行维护费预算；较上年</w:t>
      </w:r>
      <w:r>
        <w:rPr>
          <w:rFonts w:hint="eastAsia" w:ascii="Times New Roman" w:hAnsi="Times New Roman" w:eastAsia="仿宋_GB2312" w:cs="Times New Roman"/>
          <w:kern w:val="2"/>
          <w:sz w:val="32"/>
          <w:szCs w:val="32"/>
          <w:lang w:val="zh-CN"/>
        </w:rPr>
        <w:t>持平</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单位无公车，无</w:t>
      </w:r>
      <w:r>
        <w:rPr>
          <w:rFonts w:ascii="Times New Roman" w:hAnsi="Times New Roman" w:eastAsia="仿宋_GB2312" w:cs="Times New Roman"/>
          <w:kern w:val="2"/>
          <w:sz w:val="32"/>
          <w:szCs w:val="32"/>
          <w:lang w:val="zh-CN"/>
        </w:rPr>
        <w:t>公务用车购置及运行维护费预算。</w:t>
      </w:r>
    </w:p>
    <w:p>
      <w:pPr>
        <w:adjustRightInd w:val="0"/>
        <w:snapToGrid w:val="0"/>
        <w:spacing w:line="580" w:lineRule="exact"/>
        <w:ind w:firstLine="643"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rPr>
        <w:t>0</w:t>
      </w:r>
      <w:r>
        <w:rPr>
          <w:rFonts w:ascii="Times New Roman" w:hAnsi="Times New Roman" w:eastAsia="楷体_GB2312" w:cs="Times New Roman"/>
          <w:b/>
          <w:bCs/>
          <w:sz w:val="32"/>
          <w:szCs w:val="32"/>
        </w:rPr>
        <w:t>万元</w:t>
      </w:r>
      <w:r>
        <w:rPr>
          <w:rFonts w:ascii="Times New Roman" w:hAnsi="Times New Roman" w:eastAsia="仿宋_GB2312" w:cs="Times New Roman"/>
          <w:b/>
          <w:sz w:val="32"/>
          <w:szCs w:val="32"/>
        </w:rPr>
        <w:t>：</w:t>
      </w:r>
      <w:r>
        <w:rPr>
          <w:rFonts w:ascii="Times New Roman" w:hAnsi="Times New Roman" w:eastAsia="仿宋_GB2312" w:cs="Times New Roman"/>
          <w:kern w:val="2"/>
          <w:sz w:val="32"/>
          <w:szCs w:val="32"/>
          <w:lang w:val="zh-CN"/>
        </w:rPr>
        <w:t>本单位202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年度单位公务用车保有量0辆，发生运行维护费支出0万元。公车运行维护费支出较预算</w:t>
      </w:r>
      <w:r>
        <w:rPr>
          <w:rFonts w:hint="eastAsia" w:ascii="Times New Roman" w:hAnsi="Times New Roman" w:eastAsia="仿宋_GB2312" w:cs="Times New Roman"/>
          <w:kern w:val="2"/>
          <w:sz w:val="32"/>
          <w:szCs w:val="32"/>
          <w:lang w:val="zh-CN"/>
        </w:rPr>
        <w:t>持平</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无公车</w:t>
      </w:r>
      <w:r>
        <w:rPr>
          <w:rFonts w:ascii="Times New Roman" w:hAnsi="Times New Roman" w:eastAsia="仿宋_GB2312" w:cs="Times New Roman"/>
          <w:kern w:val="2"/>
          <w:sz w:val="32"/>
          <w:szCs w:val="32"/>
          <w:lang w:val="zh-CN"/>
        </w:rPr>
        <w:t>；较上年</w:t>
      </w:r>
      <w:r>
        <w:rPr>
          <w:rFonts w:hint="eastAsia" w:ascii="Times New Roman" w:hAnsi="Times New Roman" w:eastAsia="仿宋_GB2312" w:cs="Times New Roman"/>
          <w:kern w:val="2"/>
          <w:sz w:val="32"/>
          <w:szCs w:val="32"/>
          <w:lang w:val="zh-CN"/>
        </w:rPr>
        <w:t>持平</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公车</w:t>
      </w:r>
      <w:r>
        <w:rPr>
          <w:rFonts w:ascii="Times New Roman" w:hAnsi="Times New Roman" w:eastAsia="仿宋_GB2312" w:cs="Times New Roman"/>
          <w:kern w:val="2"/>
          <w:sz w:val="32"/>
          <w:szCs w:val="32"/>
          <w:lang w:val="zh-CN"/>
        </w:rPr>
        <w:t>。</w:t>
      </w:r>
    </w:p>
    <w:p>
      <w:pPr>
        <w:adjustRightInd w:val="0"/>
        <w:snapToGrid w:val="0"/>
        <w:spacing w:line="580" w:lineRule="exact"/>
        <w:ind w:firstLine="643" w:firstLineChars="200"/>
        <w:jc w:val="left"/>
        <w:rPr>
          <w:rFonts w:ascii="Times New Roman" w:hAnsi="Times New Roman" w:eastAsia="仿宋_GB2312" w:cs="Times New Roman"/>
          <w:kern w:val="2"/>
          <w:sz w:val="32"/>
          <w:szCs w:val="32"/>
          <w:lang w:val="zh-CN"/>
        </w:rPr>
      </w:pPr>
      <w:r>
        <w:rPr>
          <w:rFonts w:ascii="Times New Roman" w:hAnsi="Times New Roman" w:eastAsia="楷体_GB2312" w:cs="Times New Roman"/>
          <w:b/>
          <w:bCs/>
          <w:kern w:val="2"/>
          <w:sz w:val="32"/>
          <w:szCs w:val="32"/>
        </w:rPr>
        <w:t>3.公务接待费。</w:t>
      </w:r>
      <w:r>
        <w:rPr>
          <w:rFonts w:ascii="Times New Roman" w:hAnsi="Times New Roman" w:eastAsia="仿宋_GB2312" w:cs="Times New Roman"/>
          <w:kern w:val="2"/>
          <w:sz w:val="32"/>
          <w:szCs w:val="32"/>
          <w:lang w:val="zh-CN"/>
        </w:rPr>
        <w:t>本单位202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年度公务接待费支出预算为0万元，支出决算0万元，完成预算的0%。公务接待费支出较预算</w:t>
      </w:r>
      <w:r>
        <w:rPr>
          <w:rFonts w:hint="eastAsia" w:ascii="Times New Roman" w:hAnsi="Times New Roman" w:eastAsia="仿宋_GB2312" w:cs="Times New Roman"/>
          <w:kern w:val="2"/>
          <w:sz w:val="32"/>
          <w:szCs w:val="32"/>
          <w:lang w:val="zh-CN"/>
        </w:rPr>
        <w:t>持平，</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无</w:t>
      </w:r>
      <w:r>
        <w:rPr>
          <w:rFonts w:ascii="Times New Roman" w:hAnsi="Times New Roman" w:eastAsia="仿宋_GB2312" w:cs="Times New Roman"/>
          <w:kern w:val="2"/>
          <w:sz w:val="32"/>
          <w:szCs w:val="32"/>
          <w:lang w:val="zh-CN"/>
        </w:rPr>
        <w:t>公务接待费支出预算；较上年度</w:t>
      </w:r>
      <w:r>
        <w:rPr>
          <w:rFonts w:hint="eastAsia" w:ascii="Times New Roman" w:hAnsi="Times New Roman" w:eastAsia="仿宋_GB2312" w:cs="Times New Roman"/>
          <w:kern w:val="2"/>
          <w:sz w:val="32"/>
          <w:szCs w:val="32"/>
          <w:lang w:val="zh-CN"/>
        </w:rPr>
        <w:t>减少0.6万元，降低100%，</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2023年无</w:t>
      </w:r>
      <w:r>
        <w:rPr>
          <w:rFonts w:ascii="Times New Roman" w:hAnsi="Times New Roman" w:eastAsia="仿宋_GB2312" w:cs="Times New Roman"/>
          <w:kern w:val="2"/>
          <w:sz w:val="32"/>
          <w:szCs w:val="32"/>
          <w:lang w:val="zh-CN"/>
        </w:rPr>
        <w:t>公务接待费支出预算。本年度共发生公务接待</w:t>
      </w:r>
      <w:r>
        <w:rPr>
          <w:rFonts w:hint="eastAsia" w:ascii="Times New Roman" w:hAnsi="Times New Roman" w:eastAsia="仿宋_GB2312" w:cs="Times New Roman"/>
          <w:kern w:val="2"/>
          <w:sz w:val="32"/>
          <w:szCs w:val="32"/>
          <w:lang w:val="zh-CN"/>
        </w:rPr>
        <w:t>0</w:t>
      </w:r>
      <w:r>
        <w:rPr>
          <w:rFonts w:ascii="Times New Roman" w:hAnsi="Times New Roman" w:eastAsia="仿宋_GB2312" w:cs="Times New Roman"/>
          <w:kern w:val="2"/>
          <w:sz w:val="32"/>
          <w:szCs w:val="32"/>
          <w:lang w:val="zh-CN"/>
        </w:rPr>
        <w:t>批次、</w:t>
      </w:r>
      <w:r>
        <w:rPr>
          <w:rFonts w:hint="eastAsia" w:ascii="Times New Roman" w:hAnsi="Times New Roman" w:eastAsia="仿宋_GB2312" w:cs="Times New Roman"/>
          <w:kern w:val="2"/>
          <w:sz w:val="32"/>
          <w:szCs w:val="32"/>
          <w:lang w:val="zh-CN"/>
        </w:rPr>
        <w:t>0</w:t>
      </w:r>
      <w:r>
        <w:rPr>
          <w:rFonts w:ascii="Times New Roman" w:hAnsi="Times New Roman" w:eastAsia="仿宋_GB2312" w:cs="Times New Roman"/>
          <w:kern w:val="2"/>
          <w:sz w:val="32"/>
          <w:szCs w:val="32"/>
          <w:lang w:val="zh-CN"/>
        </w:rPr>
        <w:t>人次。</w:t>
      </w:r>
    </w:p>
    <w:p>
      <w:pPr>
        <w:pStyle w:val="10"/>
        <w:widowControl/>
        <w:spacing w:beforeAutospacing="0" w:afterAutospacing="0"/>
        <w:jc w:val="both"/>
        <w:outlineLvl w:val="1"/>
        <w:rPr>
          <w:rFonts w:ascii="Times New Roman" w:hAnsi="Times New Roman" w:eastAsia="黑体"/>
          <w:color w:val="333333"/>
          <w:sz w:val="33"/>
          <w:szCs w:val="33"/>
          <w:shd w:val="clear" w:color="auto" w:fill="FFFFFF"/>
        </w:rPr>
      </w:pPr>
      <w:r>
        <w:rPr>
          <w:rFonts w:ascii="Times New Roman" w:hAnsi="Times New Roman" w:eastAsia="黑体"/>
          <w:color w:val="333333"/>
          <w:sz w:val="33"/>
          <w:szCs w:val="33"/>
          <w:shd w:val="clear" w:color="auto" w:fill="FFFFFF"/>
        </w:rPr>
        <w:t>六、</w:t>
      </w:r>
      <w:r>
        <w:rPr>
          <w:rFonts w:ascii="Times New Roman" w:hAnsi="Times New Roman" w:eastAsia="黑体"/>
          <w:sz w:val="32"/>
          <w:szCs w:val="32"/>
        </w:rPr>
        <w:t>机关运行经费支出说明</w:t>
      </w:r>
    </w:p>
    <w:p>
      <w:pPr>
        <w:pStyle w:val="10"/>
        <w:widowControl/>
        <w:spacing w:beforeAutospacing="0" w:afterAutospacing="0"/>
        <w:jc w:val="both"/>
        <w:rPr>
          <w:rFonts w:ascii="Times New Roman" w:hAnsi="Times New Roman" w:eastAsia="仿宋_GB2312"/>
          <w:sz w:val="32"/>
          <w:szCs w:val="32"/>
          <w:highlight w:val="yellow"/>
        </w:rPr>
      </w:pPr>
      <w:r>
        <w:rPr>
          <w:rFonts w:ascii="Times New Roman" w:hAnsi="Times New Roman" w:eastAsia="Arial"/>
          <w:color w:val="333333"/>
          <w:sz w:val="19"/>
          <w:szCs w:val="19"/>
          <w:shd w:val="clear" w:color="auto" w:fill="FFFFFF"/>
        </w:rPr>
        <w:t> </w:t>
      </w:r>
      <w:r>
        <w:rPr>
          <w:rFonts w:ascii="Times New Roman" w:hAnsi="Times New Roman" w:eastAsia="宋体"/>
          <w:color w:val="333333"/>
          <w:sz w:val="19"/>
          <w:szCs w:val="19"/>
          <w:shd w:val="clear" w:color="auto" w:fill="FFFFFF"/>
        </w:rPr>
        <w:t xml:space="preserve">     </w:t>
      </w:r>
      <w:r>
        <w:rPr>
          <w:rFonts w:ascii="Times New Roman" w:hAnsi="Times New Roman" w:eastAsia="仿宋_GB2312"/>
          <w:kern w:val="2"/>
          <w:sz w:val="32"/>
          <w:szCs w:val="32"/>
          <w:lang w:val="zh-CN"/>
        </w:rPr>
        <w:t>本单位202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年度机关运行经费支出0万元，较2022年度</w:t>
      </w:r>
      <w:r>
        <w:rPr>
          <w:rFonts w:hint="eastAsia" w:ascii="Times New Roman" w:hAnsi="Times New Roman" w:eastAsia="仿宋_GB2312"/>
          <w:kern w:val="2"/>
          <w:sz w:val="32"/>
          <w:szCs w:val="32"/>
          <w:lang w:val="zh-CN"/>
        </w:rPr>
        <w:t>持平，</w:t>
      </w:r>
      <w:r>
        <w:rPr>
          <w:rFonts w:ascii="Times New Roman" w:hAnsi="Times New Roman" w:eastAsia="仿宋_GB2312"/>
          <w:kern w:val="2"/>
          <w:sz w:val="32"/>
          <w:szCs w:val="32"/>
          <w:lang w:val="zh-CN"/>
        </w:rPr>
        <w:t>主要原因是</w:t>
      </w:r>
      <w:r>
        <w:rPr>
          <w:rFonts w:hint="eastAsia" w:ascii="Times New Roman" w:hAnsi="Times New Roman" w:eastAsia="仿宋_GB2312"/>
          <w:kern w:val="2"/>
          <w:sz w:val="32"/>
          <w:szCs w:val="32"/>
          <w:lang w:val="zh-CN"/>
        </w:rPr>
        <w:t>事业单位无机关运行经费预算</w:t>
      </w:r>
      <w:r>
        <w:rPr>
          <w:rFonts w:ascii="Times New Roman" w:hAnsi="Times New Roman" w:eastAsia="仿宋_GB2312"/>
          <w:kern w:val="2"/>
          <w:sz w:val="32"/>
          <w:szCs w:val="32"/>
          <w:lang w:val="zh-CN"/>
        </w:rPr>
        <w:t>。</w:t>
      </w:r>
    </w:p>
    <w:p>
      <w:pPr>
        <w:adjustRightInd w:val="0"/>
        <w:snapToGrid w:val="0"/>
        <w:spacing w:line="580" w:lineRule="exact"/>
        <w:ind w:firstLine="660" w:firstLineChars="200"/>
        <w:rPr>
          <w:rFonts w:ascii="Times New Roman" w:hAnsi="Times New Roman" w:eastAsia="仿宋_GB2312" w:cs="Times New Roman"/>
          <w:sz w:val="32"/>
          <w:szCs w:val="32"/>
          <w:highlight w:val="yellow"/>
        </w:rPr>
      </w:pPr>
      <w:r>
        <w:rPr>
          <w:rFonts w:ascii="Times New Roman" w:hAnsi="Times New Roman" w:eastAsia="黑体" w:cs="Times New Roman"/>
          <w:color w:val="333333"/>
          <w:sz w:val="33"/>
          <w:szCs w:val="33"/>
          <w:shd w:val="clear" w:color="auto" w:fill="FFFFFF"/>
        </w:rPr>
        <w:t>七、</w:t>
      </w:r>
      <w:r>
        <w:rPr>
          <w:rFonts w:ascii="Times New Roman" w:hAnsi="Times New Roman" w:eastAsia="黑体" w:cs="Times New Roman"/>
          <w:sz w:val="32"/>
          <w:szCs w:val="32"/>
        </w:rPr>
        <w:t>政府采购支出说明</w:t>
      </w:r>
    </w:p>
    <w:p>
      <w:pPr>
        <w:pStyle w:val="10"/>
        <w:widowControl/>
        <w:spacing w:beforeAutospacing="0" w:afterAutospacing="0"/>
        <w:rPr>
          <w:rFonts w:ascii="Times New Roman" w:hAnsi="Times New Roman" w:eastAsia="仿宋_GB2312"/>
          <w:sz w:val="32"/>
          <w:szCs w:val="32"/>
          <w:highlight w:val="yellow"/>
        </w:rPr>
      </w:pPr>
      <w:r>
        <w:rPr>
          <w:rFonts w:ascii="Times New Roman" w:hAnsi="Times New Roman" w:eastAsia="Arial"/>
          <w:color w:val="333333"/>
          <w:sz w:val="19"/>
          <w:szCs w:val="19"/>
          <w:shd w:val="clear" w:color="auto" w:fill="FFFFFF"/>
        </w:rPr>
        <w:t> </w:t>
      </w:r>
      <w:r>
        <w:rPr>
          <w:rFonts w:ascii="Times New Roman" w:hAnsi="Times New Roman" w:eastAsia="仿宋_GB2312"/>
          <w:color w:val="333333"/>
          <w:sz w:val="33"/>
          <w:szCs w:val="33"/>
          <w:shd w:val="clear" w:color="auto" w:fill="FFFFFF"/>
        </w:rPr>
        <w:t xml:space="preserve">     </w:t>
      </w:r>
      <w:r>
        <w:rPr>
          <w:rFonts w:ascii="Times New Roman" w:hAnsi="Times New Roman" w:eastAsia="仿宋_GB2312"/>
          <w:kern w:val="2"/>
          <w:sz w:val="32"/>
          <w:szCs w:val="32"/>
          <w:lang w:val="zh-CN"/>
        </w:rPr>
        <w:t>本单位202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年度政府采购支出总额0万元，从采购类型来看，政府采购货物支出0万元、政府采购工程支出0万元、政府采购服务支出0万元。授予中小企业</w:t>
      </w:r>
      <w:r>
        <w:rPr>
          <w:rFonts w:ascii="Times New Roman" w:hAnsi="Times New Roman" w:eastAsia="仿宋_GB2312"/>
          <w:kern w:val="2"/>
          <w:sz w:val="32"/>
          <w:szCs w:val="32"/>
        </w:rPr>
        <w:t>合同金额</w:t>
      </w:r>
      <w:r>
        <w:rPr>
          <w:rFonts w:ascii="Times New Roman" w:hAnsi="Times New Roman" w:eastAsia="仿宋_GB2312"/>
          <w:kern w:val="2"/>
          <w:sz w:val="32"/>
          <w:szCs w:val="32"/>
          <w:lang w:val="zh-CN"/>
        </w:rPr>
        <w:t>0万元，占政府采购支出总额的0%，其中授予小微企业合同金额0万元，占政府采购支出总额的0%。</w:t>
      </w:r>
    </w:p>
    <w:p>
      <w:pPr>
        <w:snapToGrid w:val="0"/>
        <w:spacing w:line="580" w:lineRule="exact"/>
        <w:ind w:firstLine="660" w:firstLineChars="200"/>
        <w:jc w:val="left"/>
        <w:rPr>
          <w:rFonts w:ascii="Times New Roman" w:hAnsi="Times New Roman" w:eastAsia="仿宋_GB2312" w:cs="Times New Roman"/>
          <w:sz w:val="32"/>
          <w:szCs w:val="32"/>
          <w:highlight w:val="yellow"/>
        </w:rPr>
      </w:pPr>
      <w:r>
        <w:rPr>
          <w:rFonts w:ascii="Times New Roman" w:hAnsi="Times New Roman" w:eastAsia="黑体" w:cs="Times New Roman"/>
          <w:color w:val="333333"/>
          <w:sz w:val="33"/>
          <w:szCs w:val="33"/>
          <w:shd w:val="clear" w:color="auto" w:fill="FFFFFF"/>
        </w:rPr>
        <w:t>八、</w:t>
      </w:r>
      <w:r>
        <w:rPr>
          <w:rFonts w:ascii="Times New Roman" w:hAnsi="Times New Roman" w:eastAsia="黑体" w:cs="Times New Roman"/>
          <w:sz w:val="32"/>
          <w:szCs w:val="32"/>
        </w:rPr>
        <w:t>国有资产占用情况说明</w:t>
      </w:r>
    </w:p>
    <w:p>
      <w:pPr>
        <w:pStyle w:val="10"/>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color w:val="333333"/>
          <w:sz w:val="33"/>
          <w:szCs w:val="33"/>
          <w:shd w:val="clear" w:color="auto" w:fill="FFFFFF"/>
        </w:rPr>
        <w:t xml:space="preserve">     </w:t>
      </w:r>
      <w:r>
        <w:rPr>
          <w:rFonts w:ascii="Times New Roman" w:hAnsi="Times New Roman" w:eastAsia="仿宋_GB2312"/>
          <w:kern w:val="2"/>
          <w:sz w:val="32"/>
          <w:szCs w:val="32"/>
          <w:lang w:val="zh-CN"/>
        </w:rPr>
        <w:t>截至202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年12月31日，本单位共有车辆0辆，比上年</w:t>
      </w:r>
      <w:r>
        <w:rPr>
          <w:rFonts w:hint="eastAsia" w:ascii="Times New Roman" w:hAnsi="Times New Roman" w:eastAsia="仿宋_GB2312"/>
          <w:kern w:val="2"/>
          <w:sz w:val="32"/>
          <w:szCs w:val="32"/>
          <w:lang w:val="zh-CN"/>
        </w:rPr>
        <w:t>持平</w:t>
      </w:r>
      <w:r>
        <w:rPr>
          <w:rFonts w:ascii="Times New Roman" w:hAnsi="Times New Roman" w:eastAsia="仿宋_GB2312"/>
          <w:kern w:val="2"/>
          <w:sz w:val="32"/>
          <w:szCs w:val="32"/>
          <w:lang w:val="zh-CN"/>
        </w:rPr>
        <w:t>辆</w:t>
      </w:r>
      <w:r>
        <w:rPr>
          <w:rFonts w:hint="eastAsia" w:ascii="Times New Roman" w:hAnsi="Times New Roman" w:eastAsia="仿宋_GB2312"/>
          <w:kern w:val="2"/>
          <w:sz w:val="32"/>
          <w:szCs w:val="32"/>
          <w:lang w:val="zh-CN"/>
        </w:rPr>
        <w:t>，</w:t>
      </w:r>
      <w:r>
        <w:rPr>
          <w:rFonts w:ascii="Times New Roman" w:hAnsi="Times New Roman" w:eastAsia="仿宋_GB2312"/>
          <w:kern w:val="2"/>
          <w:sz w:val="32"/>
          <w:szCs w:val="32"/>
          <w:lang w:val="zh-CN"/>
        </w:rPr>
        <w:t>主要是</w:t>
      </w:r>
      <w:r>
        <w:rPr>
          <w:rFonts w:hint="eastAsia" w:ascii="Times New Roman" w:hAnsi="Times New Roman" w:eastAsia="仿宋_GB2312"/>
          <w:kern w:val="2"/>
          <w:sz w:val="32"/>
          <w:szCs w:val="32"/>
          <w:lang w:val="zh-CN"/>
        </w:rPr>
        <w:t>单位无公车</w:t>
      </w:r>
      <w:r>
        <w:rPr>
          <w:rFonts w:ascii="Times New Roman" w:hAnsi="Times New Roman" w:eastAsia="仿宋_GB2312"/>
          <w:kern w:val="2"/>
          <w:sz w:val="32"/>
          <w:szCs w:val="32"/>
          <w:lang w:val="zh-CN"/>
        </w:rPr>
        <w:t>。其中，副部（省）级及以上领导用车0辆，主要</w:t>
      </w:r>
      <w:r>
        <w:rPr>
          <w:rFonts w:ascii="Times New Roman" w:hAnsi="Times New Roman" w:eastAsia="仿宋_GB2312"/>
          <w:kern w:val="2"/>
          <w:sz w:val="32"/>
          <w:szCs w:val="32"/>
        </w:rPr>
        <w:t>负责人</w:t>
      </w:r>
      <w:r>
        <w:rPr>
          <w:rFonts w:ascii="Times New Roman" w:hAnsi="Times New Roman" w:eastAsia="仿宋_GB2312"/>
          <w:kern w:val="2"/>
          <w:sz w:val="32"/>
          <w:szCs w:val="32"/>
          <w:lang w:val="zh-CN"/>
        </w:rPr>
        <w:t>用车0辆，机要通信用车0辆，应急保障用车0辆，执法执勤用车0辆，特种专业技术用车0辆，离退休干部用车0辆，其他用车0辆，其他用车 主要是</w:t>
      </w:r>
      <w:r>
        <w:rPr>
          <w:rFonts w:hint="eastAsia" w:ascii="Times New Roman" w:hAnsi="Times New Roman" w:eastAsia="仿宋_GB2312"/>
          <w:kern w:val="2"/>
          <w:sz w:val="32"/>
          <w:szCs w:val="32"/>
          <w:lang w:val="zh-CN"/>
        </w:rPr>
        <w:t>无车辆</w:t>
      </w:r>
      <w:r>
        <w:rPr>
          <w:rFonts w:ascii="Times New Roman" w:hAnsi="Times New Roman" w:eastAsia="仿宋_GB2312"/>
          <w:kern w:val="2"/>
          <w:sz w:val="32"/>
          <w:szCs w:val="32"/>
          <w:lang w:val="zh-CN"/>
        </w:rPr>
        <w:t>。单位价值100万元（含）以上设备（不含车辆）0台（套）。</w:t>
      </w:r>
    </w:p>
    <w:p>
      <w:pPr>
        <w:pStyle w:val="10"/>
        <w:widowControl/>
        <w:spacing w:beforeAutospacing="0" w:afterAutospacing="0"/>
        <w:ind w:firstLine="640" w:firstLineChars="200"/>
        <w:jc w:val="both"/>
        <w:outlineLvl w:val="1"/>
        <w:rPr>
          <w:rFonts w:ascii="Times New Roman" w:hAnsi="Times New Roman" w:eastAsia="黑体"/>
          <w:kern w:val="2"/>
          <w:sz w:val="32"/>
          <w:szCs w:val="40"/>
        </w:rPr>
      </w:pPr>
      <w:r>
        <w:rPr>
          <w:rFonts w:ascii="Times New Roman" w:hAnsi="Times New Roman" w:eastAsia="黑体"/>
          <w:kern w:val="2"/>
          <w:sz w:val="32"/>
          <w:szCs w:val="40"/>
        </w:rPr>
        <w:t>九、预算绩效情况说明</w:t>
      </w:r>
    </w:p>
    <w:p>
      <w:pPr>
        <w:adjustRightInd w:val="0"/>
        <w:snapToGrid w:val="0"/>
        <w:spacing w:line="58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（一）预算绩效管理工作开展情况</w:t>
      </w:r>
    </w:p>
    <w:p>
      <w:pPr>
        <w:pStyle w:val="10"/>
        <w:widowControl/>
        <w:spacing w:beforeAutospacing="0" w:afterAutospacing="0"/>
        <w:ind w:firstLine="640" w:firstLineChars="200"/>
        <w:rPr>
          <w:rFonts w:ascii="Times New Roman" w:hAnsi="Times New Roman" w:eastAsia="仿宋_GB2312"/>
          <w:kern w:val="2"/>
          <w:sz w:val="32"/>
          <w:szCs w:val="32"/>
          <w:lang w:val="zh-CN"/>
        </w:rPr>
      </w:pPr>
      <w:r>
        <w:rPr>
          <w:rFonts w:ascii="Times New Roman" w:hAnsi="Times New Roman" w:eastAsia="仿宋_GB2312"/>
          <w:kern w:val="2"/>
          <w:sz w:val="32"/>
          <w:szCs w:val="32"/>
          <w:lang w:val="zh-CN"/>
        </w:rPr>
        <w:t>根据预算绩效管理要求，本单位组织对2023年度一般公共预算项目支出全面开展绩效自评，其中，一级项目</w:t>
      </w:r>
      <w:r>
        <w:rPr>
          <w:rFonts w:hint="eastAsia" w:ascii="Times New Roman" w:hAnsi="Times New Roman" w:eastAsia="仿宋_GB2312"/>
          <w:kern w:val="2"/>
          <w:sz w:val="32"/>
          <w:szCs w:val="32"/>
          <w:lang w:val="zh-CN"/>
        </w:rPr>
        <w:t>3</w:t>
      </w:r>
      <w:r>
        <w:rPr>
          <w:rFonts w:ascii="Times New Roman" w:hAnsi="Times New Roman" w:eastAsia="仿宋_GB2312"/>
          <w:kern w:val="2"/>
          <w:sz w:val="32"/>
          <w:szCs w:val="32"/>
          <w:lang w:val="zh-CN"/>
        </w:rPr>
        <w:t>个，</w:t>
      </w:r>
      <w:r>
        <w:rPr>
          <w:rFonts w:hint="eastAsia" w:ascii="Times New Roman" w:hAnsi="Times New Roman" w:eastAsia="仿宋_GB2312"/>
          <w:kern w:val="2"/>
          <w:sz w:val="32"/>
          <w:szCs w:val="32"/>
          <w:lang w:val="zh-CN"/>
        </w:rPr>
        <w:t>退役安置公益岗</w:t>
      </w:r>
      <w:r>
        <w:rPr>
          <w:rFonts w:ascii="Times New Roman" w:hAnsi="Times New Roman" w:eastAsia="仿宋_GB2312"/>
          <w:kern w:val="2"/>
          <w:sz w:val="32"/>
          <w:szCs w:val="32"/>
          <w:lang w:val="zh-CN"/>
        </w:rPr>
        <w:t>项目</w:t>
      </w:r>
      <w:r>
        <w:rPr>
          <w:rFonts w:hint="eastAsia" w:ascii="Times New Roman" w:hAnsi="Times New Roman" w:eastAsia="仿宋_GB2312"/>
          <w:kern w:val="2"/>
          <w:sz w:val="32"/>
          <w:szCs w:val="32"/>
          <w:lang w:val="zh-CN"/>
        </w:rPr>
        <w:t>1</w:t>
      </w:r>
      <w:r>
        <w:rPr>
          <w:rFonts w:ascii="Times New Roman" w:hAnsi="Times New Roman" w:eastAsia="仿宋_GB2312"/>
          <w:kern w:val="2"/>
          <w:sz w:val="32"/>
          <w:szCs w:val="32"/>
          <w:lang w:val="zh-CN"/>
        </w:rPr>
        <w:t>个，共涉及资金</w:t>
      </w:r>
      <w:r>
        <w:rPr>
          <w:rFonts w:hint="eastAsia" w:ascii="Times New Roman" w:hAnsi="Times New Roman" w:eastAsia="仿宋_GB2312"/>
          <w:kern w:val="2"/>
          <w:sz w:val="32"/>
          <w:szCs w:val="32"/>
          <w:lang w:val="zh-CN"/>
        </w:rPr>
        <w:t>76.95</w:t>
      </w:r>
      <w:r>
        <w:rPr>
          <w:rFonts w:ascii="Times New Roman" w:hAnsi="Times New Roman" w:eastAsia="仿宋_GB2312"/>
          <w:kern w:val="2"/>
          <w:sz w:val="32"/>
          <w:szCs w:val="32"/>
          <w:lang w:val="zh-CN"/>
        </w:rPr>
        <w:t>万元，占一般公共预算项目支出总额的</w:t>
      </w:r>
      <w:r>
        <w:rPr>
          <w:rFonts w:hint="eastAsia" w:ascii="Times New Roman" w:hAnsi="Times New Roman" w:eastAsia="仿宋_GB2312"/>
          <w:kern w:val="2"/>
          <w:sz w:val="32"/>
          <w:szCs w:val="32"/>
          <w:lang w:val="zh-CN"/>
        </w:rPr>
        <w:t>100</w:t>
      </w:r>
      <w:r>
        <w:rPr>
          <w:rFonts w:ascii="Times New Roman" w:hAnsi="Times New Roman" w:eastAsia="仿宋_GB2312"/>
          <w:kern w:val="2"/>
          <w:sz w:val="32"/>
          <w:szCs w:val="32"/>
          <w:lang w:val="zh-CN"/>
        </w:rPr>
        <w:t>%。2023年度</w:t>
      </w:r>
      <w:r>
        <w:rPr>
          <w:rFonts w:hint="eastAsia" w:ascii="宋体" w:hAnsi="宋体" w:eastAsia="宋体" w:cs="宋体"/>
          <w:kern w:val="2"/>
          <w:sz w:val="32"/>
          <w:szCs w:val="32"/>
          <w:lang w:val="zh-CN"/>
        </w:rPr>
        <w:t>我单位无</w:t>
      </w:r>
      <w:r>
        <w:rPr>
          <w:rFonts w:ascii="Times New Roman" w:hAnsi="Times New Roman" w:eastAsia="仿宋_GB2312"/>
          <w:kern w:val="2"/>
          <w:sz w:val="32"/>
          <w:szCs w:val="32"/>
          <w:lang w:val="zh-CN"/>
        </w:rPr>
        <w:t>政府性基金预算项目</w:t>
      </w:r>
      <w:r>
        <w:rPr>
          <w:rFonts w:hint="eastAsia" w:ascii="Times New Roman" w:hAnsi="Times New Roman" w:eastAsia="仿宋_GB2312"/>
          <w:kern w:val="2"/>
          <w:sz w:val="32"/>
          <w:szCs w:val="32"/>
          <w:lang w:val="zh-CN"/>
        </w:rPr>
        <w:t>，无</w:t>
      </w:r>
      <w:r>
        <w:rPr>
          <w:rFonts w:ascii="Times New Roman" w:hAnsi="Times New Roman" w:eastAsia="仿宋_GB2312"/>
          <w:kern w:val="2"/>
          <w:sz w:val="32"/>
          <w:szCs w:val="32"/>
          <w:lang w:val="zh-CN"/>
        </w:rPr>
        <w:t>国有资本经营预算项目。</w:t>
      </w:r>
    </w:p>
    <w:p>
      <w:pPr>
        <w:adjustRightInd w:val="0"/>
        <w:snapToGrid w:val="0"/>
        <w:spacing w:line="500" w:lineRule="exact"/>
        <w:ind w:firstLine="640" w:firstLineChars="200"/>
        <w:rPr>
          <w:rFonts w:cs="DengXian-Regular" w:asciiTheme="majorEastAsia" w:hAnsiTheme="majorEastAsia" w:eastAsiaTheme="majorEastAsia"/>
          <w:sz w:val="32"/>
          <w:szCs w:val="32"/>
        </w:rPr>
      </w:pPr>
      <w:r>
        <w:rPr>
          <w:rFonts w:ascii="Times New Roman" w:hAnsi="Times New Roman" w:eastAsia="仿宋_GB2312"/>
          <w:kern w:val="2"/>
          <w:sz w:val="32"/>
          <w:szCs w:val="32"/>
          <w:lang w:val="zh-CN"/>
        </w:rPr>
        <w:t>组织对“</w:t>
      </w:r>
      <w:r>
        <w:rPr>
          <w:rFonts w:ascii="方正仿宋_GBK" w:hAnsi="方正仿宋_GBK" w:eastAsia="方正仿宋_GBK" w:cs="方正仿宋_GBK"/>
          <w:color w:val="000000"/>
          <w:sz w:val="28"/>
        </w:rPr>
        <w:t>农村产权交易中心办公费及运营业务费</w:t>
      </w:r>
      <w:r>
        <w:rPr>
          <w:rFonts w:hint="eastAsia" w:ascii="方正仿宋_GBK" w:hAnsi="方正仿宋_GBK" w:eastAsia="方正仿宋_GBK" w:cs="方正仿宋_GBK"/>
          <w:color w:val="000000"/>
          <w:sz w:val="28"/>
        </w:rPr>
        <w:t>、</w:t>
      </w:r>
      <w:r>
        <w:rPr>
          <w:rFonts w:ascii="方正仿宋_GBK" w:hAnsi="方正仿宋_GBK" w:eastAsia="方正仿宋_GBK" w:cs="方正仿宋_GBK"/>
          <w:color w:val="000000"/>
          <w:sz w:val="28"/>
        </w:rPr>
        <w:t>社会化服务</w:t>
      </w:r>
      <w:r>
        <w:rPr>
          <w:rFonts w:hint="eastAsia" w:ascii="方正仿宋_GBK" w:hAnsi="方正仿宋_GBK" w:eastAsia="方正仿宋_GBK" w:cs="方正仿宋_GBK"/>
          <w:color w:val="000000"/>
          <w:sz w:val="28"/>
        </w:rPr>
        <w:t>、</w:t>
      </w:r>
      <w:r>
        <w:rPr>
          <w:rFonts w:ascii="方正仿宋_GBK" w:hAnsi="方正仿宋_GBK" w:eastAsia="方正仿宋_GBK" w:cs="方正仿宋_GBK"/>
          <w:color w:val="000000"/>
          <w:sz w:val="28"/>
        </w:rPr>
        <w:t>再生资源管理办公费及回收利用体系业务费</w:t>
      </w:r>
      <w:r>
        <w:rPr>
          <w:rFonts w:hint="eastAsia" w:ascii="方正仿宋_GBK" w:hAnsi="方正仿宋_GBK" w:eastAsia="方正仿宋_GBK" w:cs="方正仿宋_GBK"/>
          <w:color w:val="000000"/>
          <w:sz w:val="28"/>
        </w:rPr>
        <w:t>、</w:t>
      </w:r>
      <w:r>
        <w:rPr>
          <w:rFonts w:ascii="方正仿宋_GBK" w:hAnsi="方正仿宋_GBK" w:eastAsia="方正仿宋_GBK" w:cs="方正仿宋_GBK"/>
          <w:color w:val="000000"/>
          <w:sz w:val="28"/>
        </w:rPr>
        <w:t>退休军人公益岗</w:t>
      </w:r>
      <w:r>
        <w:rPr>
          <w:rFonts w:ascii="Times New Roman" w:hAnsi="Times New Roman" w:eastAsia="仿宋_GB2312"/>
          <w:kern w:val="2"/>
          <w:sz w:val="32"/>
          <w:szCs w:val="32"/>
          <w:lang w:val="zh-CN"/>
        </w:rPr>
        <w:t>”等</w:t>
      </w:r>
      <w:r>
        <w:rPr>
          <w:rFonts w:hint="eastAsia" w:ascii="Times New Roman" w:hAnsi="Times New Roman" w:eastAsia="仿宋_GB2312"/>
          <w:kern w:val="2"/>
          <w:sz w:val="32"/>
          <w:szCs w:val="32"/>
          <w:lang w:val="zh-CN"/>
        </w:rPr>
        <w:t>4</w:t>
      </w:r>
      <w:r>
        <w:rPr>
          <w:rFonts w:ascii="Times New Roman" w:hAnsi="Times New Roman" w:eastAsia="仿宋_GB2312"/>
          <w:kern w:val="2"/>
          <w:sz w:val="32"/>
          <w:szCs w:val="32"/>
          <w:lang w:val="zh-CN"/>
        </w:rPr>
        <w:t>个项目开展了部门评价，涉及一般公共预算支出</w:t>
      </w:r>
      <w:r>
        <w:rPr>
          <w:rFonts w:hint="eastAsia" w:ascii="Times New Roman" w:hAnsi="Times New Roman" w:eastAsia="仿宋_GB2312"/>
          <w:kern w:val="2"/>
          <w:sz w:val="32"/>
          <w:szCs w:val="32"/>
          <w:lang w:val="zh-CN"/>
        </w:rPr>
        <w:t>76.95</w:t>
      </w:r>
      <w:r>
        <w:rPr>
          <w:rFonts w:ascii="Times New Roman" w:hAnsi="Times New Roman" w:eastAsia="仿宋_GB2312"/>
          <w:kern w:val="2"/>
          <w:sz w:val="32"/>
          <w:szCs w:val="32"/>
          <w:lang w:val="zh-CN"/>
        </w:rPr>
        <w:t>万元，政府性基金预算支出</w:t>
      </w:r>
      <w:r>
        <w:rPr>
          <w:rFonts w:hint="eastAsia" w:ascii="Times New Roman" w:hAnsi="Times New Roman" w:eastAsia="仿宋_GB2312"/>
          <w:kern w:val="2"/>
          <w:sz w:val="32"/>
          <w:szCs w:val="32"/>
          <w:lang w:val="zh-CN"/>
        </w:rPr>
        <w:t>0</w:t>
      </w:r>
      <w:r>
        <w:rPr>
          <w:rFonts w:ascii="Times New Roman" w:hAnsi="Times New Roman" w:eastAsia="仿宋_GB2312"/>
          <w:kern w:val="2"/>
          <w:sz w:val="32"/>
          <w:szCs w:val="32"/>
          <w:lang w:val="zh-CN"/>
        </w:rPr>
        <w:t>万元，国有资本经营预算支出</w:t>
      </w:r>
      <w:r>
        <w:rPr>
          <w:rFonts w:hint="eastAsia" w:ascii="Times New Roman" w:hAnsi="Times New Roman" w:eastAsia="仿宋_GB2312"/>
          <w:kern w:val="2"/>
          <w:sz w:val="32"/>
          <w:szCs w:val="32"/>
          <w:lang w:val="zh-CN"/>
        </w:rPr>
        <w:t>0</w:t>
      </w:r>
      <w:r>
        <w:rPr>
          <w:rFonts w:ascii="Times New Roman" w:hAnsi="Times New Roman" w:eastAsia="仿宋_GB2312"/>
          <w:kern w:val="2"/>
          <w:sz w:val="32"/>
          <w:szCs w:val="32"/>
          <w:lang w:val="zh-CN"/>
        </w:rPr>
        <w:t>万元。从评价情况来看，</w:t>
      </w:r>
      <w:r>
        <w:rPr>
          <w:rFonts w:hint="eastAsia" w:cs="DengXian-Regular" w:asciiTheme="majorEastAsia" w:hAnsiTheme="majorEastAsia" w:eastAsiaTheme="majorEastAsia"/>
          <w:sz w:val="32"/>
          <w:szCs w:val="32"/>
        </w:rPr>
        <w:t>评价结果为优秀的业务有4个。</w:t>
      </w:r>
    </w:p>
    <w:p>
      <w:pPr>
        <w:adjustRightInd w:val="0"/>
        <w:snapToGrid w:val="0"/>
        <w:spacing w:line="58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（二）部门决算中项目绩效自评结果</w:t>
      </w:r>
    </w:p>
    <w:p>
      <w:pPr>
        <w:pStyle w:val="10"/>
        <w:widowControl/>
        <w:spacing w:beforeAutospacing="0" w:afterAutospacing="0"/>
        <w:ind w:firstLine="660" w:firstLineChars="200"/>
        <w:rPr>
          <w:rFonts w:ascii="Times New Roman" w:hAnsi="Times New Roman" w:eastAsia="仿宋_GB2312"/>
          <w:kern w:val="2"/>
          <w:sz w:val="32"/>
          <w:szCs w:val="32"/>
          <w:lang w:val="zh-CN"/>
        </w:rPr>
      </w:pPr>
      <w:r>
        <w:rPr>
          <w:rFonts w:ascii="Times New Roman" w:hAnsi="Times New Roman" w:eastAsia="仿宋_GB2312"/>
          <w:color w:val="333333"/>
          <w:sz w:val="33"/>
          <w:szCs w:val="33"/>
          <w:shd w:val="clear" w:color="auto" w:fill="FFFFFF"/>
        </w:rPr>
        <w:t> </w:t>
      </w:r>
      <w:r>
        <w:rPr>
          <w:rFonts w:ascii="Times New Roman" w:hAnsi="Times New Roman" w:eastAsia="仿宋_GB2312"/>
          <w:kern w:val="2"/>
          <w:sz w:val="32"/>
          <w:szCs w:val="32"/>
          <w:lang w:val="zh-CN"/>
        </w:rPr>
        <w:t>本单位在今年部门决算公开中反映</w:t>
      </w:r>
      <w:r>
        <w:rPr>
          <w:rFonts w:ascii="方正仿宋_GBK" w:hAnsi="方正仿宋_GBK" w:eastAsia="方正仿宋_GBK" w:cs="方正仿宋_GBK"/>
          <w:color w:val="000000"/>
          <w:sz w:val="28"/>
        </w:rPr>
        <w:t>农村产权交易中心办公费及运营业务费</w:t>
      </w:r>
      <w:r>
        <w:rPr>
          <w:rFonts w:hint="eastAsia" w:ascii="方正仿宋_GBK" w:hAnsi="方正仿宋_GBK" w:eastAsia="方正仿宋_GBK" w:cs="方正仿宋_GBK"/>
          <w:color w:val="000000"/>
          <w:sz w:val="28"/>
        </w:rPr>
        <w:t>、</w:t>
      </w:r>
      <w:r>
        <w:rPr>
          <w:rFonts w:ascii="方正仿宋_GBK" w:hAnsi="方正仿宋_GBK" w:eastAsia="方正仿宋_GBK" w:cs="方正仿宋_GBK"/>
          <w:color w:val="000000"/>
          <w:sz w:val="28"/>
        </w:rPr>
        <w:t>社会化服务</w:t>
      </w:r>
      <w:r>
        <w:rPr>
          <w:rFonts w:hint="eastAsia" w:ascii="方正仿宋_GBK" w:hAnsi="方正仿宋_GBK" w:eastAsia="方正仿宋_GBK" w:cs="方正仿宋_GBK"/>
          <w:color w:val="000000"/>
          <w:sz w:val="28"/>
        </w:rPr>
        <w:t>、</w:t>
      </w:r>
      <w:r>
        <w:rPr>
          <w:rFonts w:ascii="方正仿宋_GBK" w:hAnsi="方正仿宋_GBK" w:eastAsia="方正仿宋_GBK" w:cs="方正仿宋_GBK"/>
          <w:color w:val="000000"/>
          <w:sz w:val="28"/>
        </w:rPr>
        <w:t>再生资源管理办公费及回收利用体系业务费</w:t>
      </w:r>
      <w:r>
        <w:rPr>
          <w:rFonts w:ascii="Times New Roman" w:hAnsi="Times New Roman" w:eastAsia="仿宋_GB2312"/>
          <w:kern w:val="2"/>
          <w:sz w:val="32"/>
          <w:szCs w:val="32"/>
          <w:lang w:val="zh-CN"/>
        </w:rPr>
        <w:t>项目及</w:t>
      </w:r>
      <w:r>
        <w:rPr>
          <w:rFonts w:ascii="方正仿宋_GBK" w:hAnsi="方正仿宋_GBK" w:eastAsia="方正仿宋_GBK" w:cs="方正仿宋_GBK"/>
          <w:color w:val="000000"/>
          <w:sz w:val="28"/>
        </w:rPr>
        <w:t>退休军人公益岗</w:t>
      </w:r>
      <w:r>
        <w:rPr>
          <w:rFonts w:ascii="Times New Roman" w:hAnsi="Times New Roman" w:eastAsia="仿宋_GB2312"/>
          <w:kern w:val="2"/>
          <w:sz w:val="32"/>
          <w:szCs w:val="32"/>
          <w:lang w:val="zh-CN"/>
        </w:rPr>
        <w:t>项目等</w:t>
      </w:r>
      <w:r>
        <w:rPr>
          <w:rFonts w:hint="eastAsia" w:ascii="Times New Roman" w:hAnsi="Times New Roman" w:eastAsia="仿宋_GB2312"/>
          <w:kern w:val="2"/>
          <w:sz w:val="32"/>
          <w:szCs w:val="32"/>
          <w:lang w:val="zh-CN"/>
        </w:rPr>
        <w:t>4</w:t>
      </w:r>
      <w:r>
        <w:rPr>
          <w:rFonts w:ascii="Times New Roman" w:hAnsi="Times New Roman" w:eastAsia="仿宋_GB2312"/>
          <w:kern w:val="2"/>
          <w:sz w:val="32"/>
          <w:szCs w:val="32"/>
          <w:lang w:val="zh-CN"/>
        </w:rPr>
        <w:t>个项目绩效自评结果。</w:t>
      </w:r>
    </w:p>
    <w:p>
      <w:pPr>
        <w:spacing w:line="560" w:lineRule="exact"/>
        <w:ind w:firstLine="645"/>
        <w:rPr>
          <w:rFonts w:ascii="Times New Roman" w:hAnsi="Times New Roman" w:eastAsia="仿宋_GB2312" w:cs="Times New Roman"/>
          <w:sz w:val="32"/>
          <w:szCs w:val="32"/>
        </w:rPr>
      </w:pPr>
      <w:r>
        <w:rPr>
          <w:rFonts w:ascii="方正仿宋_GBK" w:hAnsi="方正仿宋_GBK" w:eastAsia="方正仿宋_GBK" w:cs="方正仿宋_GBK"/>
          <w:color w:val="000000"/>
          <w:sz w:val="28"/>
        </w:rPr>
        <w:t>农村产权交易中心办公费及运营业务费</w:t>
      </w:r>
      <w:r>
        <w:rPr>
          <w:rFonts w:ascii="Times New Roman" w:hAnsi="Times New Roman" w:eastAsia="仿宋_GB2312"/>
          <w:kern w:val="2"/>
          <w:sz w:val="32"/>
          <w:szCs w:val="32"/>
          <w:lang w:val="zh-CN"/>
        </w:rPr>
        <w:t>项目绩效自评情况：根据年初设定的绩效目标，</w:t>
      </w:r>
      <w:r>
        <w:rPr>
          <w:rFonts w:ascii="方正仿宋_GBK" w:hAnsi="方正仿宋_GBK" w:eastAsia="方正仿宋_GBK" w:cs="方正仿宋_GBK"/>
          <w:color w:val="000000"/>
          <w:sz w:val="28"/>
        </w:rPr>
        <w:t>农村产权交易中心办公费及运营业务费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zh-CN"/>
        </w:rPr>
        <w:t>95</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zh-CN"/>
        </w:rPr>
        <w:t>10</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zh-CN"/>
        </w:rPr>
        <w:t>10</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zh-CN"/>
        </w:rPr>
        <w:t>100</w:t>
      </w:r>
      <w:r>
        <w:rPr>
          <w:rFonts w:ascii="Times New Roman" w:hAnsi="Times New Roman" w:eastAsia="仿宋_GB2312"/>
          <w:kern w:val="2"/>
          <w:sz w:val="32"/>
          <w:szCs w:val="32"/>
          <w:lang w:val="zh-CN"/>
        </w:rPr>
        <w:t>%。项目绩效目标完成情况：</w:t>
      </w:r>
      <w:r>
        <w:rPr>
          <w:rFonts w:hint="eastAsia" w:ascii="仿宋" w:hAnsi="仿宋" w:eastAsia="仿宋"/>
          <w:sz w:val="32"/>
          <w:szCs w:val="32"/>
        </w:rPr>
        <w:t>规范13个乡镇区农村产权交易服务中心，带动村级示范点数量5个；年度内办理土地流转备案完成数量占预期目标的比例100%；培训500人次、发放各种服务资料1000份以上；2023年交易备案及时办结率100%。</w:t>
      </w:r>
      <w:r>
        <w:rPr>
          <w:rFonts w:ascii="Times New Roman" w:hAnsi="Times New Roman" w:eastAsia="仿宋_GB2312"/>
          <w:sz w:val="32"/>
          <w:szCs w:val="32"/>
        </w:rPr>
        <w:t>通过项目实施，完成了年初设定的各项绩效目标，完成</w:t>
      </w:r>
      <w:r>
        <w:rPr>
          <w:rFonts w:hint="eastAsia" w:ascii="Times New Roman" w:hAnsi="Times New Roman" w:eastAsia="仿宋_GB2312"/>
          <w:sz w:val="32"/>
          <w:szCs w:val="32"/>
        </w:rPr>
        <w:t>100%，</w:t>
      </w:r>
      <w:r>
        <w:rPr>
          <w:rFonts w:ascii="Times New Roman" w:hAnsi="Times New Roman" w:eastAsia="仿宋_GB2312"/>
          <w:sz w:val="32"/>
          <w:szCs w:val="32"/>
        </w:rPr>
        <w:t>未发现问题。</w:t>
      </w:r>
      <w:r>
        <w:rPr>
          <w:rFonts w:ascii="Times New Roman" w:hAnsi="Times New Roman" w:eastAsia="仿宋_GB2312" w:cs="Times New Roman"/>
          <w:sz w:val="32"/>
          <w:szCs w:val="32"/>
        </w:rPr>
        <w:t>附项目支出绩效自评表</w:t>
      </w:r>
    </w:p>
    <w:tbl>
      <w:tblPr>
        <w:tblStyle w:val="11"/>
        <w:tblW w:w="7720" w:type="dxa"/>
        <w:tblInd w:w="89" w:type="dxa"/>
        <w:tblLayout w:type="autofit"/>
        <w:tblCellMar>
          <w:top w:w="0" w:type="dxa"/>
          <w:left w:w="108" w:type="dxa"/>
          <w:bottom w:w="0" w:type="dxa"/>
          <w:right w:w="108" w:type="dxa"/>
        </w:tblCellMar>
      </w:tblPr>
      <w:tblGrid>
        <w:gridCol w:w="862"/>
        <w:gridCol w:w="940"/>
        <w:gridCol w:w="788"/>
        <w:gridCol w:w="1010"/>
        <w:gridCol w:w="960"/>
        <w:gridCol w:w="1320"/>
        <w:gridCol w:w="1060"/>
        <w:gridCol w:w="780"/>
      </w:tblGrid>
      <w:tr>
        <w:tblPrEx>
          <w:tblCellMar>
            <w:top w:w="0" w:type="dxa"/>
            <w:left w:w="108" w:type="dxa"/>
            <w:bottom w:w="0" w:type="dxa"/>
            <w:right w:w="108" w:type="dxa"/>
          </w:tblCellMar>
        </w:tblPrEx>
        <w:trPr>
          <w:trHeight w:val="480" w:hRule="atLeast"/>
        </w:trPr>
        <w:tc>
          <w:tcPr>
            <w:tcW w:w="3600" w:type="dxa"/>
            <w:gridSpan w:val="4"/>
            <w:tcBorders>
              <w:top w:val="nil"/>
              <w:left w:val="nil"/>
              <w:bottom w:val="nil"/>
              <w:right w:val="nil"/>
            </w:tcBorders>
            <w:shd w:val="clear" w:color="auto" w:fill="auto"/>
            <w:noWrap/>
            <w:vAlign w:val="center"/>
          </w:tcPr>
          <w:p>
            <w:pPr>
              <w:widowControl/>
              <w:jc w:val="left"/>
              <w:rPr>
                <w:rFonts w:ascii="宋体" w:hAnsi="宋体" w:eastAsia="宋体"/>
                <w:color w:val="000000"/>
                <w:sz w:val="20"/>
                <w:szCs w:val="20"/>
              </w:rPr>
            </w:pPr>
          </w:p>
        </w:tc>
        <w:tc>
          <w:tcPr>
            <w:tcW w:w="960" w:type="dxa"/>
            <w:tcBorders>
              <w:top w:val="nil"/>
              <w:left w:val="nil"/>
              <w:bottom w:val="nil"/>
              <w:right w:val="nil"/>
            </w:tcBorders>
            <w:shd w:val="clear" w:color="auto" w:fill="auto"/>
            <w:noWrap/>
            <w:vAlign w:val="center"/>
          </w:tcPr>
          <w:p>
            <w:pPr>
              <w:widowControl/>
              <w:jc w:val="center"/>
              <w:rPr>
                <w:rFonts w:ascii="宋体" w:hAnsi="宋体" w:eastAsia="宋体"/>
                <w:color w:val="000000"/>
                <w:sz w:val="20"/>
                <w:szCs w:val="20"/>
              </w:rPr>
            </w:pPr>
          </w:p>
        </w:tc>
        <w:tc>
          <w:tcPr>
            <w:tcW w:w="1320" w:type="dxa"/>
            <w:tcBorders>
              <w:top w:val="nil"/>
              <w:left w:val="nil"/>
              <w:bottom w:val="nil"/>
              <w:right w:val="nil"/>
            </w:tcBorders>
            <w:shd w:val="clear" w:color="auto" w:fill="auto"/>
            <w:noWrap/>
            <w:vAlign w:val="center"/>
          </w:tcPr>
          <w:p>
            <w:pPr>
              <w:widowControl/>
              <w:jc w:val="center"/>
              <w:rPr>
                <w:rFonts w:ascii="宋体" w:hAnsi="宋体" w:eastAsia="宋体"/>
                <w:color w:val="000000"/>
                <w:sz w:val="20"/>
                <w:szCs w:val="20"/>
              </w:rPr>
            </w:pPr>
          </w:p>
        </w:tc>
        <w:tc>
          <w:tcPr>
            <w:tcW w:w="1840" w:type="dxa"/>
            <w:gridSpan w:val="2"/>
            <w:tcBorders>
              <w:top w:val="nil"/>
              <w:left w:val="nil"/>
              <w:bottom w:val="single" w:color="000000" w:sz="4" w:space="0"/>
              <w:right w:val="nil"/>
            </w:tcBorders>
            <w:shd w:val="clear" w:color="auto" w:fill="auto"/>
            <w:noWrap/>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金额单位：万元</w:t>
            </w:r>
          </w:p>
        </w:tc>
      </w:tr>
      <w:tr>
        <w:tblPrEx>
          <w:tblCellMar>
            <w:top w:w="0" w:type="dxa"/>
            <w:left w:w="108" w:type="dxa"/>
            <w:bottom w:w="0" w:type="dxa"/>
            <w:right w:w="108" w:type="dxa"/>
          </w:tblCellMar>
        </w:tblPrEx>
        <w:trPr>
          <w:trHeight w:val="480" w:hRule="atLeast"/>
        </w:trPr>
        <w:tc>
          <w:tcPr>
            <w:tcW w:w="684" w:type="dxa"/>
            <w:tcBorders>
              <w:top w:val="single" w:color="000000" w:sz="4" w:space="0"/>
              <w:left w:val="single" w:color="000000" w:sz="4" w:space="0"/>
              <w:bottom w:val="nil"/>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一、</w:t>
            </w:r>
            <w:r>
              <w:rPr>
                <w:rFonts w:ascii="Calibri" w:hAnsi="Calibri" w:eastAsia="宋体"/>
                <w:color w:val="000000"/>
                <w:sz w:val="20"/>
                <w:szCs w:val="20"/>
              </w:rPr>
              <w:t> </w:t>
            </w:r>
            <w:r>
              <w:rPr>
                <w:rFonts w:hint="eastAsia" w:ascii="宋体" w:hAnsi="宋体" w:eastAsia="宋体"/>
                <w:color w:val="000000"/>
                <w:sz w:val="20"/>
                <w:szCs w:val="20"/>
              </w:rPr>
              <w:t>基本情况</w:t>
            </w:r>
          </w:p>
        </w:tc>
        <w:tc>
          <w:tcPr>
            <w:tcW w:w="940"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项目名称</w:t>
            </w:r>
          </w:p>
        </w:tc>
        <w:tc>
          <w:tcPr>
            <w:tcW w:w="1976"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right"/>
              <w:rPr>
                <w:rFonts w:ascii="宋体" w:hAnsi="宋体" w:eastAsia="宋体"/>
                <w:color w:val="000000"/>
                <w:sz w:val="20"/>
                <w:szCs w:val="20"/>
              </w:rPr>
            </w:pPr>
            <w:r>
              <w:rPr>
                <w:rFonts w:hint="eastAsia" w:ascii="宋体" w:hAnsi="宋体" w:eastAsia="宋体"/>
                <w:color w:val="000000"/>
                <w:sz w:val="20"/>
                <w:szCs w:val="20"/>
              </w:rPr>
              <w:t>农村产权交易中心办公业务费</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实施</w:t>
            </w:r>
            <w:r>
              <w:rPr>
                <w:rFonts w:hint="eastAsia" w:ascii="宋体" w:hAnsi="宋体" w:eastAsia="宋体"/>
                <w:color w:val="000000"/>
                <w:sz w:val="20"/>
                <w:szCs w:val="20"/>
                <w:lang w:eastAsia="zh-CN"/>
              </w:rPr>
              <w:t>（</w:t>
            </w:r>
            <w:r>
              <w:rPr>
                <w:rFonts w:hint="eastAsia" w:ascii="宋体" w:hAnsi="宋体" w:eastAsia="宋体"/>
                <w:color w:val="000000"/>
                <w:sz w:val="20"/>
                <w:szCs w:val="20"/>
              </w:rPr>
              <w:t>主管）单位</w:t>
            </w:r>
          </w:p>
        </w:tc>
        <w:tc>
          <w:tcPr>
            <w:tcW w:w="3160"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鹿泉区供销合作总社</w:t>
            </w:r>
          </w:p>
        </w:tc>
      </w:tr>
      <w:tr>
        <w:tblPrEx>
          <w:tblCellMar>
            <w:top w:w="0" w:type="dxa"/>
            <w:left w:w="108" w:type="dxa"/>
            <w:bottom w:w="0" w:type="dxa"/>
            <w:right w:w="108" w:type="dxa"/>
          </w:tblCellMar>
        </w:tblPrEx>
        <w:trPr>
          <w:trHeight w:val="480"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二、预算执行情况</w:t>
            </w:r>
          </w:p>
        </w:tc>
        <w:tc>
          <w:tcPr>
            <w:tcW w:w="1883"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预算安排情况（调整后）</w:t>
            </w:r>
          </w:p>
        </w:tc>
        <w:tc>
          <w:tcPr>
            <w:tcW w:w="1993"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资金到位情况</w:t>
            </w:r>
          </w:p>
        </w:tc>
        <w:tc>
          <w:tcPr>
            <w:tcW w:w="2380"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资金执行情况</w:t>
            </w:r>
          </w:p>
        </w:tc>
        <w:tc>
          <w:tcPr>
            <w:tcW w:w="78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预算执行进度</w:t>
            </w:r>
          </w:p>
        </w:tc>
      </w:tr>
      <w:tr>
        <w:tblPrEx>
          <w:tblCellMar>
            <w:top w:w="0" w:type="dxa"/>
            <w:left w:w="108" w:type="dxa"/>
            <w:bottom w:w="0" w:type="dxa"/>
            <w:right w:w="108" w:type="dxa"/>
          </w:tblCellMar>
        </w:tblPrEx>
        <w:trPr>
          <w:trHeight w:val="480" w:hRule="atLeast"/>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c>
          <w:tcPr>
            <w:tcW w:w="94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预算数：</w:t>
            </w:r>
          </w:p>
        </w:tc>
        <w:tc>
          <w:tcPr>
            <w:tcW w:w="94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10</w:t>
            </w:r>
          </w:p>
        </w:tc>
        <w:tc>
          <w:tcPr>
            <w:tcW w:w="1033"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到位数：</w:t>
            </w:r>
          </w:p>
        </w:tc>
        <w:tc>
          <w:tcPr>
            <w:tcW w:w="96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5</w:t>
            </w:r>
          </w:p>
        </w:tc>
        <w:tc>
          <w:tcPr>
            <w:tcW w:w="132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执行数：</w:t>
            </w:r>
          </w:p>
        </w:tc>
        <w:tc>
          <w:tcPr>
            <w:tcW w:w="106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5</w:t>
            </w:r>
          </w:p>
        </w:tc>
        <w:tc>
          <w:tcPr>
            <w:tcW w:w="780"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100%</w:t>
            </w:r>
          </w:p>
        </w:tc>
      </w:tr>
      <w:tr>
        <w:tblPrEx>
          <w:tblCellMar>
            <w:top w:w="0" w:type="dxa"/>
            <w:left w:w="108" w:type="dxa"/>
            <w:bottom w:w="0" w:type="dxa"/>
            <w:right w:w="108" w:type="dxa"/>
          </w:tblCellMar>
        </w:tblPrEx>
        <w:trPr>
          <w:trHeight w:val="480" w:hRule="atLeast"/>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c>
          <w:tcPr>
            <w:tcW w:w="94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其中：                 财政资金</w:t>
            </w:r>
          </w:p>
        </w:tc>
        <w:tc>
          <w:tcPr>
            <w:tcW w:w="94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10</w:t>
            </w:r>
          </w:p>
        </w:tc>
        <w:tc>
          <w:tcPr>
            <w:tcW w:w="1033"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其中：                      财政资金</w:t>
            </w:r>
          </w:p>
        </w:tc>
        <w:tc>
          <w:tcPr>
            <w:tcW w:w="96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5</w:t>
            </w:r>
          </w:p>
        </w:tc>
        <w:tc>
          <w:tcPr>
            <w:tcW w:w="132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其中：                     财政资金</w:t>
            </w:r>
          </w:p>
        </w:tc>
        <w:tc>
          <w:tcPr>
            <w:tcW w:w="106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5</w:t>
            </w:r>
          </w:p>
        </w:tc>
        <w:tc>
          <w:tcPr>
            <w:tcW w:w="780"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r>
      <w:tr>
        <w:tblPrEx>
          <w:tblCellMar>
            <w:top w:w="0" w:type="dxa"/>
            <w:left w:w="108" w:type="dxa"/>
            <w:bottom w:w="0" w:type="dxa"/>
            <w:right w:w="108" w:type="dxa"/>
          </w:tblCellMar>
        </w:tblPrEx>
        <w:trPr>
          <w:trHeight w:val="480" w:hRule="atLeast"/>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c>
          <w:tcPr>
            <w:tcW w:w="94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其他</w:t>
            </w:r>
          </w:p>
        </w:tc>
        <w:tc>
          <w:tcPr>
            <w:tcW w:w="943" w:type="dxa"/>
            <w:tcBorders>
              <w:top w:val="nil"/>
              <w:left w:val="nil"/>
              <w:bottom w:val="single" w:color="000000" w:sz="4" w:space="0"/>
              <w:right w:val="single" w:color="000000" w:sz="4" w:space="0"/>
            </w:tcBorders>
            <w:shd w:val="clear" w:color="auto" w:fill="auto"/>
            <w:vAlign w:val="center"/>
          </w:tcPr>
          <w:p>
            <w:pPr>
              <w:widowControl/>
              <w:jc w:val="left"/>
              <w:rPr>
                <w:rFonts w:ascii="Calibri" w:hAnsi="Calibri" w:eastAsia="宋体"/>
                <w:color w:val="000000"/>
                <w:sz w:val="20"/>
                <w:szCs w:val="20"/>
              </w:rPr>
            </w:pPr>
            <w:r>
              <w:rPr>
                <w:rFonts w:ascii="Calibri" w:hAnsi="Calibri" w:eastAsia="宋体"/>
                <w:color w:val="000000"/>
                <w:sz w:val="20"/>
                <w:szCs w:val="20"/>
              </w:rPr>
              <w:t>　</w:t>
            </w:r>
          </w:p>
        </w:tc>
        <w:tc>
          <w:tcPr>
            <w:tcW w:w="1033"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其他</w:t>
            </w:r>
          </w:p>
        </w:tc>
        <w:tc>
          <w:tcPr>
            <w:tcW w:w="96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　</w:t>
            </w:r>
          </w:p>
        </w:tc>
        <w:tc>
          <w:tcPr>
            <w:tcW w:w="132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其他</w:t>
            </w:r>
          </w:p>
        </w:tc>
        <w:tc>
          <w:tcPr>
            <w:tcW w:w="106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　</w:t>
            </w:r>
          </w:p>
        </w:tc>
        <w:tc>
          <w:tcPr>
            <w:tcW w:w="780"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r>
      <w:tr>
        <w:tblPrEx>
          <w:tblCellMar>
            <w:top w:w="0" w:type="dxa"/>
            <w:left w:w="108" w:type="dxa"/>
            <w:bottom w:w="0" w:type="dxa"/>
            <w:right w:w="108" w:type="dxa"/>
          </w:tblCellMar>
        </w:tblPrEx>
        <w:trPr>
          <w:trHeight w:val="480" w:hRule="atLeast"/>
        </w:trPr>
        <w:tc>
          <w:tcPr>
            <w:tcW w:w="684"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三、目标完成情况</w:t>
            </w:r>
          </w:p>
        </w:tc>
        <w:tc>
          <w:tcPr>
            <w:tcW w:w="2916"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年度预期目标</w:t>
            </w:r>
          </w:p>
        </w:tc>
        <w:tc>
          <w:tcPr>
            <w:tcW w:w="3340"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具体完成情况</w:t>
            </w:r>
          </w:p>
        </w:tc>
        <w:tc>
          <w:tcPr>
            <w:tcW w:w="78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总体完成率</w:t>
            </w:r>
          </w:p>
        </w:tc>
      </w:tr>
      <w:tr>
        <w:tblPrEx>
          <w:tblCellMar>
            <w:top w:w="0" w:type="dxa"/>
            <w:left w:w="108" w:type="dxa"/>
            <w:bottom w:w="0" w:type="dxa"/>
            <w:right w:w="108" w:type="dxa"/>
          </w:tblCellMar>
        </w:tblPrEx>
        <w:trPr>
          <w:trHeight w:val="312" w:hRule="atLeast"/>
        </w:trPr>
        <w:tc>
          <w:tcPr>
            <w:tcW w:w="68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c>
          <w:tcPr>
            <w:tcW w:w="291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完善乡镇区农村产权交易服务站功能，建设村级示范站点，加强乡镇站点人员培训，发放农村产权交易资料，提供产权政策咨询、平台交易咨询等服务</w:t>
            </w:r>
          </w:p>
        </w:tc>
        <w:tc>
          <w:tcPr>
            <w:tcW w:w="334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完善乡镇区农村产权交易服务站功能，建设村级示范站点，加强乡镇站点人员培训500人次，发放农村产权交易资料1000份，提供产权政策咨询、平台交易咨询等服务</w:t>
            </w:r>
          </w:p>
        </w:tc>
        <w:tc>
          <w:tcPr>
            <w:tcW w:w="780"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100%</w:t>
            </w:r>
          </w:p>
        </w:tc>
      </w:tr>
      <w:tr>
        <w:tblPrEx>
          <w:tblCellMar>
            <w:top w:w="0" w:type="dxa"/>
            <w:left w:w="108" w:type="dxa"/>
            <w:bottom w:w="0" w:type="dxa"/>
            <w:right w:w="108" w:type="dxa"/>
          </w:tblCellMar>
        </w:tblPrEx>
        <w:trPr>
          <w:trHeight w:val="312" w:hRule="atLeast"/>
        </w:trPr>
        <w:tc>
          <w:tcPr>
            <w:tcW w:w="68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c>
          <w:tcPr>
            <w:tcW w:w="2916" w:type="dxa"/>
            <w:gridSpan w:val="3"/>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c>
          <w:tcPr>
            <w:tcW w:w="3340" w:type="dxa"/>
            <w:gridSpan w:val="3"/>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c>
          <w:tcPr>
            <w:tcW w:w="780"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r>
      <w:tr>
        <w:tblPrEx>
          <w:tblCellMar>
            <w:top w:w="0" w:type="dxa"/>
            <w:left w:w="108" w:type="dxa"/>
            <w:bottom w:w="0" w:type="dxa"/>
            <w:right w:w="108" w:type="dxa"/>
          </w:tblCellMar>
        </w:tblPrEx>
        <w:trPr>
          <w:trHeight w:val="735" w:hRule="atLeast"/>
        </w:trPr>
        <w:tc>
          <w:tcPr>
            <w:tcW w:w="68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c>
          <w:tcPr>
            <w:tcW w:w="2916" w:type="dxa"/>
            <w:gridSpan w:val="3"/>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c>
          <w:tcPr>
            <w:tcW w:w="3340" w:type="dxa"/>
            <w:gridSpan w:val="3"/>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c>
          <w:tcPr>
            <w:tcW w:w="780"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r>
      <w:tr>
        <w:tblPrEx>
          <w:tblCellMar>
            <w:top w:w="0" w:type="dxa"/>
            <w:left w:w="108" w:type="dxa"/>
            <w:bottom w:w="0" w:type="dxa"/>
            <w:right w:w="108" w:type="dxa"/>
          </w:tblCellMar>
        </w:tblPrEx>
        <w:trPr>
          <w:trHeight w:val="375" w:hRule="atLeast"/>
        </w:trPr>
        <w:tc>
          <w:tcPr>
            <w:tcW w:w="684" w:type="dxa"/>
            <w:vMerge w:val="restart"/>
            <w:tcBorders>
              <w:top w:val="nil"/>
              <w:left w:val="single" w:color="auto" w:sz="4" w:space="0"/>
              <w:bottom w:val="single" w:color="000000" w:sz="4" w:space="0"/>
              <w:right w:val="nil"/>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四、</w:t>
            </w:r>
            <w:r>
              <w:rPr>
                <w:rFonts w:ascii="Calibri" w:hAnsi="Calibri" w:eastAsia="宋体"/>
                <w:color w:val="000000"/>
                <w:sz w:val="20"/>
                <w:szCs w:val="20"/>
              </w:rPr>
              <w:t> </w:t>
            </w:r>
            <w:r>
              <w:rPr>
                <w:rFonts w:hint="eastAsia" w:ascii="宋体" w:hAnsi="宋体" w:eastAsia="宋体"/>
                <w:color w:val="000000"/>
                <w:sz w:val="20"/>
                <w:szCs w:val="20"/>
              </w:rPr>
              <w:t>年度绩效指标完成情况</w:t>
            </w:r>
          </w:p>
        </w:tc>
        <w:tc>
          <w:tcPr>
            <w:tcW w:w="940"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一级指标</w:t>
            </w:r>
          </w:p>
        </w:tc>
        <w:tc>
          <w:tcPr>
            <w:tcW w:w="94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二级指标</w:t>
            </w:r>
          </w:p>
        </w:tc>
        <w:tc>
          <w:tcPr>
            <w:tcW w:w="1993"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三级指标</w:t>
            </w:r>
          </w:p>
        </w:tc>
        <w:tc>
          <w:tcPr>
            <w:tcW w:w="132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预期指标值</w:t>
            </w:r>
          </w:p>
        </w:tc>
        <w:tc>
          <w:tcPr>
            <w:tcW w:w="106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实际完成值</w:t>
            </w:r>
          </w:p>
        </w:tc>
        <w:tc>
          <w:tcPr>
            <w:tcW w:w="78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自评得分</w:t>
            </w:r>
          </w:p>
        </w:tc>
      </w:tr>
      <w:tr>
        <w:tblPrEx>
          <w:tblCellMar>
            <w:top w:w="0" w:type="dxa"/>
            <w:left w:w="108" w:type="dxa"/>
            <w:bottom w:w="0" w:type="dxa"/>
            <w:right w:w="108" w:type="dxa"/>
          </w:tblCellMar>
        </w:tblPrEx>
        <w:trPr>
          <w:trHeight w:val="375" w:hRule="atLeast"/>
        </w:trPr>
        <w:tc>
          <w:tcPr>
            <w:tcW w:w="684" w:type="dxa"/>
            <w:vMerge w:val="continue"/>
            <w:tcBorders>
              <w:top w:val="nil"/>
              <w:left w:val="single" w:color="auto" w:sz="4" w:space="0"/>
              <w:bottom w:val="single" w:color="000000" w:sz="4" w:space="0"/>
              <w:right w:val="nil"/>
            </w:tcBorders>
            <w:vAlign w:val="center"/>
          </w:tcPr>
          <w:p>
            <w:pPr>
              <w:widowControl/>
              <w:jc w:val="left"/>
              <w:rPr>
                <w:rFonts w:ascii="宋体" w:hAnsi="宋体" w:eastAsia="宋体"/>
                <w:color w:val="000000"/>
                <w:sz w:val="20"/>
                <w:szCs w:val="20"/>
              </w:rPr>
            </w:pPr>
          </w:p>
        </w:tc>
        <w:tc>
          <w:tcPr>
            <w:tcW w:w="940" w:type="dxa"/>
            <w:vMerge w:val="restart"/>
            <w:tcBorders>
              <w:top w:val="nil"/>
              <w:left w:val="single" w:color="000000" w:sz="4" w:space="0"/>
              <w:bottom w:val="nil"/>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产出指标（40）</w:t>
            </w:r>
          </w:p>
        </w:tc>
        <w:tc>
          <w:tcPr>
            <w:tcW w:w="943" w:type="dxa"/>
            <w:vMerge w:val="restart"/>
            <w:tcBorders>
              <w:top w:val="nil"/>
              <w:left w:val="single" w:color="000000" w:sz="4" w:space="0"/>
              <w:bottom w:val="nil"/>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数量指标</w:t>
            </w:r>
          </w:p>
        </w:tc>
        <w:tc>
          <w:tcPr>
            <w:tcW w:w="1993"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培训乡镇村人数</w:t>
            </w:r>
          </w:p>
        </w:tc>
        <w:tc>
          <w:tcPr>
            <w:tcW w:w="132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18"/>
                <w:szCs w:val="18"/>
              </w:rPr>
            </w:pPr>
            <w:r>
              <w:rPr>
                <w:rFonts w:hint="eastAsia" w:ascii="宋体" w:hAnsi="宋体" w:eastAsia="宋体"/>
                <w:color w:val="000000"/>
                <w:sz w:val="18"/>
                <w:szCs w:val="18"/>
              </w:rPr>
              <w:t>500人次</w:t>
            </w:r>
          </w:p>
        </w:tc>
        <w:tc>
          <w:tcPr>
            <w:tcW w:w="106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18"/>
                <w:szCs w:val="18"/>
              </w:rPr>
            </w:pPr>
            <w:r>
              <w:rPr>
                <w:rFonts w:hint="eastAsia" w:ascii="宋体" w:hAnsi="宋体" w:eastAsia="宋体"/>
                <w:color w:val="000000"/>
                <w:sz w:val="18"/>
                <w:szCs w:val="18"/>
              </w:rPr>
              <w:t>500人次</w:t>
            </w:r>
          </w:p>
        </w:tc>
        <w:tc>
          <w:tcPr>
            <w:tcW w:w="78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5</w:t>
            </w:r>
          </w:p>
        </w:tc>
      </w:tr>
      <w:tr>
        <w:tblPrEx>
          <w:tblCellMar>
            <w:top w:w="0" w:type="dxa"/>
            <w:left w:w="108" w:type="dxa"/>
            <w:bottom w:w="0" w:type="dxa"/>
            <w:right w:w="108" w:type="dxa"/>
          </w:tblCellMar>
        </w:tblPrEx>
        <w:trPr>
          <w:trHeight w:val="375" w:hRule="atLeast"/>
        </w:trPr>
        <w:tc>
          <w:tcPr>
            <w:tcW w:w="684" w:type="dxa"/>
            <w:vMerge w:val="continue"/>
            <w:tcBorders>
              <w:top w:val="nil"/>
              <w:left w:val="single" w:color="auto" w:sz="4" w:space="0"/>
              <w:bottom w:val="single" w:color="000000" w:sz="4" w:space="0"/>
              <w:right w:val="nil"/>
            </w:tcBorders>
            <w:vAlign w:val="center"/>
          </w:tcPr>
          <w:p>
            <w:pPr>
              <w:widowControl/>
              <w:jc w:val="left"/>
              <w:rPr>
                <w:rFonts w:ascii="宋体" w:hAnsi="宋体" w:eastAsia="宋体"/>
                <w:color w:val="000000"/>
                <w:sz w:val="20"/>
                <w:szCs w:val="20"/>
              </w:rPr>
            </w:pPr>
          </w:p>
        </w:tc>
        <w:tc>
          <w:tcPr>
            <w:tcW w:w="940" w:type="dxa"/>
            <w:vMerge w:val="continue"/>
            <w:tcBorders>
              <w:top w:val="nil"/>
              <w:left w:val="single" w:color="000000" w:sz="4" w:space="0"/>
              <w:bottom w:val="nil"/>
              <w:right w:val="single" w:color="000000" w:sz="4" w:space="0"/>
            </w:tcBorders>
            <w:vAlign w:val="center"/>
          </w:tcPr>
          <w:p>
            <w:pPr>
              <w:widowControl/>
              <w:jc w:val="left"/>
              <w:rPr>
                <w:rFonts w:ascii="宋体" w:hAnsi="宋体" w:eastAsia="宋体"/>
                <w:color w:val="000000"/>
                <w:sz w:val="20"/>
                <w:szCs w:val="20"/>
              </w:rPr>
            </w:pPr>
          </w:p>
        </w:tc>
        <w:tc>
          <w:tcPr>
            <w:tcW w:w="943" w:type="dxa"/>
            <w:vMerge w:val="continue"/>
            <w:tcBorders>
              <w:top w:val="nil"/>
              <w:left w:val="single" w:color="000000" w:sz="4" w:space="0"/>
              <w:bottom w:val="nil"/>
              <w:right w:val="single" w:color="000000" w:sz="4" w:space="0"/>
            </w:tcBorders>
            <w:vAlign w:val="center"/>
          </w:tcPr>
          <w:p>
            <w:pPr>
              <w:widowControl/>
              <w:jc w:val="left"/>
              <w:rPr>
                <w:rFonts w:ascii="宋体" w:hAnsi="宋体" w:eastAsia="宋体"/>
                <w:color w:val="000000"/>
                <w:sz w:val="20"/>
                <w:szCs w:val="20"/>
              </w:rPr>
            </w:pPr>
          </w:p>
        </w:tc>
        <w:tc>
          <w:tcPr>
            <w:tcW w:w="1993"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发放农村产权宣传资料数量</w:t>
            </w:r>
          </w:p>
        </w:tc>
        <w:tc>
          <w:tcPr>
            <w:tcW w:w="132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1000</w:t>
            </w:r>
            <w:r>
              <w:rPr>
                <w:rFonts w:hint="eastAsia" w:ascii="宋体" w:hAnsi="宋体" w:eastAsia="宋体"/>
                <w:color w:val="000000"/>
                <w:sz w:val="20"/>
                <w:szCs w:val="20"/>
              </w:rPr>
              <w:t>份</w:t>
            </w:r>
          </w:p>
        </w:tc>
        <w:tc>
          <w:tcPr>
            <w:tcW w:w="106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1000</w:t>
            </w:r>
            <w:r>
              <w:rPr>
                <w:rFonts w:hint="eastAsia" w:ascii="宋体" w:hAnsi="宋体" w:eastAsia="宋体"/>
                <w:color w:val="000000"/>
                <w:sz w:val="20"/>
                <w:szCs w:val="20"/>
              </w:rPr>
              <w:t>份</w:t>
            </w:r>
          </w:p>
        </w:tc>
        <w:tc>
          <w:tcPr>
            <w:tcW w:w="78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5</w:t>
            </w:r>
          </w:p>
        </w:tc>
      </w:tr>
      <w:tr>
        <w:tblPrEx>
          <w:tblCellMar>
            <w:top w:w="0" w:type="dxa"/>
            <w:left w:w="108" w:type="dxa"/>
            <w:bottom w:w="0" w:type="dxa"/>
            <w:right w:w="108" w:type="dxa"/>
          </w:tblCellMar>
        </w:tblPrEx>
        <w:trPr>
          <w:trHeight w:val="375" w:hRule="atLeast"/>
        </w:trPr>
        <w:tc>
          <w:tcPr>
            <w:tcW w:w="684" w:type="dxa"/>
            <w:vMerge w:val="continue"/>
            <w:tcBorders>
              <w:top w:val="nil"/>
              <w:left w:val="single" w:color="auto" w:sz="4" w:space="0"/>
              <w:bottom w:val="single" w:color="000000" w:sz="4" w:space="0"/>
              <w:right w:val="nil"/>
            </w:tcBorders>
            <w:vAlign w:val="center"/>
          </w:tcPr>
          <w:p>
            <w:pPr>
              <w:widowControl/>
              <w:jc w:val="left"/>
              <w:rPr>
                <w:rFonts w:ascii="宋体" w:hAnsi="宋体" w:eastAsia="宋体"/>
                <w:color w:val="000000"/>
                <w:sz w:val="20"/>
                <w:szCs w:val="20"/>
              </w:rPr>
            </w:pPr>
          </w:p>
        </w:tc>
        <w:tc>
          <w:tcPr>
            <w:tcW w:w="940" w:type="dxa"/>
            <w:vMerge w:val="continue"/>
            <w:tcBorders>
              <w:top w:val="nil"/>
              <w:left w:val="single" w:color="000000" w:sz="4" w:space="0"/>
              <w:bottom w:val="nil"/>
              <w:right w:val="single" w:color="000000" w:sz="4" w:space="0"/>
            </w:tcBorders>
            <w:vAlign w:val="center"/>
          </w:tcPr>
          <w:p>
            <w:pPr>
              <w:widowControl/>
              <w:jc w:val="left"/>
              <w:rPr>
                <w:rFonts w:ascii="宋体" w:hAnsi="宋体" w:eastAsia="宋体"/>
                <w:color w:val="000000"/>
                <w:sz w:val="20"/>
                <w:szCs w:val="20"/>
              </w:rPr>
            </w:pPr>
          </w:p>
        </w:tc>
        <w:tc>
          <w:tcPr>
            <w:tcW w:w="943"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质量指标</w:t>
            </w:r>
          </w:p>
        </w:tc>
        <w:tc>
          <w:tcPr>
            <w:tcW w:w="1993"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土地流转备案完成率</w:t>
            </w:r>
          </w:p>
        </w:tc>
        <w:tc>
          <w:tcPr>
            <w:tcW w:w="132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100%</w:t>
            </w:r>
          </w:p>
        </w:tc>
        <w:tc>
          <w:tcPr>
            <w:tcW w:w="106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100%</w:t>
            </w:r>
          </w:p>
        </w:tc>
        <w:tc>
          <w:tcPr>
            <w:tcW w:w="78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10</w:t>
            </w:r>
          </w:p>
        </w:tc>
      </w:tr>
      <w:tr>
        <w:tblPrEx>
          <w:tblCellMar>
            <w:top w:w="0" w:type="dxa"/>
            <w:left w:w="108" w:type="dxa"/>
            <w:bottom w:w="0" w:type="dxa"/>
            <w:right w:w="108" w:type="dxa"/>
          </w:tblCellMar>
        </w:tblPrEx>
        <w:trPr>
          <w:trHeight w:val="375" w:hRule="atLeast"/>
        </w:trPr>
        <w:tc>
          <w:tcPr>
            <w:tcW w:w="684" w:type="dxa"/>
            <w:vMerge w:val="continue"/>
            <w:tcBorders>
              <w:top w:val="nil"/>
              <w:left w:val="single" w:color="auto" w:sz="4" w:space="0"/>
              <w:bottom w:val="single" w:color="000000" w:sz="4" w:space="0"/>
              <w:right w:val="nil"/>
            </w:tcBorders>
            <w:vAlign w:val="center"/>
          </w:tcPr>
          <w:p>
            <w:pPr>
              <w:widowControl/>
              <w:jc w:val="left"/>
              <w:rPr>
                <w:rFonts w:ascii="宋体" w:hAnsi="宋体" w:eastAsia="宋体"/>
                <w:color w:val="000000"/>
                <w:sz w:val="20"/>
                <w:szCs w:val="20"/>
              </w:rPr>
            </w:pPr>
          </w:p>
        </w:tc>
        <w:tc>
          <w:tcPr>
            <w:tcW w:w="940" w:type="dxa"/>
            <w:vMerge w:val="continue"/>
            <w:tcBorders>
              <w:top w:val="nil"/>
              <w:left w:val="single" w:color="000000" w:sz="4" w:space="0"/>
              <w:bottom w:val="nil"/>
              <w:right w:val="single" w:color="000000" w:sz="4" w:space="0"/>
            </w:tcBorders>
            <w:vAlign w:val="center"/>
          </w:tcPr>
          <w:p>
            <w:pPr>
              <w:widowControl/>
              <w:jc w:val="left"/>
              <w:rPr>
                <w:rFonts w:ascii="宋体" w:hAnsi="宋体" w:eastAsia="宋体"/>
                <w:color w:val="000000"/>
                <w:sz w:val="20"/>
                <w:szCs w:val="20"/>
              </w:rPr>
            </w:pPr>
          </w:p>
        </w:tc>
        <w:tc>
          <w:tcPr>
            <w:tcW w:w="94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时效指标</w:t>
            </w:r>
          </w:p>
        </w:tc>
        <w:tc>
          <w:tcPr>
            <w:tcW w:w="1993"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交易流转备案办结及时率</w:t>
            </w:r>
          </w:p>
        </w:tc>
        <w:tc>
          <w:tcPr>
            <w:tcW w:w="132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100%</w:t>
            </w:r>
          </w:p>
        </w:tc>
        <w:tc>
          <w:tcPr>
            <w:tcW w:w="106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100%</w:t>
            </w:r>
          </w:p>
        </w:tc>
        <w:tc>
          <w:tcPr>
            <w:tcW w:w="78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10</w:t>
            </w:r>
          </w:p>
        </w:tc>
      </w:tr>
      <w:tr>
        <w:tblPrEx>
          <w:tblCellMar>
            <w:top w:w="0" w:type="dxa"/>
            <w:left w:w="108" w:type="dxa"/>
            <w:bottom w:w="0" w:type="dxa"/>
            <w:right w:w="108" w:type="dxa"/>
          </w:tblCellMar>
        </w:tblPrEx>
        <w:trPr>
          <w:trHeight w:val="375" w:hRule="atLeast"/>
        </w:trPr>
        <w:tc>
          <w:tcPr>
            <w:tcW w:w="684" w:type="dxa"/>
            <w:vMerge w:val="continue"/>
            <w:tcBorders>
              <w:top w:val="nil"/>
              <w:left w:val="single" w:color="auto" w:sz="4" w:space="0"/>
              <w:bottom w:val="single" w:color="000000" w:sz="4" w:space="0"/>
              <w:right w:val="nil"/>
            </w:tcBorders>
            <w:vAlign w:val="center"/>
          </w:tcPr>
          <w:p>
            <w:pPr>
              <w:widowControl/>
              <w:jc w:val="left"/>
              <w:rPr>
                <w:rFonts w:ascii="宋体" w:hAnsi="宋体" w:eastAsia="宋体"/>
                <w:color w:val="000000"/>
                <w:sz w:val="20"/>
                <w:szCs w:val="20"/>
              </w:rPr>
            </w:pPr>
          </w:p>
        </w:tc>
        <w:tc>
          <w:tcPr>
            <w:tcW w:w="940" w:type="dxa"/>
            <w:vMerge w:val="continue"/>
            <w:tcBorders>
              <w:top w:val="nil"/>
              <w:left w:val="single" w:color="000000" w:sz="4" w:space="0"/>
              <w:bottom w:val="nil"/>
              <w:right w:val="single" w:color="000000" w:sz="4" w:space="0"/>
            </w:tcBorders>
            <w:vAlign w:val="center"/>
          </w:tcPr>
          <w:p>
            <w:pPr>
              <w:widowControl/>
              <w:jc w:val="left"/>
              <w:rPr>
                <w:rFonts w:ascii="宋体" w:hAnsi="宋体" w:eastAsia="宋体"/>
                <w:color w:val="000000"/>
                <w:sz w:val="20"/>
                <w:szCs w:val="20"/>
              </w:rPr>
            </w:pPr>
          </w:p>
        </w:tc>
        <w:tc>
          <w:tcPr>
            <w:tcW w:w="94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成本指标</w:t>
            </w:r>
          </w:p>
        </w:tc>
        <w:tc>
          <w:tcPr>
            <w:tcW w:w="1993"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培训的人均标准</w:t>
            </w:r>
          </w:p>
        </w:tc>
        <w:tc>
          <w:tcPr>
            <w:tcW w:w="132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20%</w:t>
            </w:r>
          </w:p>
        </w:tc>
        <w:tc>
          <w:tcPr>
            <w:tcW w:w="106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20%</w:t>
            </w:r>
          </w:p>
        </w:tc>
        <w:tc>
          <w:tcPr>
            <w:tcW w:w="78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10</w:t>
            </w:r>
          </w:p>
        </w:tc>
      </w:tr>
      <w:tr>
        <w:tblPrEx>
          <w:tblCellMar>
            <w:top w:w="0" w:type="dxa"/>
            <w:left w:w="108" w:type="dxa"/>
            <w:bottom w:w="0" w:type="dxa"/>
            <w:right w:w="108" w:type="dxa"/>
          </w:tblCellMar>
        </w:tblPrEx>
        <w:trPr>
          <w:trHeight w:val="975" w:hRule="atLeast"/>
        </w:trPr>
        <w:tc>
          <w:tcPr>
            <w:tcW w:w="684" w:type="dxa"/>
            <w:vMerge w:val="continue"/>
            <w:tcBorders>
              <w:top w:val="nil"/>
              <w:left w:val="single" w:color="auto" w:sz="4" w:space="0"/>
              <w:bottom w:val="single" w:color="000000" w:sz="4" w:space="0"/>
              <w:right w:val="nil"/>
            </w:tcBorders>
            <w:vAlign w:val="center"/>
          </w:tcPr>
          <w:p>
            <w:pPr>
              <w:widowControl/>
              <w:jc w:val="left"/>
              <w:rPr>
                <w:rFonts w:ascii="宋体" w:hAnsi="宋体" w:eastAsia="宋体"/>
                <w:color w:val="000000"/>
                <w:sz w:val="20"/>
                <w:szCs w:val="20"/>
              </w:rPr>
            </w:pPr>
          </w:p>
        </w:tc>
        <w:tc>
          <w:tcPr>
            <w:tcW w:w="9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预算执行率指标</w:t>
            </w:r>
            <w:r>
              <w:rPr>
                <w:rFonts w:hint="eastAsia" w:ascii="宋体" w:hAnsi="宋体" w:eastAsia="宋体"/>
                <w:color w:val="000000"/>
                <w:sz w:val="20"/>
                <w:szCs w:val="20"/>
              </w:rPr>
              <w:br w:type="textWrapping"/>
            </w:r>
            <w:r>
              <w:rPr>
                <w:rFonts w:hint="eastAsia" w:ascii="宋体" w:hAnsi="宋体" w:eastAsia="宋体"/>
                <w:color w:val="000000"/>
                <w:sz w:val="20"/>
                <w:szCs w:val="20"/>
              </w:rPr>
              <w:t>（10分）</w:t>
            </w:r>
          </w:p>
        </w:tc>
        <w:tc>
          <w:tcPr>
            <w:tcW w:w="94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预算执行率</w:t>
            </w:r>
          </w:p>
        </w:tc>
        <w:tc>
          <w:tcPr>
            <w:tcW w:w="1993"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执行数占预算数的比例</w:t>
            </w:r>
          </w:p>
        </w:tc>
        <w:tc>
          <w:tcPr>
            <w:tcW w:w="132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100%</w:t>
            </w:r>
          </w:p>
        </w:tc>
        <w:tc>
          <w:tcPr>
            <w:tcW w:w="106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86.56%</w:t>
            </w:r>
          </w:p>
        </w:tc>
        <w:tc>
          <w:tcPr>
            <w:tcW w:w="78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10</w:t>
            </w:r>
          </w:p>
        </w:tc>
      </w:tr>
      <w:tr>
        <w:tblPrEx>
          <w:tblCellMar>
            <w:top w:w="0" w:type="dxa"/>
            <w:left w:w="108" w:type="dxa"/>
            <w:bottom w:w="0" w:type="dxa"/>
            <w:right w:w="108" w:type="dxa"/>
          </w:tblCellMar>
        </w:tblPrEx>
        <w:trPr>
          <w:trHeight w:val="540" w:hRule="atLeast"/>
        </w:trPr>
        <w:tc>
          <w:tcPr>
            <w:tcW w:w="684" w:type="dxa"/>
            <w:vMerge w:val="continue"/>
            <w:tcBorders>
              <w:top w:val="nil"/>
              <w:left w:val="single" w:color="auto" w:sz="4" w:space="0"/>
              <w:bottom w:val="single" w:color="000000" w:sz="4" w:space="0"/>
              <w:right w:val="nil"/>
            </w:tcBorders>
            <w:vAlign w:val="center"/>
          </w:tcPr>
          <w:p>
            <w:pPr>
              <w:widowControl/>
              <w:jc w:val="left"/>
              <w:rPr>
                <w:rFonts w:ascii="宋体" w:hAnsi="宋体" w:eastAsia="宋体"/>
                <w:color w:val="000000"/>
                <w:sz w:val="20"/>
                <w:szCs w:val="20"/>
              </w:rPr>
            </w:pPr>
          </w:p>
        </w:tc>
        <w:tc>
          <w:tcPr>
            <w:tcW w:w="940" w:type="dxa"/>
            <w:vMerge w:val="restart"/>
            <w:tcBorders>
              <w:top w:val="nil"/>
              <w:left w:val="single" w:color="000000" w:sz="4" w:space="0"/>
              <w:bottom w:val="nil"/>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效益指标（40）</w:t>
            </w:r>
          </w:p>
        </w:tc>
        <w:tc>
          <w:tcPr>
            <w:tcW w:w="94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经济效益指标</w:t>
            </w:r>
          </w:p>
        </w:tc>
        <w:tc>
          <w:tcPr>
            <w:tcW w:w="1993"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实际交易备案数量占申请登记交易备案数量的比例</w:t>
            </w:r>
          </w:p>
        </w:tc>
        <w:tc>
          <w:tcPr>
            <w:tcW w:w="132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100%</w:t>
            </w:r>
          </w:p>
        </w:tc>
        <w:tc>
          <w:tcPr>
            <w:tcW w:w="106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100%</w:t>
            </w:r>
          </w:p>
        </w:tc>
        <w:tc>
          <w:tcPr>
            <w:tcW w:w="78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10</w:t>
            </w:r>
          </w:p>
        </w:tc>
      </w:tr>
      <w:tr>
        <w:tblPrEx>
          <w:tblCellMar>
            <w:top w:w="0" w:type="dxa"/>
            <w:left w:w="108" w:type="dxa"/>
            <w:bottom w:w="0" w:type="dxa"/>
            <w:right w:w="108" w:type="dxa"/>
          </w:tblCellMar>
        </w:tblPrEx>
        <w:trPr>
          <w:trHeight w:val="540" w:hRule="atLeast"/>
        </w:trPr>
        <w:tc>
          <w:tcPr>
            <w:tcW w:w="684" w:type="dxa"/>
            <w:vMerge w:val="continue"/>
            <w:tcBorders>
              <w:top w:val="nil"/>
              <w:left w:val="single" w:color="auto" w:sz="4" w:space="0"/>
              <w:bottom w:val="single" w:color="000000" w:sz="4" w:space="0"/>
              <w:right w:val="nil"/>
            </w:tcBorders>
            <w:vAlign w:val="center"/>
          </w:tcPr>
          <w:p>
            <w:pPr>
              <w:widowControl/>
              <w:jc w:val="left"/>
              <w:rPr>
                <w:rFonts w:ascii="宋体" w:hAnsi="宋体" w:eastAsia="宋体"/>
                <w:color w:val="000000"/>
                <w:sz w:val="20"/>
                <w:szCs w:val="20"/>
              </w:rPr>
            </w:pPr>
          </w:p>
        </w:tc>
        <w:tc>
          <w:tcPr>
            <w:tcW w:w="940" w:type="dxa"/>
            <w:vMerge w:val="continue"/>
            <w:tcBorders>
              <w:top w:val="nil"/>
              <w:left w:val="single" w:color="000000" w:sz="4" w:space="0"/>
              <w:bottom w:val="nil"/>
              <w:right w:val="single" w:color="000000" w:sz="4" w:space="0"/>
            </w:tcBorders>
            <w:vAlign w:val="center"/>
          </w:tcPr>
          <w:p>
            <w:pPr>
              <w:widowControl/>
              <w:jc w:val="left"/>
              <w:rPr>
                <w:rFonts w:ascii="宋体" w:hAnsi="宋体" w:eastAsia="宋体"/>
                <w:color w:val="000000"/>
                <w:sz w:val="20"/>
                <w:szCs w:val="20"/>
              </w:rPr>
            </w:pPr>
          </w:p>
        </w:tc>
        <w:tc>
          <w:tcPr>
            <w:tcW w:w="94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社会效益指标</w:t>
            </w:r>
          </w:p>
        </w:tc>
        <w:tc>
          <w:tcPr>
            <w:tcW w:w="1993"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年度内交易备案的数量占上年交易备案的比例</w:t>
            </w:r>
          </w:p>
        </w:tc>
        <w:tc>
          <w:tcPr>
            <w:tcW w:w="132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10%</w:t>
            </w:r>
          </w:p>
        </w:tc>
        <w:tc>
          <w:tcPr>
            <w:tcW w:w="106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10%</w:t>
            </w:r>
          </w:p>
        </w:tc>
        <w:tc>
          <w:tcPr>
            <w:tcW w:w="78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17</w:t>
            </w:r>
          </w:p>
        </w:tc>
      </w:tr>
      <w:tr>
        <w:tblPrEx>
          <w:tblCellMar>
            <w:top w:w="0" w:type="dxa"/>
            <w:left w:w="108" w:type="dxa"/>
            <w:bottom w:w="0" w:type="dxa"/>
            <w:right w:w="108" w:type="dxa"/>
          </w:tblCellMar>
        </w:tblPrEx>
        <w:trPr>
          <w:trHeight w:val="540" w:hRule="atLeast"/>
        </w:trPr>
        <w:tc>
          <w:tcPr>
            <w:tcW w:w="684" w:type="dxa"/>
            <w:vMerge w:val="continue"/>
            <w:tcBorders>
              <w:top w:val="nil"/>
              <w:left w:val="single" w:color="auto" w:sz="4" w:space="0"/>
              <w:bottom w:val="single" w:color="000000" w:sz="4" w:space="0"/>
              <w:right w:val="nil"/>
            </w:tcBorders>
            <w:vAlign w:val="center"/>
          </w:tcPr>
          <w:p>
            <w:pPr>
              <w:widowControl/>
              <w:jc w:val="left"/>
              <w:rPr>
                <w:rFonts w:ascii="宋体" w:hAnsi="宋体" w:eastAsia="宋体"/>
                <w:color w:val="000000"/>
                <w:sz w:val="20"/>
                <w:szCs w:val="20"/>
              </w:rPr>
            </w:pPr>
          </w:p>
        </w:tc>
        <w:tc>
          <w:tcPr>
            <w:tcW w:w="940" w:type="dxa"/>
            <w:vMerge w:val="continue"/>
            <w:tcBorders>
              <w:top w:val="nil"/>
              <w:left w:val="single" w:color="000000" w:sz="4" w:space="0"/>
              <w:bottom w:val="nil"/>
              <w:right w:val="single" w:color="000000" w:sz="4" w:space="0"/>
            </w:tcBorders>
            <w:vAlign w:val="center"/>
          </w:tcPr>
          <w:p>
            <w:pPr>
              <w:widowControl/>
              <w:jc w:val="left"/>
              <w:rPr>
                <w:rFonts w:ascii="宋体" w:hAnsi="宋体" w:eastAsia="宋体"/>
                <w:color w:val="000000"/>
                <w:sz w:val="20"/>
                <w:szCs w:val="20"/>
              </w:rPr>
            </w:pPr>
          </w:p>
        </w:tc>
        <w:tc>
          <w:tcPr>
            <w:tcW w:w="94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可持续影响指标</w:t>
            </w:r>
          </w:p>
        </w:tc>
        <w:tc>
          <w:tcPr>
            <w:tcW w:w="1993"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带动村级示范点增长量</w:t>
            </w:r>
          </w:p>
        </w:tc>
        <w:tc>
          <w:tcPr>
            <w:tcW w:w="132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5</w:t>
            </w:r>
            <w:r>
              <w:rPr>
                <w:rFonts w:hint="eastAsia" w:ascii="宋体" w:hAnsi="宋体" w:eastAsia="宋体"/>
                <w:color w:val="000000"/>
                <w:sz w:val="20"/>
                <w:szCs w:val="20"/>
              </w:rPr>
              <w:t>个</w:t>
            </w:r>
          </w:p>
        </w:tc>
        <w:tc>
          <w:tcPr>
            <w:tcW w:w="106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5</w:t>
            </w:r>
            <w:r>
              <w:rPr>
                <w:rFonts w:hint="eastAsia" w:ascii="宋体" w:hAnsi="宋体" w:eastAsia="宋体"/>
                <w:color w:val="000000"/>
                <w:sz w:val="20"/>
                <w:szCs w:val="20"/>
              </w:rPr>
              <w:t>个</w:t>
            </w:r>
          </w:p>
        </w:tc>
        <w:tc>
          <w:tcPr>
            <w:tcW w:w="78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10</w:t>
            </w:r>
          </w:p>
        </w:tc>
      </w:tr>
      <w:tr>
        <w:tblPrEx>
          <w:tblCellMar>
            <w:top w:w="0" w:type="dxa"/>
            <w:left w:w="108" w:type="dxa"/>
            <w:bottom w:w="0" w:type="dxa"/>
            <w:right w:w="108" w:type="dxa"/>
          </w:tblCellMar>
        </w:tblPrEx>
        <w:trPr>
          <w:trHeight w:val="540" w:hRule="atLeast"/>
        </w:trPr>
        <w:tc>
          <w:tcPr>
            <w:tcW w:w="684" w:type="dxa"/>
            <w:vMerge w:val="continue"/>
            <w:tcBorders>
              <w:top w:val="nil"/>
              <w:left w:val="single" w:color="auto" w:sz="4" w:space="0"/>
              <w:bottom w:val="single" w:color="000000" w:sz="4" w:space="0"/>
              <w:right w:val="nil"/>
            </w:tcBorders>
            <w:vAlign w:val="center"/>
          </w:tcPr>
          <w:p>
            <w:pPr>
              <w:widowControl/>
              <w:jc w:val="left"/>
              <w:rPr>
                <w:rFonts w:ascii="宋体" w:hAnsi="宋体" w:eastAsia="宋体"/>
                <w:color w:val="000000"/>
                <w:sz w:val="20"/>
                <w:szCs w:val="20"/>
              </w:rPr>
            </w:pPr>
          </w:p>
        </w:tc>
        <w:tc>
          <w:tcPr>
            <w:tcW w:w="9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满意度指标</w:t>
            </w:r>
            <w:r>
              <w:rPr>
                <w:rFonts w:hint="eastAsia" w:ascii="宋体" w:hAnsi="宋体" w:eastAsia="宋体"/>
                <w:color w:val="000000"/>
                <w:sz w:val="20"/>
                <w:szCs w:val="20"/>
              </w:rPr>
              <w:br w:type="textWrapping"/>
            </w:r>
            <w:r>
              <w:rPr>
                <w:rFonts w:hint="eastAsia" w:ascii="宋体" w:hAnsi="宋体" w:eastAsia="宋体"/>
                <w:color w:val="000000"/>
                <w:sz w:val="20"/>
                <w:szCs w:val="20"/>
              </w:rPr>
              <w:t>（10分）</w:t>
            </w:r>
          </w:p>
        </w:tc>
        <w:tc>
          <w:tcPr>
            <w:tcW w:w="94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满意度指标</w:t>
            </w:r>
          </w:p>
        </w:tc>
        <w:tc>
          <w:tcPr>
            <w:tcW w:w="1993"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备案人的满意度</w:t>
            </w:r>
          </w:p>
        </w:tc>
        <w:tc>
          <w:tcPr>
            <w:tcW w:w="132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95%</w:t>
            </w:r>
          </w:p>
        </w:tc>
        <w:tc>
          <w:tcPr>
            <w:tcW w:w="106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95%</w:t>
            </w:r>
          </w:p>
        </w:tc>
        <w:tc>
          <w:tcPr>
            <w:tcW w:w="78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8</w:t>
            </w:r>
          </w:p>
        </w:tc>
      </w:tr>
      <w:tr>
        <w:tblPrEx>
          <w:tblCellMar>
            <w:top w:w="0" w:type="dxa"/>
            <w:left w:w="108" w:type="dxa"/>
            <w:bottom w:w="0" w:type="dxa"/>
            <w:right w:w="108" w:type="dxa"/>
          </w:tblCellMar>
        </w:tblPrEx>
        <w:trPr>
          <w:trHeight w:val="270" w:hRule="atLeast"/>
        </w:trPr>
        <w:tc>
          <w:tcPr>
            <w:tcW w:w="684" w:type="dxa"/>
            <w:vMerge w:val="continue"/>
            <w:tcBorders>
              <w:top w:val="nil"/>
              <w:left w:val="single" w:color="auto" w:sz="4" w:space="0"/>
              <w:bottom w:val="single" w:color="000000" w:sz="4" w:space="0"/>
              <w:right w:val="nil"/>
            </w:tcBorders>
            <w:vAlign w:val="center"/>
          </w:tcPr>
          <w:p>
            <w:pPr>
              <w:widowControl/>
              <w:jc w:val="left"/>
              <w:rPr>
                <w:rFonts w:ascii="宋体" w:hAnsi="宋体" w:eastAsia="宋体"/>
                <w:color w:val="000000"/>
                <w:sz w:val="20"/>
                <w:szCs w:val="20"/>
              </w:rPr>
            </w:pPr>
          </w:p>
        </w:tc>
        <w:tc>
          <w:tcPr>
            <w:tcW w:w="6256"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总分</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95</w:t>
            </w:r>
          </w:p>
        </w:tc>
      </w:tr>
      <w:tr>
        <w:tblPrEx>
          <w:tblCellMar>
            <w:top w:w="0" w:type="dxa"/>
            <w:left w:w="108" w:type="dxa"/>
            <w:bottom w:w="0" w:type="dxa"/>
            <w:right w:w="108" w:type="dxa"/>
          </w:tblCellMar>
        </w:tblPrEx>
        <w:trPr>
          <w:trHeight w:val="975" w:hRule="atLeast"/>
        </w:trPr>
        <w:tc>
          <w:tcPr>
            <w:tcW w:w="684" w:type="dxa"/>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五、</w:t>
            </w:r>
            <w:r>
              <w:rPr>
                <w:rFonts w:ascii="Calibri" w:hAnsi="Calibri" w:eastAsia="宋体"/>
                <w:color w:val="000000"/>
                <w:sz w:val="20"/>
                <w:szCs w:val="20"/>
              </w:rPr>
              <w:t> </w:t>
            </w:r>
            <w:r>
              <w:rPr>
                <w:rFonts w:hint="eastAsia" w:ascii="宋体" w:hAnsi="宋体" w:eastAsia="宋体"/>
                <w:color w:val="000000"/>
                <w:sz w:val="20"/>
                <w:szCs w:val="20"/>
              </w:rPr>
              <w:t>存在问题、原因及下一步整改措施</w:t>
            </w:r>
          </w:p>
        </w:tc>
        <w:tc>
          <w:tcPr>
            <w:tcW w:w="7036" w:type="dxa"/>
            <w:gridSpan w:val="7"/>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农村产权制度改革完成后，大量农村产权进入市场，产权交易中心平台软件应加快完善建设，并引进新型技术人才，加强人员技能培训。农村产权交易专业性强，应加快人才制度建设，增强人员业务素质。</w:t>
            </w:r>
          </w:p>
        </w:tc>
      </w:tr>
    </w:tbl>
    <w:p>
      <w:pPr>
        <w:spacing w:line="560" w:lineRule="exact"/>
        <w:ind w:firstLine="645"/>
        <w:rPr>
          <w:rFonts w:ascii="Times New Roman" w:hAnsi="Times New Roman" w:eastAsia="仿宋_GB2312"/>
          <w:sz w:val="32"/>
          <w:szCs w:val="32"/>
        </w:rPr>
      </w:pPr>
    </w:p>
    <w:p>
      <w:pPr>
        <w:spacing w:line="560" w:lineRule="exact"/>
        <w:ind w:firstLine="645"/>
        <w:rPr>
          <w:rFonts w:ascii="Times New Roman" w:hAnsi="Times New Roman" w:eastAsia="仿宋_GB2312" w:cs="Times New Roman"/>
          <w:sz w:val="32"/>
          <w:szCs w:val="32"/>
        </w:rPr>
      </w:pPr>
      <w:r>
        <w:rPr>
          <w:rFonts w:ascii="方正仿宋_GBK" w:hAnsi="方正仿宋_GBK" w:eastAsia="方正仿宋_GBK" w:cs="方正仿宋_GBK"/>
          <w:color w:val="000000"/>
          <w:sz w:val="28"/>
        </w:rPr>
        <w:t>社会化服务</w:t>
      </w:r>
      <w:r>
        <w:rPr>
          <w:rFonts w:ascii="Times New Roman" w:hAnsi="Times New Roman" w:eastAsia="仿宋_GB2312"/>
          <w:kern w:val="2"/>
          <w:sz w:val="32"/>
          <w:szCs w:val="32"/>
          <w:lang w:val="zh-CN"/>
        </w:rPr>
        <w:t>项目绩效自评情况。根据年初设定的绩效目标，</w:t>
      </w:r>
      <w:r>
        <w:rPr>
          <w:rFonts w:ascii="方正仿宋_GBK" w:hAnsi="方正仿宋_GBK" w:eastAsia="方正仿宋_GBK" w:cs="方正仿宋_GBK"/>
          <w:color w:val="000000"/>
          <w:sz w:val="28"/>
        </w:rPr>
        <w:t>社会化服务</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zh-CN"/>
        </w:rPr>
        <w:t>94</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zh-CN"/>
        </w:rPr>
        <w:t>5</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zh-CN"/>
        </w:rPr>
        <w:t>5</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zh-CN"/>
        </w:rPr>
        <w:t>100</w:t>
      </w:r>
      <w:r>
        <w:rPr>
          <w:rFonts w:ascii="Times New Roman" w:hAnsi="Times New Roman" w:eastAsia="仿宋_GB2312"/>
          <w:kern w:val="2"/>
          <w:sz w:val="32"/>
          <w:szCs w:val="32"/>
          <w:lang w:val="zh-CN"/>
        </w:rPr>
        <w:t>%。项目绩效目标完成情况：</w:t>
      </w:r>
      <w:r>
        <w:rPr>
          <w:rFonts w:hint="eastAsia" w:ascii="仿宋" w:hAnsi="仿宋" w:eastAsia="仿宋"/>
          <w:sz w:val="32"/>
          <w:szCs w:val="32"/>
        </w:rPr>
        <w:t>培训农民社员、专业社负责人、农业技术人员500人次，发放种养加技术服务资料2000份，带动致富农户1000户，新增营业面积100平方米，</w:t>
      </w:r>
      <w:r>
        <w:rPr>
          <w:rFonts w:hint="eastAsia" w:ascii="仿宋_GB2312" w:eastAsia="仿宋_GB2312"/>
          <w:sz w:val="32"/>
          <w:szCs w:val="32"/>
        </w:rPr>
        <w:t>项目绩效目标合理、绩效指标明确，</w:t>
      </w:r>
      <w:r>
        <w:rPr>
          <w:rFonts w:ascii="Times New Roman" w:hAnsi="Times New Roman" w:eastAsia="仿宋_GB2312"/>
          <w:sz w:val="32"/>
          <w:szCs w:val="32"/>
        </w:rPr>
        <w:t>通过项目实施，完成了年初设定的各项绩效目标，完成</w:t>
      </w:r>
      <w:r>
        <w:rPr>
          <w:rFonts w:hint="eastAsia" w:ascii="Times New Roman" w:hAnsi="Times New Roman" w:eastAsia="仿宋_GB2312"/>
          <w:sz w:val="32"/>
          <w:szCs w:val="32"/>
        </w:rPr>
        <w:t>100%，</w:t>
      </w:r>
      <w:r>
        <w:rPr>
          <w:rFonts w:ascii="Times New Roman" w:hAnsi="Times New Roman" w:eastAsia="仿宋_GB2312"/>
          <w:sz w:val="32"/>
          <w:szCs w:val="32"/>
        </w:rPr>
        <w:t>未发现问题。</w:t>
      </w:r>
      <w:r>
        <w:rPr>
          <w:rFonts w:ascii="Times New Roman" w:hAnsi="Times New Roman" w:eastAsia="仿宋_GB2312" w:cs="Times New Roman"/>
          <w:sz w:val="32"/>
          <w:szCs w:val="32"/>
        </w:rPr>
        <w:t>附项目支出绩效自评表</w:t>
      </w:r>
    </w:p>
    <w:tbl>
      <w:tblPr>
        <w:tblStyle w:val="11"/>
        <w:tblW w:w="7940" w:type="dxa"/>
        <w:tblInd w:w="89" w:type="dxa"/>
        <w:tblLayout w:type="autofit"/>
        <w:tblCellMar>
          <w:top w:w="0" w:type="dxa"/>
          <w:left w:w="108" w:type="dxa"/>
          <w:bottom w:w="0" w:type="dxa"/>
          <w:right w:w="108" w:type="dxa"/>
        </w:tblCellMar>
      </w:tblPr>
      <w:tblGrid>
        <w:gridCol w:w="862"/>
        <w:gridCol w:w="816"/>
        <w:gridCol w:w="1045"/>
        <w:gridCol w:w="1017"/>
        <w:gridCol w:w="1420"/>
        <w:gridCol w:w="1080"/>
        <w:gridCol w:w="880"/>
        <w:gridCol w:w="820"/>
      </w:tblGrid>
      <w:tr>
        <w:tblPrEx>
          <w:tblCellMar>
            <w:top w:w="0" w:type="dxa"/>
            <w:left w:w="108" w:type="dxa"/>
            <w:bottom w:w="0" w:type="dxa"/>
            <w:right w:w="108" w:type="dxa"/>
          </w:tblCellMar>
        </w:tblPrEx>
        <w:trPr>
          <w:trHeight w:val="375" w:hRule="atLeast"/>
        </w:trPr>
        <w:tc>
          <w:tcPr>
            <w:tcW w:w="3740" w:type="dxa"/>
            <w:gridSpan w:val="4"/>
            <w:tcBorders>
              <w:top w:val="nil"/>
              <w:left w:val="nil"/>
              <w:bottom w:val="nil"/>
              <w:right w:val="nil"/>
            </w:tcBorders>
            <w:shd w:val="clear" w:color="auto" w:fill="auto"/>
            <w:noWrap/>
            <w:vAlign w:val="center"/>
          </w:tcPr>
          <w:p>
            <w:pPr>
              <w:widowControl/>
              <w:jc w:val="left"/>
              <w:rPr>
                <w:rFonts w:ascii="宋体" w:hAnsi="宋体" w:eastAsia="宋体"/>
                <w:color w:val="000000"/>
                <w:sz w:val="20"/>
                <w:szCs w:val="20"/>
              </w:rPr>
            </w:pPr>
          </w:p>
        </w:tc>
        <w:tc>
          <w:tcPr>
            <w:tcW w:w="1420" w:type="dxa"/>
            <w:tcBorders>
              <w:top w:val="nil"/>
              <w:left w:val="nil"/>
              <w:bottom w:val="nil"/>
              <w:right w:val="nil"/>
            </w:tcBorders>
            <w:shd w:val="clear" w:color="auto" w:fill="auto"/>
            <w:noWrap/>
            <w:vAlign w:val="center"/>
          </w:tcPr>
          <w:p>
            <w:pPr>
              <w:widowControl/>
              <w:jc w:val="center"/>
              <w:rPr>
                <w:rFonts w:ascii="宋体" w:hAnsi="宋体" w:eastAsia="宋体"/>
                <w:color w:val="000000"/>
                <w:sz w:val="20"/>
                <w:szCs w:val="20"/>
              </w:rPr>
            </w:pPr>
          </w:p>
        </w:tc>
        <w:tc>
          <w:tcPr>
            <w:tcW w:w="1080" w:type="dxa"/>
            <w:tcBorders>
              <w:top w:val="nil"/>
              <w:left w:val="nil"/>
              <w:bottom w:val="nil"/>
              <w:right w:val="nil"/>
            </w:tcBorders>
            <w:shd w:val="clear" w:color="auto" w:fill="auto"/>
            <w:noWrap/>
            <w:vAlign w:val="center"/>
          </w:tcPr>
          <w:p>
            <w:pPr>
              <w:widowControl/>
              <w:jc w:val="center"/>
              <w:rPr>
                <w:rFonts w:ascii="宋体" w:hAnsi="宋体" w:eastAsia="宋体"/>
                <w:color w:val="000000"/>
                <w:sz w:val="20"/>
                <w:szCs w:val="20"/>
              </w:rPr>
            </w:pPr>
          </w:p>
        </w:tc>
        <w:tc>
          <w:tcPr>
            <w:tcW w:w="1700" w:type="dxa"/>
            <w:gridSpan w:val="2"/>
            <w:tcBorders>
              <w:top w:val="nil"/>
              <w:left w:val="nil"/>
              <w:bottom w:val="single" w:color="000000" w:sz="4" w:space="0"/>
              <w:right w:val="nil"/>
            </w:tcBorders>
            <w:shd w:val="clear" w:color="auto" w:fill="auto"/>
            <w:noWrap/>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金额单位：万元</w:t>
            </w:r>
          </w:p>
        </w:tc>
      </w:tr>
      <w:tr>
        <w:tblPrEx>
          <w:tblCellMar>
            <w:top w:w="0" w:type="dxa"/>
            <w:left w:w="108" w:type="dxa"/>
            <w:bottom w:w="0" w:type="dxa"/>
            <w:right w:w="108" w:type="dxa"/>
          </w:tblCellMar>
        </w:tblPrEx>
        <w:trPr>
          <w:trHeight w:val="375" w:hRule="atLeast"/>
        </w:trPr>
        <w:tc>
          <w:tcPr>
            <w:tcW w:w="684" w:type="dxa"/>
            <w:tcBorders>
              <w:top w:val="single" w:color="000000" w:sz="4" w:space="0"/>
              <w:left w:val="single" w:color="000000" w:sz="4" w:space="0"/>
              <w:bottom w:val="nil"/>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一、</w:t>
            </w:r>
            <w:r>
              <w:rPr>
                <w:rFonts w:ascii="Calibri" w:hAnsi="Calibri" w:eastAsia="宋体"/>
                <w:color w:val="000000"/>
                <w:sz w:val="20"/>
                <w:szCs w:val="20"/>
              </w:rPr>
              <w:t> </w:t>
            </w:r>
            <w:r>
              <w:rPr>
                <w:rFonts w:hint="eastAsia" w:ascii="宋体" w:hAnsi="宋体" w:eastAsia="宋体"/>
                <w:color w:val="000000"/>
                <w:sz w:val="20"/>
                <w:szCs w:val="20"/>
              </w:rPr>
              <w:t>基本情况</w:t>
            </w:r>
          </w:p>
        </w:tc>
        <w:tc>
          <w:tcPr>
            <w:tcW w:w="760"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项目名称</w:t>
            </w:r>
          </w:p>
        </w:tc>
        <w:tc>
          <w:tcPr>
            <w:tcW w:w="2296"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社会化服务</w:t>
            </w:r>
          </w:p>
        </w:tc>
        <w:tc>
          <w:tcPr>
            <w:tcW w:w="1420"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实施</w:t>
            </w:r>
            <w:r>
              <w:rPr>
                <w:rFonts w:hint="eastAsia" w:ascii="宋体" w:hAnsi="宋体" w:eastAsia="宋体"/>
                <w:color w:val="000000"/>
                <w:sz w:val="20"/>
                <w:szCs w:val="20"/>
                <w:lang w:eastAsia="zh-CN"/>
              </w:rPr>
              <w:t>（</w:t>
            </w:r>
            <w:r>
              <w:rPr>
                <w:rFonts w:hint="eastAsia" w:ascii="宋体" w:hAnsi="宋体" w:eastAsia="宋体"/>
                <w:color w:val="000000"/>
                <w:sz w:val="20"/>
                <w:szCs w:val="20"/>
              </w:rPr>
              <w:t>主管）单位</w:t>
            </w:r>
          </w:p>
        </w:tc>
        <w:tc>
          <w:tcPr>
            <w:tcW w:w="2780"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鹿泉区供销合作总社</w:t>
            </w:r>
          </w:p>
        </w:tc>
      </w:tr>
      <w:tr>
        <w:tblPrEx>
          <w:tblCellMar>
            <w:top w:w="0" w:type="dxa"/>
            <w:left w:w="108" w:type="dxa"/>
            <w:bottom w:w="0" w:type="dxa"/>
            <w:right w:w="108" w:type="dxa"/>
          </w:tblCellMar>
        </w:tblPrEx>
        <w:trPr>
          <w:trHeight w:val="375"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二、预算执行情况</w:t>
            </w:r>
          </w:p>
        </w:tc>
        <w:tc>
          <w:tcPr>
            <w:tcW w:w="1957"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预算安排情况（调整后）</w:t>
            </w:r>
          </w:p>
        </w:tc>
        <w:tc>
          <w:tcPr>
            <w:tcW w:w="2519"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资金到位情况</w:t>
            </w:r>
          </w:p>
        </w:tc>
        <w:tc>
          <w:tcPr>
            <w:tcW w:w="1960"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资金执行情况</w:t>
            </w:r>
          </w:p>
        </w:tc>
        <w:tc>
          <w:tcPr>
            <w:tcW w:w="82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预算执行进度</w:t>
            </w:r>
          </w:p>
        </w:tc>
      </w:tr>
      <w:tr>
        <w:tblPrEx>
          <w:tblCellMar>
            <w:top w:w="0" w:type="dxa"/>
            <w:left w:w="108" w:type="dxa"/>
            <w:bottom w:w="0" w:type="dxa"/>
            <w:right w:w="108" w:type="dxa"/>
          </w:tblCellMar>
        </w:tblPrEx>
        <w:trPr>
          <w:trHeight w:val="375" w:hRule="atLeast"/>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c>
          <w:tcPr>
            <w:tcW w:w="76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预算数：</w:t>
            </w:r>
          </w:p>
        </w:tc>
        <w:tc>
          <w:tcPr>
            <w:tcW w:w="119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5</w:t>
            </w:r>
          </w:p>
        </w:tc>
        <w:tc>
          <w:tcPr>
            <w:tcW w:w="1099"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到位数：</w:t>
            </w:r>
          </w:p>
        </w:tc>
        <w:tc>
          <w:tcPr>
            <w:tcW w:w="142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5</w:t>
            </w:r>
          </w:p>
        </w:tc>
        <w:tc>
          <w:tcPr>
            <w:tcW w:w="108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执行数：</w:t>
            </w:r>
          </w:p>
        </w:tc>
        <w:tc>
          <w:tcPr>
            <w:tcW w:w="88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5</w:t>
            </w:r>
          </w:p>
        </w:tc>
        <w:tc>
          <w:tcPr>
            <w:tcW w:w="820"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100%</w:t>
            </w:r>
          </w:p>
        </w:tc>
      </w:tr>
      <w:tr>
        <w:tblPrEx>
          <w:tblCellMar>
            <w:top w:w="0" w:type="dxa"/>
            <w:left w:w="108" w:type="dxa"/>
            <w:bottom w:w="0" w:type="dxa"/>
            <w:right w:w="108" w:type="dxa"/>
          </w:tblCellMar>
        </w:tblPrEx>
        <w:trPr>
          <w:trHeight w:val="525" w:hRule="atLeast"/>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c>
          <w:tcPr>
            <w:tcW w:w="76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其中：                 财政资金</w:t>
            </w:r>
          </w:p>
        </w:tc>
        <w:tc>
          <w:tcPr>
            <w:tcW w:w="119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5</w:t>
            </w:r>
          </w:p>
        </w:tc>
        <w:tc>
          <w:tcPr>
            <w:tcW w:w="1099"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其中：                      财政资金</w:t>
            </w:r>
          </w:p>
        </w:tc>
        <w:tc>
          <w:tcPr>
            <w:tcW w:w="142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5</w:t>
            </w:r>
          </w:p>
        </w:tc>
        <w:tc>
          <w:tcPr>
            <w:tcW w:w="108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其中：                     财政资金</w:t>
            </w:r>
          </w:p>
        </w:tc>
        <w:tc>
          <w:tcPr>
            <w:tcW w:w="88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5</w:t>
            </w:r>
          </w:p>
        </w:tc>
        <w:tc>
          <w:tcPr>
            <w:tcW w:w="820"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r>
      <w:tr>
        <w:tblPrEx>
          <w:tblCellMar>
            <w:top w:w="0" w:type="dxa"/>
            <w:left w:w="108" w:type="dxa"/>
            <w:bottom w:w="0" w:type="dxa"/>
            <w:right w:w="108" w:type="dxa"/>
          </w:tblCellMar>
        </w:tblPrEx>
        <w:trPr>
          <w:trHeight w:val="375" w:hRule="atLeast"/>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c>
          <w:tcPr>
            <w:tcW w:w="76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其他</w:t>
            </w:r>
          </w:p>
        </w:tc>
        <w:tc>
          <w:tcPr>
            <w:tcW w:w="1197" w:type="dxa"/>
            <w:tcBorders>
              <w:top w:val="nil"/>
              <w:left w:val="nil"/>
              <w:bottom w:val="single" w:color="000000" w:sz="4" w:space="0"/>
              <w:right w:val="single" w:color="000000" w:sz="4" w:space="0"/>
            </w:tcBorders>
            <w:shd w:val="clear" w:color="auto" w:fill="auto"/>
            <w:vAlign w:val="center"/>
          </w:tcPr>
          <w:p>
            <w:pPr>
              <w:widowControl/>
              <w:jc w:val="left"/>
              <w:rPr>
                <w:rFonts w:ascii="Calibri" w:hAnsi="Calibri" w:eastAsia="宋体"/>
                <w:color w:val="000000"/>
                <w:sz w:val="20"/>
                <w:szCs w:val="20"/>
              </w:rPr>
            </w:pPr>
            <w:r>
              <w:rPr>
                <w:rFonts w:ascii="Calibri" w:hAnsi="Calibri" w:eastAsia="宋体"/>
                <w:color w:val="000000"/>
                <w:sz w:val="20"/>
                <w:szCs w:val="20"/>
              </w:rPr>
              <w:t>　</w:t>
            </w:r>
          </w:p>
        </w:tc>
        <w:tc>
          <w:tcPr>
            <w:tcW w:w="1099"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其他</w:t>
            </w:r>
          </w:p>
        </w:tc>
        <w:tc>
          <w:tcPr>
            <w:tcW w:w="142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　</w:t>
            </w:r>
          </w:p>
        </w:tc>
        <w:tc>
          <w:tcPr>
            <w:tcW w:w="108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其他</w:t>
            </w:r>
          </w:p>
        </w:tc>
        <w:tc>
          <w:tcPr>
            <w:tcW w:w="88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　</w:t>
            </w:r>
          </w:p>
        </w:tc>
        <w:tc>
          <w:tcPr>
            <w:tcW w:w="820"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r>
      <w:tr>
        <w:tblPrEx>
          <w:tblCellMar>
            <w:top w:w="0" w:type="dxa"/>
            <w:left w:w="108" w:type="dxa"/>
            <w:bottom w:w="0" w:type="dxa"/>
            <w:right w:w="108" w:type="dxa"/>
          </w:tblCellMar>
        </w:tblPrEx>
        <w:trPr>
          <w:trHeight w:val="375" w:hRule="atLeast"/>
        </w:trPr>
        <w:tc>
          <w:tcPr>
            <w:tcW w:w="684"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三、目标完成情况</w:t>
            </w:r>
          </w:p>
        </w:tc>
        <w:tc>
          <w:tcPr>
            <w:tcW w:w="3056"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年度预期目标</w:t>
            </w:r>
          </w:p>
        </w:tc>
        <w:tc>
          <w:tcPr>
            <w:tcW w:w="3380"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具体完成情况</w:t>
            </w:r>
          </w:p>
        </w:tc>
        <w:tc>
          <w:tcPr>
            <w:tcW w:w="82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总体完成率</w:t>
            </w:r>
          </w:p>
        </w:tc>
      </w:tr>
      <w:tr>
        <w:tblPrEx>
          <w:tblCellMar>
            <w:top w:w="0" w:type="dxa"/>
            <w:left w:w="108" w:type="dxa"/>
            <w:bottom w:w="0" w:type="dxa"/>
            <w:right w:w="108" w:type="dxa"/>
          </w:tblCellMar>
        </w:tblPrEx>
        <w:trPr>
          <w:trHeight w:val="375" w:hRule="atLeast"/>
        </w:trPr>
        <w:tc>
          <w:tcPr>
            <w:tcW w:w="68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c>
          <w:tcPr>
            <w:tcW w:w="305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培训农民社员、专业社负责人、农业技术人员500人次，发放种养加技术服务资料2000份，带动致富农户1000户，加快将供销社打造成为农民生产生活的生力军和综合服务平台。</w:t>
            </w:r>
          </w:p>
        </w:tc>
        <w:tc>
          <w:tcPr>
            <w:tcW w:w="33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培训农民社员、专业社负责人、农业技术人员500人次，发放种养加技术服务资料2000份，带动致富农户1000户，加快将供销社打造成为农民生产生活的生力军和综合服务平台。</w:t>
            </w:r>
          </w:p>
        </w:tc>
        <w:tc>
          <w:tcPr>
            <w:tcW w:w="820"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100%</w:t>
            </w:r>
          </w:p>
        </w:tc>
      </w:tr>
      <w:tr>
        <w:tblPrEx>
          <w:tblCellMar>
            <w:top w:w="0" w:type="dxa"/>
            <w:left w:w="108" w:type="dxa"/>
            <w:bottom w:w="0" w:type="dxa"/>
            <w:right w:w="108" w:type="dxa"/>
          </w:tblCellMar>
        </w:tblPrEx>
        <w:trPr>
          <w:trHeight w:val="375" w:hRule="atLeast"/>
        </w:trPr>
        <w:tc>
          <w:tcPr>
            <w:tcW w:w="68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c>
          <w:tcPr>
            <w:tcW w:w="3056" w:type="dxa"/>
            <w:gridSpan w:val="3"/>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c>
          <w:tcPr>
            <w:tcW w:w="3380" w:type="dxa"/>
            <w:gridSpan w:val="3"/>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c>
          <w:tcPr>
            <w:tcW w:w="820"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r>
      <w:tr>
        <w:tblPrEx>
          <w:tblCellMar>
            <w:top w:w="0" w:type="dxa"/>
            <w:left w:w="108" w:type="dxa"/>
            <w:bottom w:w="0" w:type="dxa"/>
            <w:right w:w="108" w:type="dxa"/>
          </w:tblCellMar>
        </w:tblPrEx>
        <w:trPr>
          <w:trHeight w:val="615" w:hRule="atLeast"/>
        </w:trPr>
        <w:tc>
          <w:tcPr>
            <w:tcW w:w="68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c>
          <w:tcPr>
            <w:tcW w:w="3056" w:type="dxa"/>
            <w:gridSpan w:val="3"/>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c>
          <w:tcPr>
            <w:tcW w:w="3380" w:type="dxa"/>
            <w:gridSpan w:val="3"/>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c>
          <w:tcPr>
            <w:tcW w:w="820"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r>
      <w:tr>
        <w:tblPrEx>
          <w:tblCellMar>
            <w:top w:w="0" w:type="dxa"/>
            <w:left w:w="108" w:type="dxa"/>
            <w:bottom w:w="0" w:type="dxa"/>
            <w:right w:w="108" w:type="dxa"/>
          </w:tblCellMar>
        </w:tblPrEx>
        <w:trPr>
          <w:trHeight w:val="435" w:hRule="atLeast"/>
        </w:trPr>
        <w:tc>
          <w:tcPr>
            <w:tcW w:w="684" w:type="dxa"/>
            <w:vMerge w:val="restart"/>
            <w:tcBorders>
              <w:top w:val="nil"/>
              <w:left w:val="single" w:color="auto" w:sz="4" w:space="0"/>
              <w:bottom w:val="single" w:color="000000" w:sz="4" w:space="0"/>
              <w:right w:val="nil"/>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四、</w:t>
            </w:r>
            <w:r>
              <w:rPr>
                <w:rFonts w:ascii="Calibri" w:hAnsi="Calibri" w:eastAsia="宋体"/>
                <w:color w:val="000000"/>
                <w:sz w:val="20"/>
                <w:szCs w:val="20"/>
              </w:rPr>
              <w:t> </w:t>
            </w:r>
            <w:r>
              <w:rPr>
                <w:rFonts w:hint="eastAsia" w:ascii="宋体" w:hAnsi="宋体" w:eastAsia="宋体"/>
                <w:color w:val="000000"/>
                <w:sz w:val="20"/>
                <w:szCs w:val="20"/>
              </w:rPr>
              <w:t>年度绩效指标完成情况</w:t>
            </w:r>
          </w:p>
        </w:tc>
        <w:tc>
          <w:tcPr>
            <w:tcW w:w="760"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一级指标</w:t>
            </w:r>
          </w:p>
        </w:tc>
        <w:tc>
          <w:tcPr>
            <w:tcW w:w="119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二级指标</w:t>
            </w:r>
          </w:p>
        </w:tc>
        <w:tc>
          <w:tcPr>
            <w:tcW w:w="2519"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三级指标</w:t>
            </w:r>
          </w:p>
        </w:tc>
        <w:tc>
          <w:tcPr>
            <w:tcW w:w="108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预期指标值</w:t>
            </w:r>
          </w:p>
        </w:tc>
        <w:tc>
          <w:tcPr>
            <w:tcW w:w="88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实际完成值</w:t>
            </w:r>
          </w:p>
        </w:tc>
        <w:tc>
          <w:tcPr>
            <w:tcW w:w="82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自评得分</w:t>
            </w:r>
          </w:p>
        </w:tc>
      </w:tr>
      <w:tr>
        <w:tblPrEx>
          <w:tblCellMar>
            <w:top w:w="0" w:type="dxa"/>
            <w:left w:w="108" w:type="dxa"/>
            <w:bottom w:w="0" w:type="dxa"/>
            <w:right w:w="108" w:type="dxa"/>
          </w:tblCellMar>
        </w:tblPrEx>
        <w:trPr>
          <w:trHeight w:val="375" w:hRule="atLeast"/>
        </w:trPr>
        <w:tc>
          <w:tcPr>
            <w:tcW w:w="684" w:type="dxa"/>
            <w:vMerge w:val="continue"/>
            <w:tcBorders>
              <w:top w:val="nil"/>
              <w:left w:val="single" w:color="auto" w:sz="4" w:space="0"/>
              <w:bottom w:val="single" w:color="000000" w:sz="4" w:space="0"/>
              <w:right w:val="nil"/>
            </w:tcBorders>
            <w:vAlign w:val="center"/>
          </w:tcPr>
          <w:p>
            <w:pPr>
              <w:widowControl/>
              <w:jc w:val="left"/>
              <w:rPr>
                <w:rFonts w:ascii="宋体" w:hAnsi="宋体" w:eastAsia="宋体"/>
                <w:color w:val="000000"/>
                <w:sz w:val="20"/>
                <w:szCs w:val="20"/>
              </w:rPr>
            </w:pPr>
          </w:p>
        </w:tc>
        <w:tc>
          <w:tcPr>
            <w:tcW w:w="760" w:type="dxa"/>
            <w:vMerge w:val="restart"/>
            <w:tcBorders>
              <w:top w:val="nil"/>
              <w:left w:val="single" w:color="000000" w:sz="4" w:space="0"/>
              <w:bottom w:val="nil"/>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产出指标（40）</w:t>
            </w:r>
          </w:p>
        </w:tc>
        <w:tc>
          <w:tcPr>
            <w:tcW w:w="1197" w:type="dxa"/>
            <w:vMerge w:val="restart"/>
            <w:tcBorders>
              <w:top w:val="nil"/>
              <w:left w:val="single" w:color="000000" w:sz="4" w:space="0"/>
              <w:bottom w:val="nil"/>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数量指标</w:t>
            </w:r>
          </w:p>
        </w:tc>
        <w:tc>
          <w:tcPr>
            <w:tcW w:w="2519"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发放宣传资料数量</w:t>
            </w:r>
          </w:p>
        </w:tc>
        <w:tc>
          <w:tcPr>
            <w:tcW w:w="108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18"/>
                <w:szCs w:val="18"/>
              </w:rPr>
            </w:pPr>
            <w:r>
              <w:rPr>
                <w:rFonts w:hint="eastAsia" w:ascii="宋体" w:hAnsi="宋体" w:eastAsia="宋体"/>
                <w:color w:val="000000"/>
                <w:sz w:val="18"/>
                <w:szCs w:val="18"/>
              </w:rPr>
              <w:t>2000份</w:t>
            </w:r>
          </w:p>
        </w:tc>
        <w:tc>
          <w:tcPr>
            <w:tcW w:w="88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18"/>
                <w:szCs w:val="18"/>
              </w:rPr>
            </w:pPr>
            <w:r>
              <w:rPr>
                <w:rFonts w:hint="eastAsia" w:ascii="宋体" w:hAnsi="宋体" w:eastAsia="宋体"/>
                <w:color w:val="000000"/>
                <w:sz w:val="18"/>
                <w:szCs w:val="18"/>
              </w:rPr>
              <w:t>2000分</w:t>
            </w:r>
          </w:p>
        </w:tc>
        <w:tc>
          <w:tcPr>
            <w:tcW w:w="82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5</w:t>
            </w:r>
          </w:p>
        </w:tc>
      </w:tr>
      <w:tr>
        <w:tblPrEx>
          <w:tblCellMar>
            <w:top w:w="0" w:type="dxa"/>
            <w:left w:w="108" w:type="dxa"/>
            <w:bottom w:w="0" w:type="dxa"/>
            <w:right w:w="108" w:type="dxa"/>
          </w:tblCellMar>
        </w:tblPrEx>
        <w:trPr>
          <w:trHeight w:val="375" w:hRule="atLeast"/>
        </w:trPr>
        <w:tc>
          <w:tcPr>
            <w:tcW w:w="684" w:type="dxa"/>
            <w:vMerge w:val="continue"/>
            <w:tcBorders>
              <w:top w:val="nil"/>
              <w:left w:val="single" w:color="auto" w:sz="4" w:space="0"/>
              <w:bottom w:val="single" w:color="000000" w:sz="4" w:space="0"/>
              <w:right w:val="nil"/>
            </w:tcBorders>
            <w:vAlign w:val="center"/>
          </w:tcPr>
          <w:p>
            <w:pPr>
              <w:widowControl/>
              <w:jc w:val="left"/>
              <w:rPr>
                <w:rFonts w:ascii="宋体" w:hAnsi="宋体" w:eastAsia="宋体"/>
                <w:color w:val="000000"/>
                <w:sz w:val="20"/>
                <w:szCs w:val="20"/>
              </w:rPr>
            </w:pPr>
          </w:p>
        </w:tc>
        <w:tc>
          <w:tcPr>
            <w:tcW w:w="760" w:type="dxa"/>
            <w:vMerge w:val="continue"/>
            <w:tcBorders>
              <w:top w:val="nil"/>
              <w:left w:val="single" w:color="000000" w:sz="4" w:space="0"/>
              <w:bottom w:val="nil"/>
              <w:right w:val="single" w:color="000000" w:sz="4" w:space="0"/>
            </w:tcBorders>
            <w:vAlign w:val="center"/>
          </w:tcPr>
          <w:p>
            <w:pPr>
              <w:widowControl/>
              <w:jc w:val="left"/>
              <w:rPr>
                <w:rFonts w:ascii="宋体" w:hAnsi="宋体" w:eastAsia="宋体"/>
                <w:color w:val="000000"/>
                <w:sz w:val="20"/>
                <w:szCs w:val="20"/>
              </w:rPr>
            </w:pPr>
          </w:p>
        </w:tc>
        <w:tc>
          <w:tcPr>
            <w:tcW w:w="1197" w:type="dxa"/>
            <w:vMerge w:val="continue"/>
            <w:tcBorders>
              <w:top w:val="nil"/>
              <w:left w:val="single" w:color="000000" w:sz="4" w:space="0"/>
              <w:bottom w:val="nil"/>
              <w:right w:val="single" w:color="000000" w:sz="4" w:space="0"/>
            </w:tcBorders>
            <w:vAlign w:val="center"/>
          </w:tcPr>
          <w:p>
            <w:pPr>
              <w:widowControl/>
              <w:jc w:val="left"/>
              <w:rPr>
                <w:rFonts w:ascii="宋体" w:hAnsi="宋体" w:eastAsia="宋体"/>
                <w:color w:val="000000"/>
                <w:sz w:val="20"/>
                <w:szCs w:val="20"/>
              </w:rPr>
            </w:pPr>
          </w:p>
        </w:tc>
        <w:tc>
          <w:tcPr>
            <w:tcW w:w="2519"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培训社员及专业社负责人人数</w:t>
            </w:r>
          </w:p>
        </w:tc>
        <w:tc>
          <w:tcPr>
            <w:tcW w:w="108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500</w:t>
            </w:r>
            <w:r>
              <w:rPr>
                <w:rFonts w:hint="eastAsia" w:ascii="宋体" w:hAnsi="宋体" w:eastAsia="宋体"/>
                <w:color w:val="000000"/>
                <w:sz w:val="20"/>
                <w:szCs w:val="20"/>
              </w:rPr>
              <w:t>人次</w:t>
            </w:r>
          </w:p>
        </w:tc>
        <w:tc>
          <w:tcPr>
            <w:tcW w:w="88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500</w:t>
            </w:r>
            <w:r>
              <w:rPr>
                <w:rFonts w:hint="eastAsia" w:ascii="宋体" w:hAnsi="宋体" w:eastAsia="宋体"/>
                <w:color w:val="000000"/>
                <w:sz w:val="20"/>
                <w:szCs w:val="20"/>
              </w:rPr>
              <w:t>人次</w:t>
            </w:r>
          </w:p>
        </w:tc>
        <w:tc>
          <w:tcPr>
            <w:tcW w:w="82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5</w:t>
            </w:r>
          </w:p>
        </w:tc>
      </w:tr>
      <w:tr>
        <w:tblPrEx>
          <w:tblCellMar>
            <w:top w:w="0" w:type="dxa"/>
            <w:left w:w="108" w:type="dxa"/>
            <w:bottom w:w="0" w:type="dxa"/>
            <w:right w:w="108" w:type="dxa"/>
          </w:tblCellMar>
        </w:tblPrEx>
        <w:trPr>
          <w:trHeight w:val="720" w:hRule="atLeast"/>
        </w:trPr>
        <w:tc>
          <w:tcPr>
            <w:tcW w:w="684" w:type="dxa"/>
            <w:vMerge w:val="continue"/>
            <w:tcBorders>
              <w:top w:val="nil"/>
              <w:left w:val="single" w:color="auto" w:sz="4" w:space="0"/>
              <w:bottom w:val="single" w:color="000000" w:sz="4" w:space="0"/>
              <w:right w:val="nil"/>
            </w:tcBorders>
            <w:vAlign w:val="center"/>
          </w:tcPr>
          <w:p>
            <w:pPr>
              <w:widowControl/>
              <w:jc w:val="left"/>
              <w:rPr>
                <w:rFonts w:ascii="宋体" w:hAnsi="宋体" w:eastAsia="宋体"/>
                <w:color w:val="000000"/>
                <w:sz w:val="20"/>
                <w:szCs w:val="20"/>
              </w:rPr>
            </w:pPr>
          </w:p>
        </w:tc>
        <w:tc>
          <w:tcPr>
            <w:tcW w:w="760" w:type="dxa"/>
            <w:vMerge w:val="continue"/>
            <w:tcBorders>
              <w:top w:val="nil"/>
              <w:left w:val="single" w:color="000000" w:sz="4" w:space="0"/>
              <w:bottom w:val="nil"/>
              <w:right w:val="single" w:color="000000" w:sz="4" w:space="0"/>
            </w:tcBorders>
            <w:vAlign w:val="center"/>
          </w:tcPr>
          <w:p>
            <w:pPr>
              <w:widowControl/>
              <w:jc w:val="left"/>
              <w:rPr>
                <w:rFonts w:ascii="宋体" w:hAnsi="宋体" w:eastAsia="宋体"/>
                <w:color w:val="000000"/>
                <w:sz w:val="20"/>
                <w:szCs w:val="20"/>
              </w:rPr>
            </w:pPr>
          </w:p>
        </w:tc>
        <w:tc>
          <w:tcPr>
            <w:tcW w:w="1197"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质量指标</w:t>
            </w:r>
          </w:p>
        </w:tc>
        <w:tc>
          <w:tcPr>
            <w:tcW w:w="2519"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农资、农副产品、日用消费品、再生资源回收利用四个网络区域内货物配送额占货物购进额的比例%</w:t>
            </w:r>
          </w:p>
        </w:tc>
        <w:tc>
          <w:tcPr>
            <w:tcW w:w="108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80%</w:t>
            </w:r>
          </w:p>
        </w:tc>
        <w:tc>
          <w:tcPr>
            <w:tcW w:w="88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80%</w:t>
            </w:r>
          </w:p>
        </w:tc>
        <w:tc>
          <w:tcPr>
            <w:tcW w:w="82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10</w:t>
            </w:r>
          </w:p>
        </w:tc>
      </w:tr>
      <w:tr>
        <w:tblPrEx>
          <w:tblCellMar>
            <w:top w:w="0" w:type="dxa"/>
            <w:left w:w="108" w:type="dxa"/>
            <w:bottom w:w="0" w:type="dxa"/>
            <w:right w:w="108" w:type="dxa"/>
          </w:tblCellMar>
        </w:tblPrEx>
        <w:trPr>
          <w:trHeight w:val="720" w:hRule="atLeast"/>
        </w:trPr>
        <w:tc>
          <w:tcPr>
            <w:tcW w:w="684" w:type="dxa"/>
            <w:vMerge w:val="continue"/>
            <w:tcBorders>
              <w:top w:val="nil"/>
              <w:left w:val="single" w:color="auto" w:sz="4" w:space="0"/>
              <w:bottom w:val="single" w:color="000000" w:sz="4" w:space="0"/>
              <w:right w:val="nil"/>
            </w:tcBorders>
            <w:vAlign w:val="center"/>
          </w:tcPr>
          <w:p>
            <w:pPr>
              <w:widowControl/>
              <w:jc w:val="left"/>
              <w:rPr>
                <w:rFonts w:ascii="宋体" w:hAnsi="宋体" w:eastAsia="宋体"/>
                <w:color w:val="000000"/>
                <w:sz w:val="20"/>
                <w:szCs w:val="20"/>
              </w:rPr>
            </w:pPr>
          </w:p>
        </w:tc>
        <w:tc>
          <w:tcPr>
            <w:tcW w:w="760" w:type="dxa"/>
            <w:vMerge w:val="continue"/>
            <w:tcBorders>
              <w:top w:val="nil"/>
              <w:left w:val="single" w:color="000000" w:sz="4" w:space="0"/>
              <w:bottom w:val="nil"/>
              <w:right w:val="single" w:color="000000" w:sz="4" w:space="0"/>
            </w:tcBorders>
            <w:vAlign w:val="center"/>
          </w:tcPr>
          <w:p>
            <w:pPr>
              <w:widowControl/>
              <w:jc w:val="left"/>
              <w:rPr>
                <w:rFonts w:ascii="宋体" w:hAnsi="宋体" w:eastAsia="宋体"/>
                <w:color w:val="000000"/>
                <w:sz w:val="20"/>
                <w:szCs w:val="20"/>
              </w:rPr>
            </w:pPr>
          </w:p>
        </w:tc>
        <w:tc>
          <w:tcPr>
            <w:tcW w:w="119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时效指标</w:t>
            </w:r>
          </w:p>
        </w:tc>
        <w:tc>
          <w:tcPr>
            <w:tcW w:w="2519"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年度内四个网络健全完成时间占全年时间的比例</w:t>
            </w:r>
          </w:p>
        </w:tc>
        <w:tc>
          <w:tcPr>
            <w:tcW w:w="108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75%</w:t>
            </w:r>
          </w:p>
        </w:tc>
        <w:tc>
          <w:tcPr>
            <w:tcW w:w="88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75%</w:t>
            </w:r>
          </w:p>
        </w:tc>
        <w:tc>
          <w:tcPr>
            <w:tcW w:w="82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10</w:t>
            </w:r>
          </w:p>
        </w:tc>
      </w:tr>
      <w:tr>
        <w:tblPrEx>
          <w:tblCellMar>
            <w:top w:w="0" w:type="dxa"/>
            <w:left w:w="108" w:type="dxa"/>
            <w:bottom w:w="0" w:type="dxa"/>
            <w:right w:w="108" w:type="dxa"/>
          </w:tblCellMar>
        </w:tblPrEx>
        <w:trPr>
          <w:trHeight w:val="720" w:hRule="atLeast"/>
        </w:trPr>
        <w:tc>
          <w:tcPr>
            <w:tcW w:w="684" w:type="dxa"/>
            <w:vMerge w:val="continue"/>
            <w:tcBorders>
              <w:top w:val="nil"/>
              <w:left w:val="single" w:color="auto" w:sz="4" w:space="0"/>
              <w:bottom w:val="single" w:color="000000" w:sz="4" w:space="0"/>
              <w:right w:val="nil"/>
            </w:tcBorders>
            <w:vAlign w:val="center"/>
          </w:tcPr>
          <w:p>
            <w:pPr>
              <w:widowControl/>
              <w:jc w:val="left"/>
              <w:rPr>
                <w:rFonts w:ascii="宋体" w:hAnsi="宋体" w:eastAsia="宋体"/>
                <w:color w:val="000000"/>
                <w:sz w:val="20"/>
                <w:szCs w:val="20"/>
              </w:rPr>
            </w:pPr>
          </w:p>
        </w:tc>
        <w:tc>
          <w:tcPr>
            <w:tcW w:w="760" w:type="dxa"/>
            <w:vMerge w:val="continue"/>
            <w:tcBorders>
              <w:top w:val="nil"/>
              <w:left w:val="single" w:color="000000" w:sz="4" w:space="0"/>
              <w:bottom w:val="nil"/>
              <w:right w:val="single" w:color="000000" w:sz="4" w:space="0"/>
            </w:tcBorders>
            <w:vAlign w:val="center"/>
          </w:tcPr>
          <w:p>
            <w:pPr>
              <w:widowControl/>
              <w:jc w:val="left"/>
              <w:rPr>
                <w:rFonts w:ascii="宋体" w:hAnsi="宋体" w:eastAsia="宋体"/>
                <w:color w:val="000000"/>
                <w:sz w:val="20"/>
                <w:szCs w:val="20"/>
              </w:rPr>
            </w:pPr>
          </w:p>
        </w:tc>
        <w:tc>
          <w:tcPr>
            <w:tcW w:w="119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成本指标</w:t>
            </w:r>
          </w:p>
        </w:tc>
        <w:tc>
          <w:tcPr>
            <w:tcW w:w="2519"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培训人员费用的人均节约额占人均标准额的比例</w:t>
            </w:r>
          </w:p>
        </w:tc>
        <w:tc>
          <w:tcPr>
            <w:tcW w:w="108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15%</w:t>
            </w:r>
          </w:p>
        </w:tc>
        <w:tc>
          <w:tcPr>
            <w:tcW w:w="88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15%</w:t>
            </w:r>
          </w:p>
        </w:tc>
        <w:tc>
          <w:tcPr>
            <w:tcW w:w="82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10</w:t>
            </w:r>
          </w:p>
        </w:tc>
      </w:tr>
      <w:tr>
        <w:tblPrEx>
          <w:tblCellMar>
            <w:top w:w="0" w:type="dxa"/>
            <w:left w:w="108" w:type="dxa"/>
            <w:bottom w:w="0" w:type="dxa"/>
            <w:right w:w="108" w:type="dxa"/>
          </w:tblCellMar>
        </w:tblPrEx>
        <w:trPr>
          <w:trHeight w:val="555" w:hRule="atLeast"/>
        </w:trPr>
        <w:tc>
          <w:tcPr>
            <w:tcW w:w="684" w:type="dxa"/>
            <w:vMerge w:val="continue"/>
            <w:tcBorders>
              <w:top w:val="nil"/>
              <w:left w:val="single" w:color="auto" w:sz="4" w:space="0"/>
              <w:bottom w:val="single" w:color="000000" w:sz="4" w:space="0"/>
              <w:right w:val="nil"/>
            </w:tcBorders>
            <w:vAlign w:val="center"/>
          </w:tcPr>
          <w:p>
            <w:pPr>
              <w:widowControl/>
              <w:jc w:val="left"/>
              <w:rPr>
                <w:rFonts w:ascii="宋体" w:hAnsi="宋体" w:eastAsia="宋体"/>
                <w:color w:val="000000"/>
                <w:sz w:val="20"/>
                <w:szCs w:val="20"/>
              </w:rPr>
            </w:pPr>
          </w:p>
        </w:tc>
        <w:tc>
          <w:tcPr>
            <w:tcW w:w="7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预算执行率指标</w:t>
            </w:r>
            <w:r>
              <w:rPr>
                <w:rFonts w:hint="eastAsia" w:ascii="宋体" w:hAnsi="宋体" w:eastAsia="宋体"/>
                <w:color w:val="000000"/>
                <w:sz w:val="20"/>
                <w:szCs w:val="20"/>
              </w:rPr>
              <w:br w:type="textWrapping"/>
            </w:r>
            <w:r>
              <w:rPr>
                <w:rFonts w:hint="eastAsia" w:ascii="宋体" w:hAnsi="宋体" w:eastAsia="宋体"/>
                <w:color w:val="000000"/>
                <w:sz w:val="20"/>
                <w:szCs w:val="20"/>
              </w:rPr>
              <w:t>（10分）</w:t>
            </w:r>
          </w:p>
        </w:tc>
        <w:tc>
          <w:tcPr>
            <w:tcW w:w="119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预算执行率</w:t>
            </w:r>
          </w:p>
        </w:tc>
        <w:tc>
          <w:tcPr>
            <w:tcW w:w="2519"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执行数/预算数</w:t>
            </w:r>
          </w:p>
        </w:tc>
        <w:tc>
          <w:tcPr>
            <w:tcW w:w="108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100%</w:t>
            </w:r>
          </w:p>
        </w:tc>
        <w:tc>
          <w:tcPr>
            <w:tcW w:w="88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100%</w:t>
            </w:r>
          </w:p>
        </w:tc>
        <w:tc>
          <w:tcPr>
            <w:tcW w:w="82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10</w:t>
            </w:r>
          </w:p>
        </w:tc>
      </w:tr>
      <w:tr>
        <w:tblPrEx>
          <w:tblCellMar>
            <w:top w:w="0" w:type="dxa"/>
            <w:left w:w="108" w:type="dxa"/>
            <w:bottom w:w="0" w:type="dxa"/>
            <w:right w:w="108" w:type="dxa"/>
          </w:tblCellMar>
        </w:tblPrEx>
        <w:trPr>
          <w:trHeight w:val="570" w:hRule="atLeast"/>
        </w:trPr>
        <w:tc>
          <w:tcPr>
            <w:tcW w:w="684" w:type="dxa"/>
            <w:vMerge w:val="continue"/>
            <w:tcBorders>
              <w:top w:val="nil"/>
              <w:left w:val="single" w:color="auto" w:sz="4" w:space="0"/>
              <w:bottom w:val="single" w:color="000000" w:sz="4" w:space="0"/>
              <w:right w:val="nil"/>
            </w:tcBorders>
            <w:vAlign w:val="center"/>
          </w:tcPr>
          <w:p>
            <w:pPr>
              <w:widowControl/>
              <w:jc w:val="left"/>
              <w:rPr>
                <w:rFonts w:ascii="宋体" w:hAnsi="宋体" w:eastAsia="宋体"/>
                <w:color w:val="000000"/>
                <w:sz w:val="20"/>
                <w:szCs w:val="20"/>
              </w:rPr>
            </w:pPr>
          </w:p>
        </w:tc>
        <w:tc>
          <w:tcPr>
            <w:tcW w:w="760" w:type="dxa"/>
            <w:vMerge w:val="restart"/>
            <w:tcBorders>
              <w:top w:val="nil"/>
              <w:left w:val="single" w:color="000000" w:sz="4" w:space="0"/>
              <w:bottom w:val="nil"/>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效益指标（40）</w:t>
            </w:r>
          </w:p>
        </w:tc>
        <w:tc>
          <w:tcPr>
            <w:tcW w:w="119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经济效益指标</w:t>
            </w:r>
          </w:p>
        </w:tc>
        <w:tc>
          <w:tcPr>
            <w:tcW w:w="2519"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农副产品购进额比上年增长的比例%</w:t>
            </w:r>
          </w:p>
        </w:tc>
        <w:tc>
          <w:tcPr>
            <w:tcW w:w="108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8%</w:t>
            </w:r>
          </w:p>
        </w:tc>
        <w:tc>
          <w:tcPr>
            <w:tcW w:w="88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8%</w:t>
            </w:r>
          </w:p>
        </w:tc>
        <w:tc>
          <w:tcPr>
            <w:tcW w:w="82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10</w:t>
            </w:r>
          </w:p>
        </w:tc>
      </w:tr>
      <w:tr>
        <w:tblPrEx>
          <w:tblCellMar>
            <w:top w:w="0" w:type="dxa"/>
            <w:left w:w="108" w:type="dxa"/>
            <w:bottom w:w="0" w:type="dxa"/>
            <w:right w:w="108" w:type="dxa"/>
          </w:tblCellMar>
        </w:tblPrEx>
        <w:trPr>
          <w:trHeight w:val="570" w:hRule="atLeast"/>
        </w:trPr>
        <w:tc>
          <w:tcPr>
            <w:tcW w:w="684" w:type="dxa"/>
            <w:vMerge w:val="continue"/>
            <w:tcBorders>
              <w:top w:val="nil"/>
              <w:left w:val="single" w:color="auto" w:sz="4" w:space="0"/>
              <w:bottom w:val="single" w:color="000000" w:sz="4" w:space="0"/>
              <w:right w:val="nil"/>
            </w:tcBorders>
            <w:vAlign w:val="center"/>
          </w:tcPr>
          <w:p>
            <w:pPr>
              <w:widowControl/>
              <w:jc w:val="left"/>
              <w:rPr>
                <w:rFonts w:ascii="宋体" w:hAnsi="宋体" w:eastAsia="宋体"/>
                <w:color w:val="000000"/>
                <w:sz w:val="20"/>
                <w:szCs w:val="20"/>
              </w:rPr>
            </w:pPr>
          </w:p>
        </w:tc>
        <w:tc>
          <w:tcPr>
            <w:tcW w:w="760" w:type="dxa"/>
            <w:vMerge w:val="continue"/>
            <w:tcBorders>
              <w:top w:val="nil"/>
              <w:left w:val="single" w:color="000000" w:sz="4" w:space="0"/>
              <w:bottom w:val="nil"/>
              <w:right w:val="single" w:color="000000" w:sz="4" w:space="0"/>
            </w:tcBorders>
            <w:vAlign w:val="center"/>
          </w:tcPr>
          <w:p>
            <w:pPr>
              <w:widowControl/>
              <w:jc w:val="left"/>
              <w:rPr>
                <w:rFonts w:ascii="宋体" w:hAnsi="宋体" w:eastAsia="宋体"/>
                <w:color w:val="000000"/>
                <w:sz w:val="20"/>
                <w:szCs w:val="20"/>
              </w:rPr>
            </w:pPr>
          </w:p>
        </w:tc>
        <w:tc>
          <w:tcPr>
            <w:tcW w:w="119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社会效益指标</w:t>
            </w:r>
          </w:p>
        </w:tc>
        <w:tc>
          <w:tcPr>
            <w:tcW w:w="2519"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带动致富农户的总数量</w:t>
            </w:r>
          </w:p>
        </w:tc>
        <w:tc>
          <w:tcPr>
            <w:tcW w:w="108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1000</w:t>
            </w:r>
            <w:r>
              <w:rPr>
                <w:rFonts w:hint="eastAsia" w:ascii="宋体" w:hAnsi="宋体" w:eastAsia="宋体"/>
                <w:color w:val="000000"/>
                <w:sz w:val="20"/>
                <w:szCs w:val="20"/>
              </w:rPr>
              <w:t>户</w:t>
            </w:r>
          </w:p>
        </w:tc>
        <w:tc>
          <w:tcPr>
            <w:tcW w:w="88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1000</w:t>
            </w:r>
            <w:r>
              <w:rPr>
                <w:rFonts w:hint="eastAsia" w:ascii="宋体" w:hAnsi="宋体" w:eastAsia="宋体"/>
                <w:color w:val="000000"/>
                <w:sz w:val="20"/>
                <w:szCs w:val="20"/>
              </w:rPr>
              <w:t>户</w:t>
            </w:r>
          </w:p>
        </w:tc>
        <w:tc>
          <w:tcPr>
            <w:tcW w:w="82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10</w:t>
            </w:r>
          </w:p>
        </w:tc>
      </w:tr>
      <w:tr>
        <w:tblPrEx>
          <w:tblCellMar>
            <w:top w:w="0" w:type="dxa"/>
            <w:left w:w="108" w:type="dxa"/>
            <w:bottom w:w="0" w:type="dxa"/>
            <w:right w:w="108" w:type="dxa"/>
          </w:tblCellMar>
        </w:tblPrEx>
        <w:trPr>
          <w:trHeight w:val="570" w:hRule="atLeast"/>
        </w:trPr>
        <w:tc>
          <w:tcPr>
            <w:tcW w:w="684" w:type="dxa"/>
            <w:vMerge w:val="continue"/>
            <w:tcBorders>
              <w:top w:val="nil"/>
              <w:left w:val="single" w:color="auto" w:sz="4" w:space="0"/>
              <w:bottom w:val="single" w:color="000000" w:sz="4" w:space="0"/>
              <w:right w:val="nil"/>
            </w:tcBorders>
            <w:vAlign w:val="center"/>
          </w:tcPr>
          <w:p>
            <w:pPr>
              <w:widowControl/>
              <w:jc w:val="left"/>
              <w:rPr>
                <w:rFonts w:ascii="宋体" w:hAnsi="宋体" w:eastAsia="宋体"/>
                <w:color w:val="000000"/>
                <w:sz w:val="20"/>
                <w:szCs w:val="20"/>
              </w:rPr>
            </w:pPr>
          </w:p>
        </w:tc>
        <w:tc>
          <w:tcPr>
            <w:tcW w:w="760" w:type="dxa"/>
            <w:vMerge w:val="continue"/>
            <w:tcBorders>
              <w:top w:val="nil"/>
              <w:left w:val="single" w:color="000000" w:sz="4" w:space="0"/>
              <w:bottom w:val="nil"/>
              <w:right w:val="single" w:color="000000" w:sz="4" w:space="0"/>
            </w:tcBorders>
            <w:vAlign w:val="center"/>
          </w:tcPr>
          <w:p>
            <w:pPr>
              <w:widowControl/>
              <w:jc w:val="left"/>
              <w:rPr>
                <w:rFonts w:ascii="宋体" w:hAnsi="宋体" w:eastAsia="宋体"/>
                <w:color w:val="000000"/>
                <w:sz w:val="20"/>
                <w:szCs w:val="20"/>
              </w:rPr>
            </w:pPr>
          </w:p>
        </w:tc>
        <w:tc>
          <w:tcPr>
            <w:tcW w:w="119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可持续影响指标</w:t>
            </w:r>
          </w:p>
        </w:tc>
        <w:tc>
          <w:tcPr>
            <w:tcW w:w="2519"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供销社带动三农的影响力提高的比例</w:t>
            </w:r>
          </w:p>
        </w:tc>
        <w:tc>
          <w:tcPr>
            <w:tcW w:w="108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10%</w:t>
            </w:r>
          </w:p>
        </w:tc>
        <w:tc>
          <w:tcPr>
            <w:tcW w:w="88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10%</w:t>
            </w:r>
          </w:p>
        </w:tc>
        <w:tc>
          <w:tcPr>
            <w:tcW w:w="82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16</w:t>
            </w:r>
          </w:p>
        </w:tc>
      </w:tr>
      <w:tr>
        <w:tblPrEx>
          <w:tblCellMar>
            <w:top w:w="0" w:type="dxa"/>
            <w:left w:w="108" w:type="dxa"/>
            <w:bottom w:w="0" w:type="dxa"/>
            <w:right w:w="108" w:type="dxa"/>
          </w:tblCellMar>
        </w:tblPrEx>
        <w:trPr>
          <w:trHeight w:val="705" w:hRule="atLeast"/>
        </w:trPr>
        <w:tc>
          <w:tcPr>
            <w:tcW w:w="684" w:type="dxa"/>
            <w:vMerge w:val="continue"/>
            <w:tcBorders>
              <w:top w:val="nil"/>
              <w:left w:val="single" w:color="auto" w:sz="4" w:space="0"/>
              <w:bottom w:val="single" w:color="000000" w:sz="4" w:space="0"/>
              <w:right w:val="nil"/>
            </w:tcBorders>
            <w:vAlign w:val="center"/>
          </w:tcPr>
          <w:p>
            <w:pPr>
              <w:widowControl/>
              <w:jc w:val="left"/>
              <w:rPr>
                <w:rFonts w:ascii="宋体" w:hAnsi="宋体" w:eastAsia="宋体"/>
                <w:color w:val="000000"/>
                <w:sz w:val="20"/>
                <w:szCs w:val="20"/>
              </w:rPr>
            </w:pPr>
          </w:p>
        </w:tc>
        <w:tc>
          <w:tcPr>
            <w:tcW w:w="7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满意度指标</w:t>
            </w:r>
            <w:r>
              <w:rPr>
                <w:rFonts w:hint="eastAsia" w:ascii="宋体" w:hAnsi="宋体" w:eastAsia="宋体"/>
                <w:color w:val="000000"/>
                <w:sz w:val="20"/>
                <w:szCs w:val="20"/>
              </w:rPr>
              <w:br w:type="textWrapping"/>
            </w:r>
            <w:r>
              <w:rPr>
                <w:rFonts w:hint="eastAsia" w:ascii="宋体" w:hAnsi="宋体" w:eastAsia="宋体"/>
                <w:color w:val="000000"/>
                <w:sz w:val="20"/>
                <w:szCs w:val="20"/>
              </w:rPr>
              <w:t>（10分）</w:t>
            </w:r>
          </w:p>
        </w:tc>
        <w:tc>
          <w:tcPr>
            <w:tcW w:w="119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满意度指标</w:t>
            </w:r>
          </w:p>
        </w:tc>
        <w:tc>
          <w:tcPr>
            <w:tcW w:w="2519"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社员满意和较满意人数占社员总人数的比例</w:t>
            </w:r>
          </w:p>
        </w:tc>
        <w:tc>
          <w:tcPr>
            <w:tcW w:w="108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95%</w:t>
            </w:r>
          </w:p>
        </w:tc>
        <w:tc>
          <w:tcPr>
            <w:tcW w:w="88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95%</w:t>
            </w:r>
          </w:p>
        </w:tc>
        <w:tc>
          <w:tcPr>
            <w:tcW w:w="82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8</w:t>
            </w:r>
          </w:p>
        </w:tc>
      </w:tr>
      <w:tr>
        <w:tblPrEx>
          <w:tblCellMar>
            <w:top w:w="0" w:type="dxa"/>
            <w:left w:w="108" w:type="dxa"/>
            <w:bottom w:w="0" w:type="dxa"/>
            <w:right w:w="108" w:type="dxa"/>
          </w:tblCellMar>
        </w:tblPrEx>
        <w:trPr>
          <w:trHeight w:val="375" w:hRule="atLeast"/>
        </w:trPr>
        <w:tc>
          <w:tcPr>
            <w:tcW w:w="684" w:type="dxa"/>
            <w:vMerge w:val="continue"/>
            <w:tcBorders>
              <w:top w:val="nil"/>
              <w:left w:val="single" w:color="auto" w:sz="4" w:space="0"/>
              <w:bottom w:val="single" w:color="000000" w:sz="4" w:space="0"/>
              <w:right w:val="nil"/>
            </w:tcBorders>
            <w:vAlign w:val="center"/>
          </w:tcPr>
          <w:p>
            <w:pPr>
              <w:widowControl/>
              <w:jc w:val="left"/>
              <w:rPr>
                <w:rFonts w:ascii="宋体" w:hAnsi="宋体" w:eastAsia="宋体"/>
                <w:color w:val="000000"/>
                <w:sz w:val="20"/>
                <w:szCs w:val="20"/>
              </w:rPr>
            </w:pPr>
          </w:p>
        </w:tc>
        <w:tc>
          <w:tcPr>
            <w:tcW w:w="6436"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总分</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94</w:t>
            </w:r>
          </w:p>
        </w:tc>
      </w:tr>
      <w:tr>
        <w:tblPrEx>
          <w:tblCellMar>
            <w:top w:w="0" w:type="dxa"/>
            <w:left w:w="108" w:type="dxa"/>
            <w:bottom w:w="0" w:type="dxa"/>
            <w:right w:w="108" w:type="dxa"/>
          </w:tblCellMar>
        </w:tblPrEx>
        <w:trPr>
          <w:trHeight w:val="975" w:hRule="atLeast"/>
        </w:trPr>
        <w:tc>
          <w:tcPr>
            <w:tcW w:w="684" w:type="dxa"/>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五、</w:t>
            </w:r>
            <w:r>
              <w:rPr>
                <w:rFonts w:ascii="Calibri" w:hAnsi="Calibri" w:eastAsia="宋体"/>
                <w:color w:val="000000"/>
                <w:sz w:val="20"/>
                <w:szCs w:val="20"/>
              </w:rPr>
              <w:t> </w:t>
            </w:r>
            <w:r>
              <w:rPr>
                <w:rFonts w:hint="eastAsia" w:ascii="宋体" w:hAnsi="宋体" w:eastAsia="宋体"/>
                <w:color w:val="000000"/>
                <w:sz w:val="20"/>
                <w:szCs w:val="20"/>
              </w:rPr>
              <w:t>存在问题、原因及下一步整改措施</w:t>
            </w:r>
          </w:p>
        </w:tc>
        <w:tc>
          <w:tcPr>
            <w:tcW w:w="7256" w:type="dxa"/>
            <w:gridSpan w:val="7"/>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服务农民的方式方法等方面的抓手还不够多，农民进入市场还跟不上农村发展的需要。加强思想观念的转变，拓宽农民进入市场的渠道。</w:t>
            </w:r>
          </w:p>
        </w:tc>
      </w:tr>
    </w:tbl>
    <w:p>
      <w:pPr>
        <w:spacing w:line="560" w:lineRule="exact"/>
        <w:ind w:firstLine="645"/>
        <w:rPr>
          <w:rFonts w:ascii="Times New Roman" w:hAnsi="Times New Roman" w:eastAsia="仿宋_GB2312"/>
          <w:sz w:val="32"/>
          <w:szCs w:val="32"/>
        </w:rPr>
      </w:pPr>
    </w:p>
    <w:p>
      <w:pPr>
        <w:adjustRightInd w:val="0"/>
        <w:snapToGrid w:val="0"/>
        <w:spacing w:line="560" w:lineRule="exact"/>
        <w:ind w:firstLine="700" w:firstLineChars="250"/>
        <w:rPr>
          <w:rFonts w:ascii="Times New Roman" w:hAnsi="Times New Roman" w:eastAsia="仿宋_GB2312" w:cs="Times New Roman"/>
          <w:sz w:val="32"/>
          <w:szCs w:val="32"/>
        </w:rPr>
      </w:pPr>
      <w:r>
        <w:rPr>
          <w:rFonts w:ascii="方正仿宋_GBK" w:hAnsi="方正仿宋_GBK" w:eastAsia="方正仿宋_GBK" w:cs="方正仿宋_GBK"/>
          <w:color w:val="000000"/>
          <w:sz w:val="28"/>
        </w:rPr>
        <w:t>再生资源管理办公费及回收利用体系业务费</w:t>
      </w:r>
      <w:r>
        <w:rPr>
          <w:rFonts w:ascii="Times New Roman" w:hAnsi="Times New Roman" w:eastAsia="仿宋_GB2312"/>
          <w:kern w:val="2"/>
          <w:sz w:val="32"/>
          <w:szCs w:val="32"/>
          <w:lang w:val="zh-CN"/>
        </w:rPr>
        <w:t>项目绩效自评情况。根据年初设定的绩效目标，</w:t>
      </w:r>
      <w:r>
        <w:rPr>
          <w:rFonts w:ascii="方正仿宋_GBK" w:hAnsi="方正仿宋_GBK" w:eastAsia="方正仿宋_GBK" w:cs="方正仿宋_GBK"/>
          <w:color w:val="000000"/>
          <w:sz w:val="28"/>
        </w:rPr>
        <w:t>再生资源管理办公费及回收利用体系业务费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zh-CN"/>
        </w:rPr>
        <w:t>93</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zh-CN"/>
        </w:rPr>
        <w:t>5</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zh-CN"/>
        </w:rPr>
        <w:t>5</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zh-CN"/>
        </w:rPr>
        <w:t>100</w:t>
      </w:r>
      <w:r>
        <w:rPr>
          <w:rFonts w:ascii="Times New Roman" w:hAnsi="Times New Roman" w:eastAsia="仿宋_GB2312"/>
          <w:kern w:val="2"/>
          <w:sz w:val="32"/>
          <w:szCs w:val="32"/>
          <w:lang w:val="zh-CN"/>
        </w:rPr>
        <w:t>%。项目绩效目标完成情况：</w:t>
      </w:r>
      <w:r>
        <w:rPr>
          <w:rFonts w:hint="eastAsia" w:ascii="仿宋" w:hAnsi="仿宋" w:eastAsia="仿宋"/>
          <w:sz w:val="32"/>
          <w:szCs w:val="32"/>
        </w:rPr>
        <w:t>优化再生资源回收体系，发放垃圾分类和回收利用资料2000份，培训从业人员200人次，提高回收人员专业水平，提高资源利用率，促进回收行业健康发展。制定并实施全区再生资源回收体系建设工作实施方案，加强对再生资源回收企业的指导。</w:t>
      </w:r>
      <w:r>
        <w:rPr>
          <w:rFonts w:ascii="Times New Roman" w:hAnsi="Times New Roman" w:eastAsia="仿宋_GB2312"/>
          <w:sz w:val="32"/>
          <w:szCs w:val="32"/>
        </w:rPr>
        <w:t>通过项目实施，完成了年初设定的各项绩效目标，完成</w:t>
      </w:r>
      <w:r>
        <w:rPr>
          <w:rFonts w:hint="eastAsia" w:ascii="Times New Roman" w:hAnsi="Times New Roman" w:eastAsia="仿宋_GB2312"/>
          <w:sz w:val="32"/>
          <w:szCs w:val="32"/>
        </w:rPr>
        <w:t>100%，</w:t>
      </w:r>
      <w:r>
        <w:rPr>
          <w:rFonts w:ascii="Times New Roman" w:hAnsi="Times New Roman" w:eastAsia="仿宋_GB2312"/>
          <w:sz w:val="32"/>
          <w:szCs w:val="32"/>
        </w:rPr>
        <w:t>未发现问题。</w:t>
      </w:r>
      <w:r>
        <w:rPr>
          <w:rFonts w:ascii="Times New Roman" w:hAnsi="Times New Roman" w:eastAsia="仿宋_GB2312" w:cs="Times New Roman"/>
          <w:sz w:val="32"/>
          <w:szCs w:val="32"/>
        </w:rPr>
        <w:t>附项目支出绩效自评表</w:t>
      </w:r>
    </w:p>
    <w:tbl>
      <w:tblPr>
        <w:tblStyle w:val="11"/>
        <w:tblW w:w="6460" w:type="dxa"/>
        <w:tblInd w:w="89" w:type="dxa"/>
        <w:tblLayout w:type="autofit"/>
        <w:tblCellMar>
          <w:top w:w="0" w:type="dxa"/>
          <w:left w:w="108" w:type="dxa"/>
          <w:bottom w:w="0" w:type="dxa"/>
          <w:right w:w="108" w:type="dxa"/>
        </w:tblCellMar>
      </w:tblPr>
      <w:tblGrid>
        <w:gridCol w:w="862"/>
        <w:gridCol w:w="816"/>
        <w:gridCol w:w="640"/>
        <w:gridCol w:w="782"/>
        <w:gridCol w:w="720"/>
        <w:gridCol w:w="940"/>
        <w:gridCol w:w="880"/>
        <w:gridCol w:w="820"/>
      </w:tblGrid>
      <w:tr>
        <w:trPr>
          <w:trHeight w:val="390" w:hRule="atLeast"/>
        </w:trPr>
        <w:tc>
          <w:tcPr>
            <w:tcW w:w="3100" w:type="dxa"/>
            <w:gridSpan w:val="4"/>
            <w:tcBorders>
              <w:top w:val="nil"/>
              <w:left w:val="nil"/>
              <w:bottom w:val="nil"/>
              <w:right w:val="nil"/>
            </w:tcBorders>
            <w:shd w:val="clear" w:color="auto" w:fill="auto"/>
            <w:noWrap/>
            <w:vAlign w:val="center"/>
          </w:tcPr>
          <w:p>
            <w:pPr>
              <w:widowControl/>
              <w:jc w:val="left"/>
              <w:rPr>
                <w:rFonts w:ascii="宋体" w:hAnsi="宋体" w:eastAsia="宋体"/>
                <w:color w:val="000000"/>
                <w:sz w:val="20"/>
                <w:szCs w:val="20"/>
              </w:rPr>
            </w:pPr>
          </w:p>
        </w:tc>
        <w:tc>
          <w:tcPr>
            <w:tcW w:w="720" w:type="dxa"/>
            <w:tcBorders>
              <w:top w:val="nil"/>
              <w:left w:val="nil"/>
              <w:bottom w:val="nil"/>
              <w:right w:val="nil"/>
            </w:tcBorders>
            <w:shd w:val="clear" w:color="auto" w:fill="auto"/>
            <w:noWrap/>
            <w:vAlign w:val="center"/>
          </w:tcPr>
          <w:p>
            <w:pPr>
              <w:widowControl/>
              <w:jc w:val="center"/>
              <w:rPr>
                <w:rFonts w:ascii="宋体" w:hAnsi="宋体" w:eastAsia="宋体"/>
                <w:color w:val="000000"/>
                <w:sz w:val="20"/>
                <w:szCs w:val="20"/>
              </w:rPr>
            </w:pPr>
          </w:p>
        </w:tc>
        <w:tc>
          <w:tcPr>
            <w:tcW w:w="940" w:type="dxa"/>
            <w:tcBorders>
              <w:top w:val="nil"/>
              <w:left w:val="nil"/>
              <w:bottom w:val="nil"/>
              <w:right w:val="nil"/>
            </w:tcBorders>
            <w:shd w:val="clear" w:color="auto" w:fill="auto"/>
            <w:noWrap/>
            <w:vAlign w:val="center"/>
          </w:tcPr>
          <w:p>
            <w:pPr>
              <w:widowControl/>
              <w:jc w:val="center"/>
              <w:rPr>
                <w:rFonts w:ascii="宋体" w:hAnsi="宋体" w:eastAsia="宋体"/>
                <w:color w:val="000000"/>
                <w:sz w:val="20"/>
                <w:szCs w:val="20"/>
              </w:rPr>
            </w:pPr>
          </w:p>
        </w:tc>
        <w:tc>
          <w:tcPr>
            <w:tcW w:w="1700" w:type="dxa"/>
            <w:gridSpan w:val="2"/>
            <w:tcBorders>
              <w:top w:val="nil"/>
              <w:left w:val="nil"/>
              <w:bottom w:val="single" w:color="000000" w:sz="4" w:space="0"/>
              <w:right w:val="nil"/>
            </w:tcBorders>
            <w:shd w:val="clear" w:color="auto" w:fill="auto"/>
            <w:noWrap/>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金额单位：万元</w:t>
            </w:r>
          </w:p>
        </w:tc>
      </w:tr>
      <w:tr>
        <w:tblPrEx>
          <w:tblCellMar>
            <w:top w:w="0" w:type="dxa"/>
            <w:left w:w="108" w:type="dxa"/>
            <w:bottom w:w="0" w:type="dxa"/>
            <w:right w:w="108" w:type="dxa"/>
          </w:tblCellMar>
        </w:tblPrEx>
        <w:trPr>
          <w:trHeight w:val="600" w:hRule="atLeast"/>
        </w:trPr>
        <w:tc>
          <w:tcPr>
            <w:tcW w:w="684" w:type="dxa"/>
            <w:tcBorders>
              <w:top w:val="single" w:color="000000" w:sz="4" w:space="0"/>
              <w:left w:val="single" w:color="000000" w:sz="4" w:space="0"/>
              <w:bottom w:val="nil"/>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一、</w:t>
            </w:r>
            <w:r>
              <w:rPr>
                <w:rFonts w:ascii="Calibri" w:hAnsi="Calibri" w:eastAsia="宋体"/>
                <w:color w:val="000000"/>
                <w:sz w:val="20"/>
                <w:szCs w:val="20"/>
              </w:rPr>
              <w:t> </w:t>
            </w:r>
            <w:r>
              <w:rPr>
                <w:rFonts w:hint="eastAsia" w:ascii="宋体" w:hAnsi="宋体" w:eastAsia="宋体"/>
                <w:color w:val="000000"/>
                <w:sz w:val="20"/>
                <w:szCs w:val="20"/>
              </w:rPr>
              <w:t>基本情况</w:t>
            </w:r>
          </w:p>
        </w:tc>
        <w:tc>
          <w:tcPr>
            <w:tcW w:w="740"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项目名称</w:t>
            </w:r>
          </w:p>
        </w:tc>
        <w:tc>
          <w:tcPr>
            <w:tcW w:w="1676"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再生资源回收利用管理办公业务费</w:t>
            </w:r>
          </w:p>
        </w:tc>
        <w:tc>
          <w:tcPr>
            <w:tcW w:w="720"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实施</w:t>
            </w:r>
            <w:r>
              <w:rPr>
                <w:rFonts w:hint="eastAsia" w:ascii="宋体" w:hAnsi="宋体" w:eastAsia="宋体"/>
                <w:color w:val="000000"/>
                <w:sz w:val="20"/>
                <w:szCs w:val="20"/>
                <w:lang w:eastAsia="zh-CN"/>
              </w:rPr>
              <w:t>（</w:t>
            </w:r>
            <w:r>
              <w:rPr>
                <w:rFonts w:hint="eastAsia" w:ascii="宋体" w:hAnsi="宋体" w:eastAsia="宋体"/>
                <w:color w:val="000000"/>
                <w:sz w:val="20"/>
                <w:szCs w:val="20"/>
              </w:rPr>
              <w:t>主管）单位</w:t>
            </w:r>
          </w:p>
        </w:tc>
        <w:tc>
          <w:tcPr>
            <w:tcW w:w="2640"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鹿泉区供销合作总社</w:t>
            </w:r>
          </w:p>
        </w:tc>
      </w:tr>
      <w:tr>
        <w:trPr>
          <w:trHeight w:val="390"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二、预算执行情况</w:t>
            </w:r>
          </w:p>
        </w:tc>
        <w:tc>
          <w:tcPr>
            <w:tcW w:w="1536"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预算安排情况（调整后）</w:t>
            </w:r>
          </w:p>
        </w:tc>
        <w:tc>
          <w:tcPr>
            <w:tcW w:w="1600"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资金到位情况</w:t>
            </w:r>
          </w:p>
        </w:tc>
        <w:tc>
          <w:tcPr>
            <w:tcW w:w="1820"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资金执行情况</w:t>
            </w:r>
          </w:p>
        </w:tc>
        <w:tc>
          <w:tcPr>
            <w:tcW w:w="82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预算执行进度</w:t>
            </w:r>
          </w:p>
        </w:tc>
      </w:tr>
      <w:tr>
        <w:tblPrEx>
          <w:tblCellMar>
            <w:top w:w="0" w:type="dxa"/>
            <w:left w:w="108" w:type="dxa"/>
            <w:bottom w:w="0" w:type="dxa"/>
            <w:right w:w="108" w:type="dxa"/>
          </w:tblCellMar>
        </w:tblPrEx>
        <w:trPr>
          <w:trHeight w:val="390" w:hRule="atLeast"/>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c>
          <w:tcPr>
            <w:tcW w:w="74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预算数：</w:t>
            </w:r>
          </w:p>
        </w:tc>
        <w:tc>
          <w:tcPr>
            <w:tcW w:w="79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5</w:t>
            </w:r>
          </w:p>
        </w:tc>
        <w:tc>
          <w:tcPr>
            <w:tcW w:w="88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到位数：</w:t>
            </w:r>
          </w:p>
        </w:tc>
        <w:tc>
          <w:tcPr>
            <w:tcW w:w="72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5</w:t>
            </w:r>
          </w:p>
        </w:tc>
        <w:tc>
          <w:tcPr>
            <w:tcW w:w="94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执行数：</w:t>
            </w:r>
          </w:p>
        </w:tc>
        <w:tc>
          <w:tcPr>
            <w:tcW w:w="88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5</w:t>
            </w:r>
          </w:p>
        </w:tc>
        <w:tc>
          <w:tcPr>
            <w:tcW w:w="820"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100%</w:t>
            </w:r>
          </w:p>
        </w:tc>
      </w:tr>
      <w:tr>
        <w:tblPrEx>
          <w:tblCellMar>
            <w:top w:w="0" w:type="dxa"/>
            <w:left w:w="108" w:type="dxa"/>
            <w:bottom w:w="0" w:type="dxa"/>
            <w:right w:w="108" w:type="dxa"/>
          </w:tblCellMar>
        </w:tblPrEx>
        <w:trPr>
          <w:trHeight w:val="525" w:hRule="atLeast"/>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c>
          <w:tcPr>
            <w:tcW w:w="74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其中：                 财政资金</w:t>
            </w:r>
          </w:p>
        </w:tc>
        <w:tc>
          <w:tcPr>
            <w:tcW w:w="79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5</w:t>
            </w:r>
          </w:p>
        </w:tc>
        <w:tc>
          <w:tcPr>
            <w:tcW w:w="88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其中：                      财政资金</w:t>
            </w:r>
          </w:p>
        </w:tc>
        <w:tc>
          <w:tcPr>
            <w:tcW w:w="72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5</w:t>
            </w:r>
          </w:p>
        </w:tc>
        <w:tc>
          <w:tcPr>
            <w:tcW w:w="94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其中：                     财政资金</w:t>
            </w:r>
          </w:p>
        </w:tc>
        <w:tc>
          <w:tcPr>
            <w:tcW w:w="88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5</w:t>
            </w:r>
          </w:p>
        </w:tc>
        <w:tc>
          <w:tcPr>
            <w:tcW w:w="820"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r>
      <w:tr>
        <w:tblPrEx>
          <w:tblCellMar>
            <w:top w:w="0" w:type="dxa"/>
            <w:left w:w="108" w:type="dxa"/>
            <w:bottom w:w="0" w:type="dxa"/>
            <w:right w:w="108" w:type="dxa"/>
          </w:tblCellMar>
        </w:tblPrEx>
        <w:trPr>
          <w:trHeight w:val="390" w:hRule="atLeast"/>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c>
          <w:tcPr>
            <w:tcW w:w="74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其他</w:t>
            </w:r>
          </w:p>
        </w:tc>
        <w:tc>
          <w:tcPr>
            <w:tcW w:w="796" w:type="dxa"/>
            <w:tcBorders>
              <w:top w:val="nil"/>
              <w:left w:val="nil"/>
              <w:bottom w:val="single" w:color="000000" w:sz="4" w:space="0"/>
              <w:right w:val="single" w:color="000000" w:sz="4" w:space="0"/>
            </w:tcBorders>
            <w:shd w:val="clear" w:color="auto" w:fill="auto"/>
            <w:vAlign w:val="center"/>
          </w:tcPr>
          <w:p>
            <w:pPr>
              <w:widowControl/>
              <w:jc w:val="left"/>
              <w:rPr>
                <w:rFonts w:ascii="Calibri" w:hAnsi="Calibri" w:eastAsia="宋体"/>
                <w:color w:val="000000"/>
                <w:sz w:val="20"/>
                <w:szCs w:val="20"/>
              </w:rPr>
            </w:pPr>
            <w:r>
              <w:rPr>
                <w:rFonts w:ascii="Calibri" w:hAnsi="Calibri" w:eastAsia="宋体"/>
                <w:color w:val="000000"/>
                <w:sz w:val="20"/>
                <w:szCs w:val="20"/>
              </w:rPr>
              <w:t>　</w:t>
            </w:r>
          </w:p>
        </w:tc>
        <w:tc>
          <w:tcPr>
            <w:tcW w:w="88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其他</w:t>
            </w:r>
          </w:p>
        </w:tc>
        <w:tc>
          <w:tcPr>
            <w:tcW w:w="72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　</w:t>
            </w:r>
          </w:p>
        </w:tc>
        <w:tc>
          <w:tcPr>
            <w:tcW w:w="94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其他</w:t>
            </w:r>
          </w:p>
        </w:tc>
        <w:tc>
          <w:tcPr>
            <w:tcW w:w="88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　</w:t>
            </w:r>
          </w:p>
        </w:tc>
        <w:tc>
          <w:tcPr>
            <w:tcW w:w="820"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r>
      <w:tr>
        <w:tblPrEx>
          <w:tblCellMar>
            <w:top w:w="0" w:type="dxa"/>
            <w:left w:w="108" w:type="dxa"/>
            <w:bottom w:w="0" w:type="dxa"/>
            <w:right w:w="108" w:type="dxa"/>
          </w:tblCellMar>
        </w:tblPrEx>
        <w:trPr>
          <w:trHeight w:val="390" w:hRule="atLeast"/>
        </w:trPr>
        <w:tc>
          <w:tcPr>
            <w:tcW w:w="684"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三、目标完成情况</w:t>
            </w:r>
          </w:p>
        </w:tc>
        <w:tc>
          <w:tcPr>
            <w:tcW w:w="2416"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年度预期目标</w:t>
            </w:r>
          </w:p>
        </w:tc>
        <w:tc>
          <w:tcPr>
            <w:tcW w:w="2540"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具体完成情况</w:t>
            </w:r>
          </w:p>
        </w:tc>
        <w:tc>
          <w:tcPr>
            <w:tcW w:w="82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总体完成率</w:t>
            </w:r>
          </w:p>
        </w:tc>
      </w:tr>
      <w:tr>
        <w:tblPrEx>
          <w:tblCellMar>
            <w:top w:w="0" w:type="dxa"/>
            <w:left w:w="108" w:type="dxa"/>
            <w:bottom w:w="0" w:type="dxa"/>
            <w:right w:w="108" w:type="dxa"/>
          </w:tblCellMar>
        </w:tblPrEx>
        <w:trPr>
          <w:trHeight w:val="390" w:hRule="atLeast"/>
        </w:trPr>
        <w:tc>
          <w:tcPr>
            <w:tcW w:w="68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c>
          <w:tcPr>
            <w:tcW w:w="241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加快建立可回收物及大件垃圾回收处理体系，探索利用“互联网+”、“信息化”手段，优化再生资源回收体系。做好宣传落实，发放垃圾分类和回收利用资料2000份，培训从业人员200人次，提高回收人员专业水平，提高资源利用率，</w:t>
            </w:r>
          </w:p>
        </w:tc>
        <w:tc>
          <w:tcPr>
            <w:tcW w:w="254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加快建立可回收物及大件垃圾回收处理体系，探索利用“互联网+”、“信息化”手段，优化再生资源回收体系。做好宣传落实，发放垃圾分类和回收利用资料2000份，培训从业人员200人次，提高回收人员专业水平，提高资源利用率，</w:t>
            </w:r>
          </w:p>
        </w:tc>
        <w:tc>
          <w:tcPr>
            <w:tcW w:w="820"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100%</w:t>
            </w:r>
          </w:p>
        </w:tc>
      </w:tr>
      <w:tr>
        <w:tblPrEx>
          <w:tblCellMar>
            <w:top w:w="0" w:type="dxa"/>
            <w:left w:w="108" w:type="dxa"/>
            <w:bottom w:w="0" w:type="dxa"/>
            <w:right w:w="108" w:type="dxa"/>
          </w:tblCellMar>
        </w:tblPrEx>
        <w:trPr>
          <w:trHeight w:val="390" w:hRule="atLeast"/>
        </w:trPr>
        <w:tc>
          <w:tcPr>
            <w:tcW w:w="68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c>
          <w:tcPr>
            <w:tcW w:w="2416" w:type="dxa"/>
            <w:gridSpan w:val="3"/>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c>
          <w:tcPr>
            <w:tcW w:w="2540" w:type="dxa"/>
            <w:gridSpan w:val="3"/>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c>
          <w:tcPr>
            <w:tcW w:w="820"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r>
      <w:tr>
        <w:tblPrEx>
          <w:tblCellMar>
            <w:top w:w="0" w:type="dxa"/>
            <w:left w:w="108" w:type="dxa"/>
            <w:bottom w:w="0" w:type="dxa"/>
            <w:right w:w="108" w:type="dxa"/>
          </w:tblCellMar>
        </w:tblPrEx>
        <w:trPr>
          <w:trHeight w:val="750" w:hRule="atLeast"/>
        </w:trPr>
        <w:tc>
          <w:tcPr>
            <w:tcW w:w="68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c>
          <w:tcPr>
            <w:tcW w:w="2416" w:type="dxa"/>
            <w:gridSpan w:val="3"/>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c>
          <w:tcPr>
            <w:tcW w:w="2540" w:type="dxa"/>
            <w:gridSpan w:val="3"/>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c>
          <w:tcPr>
            <w:tcW w:w="820"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r>
      <w:tr>
        <w:tblPrEx>
          <w:tblCellMar>
            <w:top w:w="0" w:type="dxa"/>
            <w:left w:w="108" w:type="dxa"/>
            <w:bottom w:w="0" w:type="dxa"/>
            <w:right w:w="108" w:type="dxa"/>
          </w:tblCellMar>
        </w:tblPrEx>
        <w:trPr>
          <w:trHeight w:val="465" w:hRule="atLeast"/>
        </w:trPr>
        <w:tc>
          <w:tcPr>
            <w:tcW w:w="684" w:type="dxa"/>
            <w:vMerge w:val="restart"/>
            <w:tcBorders>
              <w:top w:val="nil"/>
              <w:left w:val="single" w:color="auto" w:sz="4" w:space="0"/>
              <w:bottom w:val="single" w:color="000000" w:sz="4" w:space="0"/>
              <w:right w:val="nil"/>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四、</w:t>
            </w:r>
            <w:r>
              <w:rPr>
                <w:rFonts w:ascii="Calibri" w:hAnsi="Calibri" w:eastAsia="宋体"/>
                <w:color w:val="000000"/>
                <w:sz w:val="20"/>
                <w:szCs w:val="20"/>
              </w:rPr>
              <w:t> </w:t>
            </w:r>
            <w:r>
              <w:rPr>
                <w:rFonts w:hint="eastAsia" w:ascii="宋体" w:hAnsi="宋体" w:eastAsia="宋体"/>
                <w:color w:val="000000"/>
                <w:sz w:val="20"/>
                <w:szCs w:val="20"/>
              </w:rPr>
              <w:t>年度绩效指标完成情况</w:t>
            </w:r>
          </w:p>
        </w:tc>
        <w:tc>
          <w:tcPr>
            <w:tcW w:w="740"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一级指标</w:t>
            </w:r>
          </w:p>
        </w:tc>
        <w:tc>
          <w:tcPr>
            <w:tcW w:w="79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二级指标</w:t>
            </w:r>
          </w:p>
        </w:tc>
        <w:tc>
          <w:tcPr>
            <w:tcW w:w="1600"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三级指标</w:t>
            </w:r>
          </w:p>
        </w:tc>
        <w:tc>
          <w:tcPr>
            <w:tcW w:w="94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预期指标值</w:t>
            </w:r>
          </w:p>
        </w:tc>
        <w:tc>
          <w:tcPr>
            <w:tcW w:w="88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实际完成值</w:t>
            </w:r>
          </w:p>
        </w:tc>
        <w:tc>
          <w:tcPr>
            <w:tcW w:w="82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自评得分</w:t>
            </w:r>
          </w:p>
        </w:tc>
      </w:tr>
      <w:tr>
        <w:tblPrEx>
          <w:tblCellMar>
            <w:top w:w="0" w:type="dxa"/>
            <w:left w:w="108" w:type="dxa"/>
            <w:bottom w:w="0" w:type="dxa"/>
            <w:right w:w="108" w:type="dxa"/>
          </w:tblCellMar>
        </w:tblPrEx>
        <w:trPr>
          <w:trHeight w:val="660" w:hRule="atLeast"/>
        </w:trPr>
        <w:tc>
          <w:tcPr>
            <w:tcW w:w="684" w:type="dxa"/>
            <w:vMerge w:val="continue"/>
            <w:tcBorders>
              <w:top w:val="nil"/>
              <w:left w:val="single" w:color="auto" w:sz="4" w:space="0"/>
              <w:bottom w:val="single" w:color="000000" w:sz="4" w:space="0"/>
              <w:right w:val="nil"/>
            </w:tcBorders>
            <w:vAlign w:val="center"/>
          </w:tcPr>
          <w:p>
            <w:pPr>
              <w:widowControl/>
              <w:jc w:val="left"/>
              <w:rPr>
                <w:rFonts w:ascii="宋体" w:hAnsi="宋体" w:eastAsia="宋体"/>
                <w:color w:val="000000"/>
                <w:sz w:val="20"/>
                <w:szCs w:val="20"/>
              </w:rPr>
            </w:pPr>
          </w:p>
        </w:tc>
        <w:tc>
          <w:tcPr>
            <w:tcW w:w="740" w:type="dxa"/>
            <w:vMerge w:val="restart"/>
            <w:tcBorders>
              <w:top w:val="nil"/>
              <w:left w:val="single" w:color="000000" w:sz="4" w:space="0"/>
              <w:bottom w:val="nil"/>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产出指标（40）</w:t>
            </w:r>
          </w:p>
        </w:tc>
        <w:tc>
          <w:tcPr>
            <w:tcW w:w="796" w:type="dxa"/>
            <w:vMerge w:val="restart"/>
            <w:tcBorders>
              <w:top w:val="nil"/>
              <w:left w:val="single" w:color="000000" w:sz="4" w:space="0"/>
              <w:bottom w:val="nil"/>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数量指标</w:t>
            </w:r>
          </w:p>
        </w:tc>
        <w:tc>
          <w:tcPr>
            <w:tcW w:w="1600"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发放再生资源分类管理资料的数量（份）</w:t>
            </w:r>
          </w:p>
        </w:tc>
        <w:tc>
          <w:tcPr>
            <w:tcW w:w="94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18"/>
                <w:szCs w:val="18"/>
              </w:rPr>
            </w:pPr>
            <w:r>
              <w:rPr>
                <w:rFonts w:hint="eastAsia" w:ascii="宋体" w:hAnsi="宋体" w:eastAsia="宋体"/>
                <w:color w:val="000000"/>
                <w:sz w:val="18"/>
                <w:szCs w:val="18"/>
              </w:rPr>
              <w:t>2000份</w:t>
            </w:r>
          </w:p>
        </w:tc>
        <w:tc>
          <w:tcPr>
            <w:tcW w:w="88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18"/>
                <w:szCs w:val="18"/>
              </w:rPr>
            </w:pPr>
            <w:r>
              <w:rPr>
                <w:rFonts w:hint="eastAsia" w:ascii="宋体" w:hAnsi="宋体" w:eastAsia="宋体"/>
                <w:color w:val="000000"/>
                <w:sz w:val="18"/>
                <w:szCs w:val="18"/>
              </w:rPr>
              <w:t>2000份</w:t>
            </w:r>
          </w:p>
        </w:tc>
        <w:tc>
          <w:tcPr>
            <w:tcW w:w="82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5</w:t>
            </w:r>
          </w:p>
        </w:tc>
      </w:tr>
      <w:tr>
        <w:tblPrEx>
          <w:tblCellMar>
            <w:top w:w="0" w:type="dxa"/>
            <w:left w:w="108" w:type="dxa"/>
            <w:bottom w:w="0" w:type="dxa"/>
            <w:right w:w="108" w:type="dxa"/>
          </w:tblCellMar>
        </w:tblPrEx>
        <w:trPr>
          <w:trHeight w:val="555" w:hRule="atLeast"/>
        </w:trPr>
        <w:tc>
          <w:tcPr>
            <w:tcW w:w="684" w:type="dxa"/>
            <w:vMerge w:val="continue"/>
            <w:tcBorders>
              <w:top w:val="nil"/>
              <w:left w:val="single" w:color="auto" w:sz="4" w:space="0"/>
              <w:bottom w:val="single" w:color="000000" w:sz="4" w:space="0"/>
              <w:right w:val="nil"/>
            </w:tcBorders>
            <w:vAlign w:val="center"/>
          </w:tcPr>
          <w:p>
            <w:pPr>
              <w:widowControl/>
              <w:jc w:val="left"/>
              <w:rPr>
                <w:rFonts w:ascii="宋体" w:hAnsi="宋体" w:eastAsia="宋体"/>
                <w:color w:val="000000"/>
                <w:sz w:val="20"/>
                <w:szCs w:val="20"/>
              </w:rPr>
            </w:pPr>
          </w:p>
        </w:tc>
        <w:tc>
          <w:tcPr>
            <w:tcW w:w="740" w:type="dxa"/>
            <w:vMerge w:val="continue"/>
            <w:tcBorders>
              <w:top w:val="nil"/>
              <w:left w:val="single" w:color="000000" w:sz="4" w:space="0"/>
              <w:bottom w:val="nil"/>
              <w:right w:val="single" w:color="000000" w:sz="4" w:space="0"/>
            </w:tcBorders>
            <w:vAlign w:val="center"/>
          </w:tcPr>
          <w:p>
            <w:pPr>
              <w:widowControl/>
              <w:jc w:val="left"/>
              <w:rPr>
                <w:rFonts w:ascii="宋体" w:hAnsi="宋体" w:eastAsia="宋体"/>
                <w:color w:val="000000"/>
                <w:sz w:val="20"/>
                <w:szCs w:val="20"/>
              </w:rPr>
            </w:pPr>
          </w:p>
        </w:tc>
        <w:tc>
          <w:tcPr>
            <w:tcW w:w="796" w:type="dxa"/>
            <w:vMerge w:val="continue"/>
            <w:tcBorders>
              <w:top w:val="nil"/>
              <w:left w:val="single" w:color="000000" w:sz="4" w:space="0"/>
              <w:bottom w:val="nil"/>
              <w:right w:val="single" w:color="000000" w:sz="4" w:space="0"/>
            </w:tcBorders>
            <w:vAlign w:val="center"/>
          </w:tcPr>
          <w:p>
            <w:pPr>
              <w:widowControl/>
              <w:jc w:val="left"/>
              <w:rPr>
                <w:rFonts w:ascii="宋体" w:hAnsi="宋体" w:eastAsia="宋体"/>
                <w:color w:val="000000"/>
                <w:sz w:val="20"/>
                <w:szCs w:val="20"/>
              </w:rPr>
            </w:pPr>
          </w:p>
        </w:tc>
        <w:tc>
          <w:tcPr>
            <w:tcW w:w="1600"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培训从业人员的数量</w:t>
            </w:r>
          </w:p>
        </w:tc>
        <w:tc>
          <w:tcPr>
            <w:tcW w:w="940" w:type="dxa"/>
            <w:tcBorders>
              <w:top w:val="nil"/>
              <w:left w:val="nil"/>
              <w:bottom w:val="nil"/>
              <w:right w:val="nil"/>
            </w:tcBorders>
            <w:shd w:val="clear" w:color="auto" w:fill="auto"/>
            <w:noWrap/>
          </w:tcPr>
          <w:p>
            <w:pPr>
              <w:widowControl/>
              <w:jc w:val="left"/>
              <w:rPr>
                <w:rFonts w:ascii="Calibri" w:hAnsi="Calibri" w:eastAsia="宋体"/>
                <w:color w:val="000000"/>
                <w:sz w:val="22"/>
                <w:szCs w:val="22"/>
              </w:rPr>
            </w:pPr>
            <w:r>
              <w:rPr>
                <w:rFonts w:ascii="Calibri" w:hAnsi="Calibri" w:eastAsia="宋体"/>
                <w:color w:val="000000"/>
                <w:sz w:val="22"/>
                <w:szCs w:val="22"/>
              </w:rPr>
              <w:t>200</w:t>
            </w:r>
            <w:r>
              <w:rPr>
                <w:rFonts w:hint="eastAsia" w:ascii="宋体" w:hAnsi="宋体" w:eastAsia="宋体"/>
                <w:color w:val="000000"/>
                <w:sz w:val="22"/>
                <w:szCs w:val="22"/>
              </w:rPr>
              <w:t>人次</w:t>
            </w:r>
          </w:p>
        </w:tc>
        <w:tc>
          <w:tcPr>
            <w:tcW w:w="880"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200</w:t>
            </w:r>
            <w:r>
              <w:rPr>
                <w:rFonts w:hint="eastAsia" w:ascii="宋体" w:hAnsi="宋体" w:eastAsia="宋体"/>
                <w:color w:val="000000"/>
                <w:sz w:val="20"/>
                <w:szCs w:val="20"/>
              </w:rPr>
              <w:t>人次</w:t>
            </w:r>
          </w:p>
        </w:tc>
        <w:tc>
          <w:tcPr>
            <w:tcW w:w="82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5</w:t>
            </w:r>
          </w:p>
        </w:tc>
      </w:tr>
      <w:tr>
        <w:tblPrEx>
          <w:tblCellMar>
            <w:top w:w="0" w:type="dxa"/>
            <w:left w:w="108" w:type="dxa"/>
            <w:bottom w:w="0" w:type="dxa"/>
            <w:right w:w="108" w:type="dxa"/>
          </w:tblCellMar>
        </w:tblPrEx>
        <w:trPr>
          <w:trHeight w:val="675" w:hRule="atLeast"/>
        </w:trPr>
        <w:tc>
          <w:tcPr>
            <w:tcW w:w="684" w:type="dxa"/>
            <w:vMerge w:val="continue"/>
            <w:tcBorders>
              <w:top w:val="nil"/>
              <w:left w:val="single" w:color="auto" w:sz="4" w:space="0"/>
              <w:bottom w:val="single" w:color="000000" w:sz="4" w:space="0"/>
              <w:right w:val="nil"/>
            </w:tcBorders>
            <w:vAlign w:val="center"/>
          </w:tcPr>
          <w:p>
            <w:pPr>
              <w:widowControl/>
              <w:jc w:val="left"/>
              <w:rPr>
                <w:rFonts w:ascii="宋体" w:hAnsi="宋体" w:eastAsia="宋体"/>
                <w:color w:val="000000"/>
                <w:sz w:val="20"/>
                <w:szCs w:val="20"/>
              </w:rPr>
            </w:pPr>
          </w:p>
        </w:tc>
        <w:tc>
          <w:tcPr>
            <w:tcW w:w="740" w:type="dxa"/>
            <w:vMerge w:val="continue"/>
            <w:tcBorders>
              <w:top w:val="nil"/>
              <w:left w:val="single" w:color="000000" w:sz="4" w:space="0"/>
              <w:bottom w:val="nil"/>
              <w:right w:val="single" w:color="000000" w:sz="4" w:space="0"/>
            </w:tcBorders>
            <w:vAlign w:val="center"/>
          </w:tcPr>
          <w:p>
            <w:pPr>
              <w:widowControl/>
              <w:jc w:val="left"/>
              <w:rPr>
                <w:rFonts w:ascii="宋体" w:hAnsi="宋体" w:eastAsia="宋体"/>
                <w:color w:val="000000"/>
                <w:sz w:val="20"/>
                <w:szCs w:val="20"/>
              </w:rPr>
            </w:pPr>
          </w:p>
        </w:tc>
        <w:tc>
          <w:tcPr>
            <w:tcW w:w="796"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质量指标</w:t>
            </w:r>
          </w:p>
        </w:tc>
        <w:tc>
          <w:tcPr>
            <w:tcW w:w="1600"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生活垃圾中可回收利用部分占应回收利用部分的比例</w:t>
            </w:r>
          </w:p>
        </w:tc>
        <w:tc>
          <w:tcPr>
            <w:tcW w:w="940"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95%</w:t>
            </w:r>
          </w:p>
        </w:tc>
        <w:tc>
          <w:tcPr>
            <w:tcW w:w="88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95%</w:t>
            </w:r>
          </w:p>
        </w:tc>
        <w:tc>
          <w:tcPr>
            <w:tcW w:w="82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10</w:t>
            </w:r>
          </w:p>
        </w:tc>
      </w:tr>
      <w:tr>
        <w:trPr>
          <w:trHeight w:val="675" w:hRule="atLeast"/>
        </w:trPr>
        <w:tc>
          <w:tcPr>
            <w:tcW w:w="684" w:type="dxa"/>
            <w:vMerge w:val="continue"/>
            <w:tcBorders>
              <w:top w:val="nil"/>
              <w:left w:val="single" w:color="auto" w:sz="4" w:space="0"/>
              <w:bottom w:val="single" w:color="000000" w:sz="4" w:space="0"/>
              <w:right w:val="nil"/>
            </w:tcBorders>
            <w:vAlign w:val="center"/>
          </w:tcPr>
          <w:p>
            <w:pPr>
              <w:widowControl/>
              <w:jc w:val="left"/>
              <w:rPr>
                <w:rFonts w:ascii="宋体" w:hAnsi="宋体" w:eastAsia="宋体"/>
                <w:color w:val="000000"/>
                <w:sz w:val="20"/>
                <w:szCs w:val="20"/>
              </w:rPr>
            </w:pPr>
          </w:p>
        </w:tc>
        <w:tc>
          <w:tcPr>
            <w:tcW w:w="740" w:type="dxa"/>
            <w:vMerge w:val="continue"/>
            <w:tcBorders>
              <w:top w:val="nil"/>
              <w:left w:val="single" w:color="000000" w:sz="4" w:space="0"/>
              <w:bottom w:val="nil"/>
              <w:right w:val="single" w:color="000000" w:sz="4" w:space="0"/>
            </w:tcBorders>
            <w:vAlign w:val="center"/>
          </w:tcPr>
          <w:p>
            <w:pPr>
              <w:widowControl/>
              <w:jc w:val="left"/>
              <w:rPr>
                <w:rFonts w:ascii="宋体" w:hAnsi="宋体" w:eastAsia="宋体"/>
                <w:color w:val="000000"/>
                <w:sz w:val="20"/>
                <w:szCs w:val="20"/>
              </w:rPr>
            </w:pPr>
          </w:p>
        </w:tc>
        <w:tc>
          <w:tcPr>
            <w:tcW w:w="79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时效指标</w:t>
            </w:r>
          </w:p>
        </w:tc>
        <w:tc>
          <w:tcPr>
            <w:tcW w:w="1600"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再生资源回收体系规划制定完成时间占全年时间的比例</w:t>
            </w:r>
          </w:p>
        </w:tc>
        <w:tc>
          <w:tcPr>
            <w:tcW w:w="94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25%</w:t>
            </w:r>
          </w:p>
        </w:tc>
        <w:tc>
          <w:tcPr>
            <w:tcW w:w="88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25%</w:t>
            </w:r>
          </w:p>
        </w:tc>
        <w:tc>
          <w:tcPr>
            <w:tcW w:w="82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10</w:t>
            </w:r>
          </w:p>
        </w:tc>
      </w:tr>
      <w:tr>
        <w:tblPrEx>
          <w:tblCellMar>
            <w:top w:w="0" w:type="dxa"/>
            <w:left w:w="108" w:type="dxa"/>
            <w:bottom w:w="0" w:type="dxa"/>
            <w:right w:w="108" w:type="dxa"/>
          </w:tblCellMar>
        </w:tblPrEx>
        <w:trPr>
          <w:trHeight w:val="675" w:hRule="atLeast"/>
        </w:trPr>
        <w:tc>
          <w:tcPr>
            <w:tcW w:w="684" w:type="dxa"/>
            <w:vMerge w:val="continue"/>
            <w:tcBorders>
              <w:top w:val="nil"/>
              <w:left w:val="single" w:color="auto" w:sz="4" w:space="0"/>
              <w:bottom w:val="single" w:color="000000" w:sz="4" w:space="0"/>
              <w:right w:val="nil"/>
            </w:tcBorders>
            <w:vAlign w:val="center"/>
          </w:tcPr>
          <w:p>
            <w:pPr>
              <w:widowControl/>
              <w:jc w:val="left"/>
              <w:rPr>
                <w:rFonts w:ascii="宋体" w:hAnsi="宋体" w:eastAsia="宋体"/>
                <w:color w:val="000000"/>
                <w:sz w:val="20"/>
                <w:szCs w:val="20"/>
              </w:rPr>
            </w:pPr>
          </w:p>
        </w:tc>
        <w:tc>
          <w:tcPr>
            <w:tcW w:w="740" w:type="dxa"/>
            <w:vMerge w:val="continue"/>
            <w:tcBorders>
              <w:top w:val="nil"/>
              <w:left w:val="single" w:color="000000" w:sz="4" w:space="0"/>
              <w:bottom w:val="nil"/>
              <w:right w:val="single" w:color="000000" w:sz="4" w:space="0"/>
            </w:tcBorders>
            <w:vAlign w:val="center"/>
          </w:tcPr>
          <w:p>
            <w:pPr>
              <w:widowControl/>
              <w:jc w:val="left"/>
              <w:rPr>
                <w:rFonts w:ascii="宋体" w:hAnsi="宋体" w:eastAsia="宋体"/>
                <w:color w:val="000000"/>
                <w:sz w:val="20"/>
                <w:szCs w:val="20"/>
              </w:rPr>
            </w:pPr>
          </w:p>
        </w:tc>
        <w:tc>
          <w:tcPr>
            <w:tcW w:w="79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成本指标</w:t>
            </w:r>
          </w:p>
        </w:tc>
        <w:tc>
          <w:tcPr>
            <w:tcW w:w="1600"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培训人员费用的人均节约额占人均标准额的比例</w:t>
            </w:r>
          </w:p>
        </w:tc>
        <w:tc>
          <w:tcPr>
            <w:tcW w:w="94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20%</w:t>
            </w:r>
          </w:p>
        </w:tc>
        <w:tc>
          <w:tcPr>
            <w:tcW w:w="88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20%</w:t>
            </w:r>
          </w:p>
        </w:tc>
        <w:tc>
          <w:tcPr>
            <w:tcW w:w="82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10</w:t>
            </w:r>
          </w:p>
        </w:tc>
      </w:tr>
      <w:tr>
        <w:tblPrEx>
          <w:tblCellMar>
            <w:top w:w="0" w:type="dxa"/>
            <w:left w:w="108" w:type="dxa"/>
            <w:bottom w:w="0" w:type="dxa"/>
            <w:right w:w="108" w:type="dxa"/>
          </w:tblCellMar>
        </w:tblPrEx>
        <w:trPr>
          <w:trHeight w:val="555" w:hRule="atLeast"/>
        </w:trPr>
        <w:tc>
          <w:tcPr>
            <w:tcW w:w="684" w:type="dxa"/>
            <w:vMerge w:val="continue"/>
            <w:tcBorders>
              <w:top w:val="nil"/>
              <w:left w:val="single" w:color="auto" w:sz="4" w:space="0"/>
              <w:bottom w:val="single" w:color="000000" w:sz="4" w:space="0"/>
              <w:right w:val="nil"/>
            </w:tcBorders>
            <w:vAlign w:val="center"/>
          </w:tcPr>
          <w:p>
            <w:pPr>
              <w:widowControl/>
              <w:jc w:val="left"/>
              <w:rPr>
                <w:rFonts w:ascii="宋体" w:hAnsi="宋体" w:eastAsia="宋体"/>
                <w:color w:val="000000"/>
                <w:sz w:val="20"/>
                <w:szCs w:val="20"/>
              </w:rPr>
            </w:pP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预算执行率指标</w:t>
            </w:r>
            <w:r>
              <w:rPr>
                <w:rFonts w:hint="eastAsia" w:ascii="宋体" w:hAnsi="宋体" w:eastAsia="宋体"/>
                <w:color w:val="000000"/>
                <w:sz w:val="20"/>
                <w:szCs w:val="20"/>
              </w:rPr>
              <w:br w:type="textWrapping"/>
            </w:r>
            <w:r>
              <w:rPr>
                <w:rFonts w:hint="eastAsia" w:ascii="宋体" w:hAnsi="宋体" w:eastAsia="宋体"/>
                <w:color w:val="000000"/>
                <w:sz w:val="20"/>
                <w:szCs w:val="20"/>
              </w:rPr>
              <w:t>（10分）</w:t>
            </w:r>
          </w:p>
        </w:tc>
        <w:tc>
          <w:tcPr>
            <w:tcW w:w="79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预算执行率</w:t>
            </w:r>
          </w:p>
        </w:tc>
        <w:tc>
          <w:tcPr>
            <w:tcW w:w="1600"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执行数/预算数</w:t>
            </w:r>
          </w:p>
        </w:tc>
        <w:tc>
          <w:tcPr>
            <w:tcW w:w="94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100%</w:t>
            </w:r>
          </w:p>
        </w:tc>
        <w:tc>
          <w:tcPr>
            <w:tcW w:w="88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100%</w:t>
            </w:r>
          </w:p>
        </w:tc>
        <w:tc>
          <w:tcPr>
            <w:tcW w:w="82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10</w:t>
            </w:r>
          </w:p>
        </w:tc>
      </w:tr>
      <w:tr>
        <w:tblPrEx>
          <w:tblCellMar>
            <w:top w:w="0" w:type="dxa"/>
            <w:left w:w="108" w:type="dxa"/>
            <w:bottom w:w="0" w:type="dxa"/>
            <w:right w:w="108" w:type="dxa"/>
          </w:tblCellMar>
        </w:tblPrEx>
        <w:trPr>
          <w:trHeight w:val="690" w:hRule="atLeast"/>
        </w:trPr>
        <w:tc>
          <w:tcPr>
            <w:tcW w:w="684" w:type="dxa"/>
            <w:vMerge w:val="continue"/>
            <w:tcBorders>
              <w:top w:val="nil"/>
              <w:left w:val="single" w:color="auto" w:sz="4" w:space="0"/>
              <w:bottom w:val="single" w:color="000000" w:sz="4" w:space="0"/>
              <w:right w:val="nil"/>
            </w:tcBorders>
            <w:vAlign w:val="center"/>
          </w:tcPr>
          <w:p>
            <w:pPr>
              <w:widowControl/>
              <w:jc w:val="left"/>
              <w:rPr>
                <w:rFonts w:ascii="宋体" w:hAnsi="宋体" w:eastAsia="宋体"/>
                <w:color w:val="000000"/>
                <w:sz w:val="20"/>
                <w:szCs w:val="20"/>
              </w:rPr>
            </w:pPr>
          </w:p>
        </w:tc>
        <w:tc>
          <w:tcPr>
            <w:tcW w:w="740" w:type="dxa"/>
            <w:vMerge w:val="restart"/>
            <w:tcBorders>
              <w:top w:val="nil"/>
              <w:left w:val="single" w:color="000000" w:sz="4" w:space="0"/>
              <w:bottom w:val="nil"/>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　</w:t>
            </w:r>
          </w:p>
        </w:tc>
        <w:tc>
          <w:tcPr>
            <w:tcW w:w="796" w:type="dxa"/>
            <w:vMerge w:val="restart"/>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社会效益指标</w:t>
            </w:r>
          </w:p>
        </w:tc>
        <w:tc>
          <w:tcPr>
            <w:tcW w:w="1600"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达到标准要求的回收站点数量占全部回收站点的比例</w:t>
            </w:r>
          </w:p>
        </w:tc>
        <w:tc>
          <w:tcPr>
            <w:tcW w:w="94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100%</w:t>
            </w:r>
          </w:p>
        </w:tc>
        <w:tc>
          <w:tcPr>
            <w:tcW w:w="88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100%</w:t>
            </w:r>
          </w:p>
        </w:tc>
        <w:tc>
          <w:tcPr>
            <w:tcW w:w="82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10</w:t>
            </w:r>
          </w:p>
        </w:tc>
      </w:tr>
      <w:tr>
        <w:trPr>
          <w:trHeight w:val="690" w:hRule="atLeast"/>
        </w:trPr>
        <w:tc>
          <w:tcPr>
            <w:tcW w:w="684" w:type="dxa"/>
            <w:vMerge w:val="continue"/>
            <w:tcBorders>
              <w:top w:val="nil"/>
              <w:left w:val="single" w:color="auto" w:sz="4" w:space="0"/>
              <w:bottom w:val="single" w:color="000000" w:sz="4" w:space="0"/>
              <w:right w:val="nil"/>
            </w:tcBorders>
            <w:vAlign w:val="center"/>
          </w:tcPr>
          <w:p>
            <w:pPr>
              <w:widowControl/>
              <w:jc w:val="left"/>
              <w:rPr>
                <w:rFonts w:ascii="宋体" w:hAnsi="宋体" w:eastAsia="宋体"/>
                <w:color w:val="000000"/>
                <w:sz w:val="20"/>
                <w:szCs w:val="20"/>
              </w:rPr>
            </w:pPr>
          </w:p>
        </w:tc>
        <w:tc>
          <w:tcPr>
            <w:tcW w:w="740" w:type="dxa"/>
            <w:vMerge w:val="continue"/>
            <w:tcBorders>
              <w:top w:val="nil"/>
              <w:left w:val="single" w:color="000000" w:sz="4" w:space="0"/>
              <w:bottom w:val="nil"/>
              <w:right w:val="single" w:color="000000" w:sz="4" w:space="0"/>
            </w:tcBorders>
            <w:vAlign w:val="center"/>
          </w:tcPr>
          <w:p>
            <w:pPr>
              <w:widowControl/>
              <w:jc w:val="left"/>
              <w:rPr>
                <w:rFonts w:ascii="宋体" w:hAnsi="宋体" w:eastAsia="宋体"/>
                <w:color w:val="000000"/>
                <w:sz w:val="20"/>
                <w:szCs w:val="20"/>
              </w:rPr>
            </w:pPr>
          </w:p>
        </w:tc>
        <w:tc>
          <w:tcPr>
            <w:tcW w:w="796" w:type="dxa"/>
            <w:vMerge w:val="continue"/>
            <w:tcBorders>
              <w:top w:val="nil"/>
              <w:left w:val="nil"/>
              <w:bottom w:val="single" w:color="000000" w:sz="4" w:space="0"/>
              <w:right w:val="single" w:color="000000" w:sz="4" w:space="0"/>
            </w:tcBorders>
            <w:vAlign w:val="center"/>
          </w:tcPr>
          <w:p>
            <w:pPr>
              <w:widowControl/>
              <w:jc w:val="left"/>
              <w:rPr>
                <w:rFonts w:ascii="宋体" w:hAnsi="宋体" w:eastAsia="宋体"/>
                <w:color w:val="000000"/>
                <w:sz w:val="20"/>
                <w:szCs w:val="20"/>
              </w:rPr>
            </w:pPr>
          </w:p>
        </w:tc>
        <w:tc>
          <w:tcPr>
            <w:tcW w:w="1600"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合理布局的回收站点占全部站点的比例</w:t>
            </w:r>
          </w:p>
        </w:tc>
        <w:tc>
          <w:tcPr>
            <w:tcW w:w="94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100%</w:t>
            </w:r>
          </w:p>
        </w:tc>
        <w:tc>
          <w:tcPr>
            <w:tcW w:w="88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100%</w:t>
            </w:r>
          </w:p>
        </w:tc>
        <w:tc>
          <w:tcPr>
            <w:tcW w:w="82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10</w:t>
            </w:r>
          </w:p>
        </w:tc>
      </w:tr>
      <w:tr>
        <w:tblPrEx>
          <w:tblCellMar>
            <w:top w:w="0" w:type="dxa"/>
            <w:left w:w="108" w:type="dxa"/>
            <w:bottom w:w="0" w:type="dxa"/>
            <w:right w:w="108" w:type="dxa"/>
          </w:tblCellMar>
        </w:tblPrEx>
        <w:trPr>
          <w:trHeight w:val="690" w:hRule="atLeast"/>
        </w:trPr>
        <w:tc>
          <w:tcPr>
            <w:tcW w:w="684" w:type="dxa"/>
            <w:vMerge w:val="continue"/>
            <w:tcBorders>
              <w:top w:val="nil"/>
              <w:left w:val="single" w:color="auto" w:sz="4" w:space="0"/>
              <w:bottom w:val="single" w:color="000000" w:sz="4" w:space="0"/>
              <w:right w:val="nil"/>
            </w:tcBorders>
            <w:vAlign w:val="center"/>
          </w:tcPr>
          <w:p>
            <w:pPr>
              <w:widowControl/>
              <w:jc w:val="left"/>
              <w:rPr>
                <w:rFonts w:ascii="宋体" w:hAnsi="宋体" w:eastAsia="宋体"/>
                <w:color w:val="000000"/>
                <w:sz w:val="20"/>
                <w:szCs w:val="20"/>
              </w:rPr>
            </w:pPr>
          </w:p>
        </w:tc>
        <w:tc>
          <w:tcPr>
            <w:tcW w:w="740" w:type="dxa"/>
            <w:vMerge w:val="continue"/>
            <w:tcBorders>
              <w:top w:val="nil"/>
              <w:left w:val="single" w:color="000000" w:sz="4" w:space="0"/>
              <w:bottom w:val="nil"/>
              <w:right w:val="single" w:color="000000" w:sz="4" w:space="0"/>
            </w:tcBorders>
            <w:vAlign w:val="center"/>
          </w:tcPr>
          <w:p>
            <w:pPr>
              <w:widowControl/>
              <w:jc w:val="left"/>
              <w:rPr>
                <w:rFonts w:ascii="宋体" w:hAnsi="宋体" w:eastAsia="宋体"/>
                <w:color w:val="000000"/>
                <w:sz w:val="20"/>
                <w:szCs w:val="20"/>
              </w:rPr>
            </w:pPr>
          </w:p>
        </w:tc>
        <w:tc>
          <w:tcPr>
            <w:tcW w:w="79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可持续影响指标</w:t>
            </w:r>
          </w:p>
        </w:tc>
        <w:tc>
          <w:tcPr>
            <w:tcW w:w="1600"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回收行业可持续发展带动社会效益提高的比例</w:t>
            </w:r>
          </w:p>
        </w:tc>
        <w:tc>
          <w:tcPr>
            <w:tcW w:w="94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15%</w:t>
            </w:r>
          </w:p>
        </w:tc>
        <w:tc>
          <w:tcPr>
            <w:tcW w:w="88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15%</w:t>
            </w:r>
          </w:p>
        </w:tc>
        <w:tc>
          <w:tcPr>
            <w:tcW w:w="82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15</w:t>
            </w:r>
          </w:p>
        </w:tc>
      </w:tr>
      <w:tr>
        <w:tblPrEx>
          <w:tblCellMar>
            <w:top w:w="0" w:type="dxa"/>
            <w:left w:w="108" w:type="dxa"/>
            <w:bottom w:w="0" w:type="dxa"/>
            <w:right w:w="108" w:type="dxa"/>
          </w:tblCellMar>
        </w:tblPrEx>
        <w:trPr>
          <w:trHeight w:val="690" w:hRule="atLeast"/>
        </w:trPr>
        <w:tc>
          <w:tcPr>
            <w:tcW w:w="684" w:type="dxa"/>
            <w:vMerge w:val="continue"/>
            <w:tcBorders>
              <w:top w:val="nil"/>
              <w:left w:val="single" w:color="auto" w:sz="4" w:space="0"/>
              <w:bottom w:val="single" w:color="000000" w:sz="4" w:space="0"/>
              <w:right w:val="nil"/>
            </w:tcBorders>
            <w:vAlign w:val="center"/>
          </w:tcPr>
          <w:p>
            <w:pPr>
              <w:widowControl/>
              <w:jc w:val="left"/>
              <w:rPr>
                <w:rFonts w:ascii="宋体" w:hAnsi="宋体" w:eastAsia="宋体"/>
                <w:color w:val="000000"/>
                <w:sz w:val="20"/>
                <w:szCs w:val="20"/>
              </w:rPr>
            </w:pP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满意度指标</w:t>
            </w:r>
            <w:r>
              <w:rPr>
                <w:rFonts w:hint="eastAsia" w:ascii="宋体" w:hAnsi="宋体" w:eastAsia="宋体"/>
                <w:color w:val="000000"/>
                <w:sz w:val="20"/>
                <w:szCs w:val="20"/>
              </w:rPr>
              <w:br w:type="textWrapping"/>
            </w:r>
            <w:r>
              <w:rPr>
                <w:rFonts w:hint="eastAsia" w:ascii="宋体" w:hAnsi="宋体" w:eastAsia="宋体"/>
                <w:color w:val="000000"/>
                <w:sz w:val="20"/>
                <w:szCs w:val="20"/>
              </w:rPr>
              <w:t>（10分）</w:t>
            </w:r>
          </w:p>
        </w:tc>
        <w:tc>
          <w:tcPr>
            <w:tcW w:w="79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满意度指标</w:t>
            </w:r>
          </w:p>
        </w:tc>
        <w:tc>
          <w:tcPr>
            <w:tcW w:w="1600"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回收站点满意和较满意数量占全部回收站点数量的比例</w:t>
            </w:r>
          </w:p>
        </w:tc>
        <w:tc>
          <w:tcPr>
            <w:tcW w:w="94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90%</w:t>
            </w:r>
          </w:p>
        </w:tc>
        <w:tc>
          <w:tcPr>
            <w:tcW w:w="88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90%</w:t>
            </w:r>
          </w:p>
        </w:tc>
        <w:tc>
          <w:tcPr>
            <w:tcW w:w="82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8</w:t>
            </w:r>
          </w:p>
        </w:tc>
      </w:tr>
      <w:tr>
        <w:tblPrEx>
          <w:tblCellMar>
            <w:top w:w="0" w:type="dxa"/>
            <w:left w:w="108" w:type="dxa"/>
            <w:bottom w:w="0" w:type="dxa"/>
            <w:right w:w="108" w:type="dxa"/>
          </w:tblCellMar>
        </w:tblPrEx>
        <w:trPr>
          <w:trHeight w:val="390" w:hRule="atLeast"/>
        </w:trPr>
        <w:tc>
          <w:tcPr>
            <w:tcW w:w="684" w:type="dxa"/>
            <w:vMerge w:val="continue"/>
            <w:tcBorders>
              <w:top w:val="nil"/>
              <w:left w:val="single" w:color="auto" w:sz="4" w:space="0"/>
              <w:bottom w:val="single" w:color="000000" w:sz="4" w:space="0"/>
              <w:right w:val="nil"/>
            </w:tcBorders>
            <w:vAlign w:val="center"/>
          </w:tcPr>
          <w:p>
            <w:pPr>
              <w:widowControl/>
              <w:jc w:val="left"/>
              <w:rPr>
                <w:rFonts w:ascii="宋体" w:hAnsi="宋体" w:eastAsia="宋体"/>
                <w:color w:val="000000"/>
                <w:sz w:val="20"/>
                <w:szCs w:val="20"/>
              </w:rPr>
            </w:pPr>
          </w:p>
        </w:tc>
        <w:tc>
          <w:tcPr>
            <w:tcW w:w="4956"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总分</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93</w:t>
            </w:r>
          </w:p>
        </w:tc>
      </w:tr>
      <w:tr>
        <w:tblPrEx>
          <w:tblCellMar>
            <w:top w:w="0" w:type="dxa"/>
            <w:left w:w="108" w:type="dxa"/>
            <w:bottom w:w="0" w:type="dxa"/>
            <w:right w:w="108" w:type="dxa"/>
          </w:tblCellMar>
        </w:tblPrEx>
        <w:trPr>
          <w:trHeight w:val="975" w:hRule="atLeast"/>
        </w:trPr>
        <w:tc>
          <w:tcPr>
            <w:tcW w:w="684" w:type="dxa"/>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五、</w:t>
            </w:r>
            <w:r>
              <w:rPr>
                <w:rFonts w:ascii="Calibri" w:hAnsi="Calibri" w:eastAsia="宋体"/>
                <w:color w:val="000000"/>
                <w:sz w:val="20"/>
                <w:szCs w:val="20"/>
              </w:rPr>
              <w:t> </w:t>
            </w:r>
            <w:r>
              <w:rPr>
                <w:rFonts w:hint="eastAsia" w:ascii="宋体" w:hAnsi="宋体" w:eastAsia="宋体"/>
                <w:color w:val="000000"/>
                <w:sz w:val="20"/>
                <w:szCs w:val="20"/>
              </w:rPr>
              <w:t>存在问题、原因及下一步整改措施</w:t>
            </w:r>
          </w:p>
        </w:tc>
        <w:tc>
          <w:tcPr>
            <w:tcW w:w="5776" w:type="dxa"/>
            <w:gridSpan w:val="7"/>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再生资源回收利用行业缺乏专业人才，应健全制度和规范的行业监管行为，建立部门间信息共享机制，应加强回收利用行业指导。</w:t>
            </w:r>
          </w:p>
        </w:tc>
      </w:tr>
    </w:tbl>
    <w:p>
      <w:pPr>
        <w:adjustRightInd w:val="0"/>
        <w:snapToGrid w:val="0"/>
        <w:spacing w:line="560" w:lineRule="exact"/>
        <w:ind w:firstLine="800" w:firstLineChars="250"/>
        <w:rPr>
          <w:rFonts w:ascii="Times New Roman" w:hAnsi="Times New Roman" w:eastAsia="仿宋_GB2312"/>
          <w:sz w:val="32"/>
          <w:szCs w:val="32"/>
        </w:rPr>
      </w:pPr>
    </w:p>
    <w:tbl>
      <w:tblPr>
        <w:tblStyle w:val="11"/>
        <w:tblW w:w="7896" w:type="dxa"/>
        <w:tblInd w:w="89" w:type="dxa"/>
        <w:tblLayout w:type="autofit"/>
        <w:tblCellMar>
          <w:top w:w="0" w:type="dxa"/>
          <w:left w:w="108" w:type="dxa"/>
          <w:bottom w:w="0" w:type="dxa"/>
          <w:right w:w="108" w:type="dxa"/>
        </w:tblCellMar>
      </w:tblPr>
      <w:tblGrid>
        <w:gridCol w:w="862"/>
        <w:gridCol w:w="1160"/>
        <w:gridCol w:w="1038"/>
        <w:gridCol w:w="1180"/>
        <w:gridCol w:w="920"/>
        <w:gridCol w:w="1020"/>
        <w:gridCol w:w="900"/>
        <w:gridCol w:w="816"/>
      </w:tblGrid>
      <w:tr>
        <w:tblPrEx>
          <w:tblCellMar>
            <w:top w:w="0" w:type="dxa"/>
            <w:left w:w="108" w:type="dxa"/>
            <w:bottom w:w="0" w:type="dxa"/>
            <w:right w:w="108" w:type="dxa"/>
          </w:tblCellMar>
        </w:tblPrEx>
        <w:trPr>
          <w:trHeight w:val="540" w:hRule="atLeast"/>
        </w:trPr>
        <w:tc>
          <w:tcPr>
            <w:tcW w:w="7896" w:type="dxa"/>
            <w:gridSpan w:val="8"/>
            <w:tcBorders>
              <w:top w:val="nil"/>
              <w:left w:val="nil"/>
              <w:bottom w:val="nil"/>
              <w:right w:val="nil"/>
            </w:tcBorders>
            <w:shd w:val="clear" w:color="auto" w:fill="auto"/>
            <w:noWrap/>
            <w:vAlign w:val="center"/>
          </w:tcPr>
          <w:p>
            <w:pPr>
              <w:widowControl/>
              <w:ind w:firstLine="280" w:firstLineChars="100"/>
              <w:jc w:val="left"/>
              <w:rPr>
                <w:rFonts w:ascii="方正小标宋_GBK" w:hAnsi="宋体" w:eastAsia="方正小标宋_GBK"/>
                <w:color w:val="000000"/>
                <w:sz w:val="30"/>
                <w:szCs w:val="30"/>
              </w:rPr>
            </w:pPr>
            <w:r>
              <w:rPr>
                <w:rFonts w:ascii="方正仿宋_GBK" w:hAnsi="方正仿宋_GBK" w:eastAsia="方正仿宋_GBK" w:cs="方正仿宋_GBK"/>
                <w:color w:val="000000"/>
                <w:sz w:val="28"/>
              </w:rPr>
              <w:t>退休军人公益岗</w:t>
            </w:r>
            <w:r>
              <w:rPr>
                <w:rFonts w:ascii="Times New Roman" w:hAnsi="Times New Roman" w:eastAsia="仿宋_GB2312"/>
                <w:kern w:val="2"/>
                <w:sz w:val="32"/>
                <w:szCs w:val="32"/>
                <w:lang w:val="zh-CN"/>
              </w:rPr>
              <w:t>项目绩效自评情况。根据年初设定的绩效目标，</w:t>
            </w:r>
            <w:r>
              <w:rPr>
                <w:rFonts w:ascii="方正仿宋_GBK" w:hAnsi="方正仿宋_GBK" w:eastAsia="方正仿宋_GBK" w:cs="方正仿宋_GBK"/>
                <w:color w:val="000000"/>
                <w:sz w:val="28"/>
              </w:rPr>
              <w:t>社会化服务</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zh-CN"/>
              </w:rPr>
              <w:t>98</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zh-CN"/>
              </w:rPr>
              <w:t>56.95</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zh-CN"/>
              </w:rPr>
              <w:t>56.95</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zh-CN"/>
              </w:rPr>
              <w:t>100</w:t>
            </w:r>
            <w:r>
              <w:rPr>
                <w:rFonts w:ascii="Times New Roman" w:hAnsi="Times New Roman" w:eastAsia="仿宋_GB2312"/>
                <w:kern w:val="2"/>
                <w:sz w:val="32"/>
                <w:szCs w:val="32"/>
                <w:lang w:val="zh-CN"/>
              </w:rPr>
              <w:t>%。项目绩效目标完成情况：</w:t>
            </w:r>
            <w:r>
              <w:rPr>
                <w:rFonts w:hint="eastAsia" w:ascii="宋体" w:hAnsi="宋体" w:eastAsia="宋体"/>
                <w:sz w:val="32"/>
                <w:szCs w:val="32"/>
              </w:rPr>
              <w:t>做好</w:t>
            </w:r>
            <w:r>
              <w:rPr>
                <w:rFonts w:hint="eastAsia" w:ascii="___WRD_EMBED_SUB_48" w:hAnsi="___WRD_EMBED_SUB_48" w:eastAsia="___WRD_EMBED_SUB_48" w:cs="___WRD_EMBED_SUB_48"/>
                <w:sz w:val="32"/>
                <w:szCs w:val="32"/>
              </w:rPr>
              <w:t>退</w:t>
            </w:r>
            <w:r>
              <w:rPr>
                <w:rFonts w:hint="eastAsia" w:ascii="宋体" w:hAnsi="宋体" w:eastAsia="宋体"/>
                <w:sz w:val="32"/>
                <w:szCs w:val="32"/>
              </w:rPr>
              <w:t>役军</w:t>
            </w:r>
            <w:r>
              <w:rPr>
                <w:rFonts w:hint="eastAsia" w:ascii="___WRD_EMBED_SUB_48" w:hAnsi="___WRD_EMBED_SUB_48" w:eastAsia="___WRD_EMBED_SUB_48" w:cs="___WRD_EMBED_SUB_48"/>
                <w:sz w:val="32"/>
                <w:szCs w:val="32"/>
              </w:rPr>
              <w:t>人</w:t>
            </w:r>
            <w:r>
              <w:rPr>
                <w:rFonts w:hint="eastAsia" w:ascii="仿宋_GB2312" w:eastAsia="仿宋_GB2312"/>
                <w:sz w:val="32"/>
                <w:szCs w:val="32"/>
              </w:rPr>
              <w:t>12人的安置</w:t>
            </w:r>
            <w:r>
              <w:rPr>
                <w:rFonts w:hint="eastAsia" w:ascii="宋体" w:hAnsi="宋体" w:eastAsia="宋体"/>
                <w:sz w:val="32"/>
                <w:szCs w:val="32"/>
              </w:rPr>
              <w:t>帮扶</w:t>
            </w:r>
            <w:r>
              <w:rPr>
                <w:rFonts w:hint="eastAsia" w:ascii="___WRD_EMBED_SUB_48" w:hAnsi="___WRD_EMBED_SUB_48" w:eastAsia="___WRD_EMBED_SUB_48" w:cs="___WRD_EMBED_SUB_48"/>
                <w:sz w:val="32"/>
                <w:szCs w:val="32"/>
              </w:rPr>
              <w:t>工作，及</w:t>
            </w:r>
            <w:r>
              <w:rPr>
                <w:rFonts w:hint="eastAsia" w:ascii="宋体" w:hAnsi="宋体" w:eastAsia="宋体"/>
                <w:sz w:val="32"/>
                <w:szCs w:val="32"/>
              </w:rPr>
              <w:t>时</w:t>
            </w:r>
            <w:r>
              <w:rPr>
                <w:rFonts w:hint="eastAsia" w:ascii="___WRD_EMBED_SUB_48" w:hAnsi="___WRD_EMBED_SUB_48" w:eastAsia="___WRD_EMBED_SUB_48" w:cs="___WRD_EMBED_SUB_48"/>
                <w:sz w:val="32"/>
                <w:szCs w:val="32"/>
              </w:rPr>
              <w:t>保障退</w:t>
            </w:r>
            <w:r>
              <w:rPr>
                <w:rFonts w:hint="eastAsia" w:ascii="宋体" w:hAnsi="宋体" w:eastAsia="宋体"/>
                <w:sz w:val="32"/>
                <w:szCs w:val="32"/>
              </w:rPr>
              <w:t>役</w:t>
            </w:r>
            <w:r>
              <w:rPr>
                <w:rFonts w:hint="eastAsia" w:ascii="___WRD_EMBED_SUB_48" w:hAnsi="___WRD_EMBED_SUB_48" w:eastAsia="___WRD_EMBED_SUB_48" w:cs="___WRD_EMBED_SUB_48"/>
                <w:sz w:val="32"/>
                <w:szCs w:val="32"/>
              </w:rPr>
              <w:t>人员的生活费，按</w:t>
            </w:r>
            <w:r>
              <w:rPr>
                <w:rFonts w:hint="eastAsia" w:ascii="宋体" w:hAnsi="宋体" w:eastAsia="宋体"/>
                <w:sz w:val="32"/>
                <w:szCs w:val="32"/>
              </w:rPr>
              <w:t>时</w:t>
            </w:r>
            <w:r>
              <w:rPr>
                <w:rFonts w:hint="eastAsia" w:ascii="___WRD_EMBED_SUB_48" w:hAnsi="___WRD_EMBED_SUB_48" w:eastAsia="___WRD_EMBED_SUB_48" w:cs="___WRD_EMBED_SUB_48"/>
                <w:sz w:val="32"/>
                <w:szCs w:val="32"/>
              </w:rPr>
              <w:t>发</w:t>
            </w:r>
            <w:r>
              <w:rPr>
                <w:rFonts w:hint="eastAsia" w:ascii="宋体" w:hAnsi="宋体" w:eastAsia="宋体"/>
                <w:sz w:val="32"/>
                <w:szCs w:val="32"/>
              </w:rPr>
              <w:t>放</w:t>
            </w:r>
            <w:r>
              <w:rPr>
                <w:rFonts w:hint="eastAsia" w:ascii="___WRD_EMBED_SUB_48" w:hAnsi="___WRD_EMBED_SUB_48" w:eastAsia="___WRD_EMBED_SUB_48" w:cs="___WRD_EMBED_SUB_48"/>
                <w:sz w:val="32"/>
                <w:szCs w:val="32"/>
              </w:rPr>
              <w:t>生活补贴及劳务工资</w:t>
            </w:r>
            <w:r>
              <w:rPr>
                <w:rFonts w:hint="eastAsia" w:ascii="仿宋_GB2312" w:eastAsia="仿宋_GB2312"/>
                <w:sz w:val="32"/>
                <w:szCs w:val="32"/>
              </w:rPr>
              <w:t>。</w:t>
            </w:r>
            <w:r>
              <w:rPr>
                <w:rFonts w:ascii="Times New Roman" w:hAnsi="Times New Roman" w:eastAsia="仿宋_GB2312"/>
                <w:sz w:val="32"/>
                <w:szCs w:val="32"/>
              </w:rPr>
              <w:t>通过项目实施，完成了年初设定的各项绩效目标，完成</w:t>
            </w:r>
            <w:r>
              <w:rPr>
                <w:rFonts w:hint="eastAsia" w:ascii="Times New Roman" w:hAnsi="Times New Roman" w:eastAsia="仿宋_GB2312"/>
                <w:sz w:val="32"/>
                <w:szCs w:val="32"/>
              </w:rPr>
              <w:t>100%，</w:t>
            </w:r>
            <w:r>
              <w:rPr>
                <w:rFonts w:ascii="Times New Roman" w:hAnsi="Times New Roman" w:eastAsia="仿宋_GB2312"/>
                <w:sz w:val="32"/>
                <w:szCs w:val="32"/>
              </w:rPr>
              <w:t>未发现问题。</w:t>
            </w:r>
            <w:r>
              <w:rPr>
                <w:rFonts w:ascii="Times New Roman" w:hAnsi="Times New Roman" w:eastAsia="仿宋_GB2312" w:cs="Times New Roman"/>
                <w:sz w:val="32"/>
                <w:szCs w:val="32"/>
              </w:rPr>
              <w:t>附项目支出绩效自评表</w:t>
            </w:r>
          </w:p>
        </w:tc>
      </w:tr>
      <w:tr>
        <w:tblPrEx>
          <w:tblCellMar>
            <w:top w:w="0" w:type="dxa"/>
            <w:left w:w="108" w:type="dxa"/>
            <w:bottom w:w="0" w:type="dxa"/>
            <w:right w:w="108" w:type="dxa"/>
          </w:tblCellMar>
        </w:tblPrEx>
        <w:trPr>
          <w:trHeight w:val="315" w:hRule="atLeast"/>
        </w:trPr>
        <w:tc>
          <w:tcPr>
            <w:tcW w:w="7896" w:type="dxa"/>
            <w:gridSpan w:val="8"/>
            <w:tcBorders>
              <w:top w:val="nil"/>
              <w:left w:val="nil"/>
              <w:bottom w:val="nil"/>
              <w:right w:val="nil"/>
            </w:tcBorders>
            <w:shd w:val="clear" w:color="auto" w:fill="auto"/>
            <w:noWrap/>
            <w:vAlign w:val="bottom"/>
          </w:tcPr>
          <w:p>
            <w:pPr>
              <w:widowControl/>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60" w:hRule="atLeast"/>
        </w:trPr>
        <w:tc>
          <w:tcPr>
            <w:tcW w:w="3060" w:type="dxa"/>
            <w:gridSpan w:val="3"/>
            <w:tcBorders>
              <w:top w:val="nil"/>
              <w:left w:val="nil"/>
              <w:bottom w:val="nil"/>
              <w:right w:val="nil"/>
            </w:tcBorders>
            <w:shd w:val="clear" w:color="auto" w:fill="auto"/>
            <w:noWrap/>
            <w:vAlign w:val="center"/>
          </w:tcPr>
          <w:p>
            <w:pPr>
              <w:widowControl/>
              <w:jc w:val="left"/>
              <w:rPr>
                <w:rFonts w:ascii="宋体" w:hAnsi="宋体" w:eastAsia="宋体"/>
                <w:color w:val="000000"/>
                <w:sz w:val="20"/>
                <w:szCs w:val="20"/>
              </w:rPr>
            </w:pPr>
          </w:p>
        </w:tc>
        <w:tc>
          <w:tcPr>
            <w:tcW w:w="1180" w:type="dxa"/>
            <w:tcBorders>
              <w:top w:val="nil"/>
              <w:left w:val="nil"/>
              <w:bottom w:val="nil"/>
              <w:right w:val="nil"/>
            </w:tcBorders>
            <w:shd w:val="clear" w:color="auto" w:fill="auto"/>
            <w:noWrap/>
            <w:vAlign w:val="center"/>
          </w:tcPr>
          <w:p>
            <w:pPr>
              <w:widowControl/>
              <w:jc w:val="center"/>
              <w:rPr>
                <w:rFonts w:ascii="宋体" w:hAnsi="宋体" w:eastAsia="宋体"/>
                <w:color w:val="000000"/>
                <w:sz w:val="20"/>
                <w:szCs w:val="20"/>
              </w:rPr>
            </w:pPr>
          </w:p>
        </w:tc>
        <w:tc>
          <w:tcPr>
            <w:tcW w:w="920" w:type="dxa"/>
            <w:tcBorders>
              <w:top w:val="nil"/>
              <w:left w:val="nil"/>
              <w:bottom w:val="nil"/>
              <w:right w:val="nil"/>
            </w:tcBorders>
            <w:shd w:val="clear" w:color="auto" w:fill="auto"/>
            <w:noWrap/>
            <w:vAlign w:val="center"/>
          </w:tcPr>
          <w:p>
            <w:pPr>
              <w:widowControl/>
              <w:jc w:val="center"/>
              <w:rPr>
                <w:rFonts w:ascii="宋体" w:hAnsi="宋体" w:eastAsia="宋体"/>
                <w:color w:val="000000"/>
                <w:sz w:val="20"/>
                <w:szCs w:val="20"/>
              </w:rPr>
            </w:pPr>
          </w:p>
        </w:tc>
        <w:tc>
          <w:tcPr>
            <w:tcW w:w="1020" w:type="dxa"/>
            <w:tcBorders>
              <w:top w:val="nil"/>
              <w:left w:val="nil"/>
              <w:bottom w:val="nil"/>
              <w:right w:val="nil"/>
            </w:tcBorders>
            <w:shd w:val="clear" w:color="auto" w:fill="auto"/>
            <w:noWrap/>
            <w:vAlign w:val="center"/>
          </w:tcPr>
          <w:p>
            <w:pPr>
              <w:widowControl/>
              <w:jc w:val="center"/>
              <w:rPr>
                <w:rFonts w:ascii="宋体" w:hAnsi="宋体" w:eastAsia="宋体"/>
                <w:color w:val="000000"/>
                <w:sz w:val="20"/>
                <w:szCs w:val="20"/>
              </w:rPr>
            </w:pPr>
          </w:p>
        </w:tc>
        <w:tc>
          <w:tcPr>
            <w:tcW w:w="1716" w:type="dxa"/>
            <w:gridSpan w:val="2"/>
            <w:tcBorders>
              <w:top w:val="nil"/>
              <w:left w:val="nil"/>
              <w:bottom w:val="single" w:color="000000" w:sz="4" w:space="0"/>
              <w:right w:val="nil"/>
            </w:tcBorders>
            <w:shd w:val="clear" w:color="auto" w:fill="auto"/>
            <w:noWrap/>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金额单位：万元</w:t>
            </w:r>
          </w:p>
        </w:tc>
      </w:tr>
      <w:tr>
        <w:tblPrEx>
          <w:tblCellMar>
            <w:top w:w="0" w:type="dxa"/>
            <w:left w:w="108" w:type="dxa"/>
            <w:bottom w:w="0" w:type="dxa"/>
            <w:right w:w="108" w:type="dxa"/>
          </w:tblCellMar>
        </w:tblPrEx>
        <w:trPr>
          <w:trHeight w:val="559" w:hRule="atLeast"/>
        </w:trPr>
        <w:tc>
          <w:tcPr>
            <w:tcW w:w="862" w:type="dxa"/>
            <w:tcBorders>
              <w:top w:val="single" w:color="000000" w:sz="4" w:space="0"/>
              <w:left w:val="single" w:color="000000" w:sz="4" w:space="0"/>
              <w:bottom w:val="nil"/>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一、</w:t>
            </w:r>
            <w:r>
              <w:rPr>
                <w:rFonts w:ascii="Calibri" w:hAnsi="Calibri" w:eastAsia="宋体"/>
                <w:color w:val="000000"/>
                <w:sz w:val="20"/>
                <w:szCs w:val="20"/>
              </w:rPr>
              <w:t> </w:t>
            </w:r>
            <w:r>
              <w:rPr>
                <w:rFonts w:hint="eastAsia" w:ascii="宋体" w:hAnsi="宋体" w:eastAsia="宋体"/>
                <w:color w:val="000000"/>
                <w:sz w:val="20"/>
                <w:szCs w:val="20"/>
              </w:rPr>
              <w:t>基本情况</w:t>
            </w:r>
          </w:p>
        </w:tc>
        <w:tc>
          <w:tcPr>
            <w:tcW w:w="1160"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项目名称</w:t>
            </w:r>
          </w:p>
        </w:tc>
        <w:tc>
          <w:tcPr>
            <w:tcW w:w="2218"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right"/>
              <w:rPr>
                <w:rFonts w:ascii="宋体" w:hAnsi="宋体" w:eastAsia="宋体"/>
                <w:color w:val="000000"/>
                <w:sz w:val="20"/>
                <w:szCs w:val="20"/>
              </w:rPr>
            </w:pPr>
            <w:r>
              <w:rPr>
                <w:rFonts w:hint="eastAsia" w:ascii="宋体" w:hAnsi="宋体" w:eastAsia="宋体"/>
                <w:color w:val="000000"/>
                <w:sz w:val="20"/>
                <w:szCs w:val="20"/>
              </w:rPr>
              <w:t>退役军人公益岗</w:t>
            </w:r>
          </w:p>
        </w:tc>
        <w:tc>
          <w:tcPr>
            <w:tcW w:w="920"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实施</w:t>
            </w:r>
            <w:r>
              <w:rPr>
                <w:rFonts w:hint="eastAsia" w:ascii="宋体" w:hAnsi="宋体" w:eastAsia="宋体"/>
                <w:color w:val="000000"/>
                <w:sz w:val="20"/>
                <w:szCs w:val="20"/>
                <w:lang w:eastAsia="zh-CN"/>
              </w:rPr>
              <w:t>（</w:t>
            </w:r>
            <w:r>
              <w:rPr>
                <w:rFonts w:hint="eastAsia" w:ascii="宋体" w:hAnsi="宋体" w:eastAsia="宋体"/>
                <w:color w:val="000000"/>
                <w:sz w:val="20"/>
                <w:szCs w:val="20"/>
              </w:rPr>
              <w:t>主管）单位</w:t>
            </w:r>
          </w:p>
        </w:tc>
        <w:tc>
          <w:tcPr>
            <w:tcW w:w="2736"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鹿泉区供销合作总社</w:t>
            </w:r>
          </w:p>
        </w:tc>
      </w:tr>
      <w:tr>
        <w:tblPrEx>
          <w:tblCellMar>
            <w:top w:w="0" w:type="dxa"/>
            <w:left w:w="108" w:type="dxa"/>
            <w:bottom w:w="0" w:type="dxa"/>
            <w:right w:w="108" w:type="dxa"/>
          </w:tblCellMar>
        </w:tblPrEx>
        <w:trPr>
          <w:trHeight w:val="480" w:hRule="atLeast"/>
        </w:trPr>
        <w:tc>
          <w:tcPr>
            <w:tcW w:w="8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二、预算执行情况</w:t>
            </w:r>
          </w:p>
        </w:tc>
        <w:tc>
          <w:tcPr>
            <w:tcW w:w="2198"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预算安排情况（调整后）</w:t>
            </w:r>
          </w:p>
        </w:tc>
        <w:tc>
          <w:tcPr>
            <w:tcW w:w="2100"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资金到位情况</w:t>
            </w:r>
          </w:p>
        </w:tc>
        <w:tc>
          <w:tcPr>
            <w:tcW w:w="1920"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资金执行情况</w:t>
            </w:r>
          </w:p>
        </w:tc>
        <w:tc>
          <w:tcPr>
            <w:tcW w:w="81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预算执行进度</w:t>
            </w:r>
          </w:p>
        </w:tc>
      </w:tr>
      <w:tr>
        <w:tblPrEx>
          <w:tblCellMar>
            <w:top w:w="0" w:type="dxa"/>
            <w:left w:w="108" w:type="dxa"/>
            <w:bottom w:w="0" w:type="dxa"/>
            <w:right w:w="108" w:type="dxa"/>
          </w:tblCellMar>
        </w:tblPrEx>
        <w:trPr>
          <w:trHeight w:val="420" w:hRule="atLeast"/>
        </w:trPr>
        <w:tc>
          <w:tcPr>
            <w:tcW w:w="86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c>
          <w:tcPr>
            <w:tcW w:w="116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预算数：</w:t>
            </w:r>
          </w:p>
        </w:tc>
        <w:tc>
          <w:tcPr>
            <w:tcW w:w="1038"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eastAsia="宋体"/>
                <w:color w:val="000000"/>
                <w:sz w:val="20"/>
                <w:szCs w:val="20"/>
              </w:rPr>
            </w:pPr>
            <w:r>
              <w:rPr>
                <w:rFonts w:hint="eastAsia" w:ascii="宋体" w:hAnsi="宋体" w:eastAsia="宋体"/>
                <w:color w:val="000000"/>
                <w:sz w:val="20"/>
                <w:szCs w:val="20"/>
              </w:rPr>
              <w:t>65.79</w:t>
            </w:r>
          </w:p>
        </w:tc>
        <w:tc>
          <w:tcPr>
            <w:tcW w:w="118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到位数：</w:t>
            </w:r>
          </w:p>
        </w:tc>
        <w:tc>
          <w:tcPr>
            <w:tcW w:w="920"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eastAsia="宋体"/>
                <w:color w:val="000000"/>
                <w:sz w:val="20"/>
                <w:szCs w:val="20"/>
              </w:rPr>
            </w:pPr>
            <w:r>
              <w:rPr>
                <w:rFonts w:hint="eastAsia" w:ascii="宋体" w:hAnsi="宋体" w:eastAsia="宋体"/>
                <w:color w:val="000000"/>
                <w:sz w:val="20"/>
                <w:szCs w:val="20"/>
              </w:rPr>
              <w:t>56.945</w:t>
            </w:r>
          </w:p>
        </w:tc>
        <w:tc>
          <w:tcPr>
            <w:tcW w:w="102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执行数：</w:t>
            </w:r>
          </w:p>
        </w:tc>
        <w:tc>
          <w:tcPr>
            <w:tcW w:w="900" w:type="dxa"/>
            <w:tcBorders>
              <w:top w:val="nil"/>
              <w:left w:val="nil"/>
              <w:bottom w:val="single" w:color="000000" w:sz="4" w:space="0"/>
              <w:right w:val="single" w:color="000000" w:sz="4" w:space="0"/>
            </w:tcBorders>
            <w:shd w:val="clear" w:color="auto" w:fill="auto"/>
            <w:vAlign w:val="center"/>
          </w:tcPr>
          <w:p>
            <w:pPr>
              <w:widowControl/>
              <w:jc w:val="right"/>
              <w:rPr>
                <w:rFonts w:ascii="Calibri" w:hAnsi="Calibri" w:eastAsia="宋体"/>
                <w:color w:val="000000"/>
                <w:sz w:val="20"/>
                <w:szCs w:val="20"/>
              </w:rPr>
            </w:pPr>
            <w:r>
              <w:rPr>
                <w:rFonts w:ascii="Calibri" w:hAnsi="Calibri" w:eastAsia="宋体"/>
                <w:color w:val="000000"/>
                <w:sz w:val="20"/>
                <w:szCs w:val="20"/>
              </w:rPr>
              <w:t>56.945</w:t>
            </w:r>
          </w:p>
        </w:tc>
        <w:tc>
          <w:tcPr>
            <w:tcW w:w="816"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86.56%</w:t>
            </w:r>
          </w:p>
        </w:tc>
      </w:tr>
      <w:tr>
        <w:tblPrEx>
          <w:tblCellMar>
            <w:top w:w="0" w:type="dxa"/>
            <w:left w:w="108" w:type="dxa"/>
            <w:bottom w:w="0" w:type="dxa"/>
            <w:right w:w="108" w:type="dxa"/>
          </w:tblCellMar>
        </w:tblPrEx>
        <w:trPr>
          <w:trHeight w:val="540" w:hRule="atLeast"/>
        </w:trPr>
        <w:tc>
          <w:tcPr>
            <w:tcW w:w="86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c>
          <w:tcPr>
            <w:tcW w:w="116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其中：                 财政资金</w:t>
            </w:r>
          </w:p>
        </w:tc>
        <w:tc>
          <w:tcPr>
            <w:tcW w:w="1038"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eastAsia="宋体"/>
                <w:color w:val="000000"/>
                <w:sz w:val="20"/>
                <w:szCs w:val="20"/>
              </w:rPr>
            </w:pPr>
            <w:r>
              <w:rPr>
                <w:rFonts w:hint="eastAsia" w:ascii="宋体" w:hAnsi="宋体" w:eastAsia="宋体"/>
                <w:color w:val="000000"/>
                <w:sz w:val="20"/>
                <w:szCs w:val="20"/>
              </w:rPr>
              <w:t>65.79</w:t>
            </w:r>
          </w:p>
        </w:tc>
        <w:tc>
          <w:tcPr>
            <w:tcW w:w="118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其中：                      财政资金</w:t>
            </w:r>
          </w:p>
        </w:tc>
        <w:tc>
          <w:tcPr>
            <w:tcW w:w="920"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eastAsia="宋体"/>
                <w:color w:val="000000"/>
                <w:sz w:val="20"/>
                <w:szCs w:val="20"/>
              </w:rPr>
            </w:pPr>
            <w:r>
              <w:rPr>
                <w:rFonts w:hint="eastAsia" w:ascii="宋体" w:hAnsi="宋体" w:eastAsia="宋体"/>
                <w:color w:val="000000"/>
                <w:sz w:val="20"/>
                <w:szCs w:val="20"/>
              </w:rPr>
              <w:t>56.945</w:t>
            </w:r>
          </w:p>
        </w:tc>
        <w:tc>
          <w:tcPr>
            <w:tcW w:w="102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其中：                     财政资金</w:t>
            </w:r>
          </w:p>
        </w:tc>
        <w:tc>
          <w:tcPr>
            <w:tcW w:w="900"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eastAsia="宋体"/>
                <w:color w:val="000000"/>
                <w:sz w:val="20"/>
                <w:szCs w:val="20"/>
              </w:rPr>
            </w:pPr>
            <w:r>
              <w:rPr>
                <w:rFonts w:hint="eastAsia" w:ascii="宋体" w:hAnsi="宋体" w:eastAsia="宋体"/>
                <w:color w:val="000000"/>
                <w:sz w:val="20"/>
                <w:szCs w:val="20"/>
              </w:rPr>
              <w:t>56.945</w:t>
            </w:r>
          </w:p>
        </w:tc>
        <w:tc>
          <w:tcPr>
            <w:tcW w:w="816"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r>
      <w:tr>
        <w:tblPrEx>
          <w:tblCellMar>
            <w:top w:w="0" w:type="dxa"/>
            <w:left w:w="108" w:type="dxa"/>
            <w:bottom w:w="0" w:type="dxa"/>
            <w:right w:w="108" w:type="dxa"/>
          </w:tblCellMar>
        </w:tblPrEx>
        <w:trPr>
          <w:trHeight w:val="405" w:hRule="atLeast"/>
        </w:trPr>
        <w:tc>
          <w:tcPr>
            <w:tcW w:w="86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c>
          <w:tcPr>
            <w:tcW w:w="116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其他</w:t>
            </w:r>
          </w:p>
        </w:tc>
        <w:tc>
          <w:tcPr>
            <w:tcW w:w="1038" w:type="dxa"/>
            <w:tcBorders>
              <w:top w:val="nil"/>
              <w:left w:val="nil"/>
              <w:bottom w:val="single" w:color="000000" w:sz="4" w:space="0"/>
              <w:right w:val="single" w:color="000000" w:sz="4" w:space="0"/>
            </w:tcBorders>
            <w:shd w:val="clear" w:color="auto" w:fill="auto"/>
            <w:vAlign w:val="center"/>
          </w:tcPr>
          <w:p>
            <w:pPr>
              <w:widowControl/>
              <w:jc w:val="left"/>
              <w:rPr>
                <w:rFonts w:ascii="Calibri" w:hAnsi="Calibri" w:eastAsia="宋体"/>
                <w:color w:val="000000"/>
                <w:sz w:val="20"/>
                <w:szCs w:val="20"/>
              </w:rPr>
            </w:pPr>
            <w:r>
              <w:rPr>
                <w:rFonts w:ascii="Calibri" w:hAnsi="Calibri" w:eastAsia="宋体"/>
                <w:color w:val="000000"/>
                <w:sz w:val="20"/>
                <w:szCs w:val="20"/>
              </w:rPr>
              <w:t>　</w:t>
            </w:r>
          </w:p>
        </w:tc>
        <w:tc>
          <w:tcPr>
            <w:tcW w:w="118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其他</w:t>
            </w:r>
          </w:p>
        </w:tc>
        <w:tc>
          <w:tcPr>
            <w:tcW w:w="92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　</w:t>
            </w:r>
          </w:p>
        </w:tc>
        <w:tc>
          <w:tcPr>
            <w:tcW w:w="102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其他</w:t>
            </w:r>
          </w:p>
        </w:tc>
        <w:tc>
          <w:tcPr>
            <w:tcW w:w="90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　</w:t>
            </w:r>
          </w:p>
        </w:tc>
        <w:tc>
          <w:tcPr>
            <w:tcW w:w="816"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r>
      <w:tr>
        <w:tblPrEx>
          <w:tblCellMar>
            <w:top w:w="0" w:type="dxa"/>
            <w:left w:w="108" w:type="dxa"/>
            <w:bottom w:w="0" w:type="dxa"/>
            <w:right w:w="108" w:type="dxa"/>
          </w:tblCellMar>
        </w:tblPrEx>
        <w:trPr>
          <w:trHeight w:val="465" w:hRule="atLeast"/>
        </w:trPr>
        <w:tc>
          <w:tcPr>
            <w:tcW w:w="862"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三、目标完成情况</w:t>
            </w:r>
          </w:p>
        </w:tc>
        <w:tc>
          <w:tcPr>
            <w:tcW w:w="3378"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年度预期目标</w:t>
            </w:r>
          </w:p>
        </w:tc>
        <w:tc>
          <w:tcPr>
            <w:tcW w:w="2840"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具体完成情况</w:t>
            </w:r>
          </w:p>
        </w:tc>
        <w:tc>
          <w:tcPr>
            <w:tcW w:w="81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总体完成率</w:t>
            </w:r>
          </w:p>
        </w:tc>
      </w:tr>
      <w:tr>
        <w:tblPrEx>
          <w:tblCellMar>
            <w:top w:w="0" w:type="dxa"/>
            <w:left w:w="108" w:type="dxa"/>
            <w:bottom w:w="0" w:type="dxa"/>
            <w:right w:w="108" w:type="dxa"/>
          </w:tblCellMar>
        </w:tblPrEx>
        <w:trPr>
          <w:trHeight w:val="312" w:hRule="atLeast"/>
        </w:trPr>
        <w:tc>
          <w:tcPr>
            <w:tcW w:w="862"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c>
          <w:tcPr>
            <w:tcW w:w="3378"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安置退役人员12人</w:t>
            </w:r>
          </w:p>
        </w:tc>
        <w:tc>
          <w:tcPr>
            <w:tcW w:w="284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安置退役人员12人</w:t>
            </w:r>
          </w:p>
        </w:tc>
        <w:tc>
          <w:tcPr>
            <w:tcW w:w="816"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100%</w:t>
            </w:r>
          </w:p>
        </w:tc>
      </w:tr>
      <w:tr>
        <w:tblPrEx>
          <w:tblCellMar>
            <w:top w:w="0" w:type="dxa"/>
            <w:left w:w="108" w:type="dxa"/>
            <w:bottom w:w="0" w:type="dxa"/>
            <w:right w:w="108" w:type="dxa"/>
          </w:tblCellMar>
        </w:tblPrEx>
        <w:trPr>
          <w:trHeight w:val="312" w:hRule="atLeast"/>
        </w:trPr>
        <w:tc>
          <w:tcPr>
            <w:tcW w:w="862"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c>
          <w:tcPr>
            <w:tcW w:w="3378" w:type="dxa"/>
            <w:gridSpan w:val="3"/>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c>
          <w:tcPr>
            <w:tcW w:w="2840" w:type="dxa"/>
            <w:gridSpan w:val="3"/>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c>
          <w:tcPr>
            <w:tcW w:w="816"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r>
      <w:tr>
        <w:tblPrEx>
          <w:tblCellMar>
            <w:top w:w="0" w:type="dxa"/>
            <w:left w:w="108" w:type="dxa"/>
            <w:bottom w:w="0" w:type="dxa"/>
            <w:right w:w="108" w:type="dxa"/>
          </w:tblCellMar>
        </w:tblPrEx>
        <w:trPr>
          <w:trHeight w:val="312" w:hRule="atLeast"/>
        </w:trPr>
        <w:tc>
          <w:tcPr>
            <w:tcW w:w="862"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c>
          <w:tcPr>
            <w:tcW w:w="3378" w:type="dxa"/>
            <w:gridSpan w:val="3"/>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c>
          <w:tcPr>
            <w:tcW w:w="2840" w:type="dxa"/>
            <w:gridSpan w:val="3"/>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c>
          <w:tcPr>
            <w:tcW w:w="816"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eastAsia="宋体"/>
                <w:color w:val="000000"/>
                <w:sz w:val="20"/>
                <w:szCs w:val="20"/>
              </w:rPr>
            </w:pPr>
          </w:p>
        </w:tc>
      </w:tr>
      <w:tr>
        <w:tblPrEx>
          <w:tblCellMar>
            <w:top w:w="0" w:type="dxa"/>
            <w:left w:w="108" w:type="dxa"/>
            <w:bottom w:w="0" w:type="dxa"/>
            <w:right w:w="108" w:type="dxa"/>
          </w:tblCellMar>
        </w:tblPrEx>
        <w:trPr>
          <w:trHeight w:val="795" w:hRule="atLeast"/>
        </w:trPr>
        <w:tc>
          <w:tcPr>
            <w:tcW w:w="862" w:type="dxa"/>
            <w:vMerge w:val="restart"/>
            <w:tcBorders>
              <w:top w:val="nil"/>
              <w:left w:val="single" w:color="auto" w:sz="4" w:space="0"/>
              <w:bottom w:val="single" w:color="000000" w:sz="4" w:space="0"/>
              <w:right w:val="nil"/>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四、</w:t>
            </w:r>
            <w:r>
              <w:rPr>
                <w:rFonts w:ascii="Calibri" w:hAnsi="Calibri" w:eastAsia="宋体"/>
                <w:color w:val="000000"/>
                <w:sz w:val="20"/>
                <w:szCs w:val="20"/>
              </w:rPr>
              <w:t> </w:t>
            </w:r>
            <w:r>
              <w:rPr>
                <w:rFonts w:hint="eastAsia" w:ascii="宋体" w:hAnsi="宋体" w:eastAsia="宋体"/>
                <w:color w:val="000000"/>
                <w:sz w:val="20"/>
                <w:szCs w:val="20"/>
              </w:rPr>
              <w:t>年度绩效指标完成情况</w:t>
            </w:r>
          </w:p>
        </w:tc>
        <w:tc>
          <w:tcPr>
            <w:tcW w:w="1160"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一级指标</w:t>
            </w:r>
          </w:p>
        </w:tc>
        <w:tc>
          <w:tcPr>
            <w:tcW w:w="103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二级指标</w:t>
            </w:r>
          </w:p>
        </w:tc>
        <w:tc>
          <w:tcPr>
            <w:tcW w:w="2100"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三级指标</w:t>
            </w:r>
          </w:p>
        </w:tc>
        <w:tc>
          <w:tcPr>
            <w:tcW w:w="102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预期指标值</w:t>
            </w:r>
          </w:p>
        </w:tc>
        <w:tc>
          <w:tcPr>
            <w:tcW w:w="90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实际完成值</w:t>
            </w:r>
          </w:p>
        </w:tc>
        <w:tc>
          <w:tcPr>
            <w:tcW w:w="81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自评得分</w:t>
            </w:r>
          </w:p>
        </w:tc>
      </w:tr>
      <w:tr>
        <w:tblPrEx>
          <w:tblCellMar>
            <w:top w:w="0" w:type="dxa"/>
            <w:left w:w="108" w:type="dxa"/>
            <w:bottom w:w="0" w:type="dxa"/>
            <w:right w:w="108" w:type="dxa"/>
          </w:tblCellMar>
        </w:tblPrEx>
        <w:trPr>
          <w:trHeight w:val="795" w:hRule="atLeast"/>
        </w:trPr>
        <w:tc>
          <w:tcPr>
            <w:tcW w:w="862" w:type="dxa"/>
            <w:vMerge w:val="continue"/>
            <w:tcBorders>
              <w:top w:val="nil"/>
              <w:left w:val="single" w:color="auto" w:sz="4" w:space="0"/>
              <w:bottom w:val="single" w:color="000000" w:sz="4" w:space="0"/>
              <w:right w:val="nil"/>
            </w:tcBorders>
            <w:vAlign w:val="center"/>
          </w:tcPr>
          <w:p>
            <w:pPr>
              <w:widowControl/>
              <w:jc w:val="left"/>
              <w:rPr>
                <w:rFonts w:ascii="宋体" w:hAnsi="宋体" w:eastAsia="宋体"/>
                <w:color w:val="000000"/>
                <w:sz w:val="20"/>
                <w:szCs w:val="20"/>
              </w:rPr>
            </w:pPr>
          </w:p>
        </w:tc>
        <w:tc>
          <w:tcPr>
            <w:tcW w:w="1160" w:type="dxa"/>
            <w:vMerge w:val="restart"/>
            <w:tcBorders>
              <w:top w:val="nil"/>
              <w:left w:val="single" w:color="000000" w:sz="4" w:space="0"/>
              <w:bottom w:val="nil"/>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产出指标（40）</w:t>
            </w:r>
          </w:p>
        </w:tc>
        <w:tc>
          <w:tcPr>
            <w:tcW w:w="1038" w:type="dxa"/>
            <w:tcBorders>
              <w:top w:val="nil"/>
              <w:left w:val="nil"/>
              <w:bottom w:val="nil"/>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数量指标</w:t>
            </w:r>
          </w:p>
        </w:tc>
        <w:tc>
          <w:tcPr>
            <w:tcW w:w="2100"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2"/>
                <w:szCs w:val="22"/>
              </w:rPr>
            </w:pPr>
            <w:r>
              <w:rPr>
                <w:rFonts w:hint="eastAsia" w:ascii="宋体" w:hAnsi="宋体" w:eastAsia="宋体"/>
                <w:color w:val="000000"/>
                <w:sz w:val="22"/>
                <w:szCs w:val="22"/>
              </w:rPr>
              <w:t>保障人数</w:t>
            </w:r>
          </w:p>
        </w:tc>
        <w:tc>
          <w:tcPr>
            <w:tcW w:w="102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2"/>
                <w:szCs w:val="22"/>
              </w:rPr>
            </w:pPr>
            <w:r>
              <w:rPr>
                <w:rFonts w:hint="eastAsia" w:ascii="宋体" w:hAnsi="宋体" w:eastAsia="宋体"/>
                <w:color w:val="000000"/>
                <w:sz w:val="22"/>
                <w:szCs w:val="22"/>
              </w:rPr>
              <w:t>12人</w:t>
            </w:r>
          </w:p>
        </w:tc>
        <w:tc>
          <w:tcPr>
            <w:tcW w:w="90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2"/>
                <w:szCs w:val="22"/>
              </w:rPr>
            </w:pPr>
            <w:r>
              <w:rPr>
                <w:rFonts w:hint="eastAsia" w:ascii="宋体" w:hAnsi="宋体" w:eastAsia="宋体"/>
                <w:color w:val="000000"/>
                <w:sz w:val="22"/>
                <w:szCs w:val="22"/>
              </w:rPr>
              <w:t>12人</w:t>
            </w:r>
          </w:p>
        </w:tc>
        <w:tc>
          <w:tcPr>
            <w:tcW w:w="81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10</w:t>
            </w:r>
          </w:p>
        </w:tc>
      </w:tr>
      <w:tr>
        <w:tblPrEx>
          <w:tblCellMar>
            <w:top w:w="0" w:type="dxa"/>
            <w:left w:w="108" w:type="dxa"/>
            <w:bottom w:w="0" w:type="dxa"/>
            <w:right w:w="108" w:type="dxa"/>
          </w:tblCellMar>
        </w:tblPrEx>
        <w:trPr>
          <w:trHeight w:val="795" w:hRule="atLeast"/>
        </w:trPr>
        <w:tc>
          <w:tcPr>
            <w:tcW w:w="862" w:type="dxa"/>
            <w:vMerge w:val="continue"/>
            <w:tcBorders>
              <w:top w:val="nil"/>
              <w:left w:val="single" w:color="auto" w:sz="4" w:space="0"/>
              <w:bottom w:val="single" w:color="000000" w:sz="4" w:space="0"/>
              <w:right w:val="nil"/>
            </w:tcBorders>
            <w:vAlign w:val="center"/>
          </w:tcPr>
          <w:p>
            <w:pPr>
              <w:widowControl/>
              <w:jc w:val="left"/>
              <w:rPr>
                <w:rFonts w:ascii="宋体" w:hAnsi="宋体" w:eastAsia="宋体"/>
                <w:color w:val="000000"/>
                <w:sz w:val="20"/>
                <w:szCs w:val="20"/>
              </w:rPr>
            </w:pPr>
          </w:p>
        </w:tc>
        <w:tc>
          <w:tcPr>
            <w:tcW w:w="1160" w:type="dxa"/>
            <w:vMerge w:val="continue"/>
            <w:tcBorders>
              <w:top w:val="nil"/>
              <w:left w:val="single" w:color="000000" w:sz="4" w:space="0"/>
              <w:bottom w:val="nil"/>
              <w:right w:val="single" w:color="000000" w:sz="4" w:space="0"/>
            </w:tcBorders>
            <w:vAlign w:val="center"/>
          </w:tcPr>
          <w:p>
            <w:pPr>
              <w:widowControl/>
              <w:jc w:val="left"/>
              <w:rPr>
                <w:rFonts w:ascii="宋体" w:hAnsi="宋体" w:eastAsia="宋体"/>
                <w:color w:val="000000"/>
                <w:sz w:val="20"/>
                <w:szCs w:val="20"/>
              </w:rPr>
            </w:pPr>
          </w:p>
        </w:tc>
        <w:tc>
          <w:tcPr>
            <w:tcW w:w="1038"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质量指标</w:t>
            </w:r>
          </w:p>
        </w:tc>
        <w:tc>
          <w:tcPr>
            <w:tcW w:w="2100"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2"/>
                <w:szCs w:val="22"/>
              </w:rPr>
            </w:pPr>
            <w:r>
              <w:rPr>
                <w:rFonts w:hint="eastAsia" w:ascii="宋体" w:hAnsi="宋体" w:eastAsia="宋体"/>
                <w:color w:val="000000"/>
                <w:sz w:val="22"/>
                <w:szCs w:val="22"/>
              </w:rPr>
              <w:t>工资发放精准性</w:t>
            </w:r>
          </w:p>
        </w:tc>
        <w:tc>
          <w:tcPr>
            <w:tcW w:w="102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2"/>
                <w:szCs w:val="22"/>
              </w:rPr>
            </w:pPr>
            <w:r>
              <w:rPr>
                <w:rFonts w:ascii="Calibri" w:hAnsi="Calibri" w:eastAsia="宋体"/>
                <w:color w:val="000000"/>
                <w:sz w:val="22"/>
                <w:szCs w:val="22"/>
              </w:rPr>
              <w:t>100%</w:t>
            </w:r>
          </w:p>
        </w:tc>
        <w:tc>
          <w:tcPr>
            <w:tcW w:w="90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2"/>
                <w:szCs w:val="22"/>
              </w:rPr>
            </w:pPr>
            <w:r>
              <w:rPr>
                <w:rFonts w:ascii="Calibri" w:hAnsi="Calibri" w:eastAsia="宋体"/>
                <w:color w:val="000000"/>
                <w:sz w:val="22"/>
                <w:szCs w:val="22"/>
              </w:rPr>
              <w:t>100%</w:t>
            </w:r>
          </w:p>
        </w:tc>
        <w:tc>
          <w:tcPr>
            <w:tcW w:w="816"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10</w:t>
            </w:r>
          </w:p>
        </w:tc>
      </w:tr>
      <w:tr>
        <w:tblPrEx>
          <w:tblCellMar>
            <w:top w:w="0" w:type="dxa"/>
            <w:left w:w="108" w:type="dxa"/>
            <w:bottom w:w="0" w:type="dxa"/>
            <w:right w:w="108" w:type="dxa"/>
          </w:tblCellMar>
        </w:tblPrEx>
        <w:trPr>
          <w:trHeight w:val="795" w:hRule="atLeast"/>
        </w:trPr>
        <w:tc>
          <w:tcPr>
            <w:tcW w:w="862" w:type="dxa"/>
            <w:vMerge w:val="continue"/>
            <w:tcBorders>
              <w:top w:val="nil"/>
              <w:left w:val="single" w:color="auto" w:sz="4" w:space="0"/>
              <w:bottom w:val="single" w:color="000000" w:sz="4" w:space="0"/>
              <w:right w:val="nil"/>
            </w:tcBorders>
            <w:vAlign w:val="center"/>
          </w:tcPr>
          <w:p>
            <w:pPr>
              <w:widowControl/>
              <w:jc w:val="left"/>
              <w:rPr>
                <w:rFonts w:ascii="宋体" w:hAnsi="宋体" w:eastAsia="宋体"/>
                <w:color w:val="000000"/>
                <w:sz w:val="20"/>
                <w:szCs w:val="20"/>
              </w:rPr>
            </w:pPr>
          </w:p>
        </w:tc>
        <w:tc>
          <w:tcPr>
            <w:tcW w:w="1160" w:type="dxa"/>
            <w:vMerge w:val="continue"/>
            <w:tcBorders>
              <w:top w:val="nil"/>
              <w:left w:val="single" w:color="000000" w:sz="4" w:space="0"/>
              <w:bottom w:val="nil"/>
              <w:right w:val="single" w:color="000000" w:sz="4" w:space="0"/>
            </w:tcBorders>
            <w:vAlign w:val="center"/>
          </w:tcPr>
          <w:p>
            <w:pPr>
              <w:widowControl/>
              <w:jc w:val="left"/>
              <w:rPr>
                <w:rFonts w:ascii="宋体" w:hAnsi="宋体" w:eastAsia="宋体"/>
                <w:color w:val="000000"/>
                <w:sz w:val="20"/>
                <w:szCs w:val="20"/>
              </w:rPr>
            </w:pPr>
          </w:p>
        </w:tc>
        <w:tc>
          <w:tcPr>
            <w:tcW w:w="103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时效指标</w:t>
            </w:r>
          </w:p>
        </w:tc>
        <w:tc>
          <w:tcPr>
            <w:tcW w:w="2100"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2"/>
                <w:szCs w:val="22"/>
              </w:rPr>
            </w:pPr>
            <w:r>
              <w:rPr>
                <w:rFonts w:hint="eastAsia" w:ascii="宋体" w:hAnsi="宋体" w:eastAsia="宋体"/>
                <w:color w:val="000000"/>
                <w:sz w:val="22"/>
                <w:szCs w:val="22"/>
              </w:rPr>
              <w:t>工资发放及时性</w:t>
            </w:r>
          </w:p>
        </w:tc>
        <w:tc>
          <w:tcPr>
            <w:tcW w:w="102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2"/>
                <w:szCs w:val="22"/>
              </w:rPr>
            </w:pPr>
            <w:r>
              <w:rPr>
                <w:rFonts w:hint="eastAsia" w:ascii="宋体" w:hAnsi="宋体" w:eastAsia="宋体"/>
                <w:color w:val="000000"/>
                <w:sz w:val="22"/>
                <w:szCs w:val="22"/>
              </w:rPr>
              <w:t>按规定时间发放</w:t>
            </w:r>
          </w:p>
        </w:tc>
        <w:tc>
          <w:tcPr>
            <w:tcW w:w="900" w:type="dxa"/>
            <w:tcBorders>
              <w:top w:val="nil"/>
              <w:left w:val="nil"/>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sz w:val="22"/>
                <w:szCs w:val="22"/>
              </w:rPr>
            </w:pPr>
            <w:r>
              <w:rPr>
                <w:rFonts w:ascii="Times New Roman" w:hAnsi="Times New Roman" w:eastAsia="宋体" w:cs="Times New Roman"/>
                <w:color w:val="000000"/>
                <w:sz w:val="22"/>
                <w:szCs w:val="22"/>
              </w:rPr>
              <w:t>按规定时间发放</w:t>
            </w:r>
          </w:p>
        </w:tc>
        <w:tc>
          <w:tcPr>
            <w:tcW w:w="816"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10</w:t>
            </w:r>
          </w:p>
        </w:tc>
      </w:tr>
      <w:tr>
        <w:tblPrEx>
          <w:tblCellMar>
            <w:top w:w="0" w:type="dxa"/>
            <w:left w:w="108" w:type="dxa"/>
            <w:bottom w:w="0" w:type="dxa"/>
            <w:right w:w="108" w:type="dxa"/>
          </w:tblCellMar>
        </w:tblPrEx>
        <w:trPr>
          <w:trHeight w:val="795" w:hRule="atLeast"/>
        </w:trPr>
        <w:tc>
          <w:tcPr>
            <w:tcW w:w="862" w:type="dxa"/>
            <w:vMerge w:val="continue"/>
            <w:tcBorders>
              <w:top w:val="nil"/>
              <w:left w:val="single" w:color="auto" w:sz="4" w:space="0"/>
              <w:bottom w:val="single" w:color="000000" w:sz="4" w:space="0"/>
              <w:right w:val="nil"/>
            </w:tcBorders>
            <w:vAlign w:val="center"/>
          </w:tcPr>
          <w:p>
            <w:pPr>
              <w:widowControl/>
              <w:jc w:val="left"/>
              <w:rPr>
                <w:rFonts w:ascii="宋体" w:hAnsi="宋体" w:eastAsia="宋体"/>
                <w:color w:val="000000"/>
                <w:sz w:val="20"/>
                <w:szCs w:val="20"/>
              </w:rPr>
            </w:pPr>
          </w:p>
        </w:tc>
        <w:tc>
          <w:tcPr>
            <w:tcW w:w="1160" w:type="dxa"/>
            <w:vMerge w:val="continue"/>
            <w:tcBorders>
              <w:top w:val="nil"/>
              <w:left w:val="single" w:color="000000" w:sz="4" w:space="0"/>
              <w:bottom w:val="nil"/>
              <w:right w:val="single" w:color="000000" w:sz="4" w:space="0"/>
            </w:tcBorders>
            <w:vAlign w:val="center"/>
          </w:tcPr>
          <w:p>
            <w:pPr>
              <w:widowControl/>
              <w:jc w:val="left"/>
              <w:rPr>
                <w:rFonts w:ascii="宋体" w:hAnsi="宋体" w:eastAsia="宋体"/>
                <w:color w:val="000000"/>
                <w:sz w:val="20"/>
                <w:szCs w:val="20"/>
              </w:rPr>
            </w:pPr>
          </w:p>
        </w:tc>
        <w:tc>
          <w:tcPr>
            <w:tcW w:w="103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成本指标</w:t>
            </w:r>
          </w:p>
        </w:tc>
        <w:tc>
          <w:tcPr>
            <w:tcW w:w="2100"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2"/>
                <w:szCs w:val="22"/>
              </w:rPr>
            </w:pPr>
            <w:r>
              <w:rPr>
                <w:rFonts w:hint="eastAsia" w:ascii="宋体" w:hAnsi="宋体" w:eastAsia="宋体"/>
                <w:color w:val="000000"/>
                <w:sz w:val="22"/>
                <w:szCs w:val="22"/>
              </w:rPr>
              <w:t>工资、社会保障等发放（缴纳）标准</w:t>
            </w:r>
          </w:p>
        </w:tc>
        <w:tc>
          <w:tcPr>
            <w:tcW w:w="1020" w:type="dxa"/>
            <w:tcBorders>
              <w:top w:val="nil"/>
              <w:left w:val="nil"/>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sz w:val="22"/>
                <w:szCs w:val="22"/>
              </w:rPr>
            </w:pPr>
            <w:r>
              <w:rPr>
                <w:rFonts w:ascii="Times New Roman" w:hAnsi="Times New Roman" w:eastAsia="宋体" w:cs="Times New Roman"/>
                <w:color w:val="000000"/>
                <w:sz w:val="22"/>
                <w:szCs w:val="22"/>
              </w:rPr>
              <w:t>按规定执行</w:t>
            </w:r>
          </w:p>
        </w:tc>
        <w:tc>
          <w:tcPr>
            <w:tcW w:w="900" w:type="dxa"/>
            <w:tcBorders>
              <w:top w:val="nil"/>
              <w:left w:val="nil"/>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sz w:val="22"/>
                <w:szCs w:val="22"/>
              </w:rPr>
            </w:pPr>
            <w:r>
              <w:rPr>
                <w:rFonts w:ascii="Times New Roman" w:hAnsi="Times New Roman" w:eastAsia="宋体" w:cs="Times New Roman"/>
                <w:color w:val="000000"/>
                <w:sz w:val="22"/>
                <w:szCs w:val="22"/>
              </w:rPr>
              <w:t>按规定执行</w:t>
            </w:r>
          </w:p>
        </w:tc>
        <w:tc>
          <w:tcPr>
            <w:tcW w:w="816"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10</w:t>
            </w:r>
          </w:p>
        </w:tc>
      </w:tr>
      <w:tr>
        <w:tblPrEx>
          <w:tblCellMar>
            <w:top w:w="0" w:type="dxa"/>
            <w:left w:w="108" w:type="dxa"/>
            <w:bottom w:w="0" w:type="dxa"/>
            <w:right w:w="108" w:type="dxa"/>
          </w:tblCellMar>
        </w:tblPrEx>
        <w:trPr>
          <w:trHeight w:val="795" w:hRule="atLeast"/>
        </w:trPr>
        <w:tc>
          <w:tcPr>
            <w:tcW w:w="862" w:type="dxa"/>
            <w:vMerge w:val="continue"/>
            <w:tcBorders>
              <w:top w:val="nil"/>
              <w:left w:val="single" w:color="auto" w:sz="4" w:space="0"/>
              <w:bottom w:val="single" w:color="000000" w:sz="4" w:space="0"/>
              <w:right w:val="nil"/>
            </w:tcBorders>
            <w:vAlign w:val="center"/>
          </w:tcPr>
          <w:p>
            <w:pPr>
              <w:widowControl/>
              <w:jc w:val="left"/>
              <w:rPr>
                <w:rFonts w:ascii="宋体" w:hAnsi="宋体" w:eastAsia="宋体"/>
                <w:color w:val="000000"/>
                <w:sz w:val="20"/>
                <w:szCs w:val="20"/>
              </w:rPr>
            </w:pPr>
          </w:p>
        </w:tc>
        <w:tc>
          <w:tcPr>
            <w:tcW w:w="11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预算执行率指标</w:t>
            </w:r>
            <w:r>
              <w:rPr>
                <w:rFonts w:hint="eastAsia" w:ascii="宋体" w:hAnsi="宋体" w:eastAsia="宋体"/>
                <w:color w:val="000000"/>
                <w:sz w:val="20"/>
                <w:szCs w:val="20"/>
              </w:rPr>
              <w:br w:type="textWrapping"/>
            </w:r>
            <w:r>
              <w:rPr>
                <w:rFonts w:hint="eastAsia" w:ascii="宋体" w:hAnsi="宋体" w:eastAsia="宋体"/>
                <w:color w:val="000000"/>
                <w:sz w:val="20"/>
                <w:szCs w:val="20"/>
              </w:rPr>
              <w:t>（10分）</w:t>
            </w:r>
          </w:p>
        </w:tc>
        <w:tc>
          <w:tcPr>
            <w:tcW w:w="103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预算执行率</w:t>
            </w:r>
          </w:p>
        </w:tc>
        <w:tc>
          <w:tcPr>
            <w:tcW w:w="2100"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执行数占预算数的比例</w:t>
            </w:r>
          </w:p>
        </w:tc>
        <w:tc>
          <w:tcPr>
            <w:tcW w:w="102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100%</w:t>
            </w:r>
          </w:p>
        </w:tc>
        <w:tc>
          <w:tcPr>
            <w:tcW w:w="900"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86.56%</w:t>
            </w:r>
          </w:p>
        </w:tc>
        <w:tc>
          <w:tcPr>
            <w:tcW w:w="816"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10</w:t>
            </w:r>
          </w:p>
        </w:tc>
      </w:tr>
      <w:tr>
        <w:tblPrEx>
          <w:tblCellMar>
            <w:top w:w="0" w:type="dxa"/>
            <w:left w:w="108" w:type="dxa"/>
            <w:bottom w:w="0" w:type="dxa"/>
            <w:right w:w="108" w:type="dxa"/>
          </w:tblCellMar>
        </w:tblPrEx>
        <w:trPr>
          <w:trHeight w:val="795" w:hRule="atLeast"/>
        </w:trPr>
        <w:tc>
          <w:tcPr>
            <w:tcW w:w="862" w:type="dxa"/>
            <w:vMerge w:val="continue"/>
            <w:tcBorders>
              <w:top w:val="nil"/>
              <w:left w:val="single" w:color="auto" w:sz="4" w:space="0"/>
              <w:bottom w:val="single" w:color="000000" w:sz="4" w:space="0"/>
              <w:right w:val="nil"/>
            </w:tcBorders>
            <w:vAlign w:val="center"/>
          </w:tcPr>
          <w:p>
            <w:pPr>
              <w:widowControl/>
              <w:jc w:val="left"/>
              <w:rPr>
                <w:rFonts w:ascii="宋体" w:hAnsi="宋体" w:eastAsia="宋体"/>
                <w:color w:val="000000"/>
                <w:sz w:val="20"/>
                <w:szCs w:val="20"/>
              </w:rPr>
            </w:pPr>
          </w:p>
        </w:tc>
        <w:tc>
          <w:tcPr>
            <w:tcW w:w="1160" w:type="dxa"/>
            <w:vMerge w:val="restart"/>
            <w:tcBorders>
              <w:top w:val="nil"/>
              <w:left w:val="single" w:color="000000" w:sz="4" w:space="0"/>
              <w:bottom w:val="nil"/>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　</w:t>
            </w:r>
          </w:p>
        </w:tc>
        <w:tc>
          <w:tcPr>
            <w:tcW w:w="103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社会效益指标</w:t>
            </w:r>
          </w:p>
        </w:tc>
        <w:tc>
          <w:tcPr>
            <w:tcW w:w="2100"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2"/>
                <w:szCs w:val="22"/>
              </w:rPr>
            </w:pPr>
            <w:r>
              <w:rPr>
                <w:rFonts w:hint="eastAsia" w:ascii="宋体" w:hAnsi="宋体" w:eastAsia="宋体"/>
                <w:color w:val="000000"/>
                <w:sz w:val="22"/>
                <w:szCs w:val="22"/>
              </w:rPr>
              <w:t>加强工作人员归属感，保持干部队伍稳定</w:t>
            </w:r>
          </w:p>
        </w:tc>
        <w:tc>
          <w:tcPr>
            <w:tcW w:w="1020" w:type="dxa"/>
            <w:tcBorders>
              <w:top w:val="nil"/>
              <w:left w:val="nil"/>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sz w:val="22"/>
                <w:szCs w:val="22"/>
              </w:rPr>
            </w:pPr>
            <w:r>
              <w:rPr>
                <w:rFonts w:ascii="Times New Roman" w:hAnsi="Times New Roman" w:eastAsia="宋体" w:cs="Times New Roman"/>
                <w:color w:val="000000"/>
                <w:sz w:val="22"/>
                <w:szCs w:val="22"/>
              </w:rPr>
              <w:t>保持职工队伍稳定</w:t>
            </w:r>
          </w:p>
        </w:tc>
        <w:tc>
          <w:tcPr>
            <w:tcW w:w="900" w:type="dxa"/>
            <w:tcBorders>
              <w:top w:val="nil"/>
              <w:left w:val="nil"/>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sz w:val="22"/>
                <w:szCs w:val="22"/>
              </w:rPr>
            </w:pPr>
            <w:r>
              <w:rPr>
                <w:rFonts w:ascii="Times New Roman" w:hAnsi="Times New Roman" w:eastAsia="宋体" w:cs="Times New Roman"/>
                <w:color w:val="000000"/>
                <w:sz w:val="22"/>
                <w:szCs w:val="22"/>
              </w:rPr>
              <w:t>保持职工队伍稳定</w:t>
            </w:r>
          </w:p>
        </w:tc>
        <w:tc>
          <w:tcPr>
            <w:tcW w:w="816"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20</w:t>
            </w:r>
          </w:p>
        </w:tc>
      </w:tr>
      <w:tr>
        <w:tblPrEx>
          <w:tblCellMar>
            <w:top w:w="0" w:type="dxa"/>
            <w:left w:w="108" w:type="dxa"/>
            <w:bottom w:w="0" w:type="dxa"/>
            <w:right w:w="108" w:type="dxa"/>
          </w:tblCellMar>
        </w:tblPrEx>
        <w:trPr>
          <w:trHeight w:val="795" w:hRule="atLeast"/>
        </w:trPr>
        <w:tc>
          <w:tcPr>
            <w:tcW w:w="862" w:type="dxa"/>
            <w:vMerge w:val="continue"/>
            <w:tcBorders>
              <w:top w:val="nil"/>
              <w:left w:val="single" w:color="auto" w:sz="4" w:space="0"/>
              <w:bottom w:val="single" w:color="000000" w:sz="4" w:space="0"/>
              <w:right w:val="nil"/>
            </w:tcBorders>
            <w:vAlign w:val="center"/>
          </w:tcPr>
          <w:p>
            <w:pPr>
              <w:widowControl/>
              <w:jc w:val="left"/>
              <w:rPr>
                <w:rFonts w:ascii="宋体" w:hAnsi="宋体" w:eastAsia="宋体"/>
                <w:color w:val="000000"/>
                <w:sz w:val="20"/>
                <w:szCs w:val="20"/>
              </w:rPr>
            </w:pPr>
          </w:p>
        </w:tc>
        <w:tc>
          <w:tcPr>
            <w:tcW w:w="1160" w:type="dxa"/>
            <w:vMerge w:val="continue"/>
            <w:tcBorders>
              <w:top w:val="nil"/>
              <w:left w:val="single" w:color="000000" w:sz="4" w:space="0"/>
              <w:bottom w:val="nil"/>
              <w:right w:val="single" w:color="000000" w:sz="4" w:space="0"/>
            </w:tcBorders>
            <w:vAlign w:val="center"/>
          </w:tcPr>
          <w:p>
            <w:pPr>
              <w:widowControl/>
              <w:jc w:val="left"/>
              <w:rPr>
                <w:rFonts w:ascii="宋体" w:hAnsi="宋体" w:eastAsia="宋体"/>
                <w:color w:val="000000"/>
                <w:sz w:val="20"/>
                <w:szCs w:val="20"/>
              </w:rPr>
            </w:pPr>
          </w:p>
        </w:tc>
        <w:tc>
          <w:tcPr>
            <w:tcW w:w="103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可持续影响指标</w:t>
            </w:r>
          </w:p>
        </w:tc>
        <w:tc>
          <w:tcPr>
            <w:tcW w:w="2100"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2"/>
                <w:szCs w:val="22"/>
              </w:rPr>
            </w:pPr>
            <w:r>
              <w:rPr>
                <w:rFonts w:hint="eastAsia" w:ascii="宋体" w:hAnsi="宋体" w:eastAsia="宋体"/>
                <w:color w:val="000000"/>
                <w:sz w:val="22"/>
                <w:szCs w:val="22"/>
              </w:rPr>
              <w:t>加强职工的归属感和责任感</w:t>
            </w:r>
          </w:p>
        </w:tc>
        <w:tc>
          <w:tcPr>
            <w:tcW w:w="1020" w:type="dxa"/>
            <w:tcBorders>
              <w:top w:val="nil"/>
              <w:left w:val="nil"/>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sz w:val="22"/>
                <w:szCs w:val="22"/>
              </w:rPr>
            </w:pPr>
            <w:r>
              <w:rPr>
                <w:rFonts w:ascii="Times New Roman" w:hAnsi="Times New Roman" w:eastAsia="宋体" w:cs="Times New Roman"/>
                <w:color w:val="000000"/>
                <w:sz w:val="22"/>
                <w:szCs w:val="22"/>
              </w:rPr>
              <w:t>增强职工归属感责任感</w:t>
            </w:r>
          </w:p>
        </w:tc>
        <w:tc>
          <w:tcPr>
            <w:tcW w:w="900" w:type="dxa"/>
            <w:tcBorders>
              <w:top w:val="nil"/>
              <w:left w:val="nil"/>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sz w:val="22"/>
                <w:szCs w:val="22"/>
              </w:rPr>
            </w:pPr>
            <w:r>
              <w:rPr>
                <w:rFonts w:ascii="Times New Roman" w:hAnsi="Times New Roman" w:eastAsia="宋体" w:cs="Times New Roman"/>
                <w:color w:val="000000"/>
                <w:sz w:val="22"/>
                <w:szCs w:val="22"/>
              </w:rPr>
              <w:t>增强职工归属感责任感</w:t>
            </w:r>
          </w:p>
        </w:tc>
        <w:tc>
          <w:tcPr>
            <w:tcW w:w="816"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20</w:t>
            </w:r>
          </w:p>
        </w:tc>
      </w:tr>
      <w:tr>
        <w:tblPrEx>
          <w:tblCellMar>
            <w:top w:w="0" w:type="dxa"/>
            <w:left w:w="108" w:type="dxa"/>
            <w:bottom w:w="0" w:type="dxa"/>
            <w:right w:w="108" w:type="dxa"/>
          </w:tblCellMar>
        </w:tblPrEx>
        <w:trPr>
          <w:trHeight w:val="795" w:hRule="atLeast"/>
        </w:trPr>
        <w:tc>
          <w:tcPr>
            <w:tcW w:w="862" w:type="dxa"/>
            <w:vMerge w:val="continue"/>
            <w:tcBorders>
              <w:top w:val="nil"/>
              <w:left w:val="single" w:color="auto" w:sz="4" w:space="0"/>
              <w:bottom w:val="single" w:color="000000" w:sz="4" w:space="0"/>
              <w:right w:val="nil"/>
            </w:tcBorders>
            <w:vAlign w:val="center"/>
          </w:tcPr>
          <w:p>
            <w:pPr>
              <w:widowControl/>
              <w:jc w:val="left"/>
              <w:rPr>
                <w:rFonts w:ascii="宋体" w:hAnsi="宋体" w:eastAsia="宋体"/>
                <w:color w:val="000000"/>
                <w:sz w:val="20"/>
                <w:szCs w:val="20"/>
              </w:rPr>
            </w:pPr>
          </w:p>
        </w:tc>
        <w:tc>
          <w:tcPr>
            <w:tcW w:w="11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满意度指标</w:t>
            </w:r>
            <w:r>
              <w:rPr>
                <w:rFonts w:hint="eastAsia" w:ascii="宋体" w:hAnsi="宋体" w:eastAsia="宋体"/>
                <w:color w:val="000000"/>
                <w:sz w:val="20"/>
                <w:szCs w:val="20"/>
              </w:rPr>
              <w:br w:type="textWrapping"/>
            </w:r>
            <w:r>
              <w:rPr>
                <w:rFonts w:hint="eastAsia" w:ascii="宋体" w:hAnsi="宋体" w:eastAsia="宋体"/>
                <w:color w:val="000000"/>
                <w:sz w:val="20"/>
                <w:szCs w:val="20"/>
              </w:rPr>
              <w:t>（10分）</w:t>
            </w:r>
          </w:p>
        </w:tc>
        <w:tc>
          <w:tcPr>
            <w:tcW w:w="103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满意度指标</w:t>
            </w:r>
          </w:p>
        </w:tc>
        <w:tc>
          <w:tcPr>
            <w:tcW w:w="2100"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eastAsia="宋体"/>
                <w:color w:val="000000"/>
                <w:sz w:val="22"/>
                <w:szCs w:val="22"/>
              </w:rPr>
            </w:pPr>
            <w:r>
              <w:rPr>
                <w:rFonts w:hint="eastAsia" w:ascii="宋体" w:hAnsi="宋体" w:eastAsia="宋体"/>
                <w:color w:val="000000"/>
                <w:sz w:val="22"/>
                <w:szCs w:val="22"/>
              </w:rPr>
              <w:t>单位人员满意度</w:t>
            </w:r>
          </w:p>
        </w:tc>
        <w:tc>
          <w:tcPr>
            <w:tcW w:w="1020" w:type="dxa"/>
            <w:tcBorders>
              <w:top w:val="nil"/>
              <w:left w:val="nil"/>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sz w:val="22"/>
                <w:szCs w:val="22"/>
              </w:rPr>
            </w:pPr>
            <w:r>
              <w:rPr>
                <w:rFonts w:ascii="Times New Roman" w:hAnsi="Times New Roman" w:eastAsia="宋体" w:cs="Times New Roman"/>
                <w:color w:val="000000"/>
                <w:sz w:val="22"/>
                <w:szCs w:val="22"/>
              </w:rPr>
              <w:t>≥95%</w:t>
            </w:r>
          </w:p>
        </w:tc>
        <w:tc>
          <w:tcPr>
            <w:tcW w:w="900" w:type="dxa"/>
            <w:tcBorders>
              <w:top w:val="nil"/>
              <w:left w:val="nil"/>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sz w:val="22"/>
                <w:szCs w:val="22"/>
              </w:rPr>
            </w:pPr>
            <w:r>
              <w:rPr>
                <w:rFonts w:ascii="Times New Roman" w:hAnsi="Times New Roman" w:eastAsia="宋体" w:cs="Times New Roman"/>
                <w:color w:val="000000"/>
                <w:sz w:val="22"/>
                <w:szCs w:val="22"/>
              </w:rPr>
              <w:t>≥95%</w:t>
            </w:r>
          </w:p>
        </w:tc>
        <w:tc>
          <w:tcPr>
            <w:tcW w:w="816" w:type="dxa"/>
            <w:tcBorders>
              <w:top w:val="nil"/>
              <w:left w:val="nil"/>
              <w:bottom w:val="single" w:color="000000" w:sz="4" w:space="0"/>
              <w:right w:val="single" w:color="000000"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8</w:t>
            </w:r>
          </w:p>
        </w:tc>
      </w:tr>
      <w:tr>
        <w:tblPrEx>
          <w:tblCellMar>
            <w:top w:w="0" w:type="dxa"/>
            <w:left w:w="108" w:type="dxa"/>
            <w:bottom w:w="0" w:type="dxa"/>
            <w:right w:w="108" w:type="dxa"/>
          </w:tblCellMar>
        </w:tblPrEx>
        <w:trPr>
          <w:trHeight w:val="795" w:hRule="atLeast"/>
        </w:trPr>
        <w:tc>
          <w:tcPr>
            <w:tcW w:w="862" w:type="dxa"/>
            <w:vMerge w:val="continue"/>
            <w:tcBorders>
              <w:top w:val="nil"/>
              <w:left w:val="single" w:color="auto" w:sz="4" w:space="0"/>
              <w:bottom w:val="single" w:color="000000" w:sz="4" w:space="0"/>
              <w:right w:val="nil"/>
            </w:tcBorders>
            <w:vAlign w:val="center"/>
          </w:tcPr>
          <w:p>
            <w:pPr>
              <w:widowControl/>
              <w:jc w:val="left"/>
              <w:rPr>
                <w:rFonts w:ascii="宋体" w:hAnsi="宋体" w:eastAsia="宋体"/>
                <w:color w:val="000000"/>
                <w:sz w:val="20"/>
                <w:szCs w:val="20"/>
              </w:rPr>
            </w:pPr>
          </w:p>
        </w:tc>
        <w:tc>
          <w:tcPr>
            <w:tcW w:w="621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总分</w:t>
            </w:r>
          </w:p>
        </w:tc>
        <w:tc>
          <w:tcPr>
            <w:tcW w:w="816" w:type="dxa"/>
            <w:tcBorders>
              <w:top w:val="nil"/>
              <w:left w:val="nil"/>
              <w:bottom w:val="single" w:color="auto" w:sz="4" w:space="0"/>
              <w:right w:val="single" w:color="auto" w:sz="4" w:space="0"/>
            </w:tcBorders>
            <w:shd w:val="clear" w:color="auto" w:fill="auto"/>
            <w:vAlign w:val="center"/>
          </w:tcPr>
          <w:p>
            <w:pPr>
              <w:widowControl/>
              <w:jc w:val="center"/>
              <w:rPr>
                <w:rFonts w:ascii="Calibri" w:hAnsi="Calibri" w:eastAsia="宋体"/>
                <w:color w:val="000000"/>
                <w:sz w:val="20"/>
                <w:szCs w:val="20"/>
              </w:rPr>
            </w:pPr>
            <w:r>
              <w:rPr>
                <w:rFonts w:ascii="Calibri" w:hAnsi="Calibri" w:eastAsia="宋体"/>
                <w:color w:val="000000"/>
                <w:sz w:val="20"/>
                <w:szCs w:val="20"/>
              </w:rPr>
              <w:t>98</w:t>
            </w:r>
          </w:p>
        </w:tc>
      </w:tr>
      <w:tr>
        <w:tblPrEx>
          <w:tblCellMar>
            <w:top w:w="0" w:type="dxa"/>
            <w:left w:w="108" w:type="dxa"/>
            <w:bottom w:w="0" w:type="dxa"/>
            <w:right w:w="108" w:type="dxa"/>
          </w:tblCellMar>
        </w:tblPrEx>
        <w:trPr>
          <w:trHeight w:val="780" w:hRule="atLeast"/>
        </w:trPr>
        <w:tc>
          <w:tcPr>
            <w:tcW w:w="862" w:type="dxa"/>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eastAsia="宋体"/>
                <w:color w:val="000000"/>
                <w:sz w:val="20"/>
                <w:szCs w:val="20"/>
              </w:rPr>
            </w:pPr>
            <w:r>
              <w:rPr>
                <w:rFonts w:hint="eastAsia" w:ascii="宋体" w:hAnsi="宋体" w:eastAsia="宋体"/>
                <w:color w:val="000000"/>
                <w:sz w:val="20"/>
                <w:szCs w:val="20"/>
              </w:rPr>
              <w:t>五、</w:t>
            </w:r>
            <w:r>
              <w:rPr>
                <w:rFonts w:ascii="Calibri" w:hAnsi="Calibri" w:eastAsia="宋体"/>
                <w:color w:val="000000"/>
                <w:sz w:val="20"/>
                <w:szCs w:val="20"/>
              </w:rPr>
              <w:t> </w:t>
            </w:r>
            <w:r>
              <w:rPr>
                <w:rFonts w:hint="eastAsia" w:ascii="宋体" w:hAnsi="宋体" w:eastAsia="宋体"/>
                <w:color w:val="000000"/>
                <w:sz w:val="20"/>
                <w:szCs w:val="20"/>
              </w:rPr>
              <w:t>存在问题、原因及下一步整改措施</w:t>
            </w:r>
          </w:p>
        </w:tc>
        <w:tc>
          <w:tcPr>
            <w:tcW w:w="7034" w:type="dxa"/>
            <w:gridSpan w:val="7"/>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加强与退役人员沟通，做好思想工作。</w:t>
            </w:r>
          </w:p>
        </w:tc>
      </w:tr>
    </w:tbl>
    <w:p>
      <w:pPr>
        <w:adjustRightInd w:val="0"/>
        <w:snapToGrid w:val="0"/>
        <w:spacing w:line="580" w:lineRule="exact"/>
        <w:ind w:firstLine="640" w:firstLineChars="200"/>
        <w:rPr>
          <w:rFonts w:ascii="Times New Roman" w:hAnsi="Times New Roman" w:eastAsia="楷体_GB2312" w:cs="Times New Roman"/>
          <w:b/>
          <w:bCs/>
          <w:sz w:val="32"/>
          <w:szCs w:val="32"/>
        </w:rPr>
      </w:pPr>
      <w:r>
        <w:rPr>
          <w:rFonts w:ascii="Times New Roman" w:hAnsi="Times New Roman" w:eastAsia="黑体" w:cs="Times New Roman"/>
          <w:sz w:val="32"/>
          <w:szCs w:val="32"/>
        </w:rPr>
        <w:t>十、其他需要说明的情况</w:t>
      </w:r>
    </w:p>
    <w:p>
      <w:pPr>
        <w:adjustRightInd w:val="0"/>
        <w:snapToGrid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 本部门2023年度</w:t>
      </w:r>
      <w:r>
        <w:rPr>
          <w:rFonts w:hint="eastAsia" w:ascii="方正仿宋_GB2312" w:hAnsi="方正仿宋_GB2312" w:eastAsia="方正仿宋_GB2312" w:cs="方正仿宋_GB2312"/>
          <w:bCs/>
          <w:sz w:val="32"/>
          <w:szCs w:val="32"/>
        </w:rPr>
        <w:t>政府性基金预算财政拨款收入支出决算表、国有资本经营预算财政拨款支出决算表、财政拨款“三公”经费支出决算表</w:t>
      </w:r>
      <w:r>
        <w:rPr>
          <w:rFonts w:ascii="Times New Roman" w:hAnsi="Times New Roman" w:eastAsia="仿宋_GB2312" w:cs="Times New Roman"/>
          <w:sz w:val="32"/>
          <w:szCs w:val="32"/>
        </w:rPr>
        <w:t>无收支及结转结余情况，故</w:t>
      </w:r>
      <w:r>
        <w:rPr>
          <w:rFonts w:hint="eastAsia" w:ascii="方正仿宋_GB2312" w:hAnsi="方正仿宋_GB2312" w:eastAsia="方正仿宋_GB2312" w:cs="方正仿宋_GB2312"/>
          <w:bCs/>
          <w:sz w:val="32"/>
          <w:szCs w:val="32"/>
        </w:rPr>
        <w:t>政府性基金预算财政拨款收入支出决算表、国有资本经营预算财政拨款支出决算表、财政拨款“三公”经费支出决算表</w:t>
      </w:r>
      <w:r>
        <w:rPr>
          <w:rFonts w:ascii="Times New Roman" w:hAnsi="Times New Roman" w:eastAsia="仿宋_GB2312" w:cs="Times New Roman"/>
          <w:sz w:val="32"/>
          <w:szCs w:val="32"/>
        </w:rPr>
        <w:t>以空表列示。</w:t>
      </w:r>
    </w:p>
    <w:p>
      <w:pPr>
        <w:adjustRightInd w:val="0"/>
        <w:snapToGrid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adjustRightInd w:val="0"/>
        <w:snapToGrid w:val="0"/>
        <w:spacing w:line="580" w:lineRule="exact"/>
        <w:ind w:firstLine="640" w:firstLineChars="200"/>
        <w:rPr>
          <w:rFonts w:ascii="Times New Roman" w:hAnsi="Times New Roman" w:eastAsia="仿宋_GB2312" w:cs="Times New Roman"/>
          <w:sz w:val="32"/>
          <w:szCs w:val="32"/>
        </w:rPr>
      </w:pPr>
    </w:p>
    <w:p>
      <w:pPr>
        <w:widowControl/>
        <w:spacing w:line="580" w:lineRule="exact"/>
        <w:ind w:firstLine="883" w:firstLineChars="200"/>
        <w:jc w:val="left"/>
        <w:rPr>
          <w:rFonts w:ascii="Times New Roman" w:hAnsi="Times New Roman" w:eastAsia="宋体" w:cs="Times New Roman"/>
          <w:b/>
          <w:bCs/>
          <w:sz w:val="44"/>
          <w:szCs w:val="44"/>
        </w:rPr>
      </w:pPr>
    </w:p>
    <w:p>
      <w:pPr>
        <w:rPr>
          <w:rFonts w:ascii="Times New Roman" w:hAnsi="Times New Roman" w:eastAsia="仿宋_GB2312" w:cs="Times New Roman"/>
          <w:sz w:val="32"/>
          <w:szCs w:val="32"/>
        </w:rPr>
      </w:pPr>
    </w:p>
    <w:p>
      <w:pPr>
        <w:widowControl/>
        <w:jc w:val="center"/>
        <w:rPr>
          <w:rFonts w:ascii="Times New Roman" w:hAnsi="Times New Roman" w:eastAsia="黑体" w:cs="Times New Roman"/>
          <w:color w:val="000000" w:themeColor="text1"/>
          <w:sz w:val="44"/>
          <w:szCs w:val="44"/>
        </w:rPr>
      </w:pPr>
    </w:p>
    <w:p>
      <w:pPr>
        <w:widowControl/>
        <w:jc w:val="center"/>
        <w:rPr>
          <w:rFonts w:ascii="Times New Roman" w:hAnsi="Times New Roman" w:eastAsia="黑体" w:cs="Times New Roman"/>
          <w:color w:val="000000" w:themeColor="text1"/>
          <w:sz w:val="44"/>
          <w:szCs w:val="44"/>
        </w:rPr>
      </w:pPr>
      <w:r>
        <w:rPr>
          <w:rFonts w:ascii="Times New Roman" w:hAnsi="Times New Roman" w:eastAsia="黑体" w:cs="Times New Roman"/>
          <w:color w:val="000000" w:themeColor="text1"/>
          <w:sz w:val="44"/>
          <w:szCs w:val="44"/>
        </w:rPr>
        <w:t>第四部分 相关名词解释</w:t>
      </w:r>
    </w:p>
    <w:p>
      <w:pPr>
        <w:rPr>
          <w:rFonts w:ascii="Times New Roman" w:hAnsi="Times New Roman" w:eastAsia="黑体" w:cs="Times New Roman"/>
          <w:color w:val="000000" w:themeColor="text1"/>
          <w:sz w:val="44"/>
          <w:szCs w:val="44"/>
        </w:rPr>
      </w:pPr>
      <w:r>
        <w:rPr>
          <w:rFonts w:ascii="Times New Roman" w:hAnsi="Times New Roman" w:eastAsia="黑体" w:cs="Times New Roman"/>
          <w:color w:val="000000" w:themeColor="text1"/>
          <w:sz w:val="44"/>
          <w:szCs w:val="44"/>
        </w:rPr>
        <w:br w:type="page"/>
      </w:r>
    </w:p>
    <w:p>
      <w:pPr>
        <w:widowControl/>
        <w:jc w:val="center"/>
        <w:rPr>
          <w:rFonts w:ascii="Times New Roman" w:hAnsi="Times New Roman" w:eastAsia="黑体" w:cs="Times New Roman"/>
          <w:color w:val="000000" w:themeColor="text1"/>
          <w:sz w:val="44"/>
          <w:szCs w:val="44"/>
        </w:rPr>
      </w:pPr>
    </w:p>
    <w:p>
      <w:pPr>
        <w:rPr>
          <w:rFonts w:ascii="Times New Roman" w:hAnsi="Times New Roman" w:eastAsia="仿宋_GB2312" w:cs="Times New Roman"/>
          <w:sz w:val="32"/>
          <w:szCs w:val="32"/>
        </w:rPr>
      </w:pP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一、</w:t>
      </w:r>
      <w:r>
        <w:rPr>
          <w:rFonts w:ascii="Times New Roman" w:hAnsi="Times New Roman" w:eastAsia="仿宋_GB2312" w:cs="Times New Roman"/>
          <w:b/>
          <w:bCs/>
          <w:color w:val="000000"/>
          <w:sz w:val="32"/>
          <w:szCs w:val="32"/>
        </w:rPr>
        <w:t>财政拨款收入：</w:t>
      </w:r>
      <w:r>
        <w:rPr>
          <w:rFonts w:ascii="Times New Roman" w:hAnsi="Times New Roman" w:eastAsia="仿宋_GB2312" w:cs="Times New Roman"/>
          <w:bCs/>
          <w:color w:val="000000"/>
          <w:sz w:val="32"/>
          <w:szCs w:val="32"/>
        </w:rPr>
        <w:t>指单位从同级财政部门取得的财政预算资金。</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二、</w:t>
      </w:r>
      <w:r>
        <w:rPr>
          <w:rFonts w:ascii="Times New Roman" w:hAnsi="Times New Roman" w:eastAsia="仿宋_GB2312" w:cs="Times New Roman"/>
          <w:b/>
          <w:bCs/>
          <w:color w:val="000000"/>
          <w:sz w:val="32"/>
          <w:szCs w:val="32"/>
        </w:rPr>
        <w:t>事业收入：</w:t>
      </w:r>
      <w:r>
        <w:rPr>
          <w:rFonts w:ascii="Times New Roman" w:hAnsi="Times New Roman" w:eastAsia="仿宋_GB2312" w:cs="Times New Roman"/>
          <w:bCs/>
          <w:color w:val="000000"/>
          <w:sz w:val="32"/>
          <w:szCs w:val="32"/>
        </w:rPr>
        <w:t>指事业单位开展专业业务活动及辅助活动取得的收入。</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三、</w:t>
      </w:r>
      <w:r>
        <w:rPr>
          <w:rFonts w:ascii="Times New Roman" w:hAnsi="Times New Roman" w:eastAsia="仿宋_GB2312" w:cs="Times New Roman"/>
          <w:b/>
          <w:bCs/>
          <w:color w:val="000000"/>
          <w:sz w:val="32"/>
          <w:szCs w:val="32"/>
        </w:rPr>
        <w:t>经营收入：</w:t>
      </w:r>
      <w:r>
        <w:rPr>
          <w:rFonts w:ascii="Times New Roman" w:hAnsi="Times New Roman" w:eastAsia="仿宋_GB2312" w:cs="Times New Roman"/>
          <w:bCs/>
          <w:color w:val="000000"/>
          <w:sz w:val="32"/>
          <w:szCs w:val="32"/>
        </w:rPr>
        <w:t>指事业单位在专业业务活动及其辅助活动之外开展非独立核算经营活动取得的收入。</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四、</w:t>
      </w:r>
      <w:r>
        <w:rPr>
          <w:rFonts w:ascii="Times New Roman" w:hAnsi="Times New Roman" w:eastAsia="仿宋_GB2312" w:cs="Times New Roman"/>
          <w:b/>
          <w:bCs/>
          <w:color w:val="000000"/>
          <w:sz w:val="32"/>
          <w:szCs w:val="32"/>
        </w:rPr>
        <w:t>其他收入：</w:t>
      </w:r>
      <w:r>
        <w:rPr>
          <w:rFonts w:ascii="Times New Roman" w:hAnsi="Times New Roman" w:eastAsia="仿宋_GB2312" w:cs="Times New Roman"/>
          <w:bCs/>
          <w:color w:val="000000"/>
          <w:sz w:val="32"/>
          <w:szCs w:val="32"/>
        </w:rPr>
        <w:t>指单位取得的除上述收入以外的各项收</w:t>
      </w:r>
    </w:p>
    <w:p>
      <w:pPr>
        <w:spacing w:line="580" w:lineRule="exact"/>
        <w:rPr>
          <w:rFonts w:ascii="Times New Roman" w:hAnsi="Times New Roman" w:eastAsia="仿宋_GB2312" w:cs="Times New Roman"/>
          <w:b/>
          <w:bCs/>
          <w:color w:val="000000"/>
          <w:sz w:val="32"/>
          <w:szCs w:val="32"/>
        </w:rPr>
      </w:pPr>
      <w:r>
        <w:rPr>
          <w:rFonts w:ascii="Times New Roman" w:hAnsi="Times New Roman" w:eastAsia="仿宋_GB2312" w:cs="Times New Roman"/>
          <w:bCs/>
          <w:color w:val="000000"/>
          <w:sz w:val="32"/>
          <w:szCs w:val="32"/>
        </w:rPr>
        <w:t>入。主要是事业单位固定资产出租收入、存款利息收入等。</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五、</w:t>
      </w:r>
      <w:r>
        <w:rPr>
          <w:rFonts w:ascii="Times New Roman" w:hAnsi="Times New Roman" w:eastAsia="仿宋_GB2312" w:cs="Times New Roman"/>
          <w:b/>
          <w:bCs/>
          <w:color w:val="000000"/>
          <w:sz w:val="32"/>
          <w:szCs w:val="32"/>
        </w:rPr>
        <w:t>使用非财政拨款结余（含专用结余）：</w:t>
      </w:r>
      <w:r>
        <w:rPr>
          <w:rFonts w:ascii="Times New Roman" w:hAnsi="Times New Roman" w:eastAsia="仿宋_GB2312" w:cs="Times New Roman"/>
          <w:bCs/>
          <w:color w:val="000000"/>
          <w:sz w:val="32"/>
          <w:szCs w:val="32"/>
        </w:rPr>
        <w:t>指事业单位按照预算管理要求使用非财政拨款结余弥补收支差额的金额，以及使用专用结余安排支出的金额。</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六、</w:t>
      </w:r>
      <w:r>
        <w:rPr>
          <w:rFonts w:ascii="Times New Roman" w:hAnsi="Times New Roman" w:eastAsia="仿宋_GB2312" w:cs="Times New Roman"/>
          <w:b/>
          <w:bCs/>
          <w:color w:val="000000"/>
          <w:sz w:val="32"/>
          <w:szCs w:val="32"/>
        </w:rPr>
        <w:t>年初结转和结余：</w:t>
      </w:r>
      <w:r>
        <w:rPr>
          <w:rFonts w:ascii="Times New Roman" w:hAnsi="Times New Roman" w:eastAsia="仿宋_GB2312" w:cs="Times New Roman"/>
          <w:bCs/>
          <w:color w:val="000000"/>
          <w:sz w:val="32"/>
          <w:szCs w:val="32"/>
        </w:rPr>
        <w:t>指单位以前年度尚未完成、结转到本年仍按原规定用途继续使用的资金，或项目已完成等产生的结余资金。</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七、</w:t>
      </w:r>
      <w:r>
        <w:rPr>
          <w:rFonts w:ascii="Times New Roman" w:hAnsi="Times New Roman" w:eastAsia="仿宋_GB2312" w:cs="Times New Roman"/>
          <w:b/>
          <w:bCs/>
          <w:color w:val="000000"/>
          <w:sz w:val="32"/>
          <w:szCs w:val="32"/>
        </w:rPr>
        <w:t>结余分配：</w:t>
      </w:r>
      <w:r>
        <w:rPr>
          <w:rFonts w:ascii="Times New Roman" w:hAnsi="Times New Roman" w:eastAsia="仿宋_GB2312" w:cs="Times New Roman"/>
          <w:bCs/>
          <w:color w:val="000000"/>
          <w:sz w:val="32"/>
          <w:szCs w:val="32"/>
        </w:rPr>
        <w:t>指事业单位按照会计制度规定缴纳的所得税、提取的专用结余以及转入非财政拨款结余的金额等。</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八、</w:t>
      </w:r>
      <w:r>
        <w:rPr>
          <w:rFonts w:ascii="Times New Roman" w:hAnsi="Times New Roman" w:eastAsia="仿宋_GB2312" w:cs="Times New Roman"/>
          <w:b/>
          <w:bCs/>
          <w:color w:val="000000"/>
          <w:sz w:val="32"/>
          <w:szCs w:val="32"/>
        </w:rPr>
        <w:t>年末结转和结余：</w:t>
      </w:r>
      <w:r>
        <w:rPr>
          <w:rFonts w:ascii="Times New Roman" w:hAnsi="Times New Roman" w:eastAsia="仿宋_GB2312" w:cs="Times New Roman"/>
          <w:bCs/>
          <w:color w:val="000000"/>
          <w:sz w:val="32"/>
          <w:szCs w:val="32"/>
        </w:rPr>
        <w:t>指单位按有关规定结转到下年或以后年度继续使用的资金，或项目已完成等产生的结余资金。</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九、</w:t>
      </w:r>
      <w:r>
        <w:rPr>
          <w:rFonts w:ascii="Times New Roman" w:hAnsi="Times New Roman" w:eastAsia="仿宋_GB2312" w:cs="Times New Roman"/>
          <w:b/>
          <w:bCs/>
          <w:color w:val="000000"/>
          <w:sz w:val="32"/>
          <w:szCs w:val="32"/>
        </w:rPr>
        <w:t>基本支出：</w:t>
      </w:r>
      <w:r>
        <w:rPr>
          <w:rFonts w:ascii="Times New Roman" w:hAnsi="Times New Roman" w:eastAsia="仿宋_GB2312" w:cs="Times New Roman"/>
          <w:bCs/>
          <w:color w:val="000000"/>
          <w:sz w:val="32"/>
          <w:szCs w:val="32"/>
        </w:rPr>
        <w:t>指为保障机构正常运转、完成日常工作任务而发生的人员支出和公用支出。</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w:t>
      </w:r>
      <w:r>
        <w:rPr>
          <w:rFonts w:ascii="Times New Roman" w:hAnsi="Times New Roman" w:eastAsia="仿宋_GB2312" w:cs="Times New Roman"/>
          <w:b/>
          <w:bCs/>
          <w:color w:val="000000"/>
          <w:sz w:val="32"/>
          <w:szCs w:val="32"/>
        </w:rPr>
        <w:t>项目支出：</w:t>
      </w:r>
      <w:r>
        <w:rPr>
          <w:rFonts w:ascii="Times New Roman" w:hAnsi="Times New Roman" w:eastAsia="仿宋_GB2312" w:cs="Times New Roman"/>
          <w:color w:val="000000"/>
          <w:sz w:val="32"/>
          <w:szCs w:val="32"/>
        </w:rPr>
        <w:t>指在基本支出之外为完成特定行政任务和事业发展目标所发生的支出。</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十一、</w:t>
      </w:r>
      <w:r>
        <w:rPr>
          <w:rFonts w:ascii="Times New Roman" w:hAnsi="Times New Roman" w:eastAsia="仿宋_GB2312" w:cs="Times New Roman"/>
          <w:b/>
          <w:bCs/>
          <w:color w:val="000000"/>
          <w:sz w:val="32"/>
          <w:szCs w:val="32"/>
        </w:rPr>
        <w:t>经营支出 ：</w:t>
      </w:r>
      <w:r>
        <w:rPr>
          <w:rFonts w:ascii="Times New Roman" w:hAnsi="Times New Roman" w:eastAsia="仿宋_GB2312" w:cs="Times New Roman"/>
          <w:color w:val="000000"/>
          <w:sz w:val="32"/>
          <w:szCs w:val="32"/>
        </w:rPr>
        <w:t>指事业单位在专业业务活动及其辅助活动之外开展非独立核算经营活动发生的支出。</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十二、</w:t>
      </w:r>
      <w:r>
        <w:rPr>
          <w:rFonts w:ascii="Times New Roman" w:hAnsi="Times New Roman" w:eastAsia="仿宋_GB2312" w:cs="Times New Roman"/>
          <w:b/>
          <w:bCs/>
          <w:color w:val="000000"/>
          <w:sz w:val="32"/>
          <w:szCs w:val="32"/>
        </w:rPr>
        <w:t>基本建设支出：</w:t>
      </w:r>
      <w:r>
        <w:rPr>
          <w:rFonts w:ascii="Times New Roman" w:hAnsi="Times New Roman" w:eastAsia="仿宋_GB2312" w:cs="Times New Roman"/>
          <w:color w:val="00000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ascii="Times New Roman" w:hAnsi="Times New Roman" w:eastAsia="仿宋_GB2312" w:cs="Times New Roman"/>
          <w:b/>
          <w:bCs/>
          <w:color w:val="000000"/>
          <w:sz w:val="32"/>
          <w:szCs w:val="32"/>
        </w:rPr>
      </w:pPr>
      <w:r>
        <w:rPr>
          <w:rFonts w:hint="eastAsia" w:ascii="Times New Roman" w:hAnsi="Times New Roman" w:eastAsia="仿宋_GB2312" w:cs="Times New Roman"/>
          <w:b/>
          <w:bCs/>
          <w:color w:val="000000"/>
          <w:sz w:val="32"/>
          <w:szCs w:val="32"/>
        </w:rPr>
        <w:t>十三、</w:t>
      </w:r>
      <w:r>
        <w:rPr>
          <w:rFonts w:ascii="Times New Roman" w:hAnsi="Times New Roman" w:eastAsia="仿宋_GB2312" w:cs="Times New Roman"/>
          <w:b/>
          <w:bCs/>
          <w:color w:val="000000"/>
          <w:sz w:val="32"/>
          <w:szCs w:val="32"/>
        </w:rPr>
        <w:t>其他资本性支出：</w:t>
      </w:r>
      <w:r>
        <w:rPr>
          <w:rFonts w:ascii="Times New Roman" w:hAnsi="Times New Roman" w:eastAsia="仿宋_GB2312" w:cs="Times New Roman"/>
          <w:color w:val="00000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十四、</w:t>
      </w:r>
      <w:r>
        <w:rPr>
          <w:rFonts w:ascii="Times New Roman" w:hAnsi="Times New Roman" w:eastAsia="仿宋_GB2312" w:cs="Times New Roman"/>
          <w:b/>
          <w:bCs/>
          <w:color w:val="000000"/>
          <w:sz w:val="32"/>
          <w:szCs w:val="32"/>
        </w:rPr>
        <w:t>“三公”经费：</w:t>
      </w:r>
      <w:r>
        <w:rPr>
          <w:rFonts w:ascii="Times New Roman" w:hAnsi="Times New Roman" w:eastAsia="仿宋_GB2312" w:cs="Times New Roman"/>
          <w:color w:val="00000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十五、</w:t>
      </w:r>
      <w:r>
        <w:rPr>
          <w:rFonts w:ascii="Times New Roman" w:hAnsi="Times New Roman" w:eastAsia="仿宋_GB2312" w:cs="Times New Roman"/>
          <w:b/>
          <w:bCs/>
          <w:color w:val="000000"/>
          <w:sz w:val="32"/>
          <w:szCs w:val="32"/>
        </w:rPr>
        <w:t>其他交通费用：</w:t>
      </w:r>
      <w:r>
        <w:rPr>
          <w:rFonts w:ascii="Times New Roman" w:hAnsi="Times New Roman" w:eastAsia="仿宋_GB2312" w:cs="Times New Roman"/>
          <w:color w:val="00000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十六、</w:t>
      </w:r>
      <w:r>
        <w:rPr>
          <w:rFonts w:ascii="Times New Roman" w:hAnsi="Times New Roman" w:eastAsia="仿宋_GB2312" w:cs="Times New Roman"/>
          <w:b/>
          <w:bCs/>
          <w:color w:val="000000"/>
          <w:sz w:val="32"/>
          <w:szCs w:val="32"/>
        </w:rPr>
        <w:t>公务用车购置：</w:t>
      </w:r>
      <w:r>
        <w:rPr>
          <w:rFonts w:ascii="Times New Roman" w:hAnsi="Times New Roman" w:eastAsia="仿宋_GB2312" w:cs="Times New Roman"/>
          <w:color w:val="000000"/>
          <w:sz w:val="32"/>
          <w:szCs w:val="32"/>
        </w:rPr>
        <w:t>填列单位公务用车车辆购置支出（含车辆购置税、牌照费）。</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十七、</w:t>
      </w:r>
      <w:r>
        <w:rPr>
          <w:rFonts w:ascii="Times New Roman" w:hAnsi="Times New Roman" w:eastAsia="仿宋_GB2312" w:cs="Times New Roman"/>
          <w:b/>
          <w:bCs/>
          <w:color w:val="000000"/>
          <w:sz w:val="32"/>
          <w:szCs w:val="32"/>
        </w:rPr>
        <w:t>其他交通工具购置：</w:t>
      </w:r>
      <w:r>
        <w:rPr>
          <w:rFonts w:ascii="Times New Roman" w:hAnsi="Times New Roman" w:eastAsia="仿宋_GB2312" w:cs="Times New Roman"/>
          <w:color w:val="000000"/>
          <w:sz w:val="32"/>
          <w:szCs w:val="32"/>
        </w:rPr>
        <w:t>填列单位除公务用车外的其他各类交通工具（如船舶、飞机等）购置支出（含车辆购置税、牌照费）。</w:t>
      </w:r>
    </w:p>
    <w:p>
      <w:pPr>
        <w:widowControl/>
        <w:spacing w:line="560" w:lineRule="exact"/>
        <w:ind w:firstLine="643" w:firstLineChars="200"/>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sz w:val="32"/>
          <w:szCs w:val="32"/>
        </w:rPr>
        <w:t>十八、机关运行经费：</w:t>
      </w:r>
      <w:r>
        <w:rPr>
          <w:rFonts w:ascii="Times New Roman" w:hAnsi="Times New Roman" w:eastAsia="仿宋_GB2312" w:cs="Times New Roman"/>
          <w:color w:val="00000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color w:val="000000"/>
          <w:sz w:val="32"/>
          <w:szCs w:val="32"/>
        </w:rPr>
        <w:t>十九、经费形式:</w:t>
      </w:r>
      <w:r>
        <w:rPr>
          <w:rFonts w:ascii="Times New Roman" w:hAnsi="Times New Roman" w:eastAsia="仿宋_GB2312" w:cs="Times New Roman"/>
          <w:color w:val="000000"/>
          <w:sz w:val="32"/>
          <w:szCs w:val="32"/>
        </w:rPr>
        <w:t>按照经费来源，</w:t>
      </w:r>
      <w:r>
        <w:rPr>
          <w:rFonts w:ascii="Times New Roman" w:hAnsi="Times New Roman" w:eastAsia="仿宋_GB2312" w:cs="Times New Roman"/>
          <w:sz w:val="32"/>
          <w:szCs w:val="32"/>
        </w:rPr>
        <w:t>可分为财政拨款、财政性资金基本保证、财政性资金定额或定项补助、财政性资金零补助四类</w:t>
      </w:r>
      <w:r>
        <w:rPr>
          <w:rFonts w:hint="eastAsia" w:ascii="Times New Roman" w:hAnsi="Times New Roman" w:eastAsia="仿宋_GB2312" w:cs="Times New Roman"/>
          <w:sz w:val="32"/>
          <w:szCs w:val="32"/>
        </w:rPr>
        <w:t>。</w:t>
      </w:r>
    </w:p>
    <w:p>
      <w:pPr>
        <w:rPr>
          <w:rFonts w:ascii="Times New Roman" w:hAnsi="Times New Roman" w:cs="Times New Roman"/>
        </w:rPr>
      </w:pPr>
    </w:p>
    <w:p>
      <w:pPr>
        <w:pStyle w:val="10"/>
        <w:widowControl/>
        <w:spacing w:beforeAutospacing="0" w:afterAutospacing="0"/>
        <w:rPr>
          <w:rFonts w:ascii="Times New Roman" w:hAnsi="Times New Roman" w:eastAsia="仿宋_GB2312"/>
          <w:color w:val="333333"/>
          <w:sz w:val="33"/>
          <w:szCs w:val="33"/>
          <w:shd w:val="clear" w:color="auto" w:fill="FFFFFF"/>
        </w:rPr>
      </w:pPr>
    </w:p>
    <w:p>
      <w:pPr>
        <w:rPr>
          <w:rFonts w:ascii="Times New Roman" w:hAnsi="Times New Roman" w:eastAsia="仿宋_GB2312" w:cs="Times New Roman"/>
          <w:color w:val="333333"/>
          <w:sz w:val="33"/>
          <w:szCs w:val="33"/>
          <w:shd w:val="clear" w:color="auto"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EDF77FF-50DA-4DCF-9AE3-227AED057B1C}"/>
  </w:font>
  <w:font w:name="黑体">
    <w:panose1 w:val="02010609060101010101"/>
    <w:charset w:val="86"/>
    <w:family w:val="auto"/>
    <w:pitch w:val="default"/>
    <w:sig w:usb0="800002BF" w:usb1="38CF7CFA" w:usb2="00000016" w:usb3="00000000" w:csb0="00040001" w:csb1="00000000"/>
    <w:embedRegular r:id="rId2" w:fontKey="{6C357BE0-9A65-4C90-A9FA-9CF4FE38B1C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E963FF0C-22EE-4125-AEAE-E3EF73F7B030}"/>
  </w:font>
  <w:font w:name="仿宋">
    <w:panose1 w:val="02010609060101010101"/>
    <w:charset w:val="86"/>
    <w:family w:val="modern"/>
    <w:pitch w:val="default"/>
    <w:sig w:usb0="800002BF" w:usb1="38CF7CFA" w:usb2="00000016" w:usb3="00000000" w:csb0="00040001" w:csb1="00000000"/>
    <w:embedRegular r:id="rId4" w:fontKey="{69DF3438-5450-4DAF-9155-A26E4EB0230F}"/>
  </w:font>
  <w:font w:name="Calibri Light">
    <w:panose1 w:val="020F0302020204030204"/>
    <w:charset w:val="00"/>
    <w:family w:val="swiss"/>
    <w:pitch w:val="default"/>
    <w:sig w:usb0="E4002EFF" w:usb1="C000247B" w:usb2="00000009" w:usb3="00000000" w:csb0="200001FF" w:csb1="00000000"/>
  </w:font>
  <w:font w:name="华文中宋">
    <w:altName w:val="宋体"/>
    <w:panose1 w:val="00000000000000000000"/>
    <w:charset w:val="86"/>
    <w:family w:val="auto"/>
    <w:pitch w:val="default"/>
    <w:sig w:usb0="00000000" w:usb1="00000000" w:usb2="00000000" w:usb3="00000000" w:csb0="0004009F" w:csb1="DFD70000"/>
  </w:font>
  <w:font w:name="方正仿宋_GBK">
    <w:panose1 w:val="02000000000000000000"/>
    <w:charset w:val="86"/>
    <w:family w:val="roman"/>
    <w:pitch w:val="default"/>
    <w:sig w:usb0="A00002BF" w:usb1="38CF7CFA" w:usb2="00082016" w:usb3="00000000" w:csb0="00040001" w:csb1="00000000"/>
    <w:embedRegular r:id="rId5" w:fontKey="{1B7A2143-0381-49BF-88DA-1E6FF98D403C}"/>
  </w:font>
  <w:font w:name="楷体_GB2312">
    <w:altName w:val="楷体"/>
    <w:panose1 w:val="00000000000000000000"/>
    <w:charset w:val="86"/>
    <w:family w:val="auto"/>
    <w:pitch w:val="default"/>
    <w:sig w:usb0="00000000" w:usb1="00000000" w:usb2="00000000" w:usb3="00000000" w:csb0="00040000" w:csb1="00000000"/>
    <w:embedRegular r:id="rId6" w:fontKey="{4550CFD4-DF86-4A55-A186-2CE8FCC2F351}"/>
  </w:font>
  <w:font w:name="仿宋_GB2312">
    <w:altName w:val="仿宋"/>
    <w:panose1 w:val="00000000000000000000"/>
    <w:charset w:val="86"/>
    <w:family w:val="auto"/>
    <w:pitch w:val="default"/>
    <w:sig w:usb0="00000000" w:usb1="00000000" w:usb2="00000000" w:usb3="00000000" w:csb0="00040000" w:csb1="00000000"/>
    <w:embedRegular r:id="rId7" w:fontKey="{C9E03251-ADDF-40C4-BDF0-BDC9DE361FD2}"/>
  </w:font>
  <w:font w:name="ArialUnicodeMS">
    <w:altName w:val="Malgun Gothic"/>
    <w:panose1 w:val="00000000000000000000"/>
    <w:charset w:val="81"/>
    <w:family w:val="auto"/>
    <w:pitch w:val="default"/>
    <w:sig w:usb0="00000000" w:usb1="00000000" w:usb2="00000010" w:usb3="00000000" w:csb0="00080001" w:csb1="00000000"/>
    <w:embedRegular r:id="rId8" w:fontKey="{F319D02B-11DB-47FC-B9FF-94D6D8F4D570}"/>
  </w:font>
  <w:font w:name="方正仿宋_GB2312">
    <w:altName w:val="仿宋"/>
    <w:panose1 w:val="00000000000000000000"/>
    <w:charset w:val="86"/>
    <w:family w:val="auto"/>
    <w:pitch w:val="default"/>
    <w:sig w:usb0="00000000" w:usb1="00000000" w:usb2="00000012" w:usb3="00000000" w:csb0="00040001" w:csb1="00000000"/>
    <w:embedRegular r:id="rId9" w:fontKey="{E5C726E4-040D-4860-B4E7-D65408550E4D}"/>
  </w:font>
  <w:font w:name="___WRD_EMBED_SUB_52">
    <w:panose1 w:val="02000000000000000000"/>
    <w:charset w:val="86"/>
    <w:family w:val="auto"/>
    <w:pitch w:val="default"/>
    <w:sig w:usb0="A00002BF" w:usb1="184F6CFA" w:usb2="00000012" w:usb3="00000000" w:csb0="00040001" w:csb1="00000000"/>
    <w:embedRegular r:id="rId10" w:fontKey="{29291A3F-F694-4AFE-9A71-84885A830877}"/>
  </w:font>
  <w:font w:name="___WRD_EMBED_SUB_48">
    <w:panose1 w:val="02010609030101010101"/>
    <w:charset w:val="86"/>
    <w:family w:val="auto"/>
    <w:pitch w:val="default"/>
    <w:sig w:usb0="00000001" w:usb1="080E0000" w:usb2="00000000" w:usb3="00000000" w:csb0="00040000" w:csb1="00000000"/>
    <w:embedRegular r:id="rId11" w:fontKey="{5A5C3D07-9DC2-4113-8B97-28367E22B7CA}"/>
  </w:font>
  <w:font w:name="DengXian-Regular">
    <w:altName w:val="宋体"/>
    <w:panose1 w:val="00000000000000000000"/>
    <w:charset w:val="86"/>
    <w:family w:val="auto"/>
    <w:pitch w:val="default"/>
    <w:sig w:usb0="00000000" w:usb1="00000000" w:usb2="00000010" w:usb3="00000000" w:csb0="00040001" w:csb1="00000000"/>
    <w:embedRegular r:id="rId12" w:fontKey="{7E00CE56-7DBD-4183-95BD-2C3B36FC193A}"/>
  </w:font>
  <w:font w:name="方正小标宋_GBK">
    <w:panose1 w:val="02000000000000000000"/>
    <w:charset w:val="86"/>
    <w:family w:val="roman"/>
    <w:pitch w:val="default"/>
    <w:sig w:usb0="A00002BF" w:usb1="38CF7CFA" w:usb2="00082016" w:usb3="00000000" w:csb0="00040001" w:csb1="00000000"/>
    <w:embedRegular r:id="rId13" w:fontKey="{0F2E4ED9-F2C9-4A23-9E30-DAF49C1DD13F}"/>
  </w:font>
  <w:font w:name="楷体">
    <w:panose1 w:val="02010609060101010101"/>
    <w:charset w:val="86"/>
    <w:family w:val="auto"/>
    <w:pitch w:val="default"/>
    <w:sig w:usb0="800002BF" w:usb1="38CF7CFA" w:usb2="00000016" w:usb3="00000000" w:csb0="00040001"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67209"/>
      <w:docPartObj>
        <w:docPartGallery w:val="autotext"/>
      </w:docPartObj>
    </w:sdtPr>
    <w:sdtContent>
      <w:p>
        <w:pPr>
          <w:pStyle w:val="8"/>
          <w:jc w:val="center"/>
        </w:pPr>
        <w:r>
          <w:fldChar w:fldCharType="begin"/>
        </w:r>
        <w:r>
          <w:instrText xml:space="preserve"> PAGE   \* MERGEFORMAT </w:instrText>
        </w:r>
        <w:r>
          <w:fldChar w:fldCharType="separate"/>
        </w:r>
        <w:r>
          <w:rPr>
            <w:lang w:val="zh-CN"/>
          </w:rPr>
          <w:t>3</w:t>
        </w:r>
        <w:r>
          <w:rPr>
            <w:lang w:val="zh-CN"/>
          </w:rPr>
          <w:fldChar w:fldCharType="end"/>
        </w:r>
      </w:p>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1EB42C"/>
    <w:multiLevelType w:val="singleLevel"/>
    <w:tmpl w:val="F31EB42C"/>
    <w:lvl w:ilvl="0" w:tentative="0">
      <w:start w:val="4"/>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jb3VudCI6MjAsImhkaWQiOiJiMzk2N2EzZjUyYWViODRjZjJhMDZjM2YyYjk4MTExMiIsInVzZXJDb3VudCI6MX0="/>
  </w:docVars>
  <w:rsids>
    <w:rsidRoot w:val="000506C6"/>
    <w:rsid w:val="000506C6"/>
    <w:rsid w:val="00086151"/>
    <w:rsid w:val="000F7ED1"/>
    <w:rsid w:val="00110065"/>
    <w:rsid w:val="00150558"/>
    <w:rsid w:val="00236F8C"/>
    <w:rsid w:val="002D3999"/>
    <w:rsid w:val="00377D62"/>
    <w:rsid w:val="00401204"/>
    <w:rsid w:val="00441B97"/>
    <w:rsid w:val="004E6A37"/>
    <w:rsid w:val="00596228"/>
    <w:rsid w:val="00705BFD"/>
    <w:rsid w:val="007776F9"/>
    <w:rsid w:val="00877981"/>
    <w:rsid w:val="008E12CF"/>
    <w:rsid w:val="0096690D"/>
    <w:rsid w:val="00B979E6"/>
    <w:rsid w:val="00C25C40"/>
    <w:rsid w:val="00C65689"/>
    <w:rsid w:val="00CC2C8E"/>
    <w:rsid w:val="00EC7897"/>
    <w:rsid w:val="00F27B04"/>
    <w:rsid w:val="00FC7BED"/>
    <w:rsid w:val="00FD08C3"/>
    <w:rsid w:val="01616D62"/>
    <w:rsid w:val="01900E19"/>
    <w:rsid w:val="01A03C5A"/>
    <w:rsid w:val="01A5267D"/>
    <w:rsid w:val="01DA0A75"/>
    <w:rsid w:val="02363AF1"/>
    <w:rsid w:val="024808A2"/>
    <w:rsid w:val="025C3821"/>
    <w:rsid w:val="02DA3B1B"/>
    <w:rsid w:val="02E57B4D"/>
    <w:rsid w:val="033D3951"/>
    <w:rsid w:val="037B12D4"/>
    <w:rsid w:val="03804D63"/>
    <w:rsid w:val="03FB73B0"/>
    <w:rsid w:val="04BD008C"/>
    <w:rsid w:val="04C55939"/>
    <w:rsid w:val="04DA28BB"/>
    <w:rsid w:val="04F528BE"/>
    <w:rsid w:val="05991C82"/>
    <w:rsid w:val="061416A9"/>
    <w:rsid w:val="06236884"/>
    <w:rsid w:val="067E788A"/>
    <w:rsid w:val="06FC7C2A"/>
    <w:rsid w:val="071E363B"/>
    <w:rsid w:val="07533AFE"/>
    <w:rsid w:val="07B3657A"/>
    <w:rsid w:val="07C857D0"/>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9F7900"/>
    <w:rsid w:val="0CB23317"/>
    <w:rsid w:val="0D101068"/>
    <w:rsid w:val="0D49470D"/>
    <w:rsid w:val="0D7557DF"/>
    <w:rsid w:val="0D853E34"/>
    <w:rsid w:val="0D9C2A57"/>
    <w:rsid w:val="0DFA5D82"/>
    <w:rsid w:val="0E1E52CE"/>
    <w:rsid w:val="0E341BC0"/>
    <w:rsid w:val="0E866524"/>
    <w:rsid w:val="0E9268D3"/>
    <w:rsid w:val="0E957F1F"/>
    <w:rsid w:val="0F0E7284"/>
    <w:rsid w:val="0F28110F"/>
    <w:rsid w:val="0F37083F"/>
    <w:rsid w:val="0F891DB8"/>
    <w:rsid w:val="0FAA3B86"/>
    <w:rsid w:val="10191346"/>
    <w:rsid w:val="10754A6C"/>
    <w:rsid w:val="108B537D"/>
    <w:rsid w:val="10B11DB1"/>
    <w:rsid w:val="10C7485C"/>
    <w:rsid w:val="10F35A7F"/>
    <w:rsid w:val="11177F57"/>
    <w:rsid w:val="11217C97"/>
    <w:rsid w:val="11464C20"/>
    <w:rsid w:val="115E4926"/>
    <w:rsid w:val="118A1FFA"/>
    <w:rsid w:val="11E35B5A"/>
    <w:rsid w:val="11E42DD6"/>
    <w:rsid w:val="125F5A1B"/>
    <w:rsid w:val="126979D6"/>
    <w:rsid w:val="129E45A7"/>
    <w:rsid w:val="13074404"/>
    <w:rsid w:val="136A5C00"/>
    <w:rsid w:val="13C527AC"/>
    <w:rsid w:val="13E0418E"/>
    <w:rsid w:val="14711797"/>
    <w:rsid w:val="147B6F17"/>
    <w:rsid w:val="14D42061"/>
    <w:rsid w:val="15081C8B"/>
    <w:rsid w:val="15090D5C"/>
    <w:rsid w:val="15CF053D"/>
    <w:rsid w:val="15E0131A"/>
    <w:rsid w:val="16457D9F"/>
    <w:rsid w:val="17223EFF"/>
    <w:rsid w:val="17B713F6"/>
    <w:rsid w:val="184350A0"/>
    <w:rsid w:val="18541CC2"/>
    <w:rsid w:val="187B3DA8"/>
    <w:rsid w:val="18935485"/>
    <w:rsid w:val="18946C52"/>
    <w:rsid w:val="18A34206"/>
    <w:rsid w:val="18DE3B2C"/>
    <w:rsid w:val="1906685D"/>
    <w:rsid w:val="19111683"/>
    <w:rsid w:val="19353916"/>
    <w:rsid w:val="19B07C1B"/>
    <w:rsid w:val="19C10AF1"/>
    <w:rsid w:val="1A2672DE"/>
    <w:rsid w:val="1AA81D42"/>
    <w:rsid w:val="1AB433D9"/>
    <w:rsid w:val="1B1B11EE"/>
    <w:rsid w:val="1B3719E0"/>
    <w:rsid w:val="1B6261C3"/>
    <w:rsid w:val="1B731730"/>
    <w:rsid w:val="1B882BB5"/>
    <w:rsid w:val="1B906310"/>
    <w:rsid w:val="1B9B33C7"/>
    <w:rsid w:val="1B9D7FEC"/>
    <w:rsid w:val="1BA55461"/>
    <w:rsid w:val="1BE74496"/>
    <w:rsid w:val="1C3D67D1"/>
    <w:rsid w:val="1C40731A"/>
    <w:rsid w:val="1C560392"/>
    <w:rsid w:val="1C581532"/>
    <w:rsid w:val="1C7D181A"/>
    <w:rsid w:val="1CA15E03"/>
    <w:rsid w:val="1CA24F0C"/>
    <w:rsid w:val="1CF8716C"/>
    <w:rsid w:val="1D230EBD"/>
    <w:rsid w:val="1D4B1F5B"/>
    <w:rsid w:val="1D6C5CA0"/>
    <w:rsid w:val="1D725586"/>
    <w:rsid w:val="1D745B4F"/>
    <w:rsid w:val="1D867987"/>
    <w:rsid w:val="1D944010"/>
    <w:rsid w:val="1DA60472"/>
    <w:rsid w:val="1DD70E85"/>
    <w:rsid w:val="1DE6414E"/>
    <w:rsid w:val="1DE74AD7"/>
    <w:rsid w:val="1DF60A19"/>
    <w:rsid w:val="1DFA6713"/>
    <w:rsid w:val="1E050843"/>
    <w:rsid w:val="1E20024F"/>
    <w:rsid w:val="1E2D3FB0"/>
    <w:rsid w:val="1E2E50F1"/>
    <w:rsid w:val="1E2F73C2"/>
    <w:rsid w:val="1E3B4E26"/>
    <w:rsid w:val="1E97477F"/>
    <w:rsid w:val="1ED500B4"/>
    <w:rsid w:val="1EDF707D"/>
    <w:rsid w:val="1F65664C"/>
    <w:rsid w:val="1F79478A"/>
    <w:rsid w:val="1F7C149A"/>
    <w:rsid w:val="1F84140D"/>
    <w:rsid w:val="1F863C54"/>
    <w:rsid w:val="1F9B7FFD"/>
    <w:rsid w:val="1F9C7614"/>
    <w:rsid w:val="1FB810FB"/>
    <w:rsid w:val="1FBE1971"/>
    <w:rsid w:val="2008768D"/>
    <w:rsid w:val="204C2B10"/>
    <w:rsid w:val="207D30AD"/>
    <w:rsid w:val="209064B9"/>
    <w:rsid w:val="20970D81"/>
    <w:rsid w:val="20D165D5"/>
    <w:rsid w:val="210878E6"/>
    <w:rsid w:val="210E1408"/>
    <w:rsid w:val="211069AD"/>
    <w:rsid w:val="21573FAB"/>
    <w:rsid w:val="2172069C"/>
    <w:rsid w:val="21987BC4"/>
    <w:rsid w:val="220451AB"/>
    <w:rsid w:val="2237486E"/>
    <w:rsid w:val="223D1378"/>
    <w:rsid w:val="22940650"/>
    <w:rsid w:val="22AD4B1E"/>
    <w:rsid w:val="22D31DF3"/>
    <w:rsid w:val="22FD3CF7"/>
    <w:rsid w:val="2356249E"/>
    <w:rsid w:val="23605570"/>
    <w:rsid w:val="236E713A"/>
    <w:rsid w:val="23700968"/>
    <w:rsid w:val="238761A6"/>
    <w:rsid w:val="23920578"/>
    <w:rsid w:val="23BB6F9A"/>
    <w:rsid w:val="23FC3864"/>
    <w:rsid w:val="247D7230"/>
    <w:rsid w:val="24F25212"/>
    <w:rsid w:val="254B0AC6"/>
    <w:rsid w:val="25571AB6"/>
    <w:rsid w:val="25B40AD6"/>
    <w:rsid w:val="25BE7872"/>
    <w:rsid w:val="25BF702A"/>
    <w:rsid w:val="25FA6065"/>
    <w:rsid w:val="2611374E"/>
    <w:rsid w:val="261F111C"/>
    <w:rsid w:val="26477410"/>
    <w:rsid w:val="264D2D17"/>
    <w:rsid w:val="26D50E55"/>
    <w:rsid w:val="270763D6"/>
    <w:rsid w:val="271A539C"/>
    <w:rsid w:val="274972D4"/>
    <w:rsid w:val="275048F0"/>
    <w:rsid w:val="275C72A5"/>
    <w:rsid w:val="27AA3D97"/>
    <w:rsid w:val="28405AA6"/>
    <w:rsid w:val="289057C5"/>
    <w:rsid w:val="28A67C7A"/>
    <w:rsid w:val="28D1057E"/>
    <w:rsid w:val="28DB2E3F"/>
    <w:rsid w:val="28EA3248"/>
    <w:rsid w:val="28F879DA"/>
    <w:rsid w:val="294630F8"/>
    <w:rsid w:val="294B7731"/>
    <w:rsid w:val="296A5FF1"/>
    <w:rsid w:val="29D21FF2"/>
    <w:rsid w:val="2A611B0F"/>
    <w:rsid w:val="2AC1762B"/>
    <w:rsid w:val="2AE845D0"/>
    <w:rsid w:val="2B4975FB"/>
    <w:rsid w:val="2B695031"/>
    <w:rsid w:val="2B735A8F"/>
    <w:rsid w:val="2BA7478D"/>
    <w:rsid w:val="2BB038DB"/>
    <w:rsid w:val="2BB761E0"/>
    <w:rsid w:val="2BB812F9"/>
    <w:rsid w:val="2BE319AF"/>
    <w:rsid w:val="2BE35C27"/>
    <w:rsid w:val="2BFA504B"/>
    <w:rsid w:val="2C681F1F"/>
    <w:rsid w:val="2C8608DC"/>
    <w:rsid w:val="2CA4764A"/>
    <w:rsid w:val="2CC42ECA"/>
    <w:rsid w:val="2CDA4349"/>
    <w:rsid w:val="2D225539"/>
    <w:rsid w:val="2D4618D2"/>
    <w:rsid w:val="2D5F021B"/>
    <w:rsid w:val="2D6E1286"/>
    <w:rsid w:val="2D70583E"/>
    <w:rsid w:val="2D99655D"/>
    <w:rsid w:val="2E1B4BB8"/>
    <w:rsid w:val="2E256CB6"/>
    <w:rsid w:val="2E3224D3"/>
    <w:rsid w:val="2E5F27E4"/>
    <w:rsid w:val="2E9871B6"/>
    <w:rsid w:val="2EBD223E"/>
    <w:rsid w:val="2EC10AD1"/>
    <w:rsid w:val="2ECB6A5A"/>
    <w:rsid w:val="2EFC0112"/>
    <w:rsid w:val="2F2B730D"/>
    <w:rsid w:val="2F42598B"/>
    <w:rsid w:val="2F8169E4"/>
    <w:rsid w:val="2F9F3DC1"/>
    <w:rsid w:val="2FFC7AC2"/>
    <w:rsid w:val="301430AF"/>
    <w:rsid w:val="30630612"/>
    <w:rsid w:val="308E59B0"/>
    <w:rsid w:val="30B10568"/>
    <w:rsid w:val="30E55DD3"/>
    <w:rsid w:val="30E60399"/>
    <w:rsid w:val="31356AA5"/>
    <w:rsid w:val="313E22F0"/>
    <w:rsid w:val="31B0194C"/>
    <w:rsid w:val="31CE17D1"/>
    <w:rsid w:val="320F6F96"/>
    <w:rsid w:val="323E4515"/>
    <w:rsid w:val="3286389B"/>
    <w:rsid w:val="32CF5C94"/>
    <w:rsid w:val="32D337C7"/>
    <w:rsid w:val="32E200EC"/>
    <w:rsid w:val="32E5408B"/>
    <w:rsid w:val="32E9750B"/>
    <w:rsid w:val="32EB0D70"/>
    <w:rsid w:val="332868BB"/>
    <w:rsid w:val="333211F3"/>
    <w:rsid w:val="333E3678"/>
    <w:rsid w:val="33504B41"/>
    <w:rsid w:val="335174BC"/>
    <w:rsid w:val="338B4A07"/>
    <w:rsid w:val="33944811"/>
    <w:rsid w:val="33CE0488"/>
    <w:rsid w:val="34005866"/>
    <w:rsid w:val="34182C85"/>
    <w:rsid w:val="34262463"/>
    <w:rsid w:val="34296F31"/>
    <w:rsid w:val="34340A27"/>
    <w:rsid w:val="346A2989"/>
    <w:rsid w:val="34714663"/>
    <w:rsid w:val="348865E9"/>
    <w:rsid w:val="348F70D5"/>
    <w:rsid w:val="349D2BAD"/>
    <w:rsid w:val="34B25886"/>
    <w:rsid w:val="34B40430"/>
    <w:rsid w:val="35277FF8"/>
    <w:rsid w:val="35776F72"/>
    <w:rsid w:val="35997371"/>
    <w:rsid w:val="360134DF"/>
    <w:rsid w:val="360B1E2F"/>
    <w:rsid w:val="360D500F"/>
    <w:rsid w:val="36330424"/>
    <w:rsid w:val="36990C8E"/>
    <w:rsid w:val="36FE3ABA"/>
    <w:rsid w:val="37072BDE"/>
    <w:rsid w:val="3716321D"/>
    <w:rsid w:val="37252B82"/>
    <w:rsid w:val="37455334"/>
    <w:rsid w:val="376A14D2"/>
    <w:rsid w:val="37731921"/>
    <w:rsid w:val="37E509C0"/>
    <w:rsid w:val="37E96FB8"/>
    <w:rsid w:val="38222D85"/>
    <w:rsid w:val="38803721"/>
    <w:rsid w:val="38925A62"/>
    <w:rsid w:val="389F5F4F"/>
    <w:rsid w:val="38C36BA2"/>
    <w:rsid w:val="38F6595C"/>
    <w:rsid w:val="391702A7"/>
    <w:rsid w:val="39286EB6"/>
    <w:rsid w:val="39601DF4"/>
    <w:rsid w:val="39840D35"/>
    <w:rsid w:val="39A239AC"/>
    <w:rsid w:val="39A97DAF"/>
    <w:rsid w:val="39CD1330"/>
    <w:rsid w:val="39DD1AFF"/>
    <w:rsid w:val="3A2510B9"/>
    <w:rsid w:val="3A2A2EDD"/>
    <w:rsid w:val="3A2B1DFC"/>
    <w:rsid w:val="3AA6422C"/>
    <w:rsid w:val="3AAF46D5"/>
    <w:rsid w:val="3AB900D5"/>
    <w:rsid w:val="3B135A0E"/>
    <w:rsid w:val="3B272BBC"/>
    <w:rsid w:val="3B374FEE"/>
    <w:rsid w:val="3B4410EE"/>
    <w:rsid w:val="3B56159C"/>
    <w:rsid w:val="3B7D732B"/>
    <w:rsid w:val="3BD30423"/>
    <w:rsid w:val="3C3A1750"/>
    <w:rsid w:val="3C6147F2"/>
    <w:rsid w:val="3C6C0B58"/>
    <w:rsid w:val="3CBE41D5"/>
    <w:rsid w:val="3D305D4F"/>
    <w:rsid w:val="3D446B0E"/>
    <w:rsid w:val="3D953A6B"/>
    <w:rsid w:val="3DBB2CD5"/>
    <w:rsid w:val="3DBB5979"/>
    <w:rsid w:val="3E1057AF"/>
    <w:rsid w:val="3E6C0DFA"/>
    <w:rsid w:val="3E740322"/>
    <w:rsid w:val="3E7F4380"/>
    <w:rsid w:val="3E8D171B"/>
    <w:rsid w:val="3E8E5574"/>
    <w:rsid w:val="3EA5630D"/>
    <w:rsid w:val="3EBA731B"/>
    <w:rsid w:val="3EFB5800"/>
    <w:rsid w:val="3F3B4E59"/>
    <w:rsid w:val="3F4D1B74"/>
    <w:rsid w:val="3F6E677C"/>
    <w:rsid w:val="3F712F46"/>
    <w:rsid w:val="3FBC0EF7"/>
    <w:rsid w:val="3FCD2AB9"/>
    <w:rsid w:val="3FD17600"/>
    <w:rsid w:val="4050218A"/>
    <w:rsid w:val="405C7868"/>
    <w:rsid w:val="408B24EB"/>
    <w:rsid w:val="417044B8"/>
    <w:rsid w:val="41812F00"/>
    <w:rsid w:val="41A203A0"/>
    <w:rsid w:val="41E83F8C"/>
    <w:rsid w:val="422D1842"/>
    <w:rsid w:val="425B7C31"/>
    <w:rsid w:val="42737A55"/>
    <w:rsid w:val="427D66D0"/>
    <w:rsid w:val="42BC7E02"/>
    <w:rsid w:val="42C82575"/>
    <w:rsid w:val="43022EE1"/>
    <w:rsid w:val="431A5F8F"/>
    <w:rsid w:val="431F247A"/>
    <w:rsid w:val="43335E8F"/>
    <w:rsid w:val="433F2968"/>
    <w:rsid w:val="43676E20"/>
    <w:rsid w:val="43A31040"/>
    <w:rsid w:val="43BF774E"/>
    <w:rsid w:val="43CD062F"/>
    <w:rsid w:val="43E214F9"/>
    <w:rsid w:val="43F06264"/>
    <w:rsid w:val="43FE1568"/>
    <w:rsid w:val="44404C8E"/>
    <w:rsid w:val="447537F1"/>
    <w:rsid w:val="44795B2A"/>
    <w:rsid w:val="44870D07"/>
    <w:rsid w:val="45513D03"/>
    <w:rsid w:val="45541E1C"/>
    <w:rsid w:val="45F657C2"/>
    <w:rsid w:val="460713D2"/>
    <w:rsid w:val="461F0A8B"/>
    <w:rsid w:val="4648721E"/>
    <w:rsid w:val="46663E71"/>
    <w:rsid w:val="466A37AC"/>
    <w:rsid w:val="46CB071B"/>
    <w:rsid w:val="46CC77BF"/>
    <w:rsid w:val="46DE140B"/>
    <w:rsid w:val="46E77334"/>
    <w:rsid w:val="46F22E29"/>
    <w:rsid w:val="46F7142F"/>
    <w:rsid w:val="47107AE3"/>
    <w:rsid w:val="473C62ED"/>
    <w:rsid w:val="47617242"/>
    <w:rsid w:val="478C16C9"/>
    <w:rsid w:val="47AD79CE"/>
    <w:rsid w:val="47BD246B"/>
    <w:rsid w:val="47CB2B0C"/>
    <w:rsid w:val="47E773CE"/>
    <w:rsid w:val="48015FF5"/>
    <w:rsid w:val="484C45A4"/>
    <w:rsid w:val="48692CD0"/>
    <w:rsid w:val="48AE3D01"/>
    <w:rsid w:val="48D9540B"/>
    <w:rsid w:val="49067B2F"/>
    <w:rsid w:val="496008AE"/>
    <w:rsid w:val="49677E31"/>
    <w:rsid w:val="496C2225"/>
    <w:rsid w:val="49AE2880"/>
    <w:rsid w:val="49F42EAF"/>
    <w:rsid w:val="49F96FB8"/>
    <w:rsid w:val="4A337323"/>
    <w:rsid w:val="4A3679E8"/>
    <w:rsid w:val="4A5B28DC"/>
    <w:rsid w:val="4AA06B93"/>
    <w:rsid w:val="4ADB18EB"/>
    <w:rsid w:val="4AEE5418"/>
    <w:rsid w:val="4B0371D8"/>
    <w:rsid w:val="4B96118E"/>
    <w:rsid w:val="4BAE1B66"/>
    <w:rsid w:val="4BED4708"/>
    <w:rsid w:val="4BF133DC"/>
    <w:rsid w:val="4C507D4A"/>
    <w:rsid w:val="4CDF5563"/>
    <w:rsid w:val="4CFB2214"/>
    <w:rsid w:val="4D1A3672"/>
    <w:rsid w:val="4D2C4D26"/>
    <w:rsid w:val="4D335E0E"/>
    <w:rsid w:val="4D4E4EA3"/>
    <w:rsid w:val="4D9A5B1B"/>
    <w:rsid w:val="4DA55D85"/>
    <w:rsid w:val="4DBB20DB"/>
    <w:rsid w:val="4DD64F20"/>
    <w:rsid w:val="4DDC3F22"/>
    <w:rsid w:val="4E1040C7"/>
    <w:rsid w:val="4E1760BF"/>
    <w:rsid w:val="4E646AEA"/>
    <w:rsid w:val="4EBA03C3"/>
    <w:rsid w:val="4EBC5459"/>
    <w:rsid w:val="4ED94CB0"/>
    <w:rsid w:val="4EEC2ED3"/>
    <w:rsid w:val="4F037DB0"/>
    <w:rsid w:val="4F0B74A3"/>
    <w:rsid w:val="4F0E56EA"/>
    <w:rsid w:val="4F2E11BC"/>
    <w:rsid w:val="4F3C4343"/>
    <w:rsid w:val="4F416688"/>
    <w:rsid w:val="4F5620B0"/>
    <w:rsid w:val="4F6654EE"/>
    <w:rsid w:val="4F7379C6"/>
    <w:rsid w:val="4F872183"/>
    <w:rsid w:val="4F872BDB"/>
    <w:rsid w:val="4FA033E9"/>
    <w:rsid w:val="4FA743DA"/>
    <w:rsid w:val="4FB3565A"/>
    <w:rsid w:val="4FED77BF"/>
    <w:rsid w:val="503D1C79"/>
    <w:rsid w:val="507A6406"/>
    <w:rsid w:val="50853863"/>
    <w:rsid w:val="508A4590"/>
    <w:rsid w:val="509352D9"/>
    <w:rsid w:val="50F1461D"/>
    <w:rsid w:val="50FE5411"/>
    <w:rsid w:val="510B072E"/>
    <w:rsid w:val="511B0BF4"/>
    <w:rsid w:val="51264306"/>
    <w:rsid w:val="516123CE"/>
    <w:rsid w:val="51733B0F"/>
    <w:rsid w:val="51B177A9"/>
    <w:rsid w:val="51CF0D81"/>
    <w:rsid w:val="51E066EB"/>
    <w:rsid w:val="51E84FDE"/>
    <w:rsid w:val="5267570A"/>
    <w:rsid w:val="52707792"/>
    <w:rsid w:val="52A12CDC"/>
    <w:rsid w:val="52DF0C92"/>
    <w:rsid w:val="52E1159C"/>
    <w:rsid w:val="52E34D6A"/>
    <w:rsid w:val="531E524E"/>
    <w:rsid w:val="534072EB"/>
    <w:rsid w:val="538E2D0B"/>
    <w:rsid w:val="53922782"/>
    <w:rsid w:val="539C1424"/>
    <w:rsid w:val="53A639C0"/>
    <w:rsid w:val="53F00A24"/>
    <w:rsid w:val="53F63DBA"/>
    <w:rsid w:val="5448624E"/>
    <w:rsid w:val="546E2B1A"/>
    <w:rsid w:val="5482555F"/>
    <w:rsid w:val="551452C2"/>
    <w:rsid w:val="55363E67"/>
    <w:rsid w:val="556E6DF7"/>
    <w:rsid w:val="559D47CE"/>
    <w:rsid w:val="55BE1959"/>
    <w:rsid w:val="56232437"/>
    <w:rsid w:val="56541A75"/>
    <w:rsid w:val="568832FC"/>
    <w:rsid w:val="568C4181"/>
    <w:rsid w:val="56AC2FF1"/>
    <w:rsid w:val="570725A9"/>
    <w:rsid w:val="5714693E"/>
    <w:rsid w:val="571D0C9C"/>
    <w:rsid w:val="573A16CE"/>
    <w:rsid w:val="577F71A8"/>
    <w:rsid w:val="579C7F80"/>
    <w:rsid w:val="57B30D7C"/>
    <w:rsid w:val="58166B03"/>
    <w:rsid w:val="583E3C94"/>
    <w:rsid w:val="58721734"/>
    <w:rsid w:val="58900246"/>
    <w:rsid w:val="58977358"/>
    <w:rsid w:val="58D53944"/>
    <w:rsid w:val="58D65478"/>
    <w:rsid w:val="58F52487"/>
    <w:rsid w:val="58F778BC"/>
    <w:rsid w:val="590422E6"/>
    <w:rsid w:val="592257E5"/>
    <w:rsid w:val="59655E33"/>
    <w:rsid w:val="59CF5BD9"/>
    <w:rsid w:val="59E20C3C"/>
    <w:rsid w:val="5A1D5B0A"/>
    <w:rsid w:val="5A3B4B4E"/>
    <w:rsid w:val="5A4804CA"/>
    <w:rsid w:val="5A594C85"/>
    <w:rsid w:val="5A7D649E"/>
    <w:rsid w:val="5AEB1E3C"/>
    <w:rsid w:val="5B2507CA"/>
    <w:rsid w:val="5B2A474A"/>
    <w:rsid w:val="5B830730"/>
    <w:rsid w:val="5B871C49"/>
    <w:rsid w:val="5B8D42D4"/>
    <w:rsid w:val="5BBB2DD6"/>
    <w:rsid w:val="5BE263B6"/>
    <w:rsid w:val="5C653B42"/>
    <w:rsid w:val="5C8E5C5A"/>
    <w:rsid w:val="5C965E61"/>
    <w:rsid w:val="5CA76AD9"/>
    <w:rsid w:val="5D242A11"/>
    <w:rsid w:val="5D9217C2"/>
    <w:rsid w:val="5DAD06BF"/>
    <w:rsid w:val="5DE23CB3"/>
    <w:rsid w:val="5DE97EEC"/>
    <w:rsid w:val="5DF43138"/>
    <w:rsid w:val="5DFA5EB0"/>
    <w:rsid w:val="5E0B583E"/>
    <w:rsid w:val="5E201A7B"/>
    <w:rsid w:val="5EBD0484"/>
    <w:rsid w:val="5F2C5C7C"/>
    <w:rsid w:val="5FC5273F"/>
    <w:rsid w:val="60806DF2"/>
    <w:rsid w:val="61072DA5"/>
    <w:rsid w:val="611C0817"/>
    <w:rsid w:val="61224A52"/>
    <w:rsid w:val="61520CCB"/>
    <w:rsid w:val="61851A29"/>
    <w:rsid w:val="622D1522"/>
    <w:rsid w:val="622E0574"/>
    <w:rsid w:val="62683B6B"/>
    <w:rsid w:val="62AC5944"/>
    <w:rsid w:val="632731DA"/>
    <w:rsid w:val="637279B4"/>
    <w:rsid w:val="63817D2B"/>
    <w:rsid w:val="63BD1FA9"/>
    <w:rsid w:val="63D27965"/>
    <w:rsid w:val="63FF063D"/>
    <w:rsid w:val="64095516"/>
    <w:rsid w:val="641A2468"/>
    <w:rsid w:val="64372F20"/>
    <w:rsid w:val="64DC72D7"/>
    <w:rsid w:val="653113E3"/>
    <w:rsid w:val="653619A6"/>
    <w:rsid w:val="65610A02"/>
    <w:rsid w:val="65A11EA3"/>
    <w:rsid w:val="65AC3D66"/>
    <w:rsid w:val="65BB5334"/>
    <w:rsid w:val="663E1DBA"/>
    <w:rsid w:val="665D0213"/>
    <w:rsid w:val="669E59F1"/>
    <w:rsid w:val="66A2024B"/>
    <w:rsid w:val="66D03E18"/>
    <w:rsid w:val="66EA4BA0"/>
    <w:rsid w:val="6704732B"/>
    <w:rsid w:val="670F6731"/>
    <w:rsid w:val="67280F62"/>
    <w:rsid w:val="67585CB0"/>
    <w:rsid w:val="67770F0C"/>
    <w:rsid w:val="67B03535"/>
    <w:rsid w:val="67CA6DA3"/>
    <w:rsid w:val="6801775B"/>
    <w:rsid w:val="68174F69"/>
    <w:rsid w:val="682C436A"/>
    <w:rsid w:val="68382778"/>
    <w:rsid w:val="68391F41"/>
    <w:rsid w:val="68436B8C"/>
    <w:rsid w:val="68797358"/>
    <w:rsid w:val="6884624F"/>
    <w:rsid w:val="68A519DF"/>
    <w:rsid w:val="68C4160B"/>
    <w:rsid w:val="68C41C30"/>
    <w:rsid w:val="68CF3BA4"/>
    <w:rsid w:val="69257FA7"/>
    <w:rsid w:val="693711B0"/>
    <w:rsid w:val="693F26C7"/>
    <w:rsid w:val="697E12B2"/>
    <w:rsid w:val="69C8706D"/>
    <w:rsid w:val="6A0147CA"/>
    <w:rsid w:val="6A0E3FB4"/>
    <w:rsid w:val="6A292754"/>
    <w:rsid w:val="6A5E3B28"/>
    <w:rsid w:val="6A6B1EBE"/>
    <w:rsid w:val="6A8F43F7"/>
    <w:rsid w:val="6ABF79B7"/>
    <w:rsid w:val="6AD625F3"/>
    <w:rsid w:val="6B5F25EA"/>
    <w:rsid w:val="6B750BA9"/>
    <w:rsid w:val="6BB93285"/>
    <w:rsid w:val="6C0C698C"/>
    <w:rsid w:val="6C222401"/>
    <w:rsid w:val="6C56267F"/>
    <w:rsid w:val="6C826EF9"/>
    <w:rsid w:val="6CAE4C93"/>
    <w:rsid w:val="6D0B1869"/>
    <w:rsid w:val="6D65402D"/>
    <w:rsid w:val="6D683822"/>
    <w:rsid w:val="6D8D136C"/>
    <w:rsid w:val="6DBF2759"/>
    <w:rsid w:val="6DC96F36"/>
    <w:rsid w:val="6DFA3EBF"/>
    <w:rsid w:val="6E3E63D2"/>
    <w:rsid w:val="6E5F7BE6"/>
    <w:rsid w:val="6E6918C6"/>
    <w:rsid w:val="6E8E495B"/>
    <w:rsid w:val="6EEB4AC4"/>
    <w:rsid w:val="6F212DD6"/>
    <w:rsid w:val="6F3B5912"/>
    <w:rsid w:val="6F3D39F1"/>
    <w:rsid w:val="6FA14A81"/>
    <w:rsid w:val="6FA3261F"/>
    <w:rsid w:val="6FBA5815"/>
    <w:rsid w:val="700D6539"/>
    <w:rsid w:val="704203E3"/>
    <w:rsid w:val="7058046B"/>
    <w:rsid w:val="707F2079"/>
    <w:rsid w:val="70922734"/>
    <w:rsid w:val="70CE6DC7"/>
    <w:rsid w:val="710B3646"/>
    <w:rsid w:val="71156C43"/>
    <w:rsid w:val="711759F2"/>
    <w:rsid w:val="71301B96"/>
    <w:rsid w:val="713C4ED8"/>
    <w:rsid w:val="71407642"/>
    <w:rsid w:val="71641210"/>
    <w:rsid w:val="71D95B7C"/>
    <w:rsid w:val="71EA6A50"/>
    <w:rsid w:val="71EC42C1"/>
    <w:rsid w:val="71FE31A8"/>
    <w:rsid w:val="721F6113"/>
    <w:rsid w:val="7233782C"/>
    <w:rsid w:val="73177841"/>
    <w:rsid w:val="733774FE"/>
    <w:rsid w:val="73617E1B"/>
    <w:rsid w:val="736D7653"/>
    <w:rsid w:val="738035CB"/>
    <w:rsid w:val="7396335C"/>
    <w:rsid w:val="73F46595"/>
    <w:rsid w:val="74283FA2"/>
    <w:rsid w:val="742C135B"/>
    <w:rsid w:val="74463733"/>
    <w:rsid w:val="748A2F40"/>
    <w:rsid w:val="74F85778"/>
    <w:rsid w:val="75272439"/>
    <w:rsid w:val="758F1E9B"/>
    <w:rsid w:val="75CE266B"/>
    <w:rsid w:val="76120141"/>
    <w:rsid w:val="76C23B43"/>
    <w:rsid w:val="76FD6F97"/>
    <w:rsid w:val="770218E8"/>
    <w:rsid w:val="77C875A5"/>
    <w:rsid w:val="784654D3"/>
    <w:rsid w:val="78A27DF6"/>
    <w:rsid w:val="78F461E9"/>
    <w:rsid w:val="79285B3A"/>
    <w:rsid w:val="79625CA9"/>
    <w:rsid w:val="79A91196"/>
    <w:rsid w:val="7A0B32D3"/>
    <w:rsid w:val="7A980F89"/>
    <w:rsid w:val="7AC13CD3"/>
    <w:rsid w:val="7AE10264"/>
    <w:rsid w:val="7B086EDB"/>
    <w:rsid w:val="7B4A207F"/>
    <w:rsid w:val="7B936F45"/>
    <w:rsid w:val="7BA47419"/>
    <w:rsid w:val="7BB10D45"/>
    <w:rsid w:val="7BB44151"/>
    <w:rsid w:val="7BEC320B"/>
    <w:rsid w:val="7BF82951"/>
    <w:rsid w:val="7C3307AB"/>
    <w:rsid w:val="7C656A39"/>
    <w:rsid w:val="7C6E21F1"/>
    <w:rsid w:val="7CB93996"/>
    <w:rsid w:val="7CBE0F99"/>
    <w:rsid w:val="7D4012C8"/>
    <w:rsid w:val="7D4E45F1"/>
    <w:rsid w:val="7D733448"/>
    <w:rsid w:val="7DFB6D82"/>
    <w:rsid w:val="7E1D71D1"/>
    <w:rsid w:val="7E246254"/>
    <w:rsid w:val="7E6D090F"/>
    <w:rsid w:val="7ECC66B2"/>
    <w:rsid w:val="7EF015E4"/>
    <w:rsid w:val="7F087006"/>
    <w:rsid w:val="7F833169"/>
    <w:rsid w:val="7FA837EF"/>
    <w:rsid w:val="7FC36955"/>
    <w:rsid w:val="7FE903A0"/>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Lines="50" w:line="578" w:lineRule="auto"/>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numPr>
        <w:ilvl w:val="1"/>
        <w:numId w:val="1"/>
      </w:numPr>
      <w:spacing w:line="416" w:lineRule="auto"/>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Lines="50" w:afterLines="50" w:line="416" w:lineRule="auto"/>
      <w:outlineLvl w:val="2"/>
    </w:pPr>
    <w:rPr>
      <w:rFonts w:ascii="宋体" w:hAnsi="宋体" w:eastAsia="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unhideWhenUsed/>
    <w:qFormat/>
    <w:uiPriority w:val="99"/>
    <w:pPr>
      <w:spacing w:beforeAutospacing="1" w:afterAutospacing="1"/>
      <w:jc w:val="left"/>
    </w:pPr>
    <w:rPr>
      <w:rFonts w:cs="Times New Roman"/>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 w:type="paragraph" w:customStyle="1" w:styleId="25">
    <w:name w:val="插入文本样式-插入单位职责文件"/>
    <w:basedOn w:val="1"/>
    <w:qFormat/>
    <w:uiPriority w:val="0"/>
    <w:pPr>
      <w:widowControl/>
      <w:spacing w:line="500" w:lineRule="exact"/>
      <w:ind w:firstLine="560"/>
      <w:jc w:val="left"/>
    </w:pPr>
    <w:rPr>
      <w:rFonts w:ascii="Times New Roman" w:hAnsi="Times New Roman" w:eastAsia="方正仿宋_GBK" w:cs="Times New Roman"/>
      <w:sz w:val="28"/>
      <w:lang w:eastAsia="uk-U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numbering" Target="numbering.xml"/><Relationship Id="rId20" Type="http://schemas.openxmlformats.org/officeDocument/2006/relationships/chart" Target="charts/chart6.xml"/><Relationship Id="rId2" Type="http://schemas.openxmlformats.org/officeDocument/2006/relationships/settings" Target="settings.xml"/><Relationship Id="rId19" Type="http://schemas.openxmlformats.org/officeDocument/2006/relationships/chart" Target="charts/chart5.xml"/><Relationship Id="rId18" Type="http://schemas.openxmlformats.org/officeDocument/2006/relationships/chart" Target="charts/chart4.xml"/><Relationship Id="rId17" Type="http://schemas.openxmlformats.org/officeDocument/2006/relationships/chart" Target="charts/chart3.xml"/><Relationship Id="rId16" Type="http://schemas.openxmlformats.org/officeDocument/2006/relationships/chart" Target="charts/chart2.xml"/><Relationship Id="rId15" Type="http://schemas.openxmlformats.org/officeDocument/2006/relationships/chart" Target="charts/chart1.xml"/><Relationship Id="rId14" Type="http://schemas.openxmlformats.org/officeDocument/2006/relationships/theme" Target="theme/theme1.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2022-2023</a:t>
            </a:r>
            <a:r>
              <a:rPr lang="zh-CN" altLang="en-US"/>
              <a:t>年收支总计对比图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2022年</c:v>
                </c:pt>
                <c:pt idx="1">
                  <c:v>2023年</c:v>
                </c:pt>
              </c:strCache>
            </c:strRef>
          </c:cat>
          <c:val>
            <c:numRef>
              <c:f>Sheet1!$B$2:$B$3</c:f>
              <c:numCache>
                <c:formatCode>General</c:formatCode>
                <c:ptCount val="2"/>
                <c:pt idx="0">
                  <c:v>358.37</c:v>
                </c:pt>
                <c:pt idx="1">
                  <c:v>358.09</c:v>
                </c:pt>
              </c:numCache>
            </c:numRef>
          </c:val>
        </c:ser>
        <c:dLbls>
          <c:showLegendKey val="0"/>
          <c:showVal val="1"/>
          <c:showCatName val="0"/>
          <c:showSerName val="0"/>
          <c:showPercent val="0"/>
          <c:showBubbleSize val="0"/>
        </c:dLbls>
        <c:gapWidth val="246"/>
        <c:overlap val="-28"/>
        <c:axId val="53390336"/>
        <c:axId val="53523200"/>
      </c:barChart>
      <c:catAx>
        <c:axId val="533903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3523200"/>
        <c:crosses val="autoZero"/>
        <c:auto val="1"/>
        <c:lblAlgn val="ctr"/>
        <c:lblOffset val="100"/>
        <c:noMultiLvlLbl val="0"/>
      </c:catAx>
      <c:valAx>
        <c:axId val="53523200"/>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3390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3580946.32</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0"/>
              <a:t>图 </a:t>
            </a:r>
            <a:r>
              <a:rPr lang="en-US" altLang="zh-CN" b="0"/>
              <a:t>3 </a:t>
            </a:r>
            <a:r>
              <a:rPr lang="zh-CN" altLang="en-US" b="0"/>
              <a:t>：指出决算构成情况图</a:t>
            </a:r>
            <a:endParaRPr lang="zh-CN" altLang="en-US" b="0"/>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3380946.32</c:v>
                </c:pt>
                <c:pt idx="1">
                  <c:v>200000</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2022-2023</a:t>
            </a:r>
            <a:r>
              <a:rPr lang="zh-CN" altLang="en-US"/>
              <a:t>年财政拨款收支对比图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2022年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358.37</c:v>
                </c:pt>
                <c:pt idx="1">
                  <c:v>358.37</c:v>
                </c:pt>
                <c:pt idx="2">
                  <c:v>358.37</c:v>
                </c:pt>
                <c:pt idx="3">
                  <c:v>358.37</c:v>
                </c:pt>
                <c:pt idx="4">
                  <c:v>0</c:v>
                </c:pt>
                <c:pt idx="5">
                  <c:v>0</c:v>
                </c:pt>
                <c:pt idx="6">
                  <c:v>0</c:v>
                </c:pt>
                <c:pt idx="7">
                  <c:v>0</c:v>
                </c:pt>
              </c:numCache>
            </c:numRef>
          </c:val>
        </c:ser>
        <c:ser>
          <c:idx val="1"/>
          <c:order val="1"/>
          <c:tx>
            <c:strRef>
              <c:f>Sheet1!$C$1</c:f>
              <c:strCache>
                <c:ptCount val="1"/>
                <c:pt idx="0">
                  <c:v>2023年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358.09</c:v>
                </c:pt>
                <c:pt idx="1">
                  <c:v>358.09</c:v>
                </c:pt>
                <c:pt idx="2">
                  <c:v>358.09</c:v>
                </c:pt>
                <c:pt idx="3">
                  <c:v>358.09</c:v>
                </c:pt>
                <c:pt idx="4">
                  <c:v>0</c:v>
                </c:pt>
                <c:pt idx="5">
                  <c:v>0</c:v>
                </c:pt>
                <c:pt idx="6">
                  <c:v>0</c:v>
                </c:pt>
                <c:pt idx="7">
                  <c:v>0</c:v>
                </c:pt>
              </c:numCache>
            </c:numRef>
          </c:val>
        </c:ser>
        <c:dLbls>
          <c:showLegendKey val="0"/>
          <c:showVal val="1"/>
          <c:showCatName val="0"/>
          <c:showSerName val="0"/>
          <c:showPercent val="0"/>
          <c:showBubbleSize val="0"/>
        </c:dLbls>
        <c:gapWidth val="246"/>
        <c:overlap val="-28"/>
        <c:axId val="123184640"/>
        <c:axId val="123186560"/>
      </c:barChart>
      <c:catAx>
        <c:axId val="123184640"/>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3186560"/>
        <c:crosses val="autoZero"/>
        <c:auto val="1"/>
        <c:lblAlgn val="ctr"/>
        <c:lblOffset val="100"/>
        <c:noMultiLvlLbl val="0"/>
      </c:catAx>
      <c:valAx>
        <c:axId val="123186560"/>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out"/>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3184640"/>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355.05</c:v>
                </c:pt>
                <c:pt idx="1">
                  <c:v>355.05</c:v>
                </c:pt>
                <c:pt idx="2">
                  <c:v>355.05</c:v>
                </c:pt>
                <c:pt idx="3">
                  <c:v>355.05</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358.09</c:v>
                </c:pt>
                <c:pt idx="1">
                  <c:v>358.09</c:v>
                </c:pt>
                <c:pt idx="2">
                  <c:v>358.09</c:v>
                </c:pt>
                <c:pt idx="3">
                  <c:v>358.09</c:v>
                </c:pt>
                <c:pt idx="4">
                  <c:v>0</c:v>
                </c:pt>
                <c:pt idx="5">
                  <c:v>0</c:v>
                </c:pt>
                <c:pt idx="6">
                  <c:v>0</c:v>
                </c:pt>
                <c:pt idx="7">
                  <c:v>0</c:v>
                </c:pt>
              </c:numCache>
            </c:numRef>
          </c:val>
        </c:ser>
        <c:dLbls>
          <c:showLegendKey val="0"/>
          <c:showVal val="1"/>
          <c:showCatName val="0"/>
          <c:showSerName val="0"/>
          <c:showPercent val="0"/>
          <c:showBubbleSize val="0"/>
        </c:dLbls>
        <c:gapWidth val="150"/>
        <c:axId val="53194752"/>
        <c:axId val="53196288"/>
      </c:barChart>
      <c:catAx>
        <c:axId val="531947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3196288"/>
        <c:crosses val="autoZero"/>
        <c:auto val="1"/>
        <c:lblAlgn val="ctr"/>
        <c:lblOffset val="100"/>
        <c:noMultiLvlLbl val="0"/>
      </c:catAx>
      <c:valAx>
        <c:axId val="53196288"/>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3194752"/>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Lbls>
            <c:delete val="1"/>
          </c:dLbls>
          <c:cat>
            <c:strRef>
              <c:f>Sheet1!$A$2:$A$23</c:f>
              <c:strCache>
                <c:ptCount val="22"/>
                <c:pt idx="0">
                  <c:v>一般公共服务支出</c:v>
                </c:pt>
                <c:pt idx="1">
                  <c:v>国防支出</c:v>
                </c:pt>
                <c:pt idx="2">
                  <c:v>公共安全支出</c:v>
                </c:pt>
                <c:pt idx="3">
                  <c:v>教育支出</c:v>
                </c:pt>
                <c:pt idx="4">
                  <c:v>科学技术支出</c:v>
                </c:pt>
                <c:pt idx="5">
                  <c:v>文化旅游体育与传媒支出</c:v>
                </c:pt>
                <c:pt idx="6">
                  <c:v>社会保障和就业支出</c:v>
                </c:pt>
                <c:pt idx="7">
                  <c:v>卫生健康支出</c:v>
                </c:pt>
                <c:pt idx="8">
                  <c:v>节能环保支出</c:v>
                </c:pt>
                <c:pt idx="9">
                  <c:v>城乡社区支出</c:v>
                </c:pt>
                <c:pt idx="10">
                  <c:v>农林水支出</c:v>
                </c:pt>
                <c:pt idx="11">
                  <c:v>交通运输支出</c:v>
                </c:pt>
                <c:pt idx="12">
                  <c:v>资源勘探工业信息等支出</c:v>
                </c:pt>
                <c:pt idx="13">
                  <c:v>商业服务业等支出</c:v>
                </c:pt>
                <c:pt idx="14">
                  <c:v>金融支出</c:v>
                </c:pt>
                <c:pt idx="15">
                  <c:v>自然资源海洋气象等支出</c:v>
                </c:pt>
                <c:pt idx="16">
                  <c:v>住房保障支出</c:v>
                </c:pt>
                <c:pt idx="17">
                  <c:v>粮油物资储备支出</c:v>
                </c:pt>
                <c:pt idx="18">
                  <c:v>国有资本经营预算支出</c:v>
                </c:pt>
                <c:pt idx="19">
                  <c:v>灾害防治及应急管理支出</c:v>
                </c:pt>
                <c:pt idx="20">
                  <c:v>其他支出</c:v>
                </c:pt>
                <c:pt idx="21">
                  <c:v>债务付息支出</c:v>
                </c:pt>
              </c:strCache>
            </c:strRef>
          </c:cat>
          <c:val>
            <c:numRef>
              <c:f>Sheet1!$B$2:$B$23</c:f>
              <c:numCache>
                <c:formatCode>General</c:formatCode>
                <c:ptCount val="22"/>
                <c:pt idx="0">
                  <c:v>0</c:v>
                </c:pt>
                <c:pt idx="1">
                  <c:v>0</c:v>
                </c:pt>
                <c:pt idx="2">
                  <c:v>0</c:v>
                </c:pt>
                <c:pt idx="3">
                  <c:v>0</c:v>
                </c:pt>
                <c:pt idx="4">
                  <c:v>0</c:v>
                </c:pt>
                <c:pt idx="5">
                  <c:v>0</c:v>
                </c:pt>
                <c:pt idx="6">
                  <c:v>170.95</c:v>
                </c:pt>
                <c:pt idx="7">
                  <c:v>10</c:v>
                </c:pt>
                <c:pt idx="8">
                  <c:v>0</c:v>
                </c:pt>
                <c:pt idx="9">
                  <c:v>0</c:v>
                </c:pt>
                <c:pt idx="10">
                  <c:v>0</c:v>
                </c:pt>
                <c:pt idx="11">
                  <c:v>0</c:v>
                </c:pt>
                <c:pt idx="12">
                  <c:v>0</c:v>
                </c:pt>
                <c:pt idx="13">
                  <c:v>164.05</c:v>
                </c:pt>
                <c:pt idx="14">
                  <c:v>0</c:v>
                </c:pt>
                <c:pt idx="15">
                  <c:v>0</c:v>
                </c:pt>
                <c:pt idx="16">
                  <c:v>13.1</c:v>
                </c:pt>
                <c:pt idx="17">
                  <c:v>0</c:v>
                </c:pt>
                <c:pt idx="18">
                  <c:v>0</c:v>
                </c:pt>
                <c:pt idx="19">
                  <c:v>0</c:v>
                </c:pt>
                <c:pt idx="20">
                  <c:v>0</c:v>
                </c:pt>
                <c:pt idx="21">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F8EEE75-447C-422E-9320-03C3DC7935B1}">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43</Pages>
  <Words>2701</Words>
  <Characters>15400</Characters>
  <Lines>128</Lines>
  <Paragraphs>36</Paragraphs>
  <TotalTime>3</TotalTime>
  <ScaleCrop>false</ScaleCrop>
  <LinksUpToDate>false</LinksUpToDate>
  <CharactersWithSpaces>18065</CharactersWithSpaces>
  <Application>WPS Office_11.8.2.12092_F1E327BC-269C-435d-A152-05C5408002CA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Administrator</cp:lastModifiedBy>
  <cp:lastPrinted>2023-08-04T01:00:00Z</cp:lastPrinted>
  <dcterms:modified xsi:type="dcterms:W3CDTF">2024-09-25T08:16:45Z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2052-11.8.2.12092</vt:lpwstr>
  </property>
  <property fmtid="{D5CDD505-2E9C-101B-9397-08002B2CF9AE}" pid="3" name="ICV">
    <vt:lpwstr>C606A1F9AFE24290B52D98FABC930B66_12</vt:lpwstr>
  </property>
  <property fmtid="{D5CDD505-2E9C-101B-9397-08002B2CF9AE}" pid="4" name="KSOTemplateUUID">
    <vt:lpwstr>v1.0_mb_S7ajbG3IpAnL1wSthNCxfw==</vt:lpwstr>
  </property>
</Properties>
</file>