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68E" w:rsidRDefault="003B3A44">
      <w:pPr>
        <w:adjustRightInd w:val="0"/>
        <w:snapToGrid w:val="0"/>
        <w:spacing w:line="56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附件3</w:t>
      </w:r>
    </w:p>
    <w:p w:rsidR="00FA068E" w:rsidRDefault="00FA068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:rsidR="00FA068E" w:rsidRDefault="003B3A4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石家庄市鹿泉区公用事业管理中心</w:t>
      </w:r>
    </w:p>
    <w:p w:rsidR="00FA068E" w:rsidRDefault="003B3A44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sz w:val="44"/>
          <w:szCs w:val="44"/>
        </w:rPr>
        <w:t>部门202</w:t>
      </w:r>
      <w:r>
        <w:rPr>
          <w:rFonts w:ascii="宋体" w:hAnsi="宋体" w:cs="宋体"/>
          <w:b/>
          <w:bCs/>
          <w:sz w:val="44"/>
          <w:szCs w:val="44"/>
        </w:rPr>
        <w:t>3</w:t>
      </w:r>
      <w:r>
        <w:rPr>
          <w:rFonts w:ascii="宋体" w:hAnsi="宋体" w:cs="宋体" w:hint="eastAsia"/>
          <w:b/>
          <w:bCs/>
          <w:sz w:val="44"/>
          <w:szCs w:val="44"/>
        </w:rPr>
        <w:t>年度整体支出绩效自评报告</w:t>
      </w:r>
    </w:p>
    <w:p w:rsidR="00FA068E" w:rsidRDefault="00FA068E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:rsidR="00FA068E" w:rsidRDefault="003B3A44">
      <w:pPr>
        <w:adjustRightInd w:val="0"/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贯彻落实石家庄市鹿泉区人民政府《关于全面实施预算绩效管理的实施意见》（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鹿发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﹝2019﹞8号）文件精神，遵循“科学性、规范性、客观性和公正性”的原则，石家庄市鹿泉区公用事业管理中心部门对202</w:t>
      </w:r>
      <w:r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年整体支出情况实施了财政支出绩效自评价，形成本评价报告。</w:t>
      </w:r>
    </w:p>
    <w:p w:rsidR="00FA068E" w:rsidRDefault="003B3A44">
      <w:pPr>
        <w:adjustRightInd w:val="0"/>
        <w:snapToGrid w:val="0"/>
        <w:spacing w:line="560" w:lineRule="exact"/>
        <w:rPr>
          <w:rFonts w:ascii="黑体" w:eastAsia="黑体" w:hAnsi="黑体"/>
          <w:b/>
          <w:bCs/>
          <w:sz w:val="32"/>
          <w:szCs w:val="36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>
        <w:rPr>
          <w:rFonts w:ascii="黑体" w:eastAsia="黑体" w:hAnsi="黑体" w:hint="eastAsia"/>
          <w:sz w:val="32"/>
          <w:szCs w:val="32"/>
        </w:rPr>
        <w:t>一、部门</w:t>
      </w:r>
      <w:r>
        <w:rPr>
          <w:rFonts w:ascii="黑体" w:eastAsia="黑体" w:hAnsi="黑体" w:hint="eastAsia"/>
          <w:sz w:val="32"/>
          <w:szCs w:val="36"/>
        </w:rPr>
        <w:t>基本情况</w:t>
      </w:r>
    </w:p>
    <w:p w:rsidR="00FA068E" w:rsidRDefault="003B3A44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（一）部门概况</w:t>
      </w:r>
    </w:p>
    <w:p w:rsidR="00FA068E" w:rsidRDefault="003B3A44">
      <w:p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部门职责：</w:t>
      </w:r>
    </w:p>
    <w:p w:rsidR="00FA068E" w:rsidRDefault="003B3A44">
      <w:pPr>
        <w:spacing w:line="600" w:lineRule="exact"/>
        <w:ind w:firstLineChars="200" w:firstLine="420"/>
        <w:jc w:val="left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</w:rPr>
        <w:t xml:space="preserve">  </w:t>
      </w: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1、贯彻落实国家、省、市园林绿化方面的方针政策、法律法规，制定本市相关政策性文件，并组织实施；制定园林绿化发展中长期规划和年度计划，会同有关部门编制城市园林专业规划和绿地系统详细规划，并组织实施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2、负责全市城乡公园绿地、风景林地和主要道路绿化的方案设计和建设管理；负责城市绿化“绿线”管理，并监督检查；参与风景名胜区的规划编制、建设工作。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3、负责全市城乡新、扩、改建项目配套绿地审查和绿化工程竣工验收；负责全市政府投资城乡园林绿化工程的设计、建设和维护管理并行使法律、法规规定的行政处罚权。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4、负责城市规划区内砍伐移植树木、绿地占用、异地绿化</w:t>
      </w:r>
      <w:r>
        <w:rPr>
          <w:rFonts w:ascii="仿宋" w:eastAsia="仿宋" w:hAnsi="仿宋" w:cs="仿宋" w:hint="eastAsia"/>
          <w:bCs/>
          <w:sz w:val="32"/>
          <w:szCs w:val="32"/>
          <w:lang w:bidi="ar"/>
        </w:rPr>
        <w:lastRenderedPageBreak/>
        <w:t>的审批工作；参与审查新建各类公园的选址定点、规划设计方案和已建成公园规划调整方案。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5、负责全市城乡绿地广场、公园、小游园等管理工作；监督指导全市企事业单位、住宅小区等绿化达标；组织申报“园林式单位”和“园林式小区”。</w:t>
      </w:r>
    </w:p>
    <w:p w:rsidR="00FA068E" w:rsidRDefault="003B3A44">
      <w:pPr>
        <w:numPr>
          <w:ilvl w:val="0"/>
          <w:numId w:val="1"/>
        </w:numPr>
        <w:spacing w:line="600" w:lineRule="exact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负责园林绿化的普法教育和宣传工作。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 w:val="32"/>
          <w:szCs w:val="32"/>
          <w:lang w:bidi="ar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7、加强城区市政基础设施维护、绿化、亮化、城区防汛及公园管理。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8、依法查处破坏市政基础设施行为。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9、审批占用、挖掘市政基础设施、绿化设施项目。</w:t>
      </w:r>
    </w:p>
    <w:p w:rsidR="00FA068E" w:rsidRDefault="003B3A44">
      <w:pPr>
        <w:spacing w:line="600" w:lineRule="exact"/>
        <w:ind w:firstLineChars="200" w:firstLine="640"/>
        <w:rPr>
          <w:rFonts w:ascii="仿宋" w:eastAsia="仿宋" w:hAnsi="仿宋" w:cs="仿宋"/>
          <w:bCs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10、负责城区集中供热管理及液化气供应保障工作。</w:t>
      </w:r>
    </w:p>
    <w:p w:rsidR="00FA068E" w:rsidRDefault="003B3A44">
      <w:pPr>
        <w:spacing w:line="600" w:lineRule="exact"/>
        <w:ind w:firstLineChars="200" w:firstLine="640"/>
        <w:rPr>
          <w:rFonts w:ascii="仿宋_GB2312" w:eastAsia="仿宋_GB2312" w:hAnsi="宋体" w:cs="仿宋_GB2312"/>
          <w:bCs/>
          <w:sz w:val="32"/>
          <w:szCs w:val="32"/>
          <w:lang w:bidi="ar"/>
        </w:rPr>
      </w:pPr>
      <w:r>
        <w:rPr>
          <w:rFonts w:ascii="仿宋" w:eastAsia="仿宋" w:hAnsi="仿宋" w:cs="仿宋" w:hint="eastAsia"/>
          <w:bCs/>
          <w:sz w:val="32"/>
          <w:szCs w:val="32"/>
          <w:lang w:bidi="ar"/>
        </w:rPr>
        <w:t>11、承办市委、市政府交办的其他事项。</w:t>
      </w:r>
    </w:p>
    <w:p w:rsidR="00FA068E" w:rsidRDefault="003B3A44">
      <w:pPr>
        <w:keepNext/>
        <w:keepLines/>
        <w:spacing w:line="580" w:lineRule="exact"/>
        <w:jc w:val="left"/>
        <w:outlineLvl w:val="0"/>
        <w:rPr>
          <w:rFonts w:ascii="黑体" w:eastAsia="黑体" w:cs="Times New Roman"/>
          <w:kern w:val="0"/>
          <w:sz w:val="32"/>
          <w:szCs w:val="32"/>
        </w:rPr>
      </w:pPr>
      <w:r>
        <w:rPr>
          <w:rFonts w:ascii="黑体" w:eastAsia="黑体" w:hint="eastAsia"/>
          <w:kern w:val="0"/>
          <w:sz w:val="32"/>
          <w:szCs w:val="32"/>
        </w:rPr>
        <w:t>机构设置</w:t>
      </w:r>
    </w:p>
    <w:p w:rsidR="00FA068E" w:rsidRDefault="003B3A44">
      <w:pPr>
        <w:spacing w:line="580" w:lineRule="exact"/>
        <w:ind w:firstLineChars="200" w:firstLine="640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kern w:val="0"/>
          <w:sz w:val="32"/>
          <w:szCs w:val="32"/>
        </w:rPr>
        <w:t xml:space="preserve">从决算编报单位构成看，纳入2022年度本部门决算汇编范围的独立核算单位（以下简称“单位”）共 4 </w:t>
      </w:r>
      <w:proofErr w:type="gramStart"/>
      <w:r>
        <w:rPr>
          <w:rFonts w:ascii="仿宋" w:eastAsia="仿宋" w:hAnsi="仿宋" w:cs="仿宋" w:hint="eastAsia"/>
          <w:kern w:val="0"/>
          <w:sz w:val="32"/>
          <w:szCs w:val="32"/>
        </w:rPr>
        <w:t>个</w:t>
      </w:r>
      <w:proofErr w:type="gramEnd"/>
      <w:r>
        <w:rPr>
          <w:rFonts w:ascii="仿宋" w:eastAsia="仿宋" w:hAnsi="仿宋" w:cs="仿宋" w:hint="eastAsia"/>
          <w:kern w:val="0"/>
          <w:sz w:val="32"/>
          <w:szCs w:val="32"/>
        </w:rPr>
        <w:t>，具体情况如下：</w:t>
      </w:r>
    </w:p>
    <w:tbl>
      <w:tblPr>
        <w:tblpPr w:leftFromText="180" w:rightFromText="180" w:vertAnchor="text" w:horzAnchor="page" w:tblpXSpec="center" w:tblpY="10"/>
        <w:tblOverlap w:val="never"/>
        <w:tblW w:w="95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3835"/>
        <w:gridCol w:w="2355"/>
        <w:gridCol w:w="2405"/>
      </w:tblGrid>
      <w:tr w:rsidR="00FA068E">
        <w:trPr>
          <w:trHeight w:val="811"/>
          <w:jc w:val="center"/>
        </w:trPr>
        <w:tc>
          <w:tcPr>
            <w:tcW w:w="98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383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单位名称</w:t>
            </w:r>
          </w:p>
        </w:tc>
        <w:tc>
          <w:tcPr>
            <w:tcW w:w="235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单位基本性质</w:t>
            </w:r>
          </w:p>
        </w:tc>
        <w:tc>
          <w:tcPr>
            <w:tcW w:w="240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b/>
                <w:bCs/>
                <w:kern w:val="0"/>
                <w:sz w:val="28"/>
                <w:szCs w:val="28"/>
              </w:rPr>
              <w:t>经费形式</w:t>
            </w:r>
          </w:p>
        </w:tc>
      </w:tr>
      <w:tr w:rsidR="00FA068E">
        <w:trPr>
          <w:trHeight w:val="596"/>
          <w:jc w:val="center"/>
        </w:trPr>
        <w:tc>
          <w:tcPr>
            <w:tcW w:w="98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383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石家庄市鹿泉区公用事业管理中心</w:t>
            </w:r>
          </w:p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(本级)</w:t>
            </w:r>
          </w:p>
        </w:tc>
        <w:tc>
          <w:tcPr>
            <w:tcW w:w="235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财政补助事业单位</w:t>
            </w:r>
          </w:p>
        </w:tc>
        <w:tc>
          <w:tcPr>
            <w:tcW w:w="240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财政性资金基本保证</w:t>
            </w:r>
          </w:p>
        </w:tc>
      </w:tr>
      <w:tr w:rsidR="00FA068E">
        <w:trPr>
          <w:trHeight w:val="596"/>
          <w:jc w:val="center"/>
        </w:trPr>
        <w:tc>
          <w:tcPr>
            <w:tcW w:w="98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383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石家庄市鹿泉区市政公用设施</w:t>
            </w:r>
          </w:p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管理维护中心</w:t>
            </w:r>
          </w:p>
        </w:tc>
        <w:tc>
          <w:tcPr>
            <w:tcW w:w="235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财政性资金定额或</w:t>
            </w:r>
          </w:p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定项补助</w:t>
            </w:r>
          </w:p>
        </w:tc>
      </w:tr>
      <w:tr w:rsidR="00FA068E">
        <w:trPr>
          <w:trHeight w:val="596"/>
          <w:jc w:val="center"/>
        </w:trPr>
        <w:tc>
          <w:tcPr>
            <w:tcW w:w="98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383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石家庄市鹿泉区海山公园</w:t>
            </w:r>
          </w:p>
        </w:tc>
        <w:tc>
          <w:tcPr>
            <w:tcW w:w="235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财政性资金基本保证</w:t>
            </w:r>
          </w:p>
        </w:tc>
      </w:tr>
      <w:tr w:rsidR="00FA068E">
        <w:trPr>
          <w:trHeight w:val="606"/>
          <w:jc w:val="center"/>
        </w:trPr>
        <w:tc>
          <w:tcPr>
            <w:tcW w:w="98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8"/>
                <w:szCs w:val="28"/>
              </w:rPr>
            </w:pPr>
            <w:r>
              <w:rPr>
                <w:rFonts w:ascii="仿宋" w:eastAsia="仿宋" w:hAnsi="仿宋" w:cs="仿宋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383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石家庄市鹿泉</w:t>
            </w:r>
            <w:proofErr w:type="gramStart"/>
            <w:r>
              <w:rPr>
                <w:rFonts w:ascii="仿宋" w:eastAsia="仿宋" w:hAnsi="仿宋" w:cs="仿宋" w:hint="eastAsia"/>
                <w:kern w:val="0"/>
                <w:sz w:val="24"/>
              </w:rPr>
              <w:t>区石柏公园</w:t>
            </w:r>
            <w:proofErr w:type="gramEnd"/>
          </w:p>
        </w:tc>
        <w:tc>
          <w:tcPr>
            <w:tcW w:w="235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经费自理事业单位</w:t>
            </w:r>
          </w:p>
        </w:tc>
        <w:tc>
          <w:tcPr>
            <w:tcW w:w="2405" w:type="dxa"/>
            <w:vAlign w:val="center"/>
          </w:tcPr>
          <w:p w:rsidR="00FA068E" w:rsidRDefault="003B3A44">
            <w:pPr>
              <w:spacing w:line="560" w:lineRule="exact"/>
              <w:jc w:val="center"/>
              <w:rPr>
                <w:rFonts w:ascii="仿宋" w:eastAsia="仿宋" w:hAnsi="仿宋" w:cs="仿宋"/>
                <w:kern w:val="0"/>
                <w:sz w:val="24"/>
                <w:szCs w:val="21"/>
              </w:rPr>
            </w:pPr>
            <w:r>
              <w:rPr>
                <w:rFonts w:ascii="仿宋" w:eastAsia="仿宋" w:hAnsi="仿宋" w:cs="仿宋" w:hint="eastAsia"/>
                <w:kern w:val="0"/>
                <w:sz w:val="24"/>
              </w:rPr>
              <w:t>财政性资金基本保证</w:t>
            </w:r>
          </w:p>
        </w:tc>
      </w:tr>
    </w:tbl>
    <w:p w:rsidR="00FA068E" w:rsidRDefault="003B3A44">
      <w:pPr>
        <w:numPr>
          <w:ilvl w:val="0"/>
          <w:numId w:val="2"/>
        </w:num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lastRenderedPageBreak/>
        <w:t>部门收支预决算情况</w:t>
      </w:r>
    </w:p>
    <w:p w:rsidR="00FA068E" w:rsidRDefault="003B3A44">
      <w:pPr>
        <w:autoSpaceDE w:val="0"/>
        <w:autoSpaceDN w:val="0"/>
        <w:adjustRightInd w:val="0"/>
        <w:ind w:left="200"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本部门202</w:t>
      </w:r>
      <w:r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年度收入合计</w:t>
      </w:r>
      <w:r>
        <w:rPr>
          <w:rFonts w:ascii="仿宋" w:eastAsia="仿宋" w:hAnsi="仿宋" w:cs="仿宋"/>
          <w:sz w:val="32"/>
          <w:szCs w:val="32"/>
        </w:rPr>
        <w:t>12239.203154</w:t>
      </w:r>
      <w:r>
        <w:rPr>
          <w:rFonts w:ascii="仿宋" w:eastAsia="仿宋" w:hAnsi="仿宋" w:cs="仿宋" w:hint="eastAsia"/>
          <w:sz w:val="32"/>
          <w:szCs w:val="32"/>
        </w:rPr>
        <w:t>万元，其中：财政拨款收入</w:t>
      </w:r>
      <w:r>
        <w:rPr>
          <w:rFonts w:ascii="仿宋" w:eastAsia="仿宋" w:hAnsi="仿宋" w:cs="仿宋"/>
          <w:sz w:val="32"/>
          <w:szCs w:val="32"/>
        </w:rPr>
        <w:t>11978.241554</w:t>
      </w:r>
      <w:r>
        <w:rPr>
          <w:rFonts w:ascii="仿宋" w:eastAsia="仿宋" w:hAnsi="仿宋" w:cs="仿宋" w:hint="eastAsia"/>
          <w:sz w:val="32"/>
          <w:szCs w:val="32"/>
        </w:rPr>
        <w:t>万元，占</w:t>
      </w:r>
      <w:r>
        <w:rPr>
          <w:rFonts w:ascii="仿宋" w:eastAsia="仿宋" w:hAnsi="仿宋" w:cs="仿宋"/>
          <w:sz w:val="32"/>
          <w:szCs w:val="32"/>
        </w:rPr>
        <w:t>97.87</w:t>
      </w:r>
      <w:r>
        <w:rPr>
          <w:rFonts w:ascii="仿宋" w:eastAsia="仿宋" w:hAnsi="仿宋" w:cs="仿宋" w:hint="eastAsia"/>
          <w:sz w:val="32"/>
          <w:szCs w:val="32"/>
        </w:rPr>
        <w:t>%；上级补助收入</w:t>
      </w:r>
      <w:r>
        <w:rPr>
          <w:rFonts w:ascii="仿宋" w:eastAsia="仿宋" w:hAnsi="仿宋" w:cs="仿宋"/>
          <w:sz w:val="32"/>
          <w:szCs w:val="32"/>
        </w:rPr>
        <w:t>30.1616</w:t>
      </w:r>
      <w:r>
        <w:rPr>
          <w:rFonts w:ascii="仿宋" w:eastAsia="仿宋" w:hAnsi="仿宋" w:cs="仿宋" w:hint="eastAsia"/>
          <w:sz w:val="32"/>
          <w:szCs w:val="32"/>
        </w:rPr>
        <w:t>万元，占0</w:t>
      </w:r>
      <w:r>
        <w:rPr>
          <w:rFonts w:ascii="仿宋" w:eastAsia="仿宋" w:hAnsi="仿宋" w:cs="仿宋"/>
          <w:sz w:val="32"/>
          <w:szCs w:val="32"/>
        </w:rPr>
        <w:t>.25</w:t>
      </w:r>
      <w:r>
        <w:rPr>
          <w:rFonts w:ascii="仿宋" w:eastAsia="仿宋" w:hAnsi="仿宋" w:cs="仿宋" w:hint="eastAsia"/>
          <w:sz w:val="32"/>
          <w:szCs w:val="32"/>
        </w:rPr>
        <w:t>%；事业收入0万元，占0%；经营收入</w:t>
      </w:r>
      <w:r>
        <w:rPr>
          <w:rFonts w:ascii="仿宋" w:eastAsia="仿宋" w:hAnsi="仿宋" w:cs="仿宋"/>
          <w:sz w:val="32"/>
          <w:szCs w:val="32"/>
        </w:rPr>
        <w:t>0</w:t>
      </w:r>
      <w:r>
        <w:rPr>
          <w:rFonts w:ascii="仿宋" w:eastAsia="仿宋" w:hAnsi="仿宋" w:cs="仿宋" w:hint="eastAsia"/>
          <w:sz w:val="32"/>
          <w:szCs w:val="32"/>
        </w:rPr>
        <w:t>万元，占</w:t>
      </w:r>
      <w:r>
        <w:rPr>
          <w:rFonts w:ascii="仿宋" w:eastAsia="仿宋" w:hAnsi="仿宋" w:cs="仿宋"/>
          <w:sz w:val="32"/>
          <w:szCs w:val="32"/>
        </w:rPr>
        <w:t>0</w:t>
      </w:r>
      <w:r>
        <w:rPr>
          <w:rFonts w:ascii="仿宋" w:eastAsia="仿宋" w:hAnsi="仿宋" w:cs="仿宋" w:hint="eastAsia"/>
          <w:sz w:val="32"/>
          <w:szCs w:val="32"/>
        </w:rPr>
        <w:t>%；附属单位上缴收入0万元，占0%；其他收入</w:t>
      </w:r>
      <w:r>
        <w:rPr>
          <w:rFonts w:ascii="仿宋" w:eastAsia="仿宋" w:hAnsi="仿宋" w:cs="仿宋"/>
          <w:sz w:val="32"/>
          <w:szCs w:val="32"/>
        </w:rPr>
        <w:t>230.8</w:t>
      </w:r>
      <w:r>
        <w:rPr>
          <w:rFonts w:ascii="仿宋" w:eastAsia="仿宋" w:hAnsi="仿宋" w:cs="仿宋" w:hint="eastAsia"/>
          <w:sz w:val="32"/>
          <w:szCs w:val="32"/>
        </w:rPr>
        <w:t>万元，占</w:t>
      </w:r>
      <w:r>
        <w:rPr>
          <w:rFonts w:ascii="仿宋" w:eastAsia="仿宋" w:hAnsi="仿宋" w:cs="仿宋"/>
          <w:sz w:val="32"/>
          <w:szCs w:val="32"/>
        </w:rPr>
        <w:t>1.88</w:t>
      </w:r>
      <w:r>
        <w:rPr>
          <w:rFonts w:ascii="仿宋" w:eastAsia="仿宋" w:hAnsi="仿宋" w:cs="仿宋" w:hint="eastAsia"/>
          <w:sz w:val="32"/>
          <w:szCs w:val="32"/>
        </w:rPr>
        <w:t>%；</w:t>
      </w:r>
    </w:p>
    <w:p w:rsidR="00FA068E" w:rsidRDefault="003B3A44">
      <w:pPr>
        <w:autoSpaceDE w:val="0"/>
        <w:autoSpaceDN w:val="0"/>
        <w:adjustRightInd w:val="0"/>
        <w:ind w:left="200" w:firstLineChars="200" w:firstLine="64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本部门202</w:t>
      </w:r>
      <w:r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年度支出合计</w:t>
      </w:r>
      <w:r>
        <w:rPr>
          <w:rFonts w:ascii="仿宋" w:eastAsia="仿宋" w:hAnsi="仿宋" w:cs="仿宋"/>
          <w:sz w:val="32"/>
          <w:szCs w:val="32"/>
        </w:rPr>
        <w:t>12331.885354</w:t>
      </w:r>
      <w:r>
        <w:rPr>
          <w:rFonts w:ascii="仿宋" w:eastAsia="仿宋" w:hAnsi="仿宋" w:cs="仿宋" w:hint="eastAsia"/>
          <w:sz w:val="32"/>
          <w:szCs w:val="32"/>
        </w:rPr>
        <w:t>万元，其中：基本支出</w:t>
      </w:r>
      <w:r>
        <w:rPr>
          <w:rFonts w:ascii="仿宋" w:eastAsia="仿宋" w:hAnsi="仿宋" w:cs="仿宋"/>
          <w:sz w:val="32"/>
          <w:szCs w:val="32"/>
        </w:rPr>
        <w:t>3709.56622</w:t>
      </w:r>
      <w:r>
        <w:rPr>
          <w:rFonts w:ascii="仿宋" w:eastAsia="仿宋" w:hAnsi="仿宋" w:cs="仿宋" w:hint="eastAsia"/>
          <w:sz w:val="32"/>
          <w:szCs w:val="32"/>
        </w:rPr>
        <w:t>万元，占</w:t>
      </w:r>
      <w:r>
        <w:rPr>
          <w:rFonts w:ascii="仿宋" w:eastAsia="仿宋" w:hAnsi="仿宋" w:cs="仿宋"/>
          <w:sz w:val="32"/>
          <w:szCs w:val="32"/>
        </w:rPr>
        <w:t>30.08</w:t>
      </w:r>
      <w:r>
        <w:rPr>
          <w:rFonts w:ascii="仿宋" w:eastAsia="仿宋" w:hAnsi="仿宋" w:cs="仿宋" w:hint="eastAsia"/>
          <w:sz w:val="32"/>
          <w:szCs w:val="32"/>
        </w:rPr>
        <w:t>%；项目支出</w:t>
      </w:r>
      <w:r>
        <w:rPr>
          <w:rFonts w:ascii="仿宋" w:eastAsia="仿宋" w:hAnsi="仿宋" w:cs="仿宋"/>
          <w:sz w:val="32"/>
          <w:szCs w:val="32"/>
        </w:rPr>
        <w:t>8622.319134</w:t>
      </w:r>
      <w:r>
        <w:rPr>
          <w:rFonts w:ascii="仿宋" w:eastAsia="仿宋" w:hAnsi="仿宋" w:cs="仿宋" w:hint="eastAsia"/>
          <w:sz w:val="32"/>
          <w:szCs w:val="32"/>
        </w:rPr>
        <w:t>万元，占</w:t>
      </w:r>
      <w:r>
        <w:rPr>
          <w:rFonts w:ascii="仿宋" w:eastAsia="仿宋" w:hAnsi="仿宋" w:cs="仿宋"/>
          <w:sz w:val="32"/>
          <w:szCs w:val="32"/>
        </w:rPr>
        <w:t>69.92</w:t>
      </w:r>
      <w:r>
        <w:rPr>
          <w:rFonts w:ascii="仿宋" w:eastAsia="仿宋" w:hAnsi="仿宋" w:cs="仿宋" w:hint="eastAsia"/>
          <w:sz w:val="32"/>
          <w:szCs w:val="32"/>
        </w:rPr>
        <w:t>%；经营支出</w:t>
      </w:r>
      <w:r>
        <w:rPr>
          <w:rFonts w:ascii="仿宋" w:eastAsia="仿宋" w:hAnsi="仿宋" w:cs="仿宋"/>
          <w:sz w:val="32"/>
          <w:szCs w:val="32"/>
        </w:rPr>
        <w:t>0</w:t>
      </w:r>
      <w:r>
        <w:rPr>
          <w:rFonts w:ascii="仿宋" w:eastAsia="仿宋" w:hAnsi="仿宋" w:cs="仿宋" w:hint="eastAsia"/>
          <w:sz w:val="32"/>
          <w:szCs w:val="32"/>
        </w:rPr>
        <w:t>万元，占</w:t>
      </w:r>
      <w:r>
        <w:rPr>
          <w:rFonts w:ascii="仿宋" w:eastAsia="仿宋" w:hAnsi="仿宋" w:cs="仿宋"/>
          <w:sz w:val="32"/>
          <w:szCs w:val="32"/>
        </w:rPr>
        <w:t>0</w:t>
      </w:r>
      <w:r>
        <w:rPr>
          <w:rFonts w:ascii="仿宋" w:eastAsia="仿宋" w:hAnsi="仿宋" w:cs="仿宋" w:hint="eastAsia"/>
          <w:sz w:val="32"/>
          <w:szCs w:val="32"/>
        </w:rPr>
        <w:t>%；对附属单位补助支出0万元，占0%。</w:t>
      </w:r>
    </w:p>
    <w:p w:rsidR="00FA068E" w:rsidRDefault="003B3A44">
      <w:pPr>
        <w:numPr>
          <w:ilvl w:val="0"/>
          <w:numId w:val="2"/>
        </w:numPr>
        <w:adjustRightInd w:val="0"/>
        <w:snapToGrid w:val="0"/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部门整体支出绩效目标、指标</w:t>
      </w:r>
    </w:p>
    <w:p w:rsidR="00FA068E" w:rsidRDefault="003B3A44">
      <w:pPr>
        <w:spacing w:before="10" w:after="10"/>
        <w:ind w:firstLine="560"/>
        <w:jc w:val="left"/>
        <w:outlineLvl w:val="1"/>
        <w:rPr>
          <w:rFonts w:ascii="仿宋" w:eastAsia="仿宋" w:hAnsi="仿宋" w:cs="仿宋"/>
          <w:sz w:val="32"/>
          <w:szCs w:val="32"/>
        </w:rPr>
      </w:pPr>
      <w:bookmarkStart w:id="0" w:name="_Toc_2_2_0000000001"/>
      <w:r>
        <w:rPr>
          <w:rFonts w:ascii="仿宋" w:eastAsia="仿宋" w:hAnsi="仿宋" w:cs="仿宋" w:hint="eastAsia"/>
          <w:color w:val="000000"/>
          <w:sz w:val="32"/>
          <w:szCs w:val="32"/>
        </w:rPr>
        <w:t>一、总体绩效目标</w:t>
      </w:r>
      <w:bookmarkEnd w:id="0"/>
    </w:p>
    <w:p w:rsidR="00FA068E" w:rsidRDefault="003B3A44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2023年，我们将根据城市规划和区政府工作部署，积极参与北部区域振兴，加快区基础设施建设，不断提高保障和服务水平，增强城市综合承载力。突出功能完善，着力提升城市品质。聚焦“民生实事”，持续增强供热保障能力。持续加强城市基础设施建设，完善城市功能，推进服务民生。</w:t>
      </w:r>
    </w:p>
    <w:p w:rsidR="00FA068E" w:rsidRDefault="003B3A44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1、实施“口袋公园”建设，拟新建改建口袋公园6个，新建立体绿化500延米，并对原有立体绿化进行补植提升。</w:t>
      </w:r>
    </w:p>
    <w:p w:rsidR="00FA068E" w:rsidRDefault="003B3A44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2、实施南太平河沿线夜景亮化工程，对南太平河沿线主要节点进行亮化提升，增加城市夜景观赏性，彰显城市形象。</w:t>
      </w:r>
    </w:p>
    <w:p w:rsidR="00FA068E" w:rsidRDefault="003B3A44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3、启动主城区供热主管网对接及配套泵站建设（一期）工程，依托华能上安电厂至石家庄市区供热长输管网工程，建设鹿泉区主城区一次网循环泵站和石柏大街管道对接工程，弥补城区东部供热短板。</w:t>
      </w:r>
    </w:p>
    <w:p w:rsidR="00FA068E" w:rsidRDefault="003B3A44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4、实施南太平河（观景大街至驿道小镇）河道整治工程，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对河道两岸的坝墙、河底进行改造提升，形成对下游的保护，并达到防洪要求和水土保持的要求。同时衔接统一与上游驿道小镇和下游整治的景观协调。</w:t>
      </w:r>
    </w:p>
    <w:p w:rsidR="00FA068E" w:rsidRDefault="003B3A44">
      <w:pPr>
        <w:pStyle w:val="-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5、实施主城区市政设施改造提升工程，对海山大街、石柏大街、翠屏大街、北斗路等部分路段道路、便道、雨污水管道、路灯等市政设施进行改造提升，强化城区基础设施建设，保障群众出行安全。</w:t>
      </w:r>
    </w:p>
    <w:p w:rsidR="00FA068E" w:rsidRDefault="00FA068E">
      <w:pPr>
        <w:pStyle w:val="-"/>
        <w:rPr>
          <w:rFonts w:ascii="仿宋" w:eastAsia="仿宋" w:hAnsi="仿宋" w:cs="仿宋"/>
          <w:sz w:val="32"/>
          <w:szCs w:val="32"/>
        </w:rPr>
      </w:pPr>
    </w:p>
    <w:p w:rsidR="00FA068E" w:rsidRDefault="003B3A44">
      <w:pPr>
        <w:spacing w:line="500" w:lineRule="exact"/>
        <w:ind w:firstLine="560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color w:val="000000"/>
          <w:sz w:val="32"/>
          <w:szCs w:val="32"/>
        </w:rPr>
        <w:t>（二）分项绩效目标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一、重点民生推进方面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绩效目标1：为满足提升各街道，对海山大街、石柏大街、翠屏大街、北斗路等部分路段道路面层及便道进行更新提升；雨污水管道改造；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绩效指标1：完成2.8万平方米的路面维修及1400米的雨水管道的安装。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绩效目标2：为确保主城区供热安全，弥补主城区东部区域热源不足问题，为主城区东扩发展提供保障，计划对主城区一次管网循环泵站和石柏大街供热管道进行对接。供热管网长度约6千米，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安装隔压泵站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一座。该项目委托第三方负责实施，计划2023年6月开工，12月底完工。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绩效指标2：完成供热管网长度约6千米的管网铺设，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安装隔压泵站</w:t>
      </w:r>
      <w:proofErr w:type="gramEnd"/>
      <w:r>
        <w:rPr>
          <w:rFonts w:ascii="仿宋" w:eastAsia="仿宋" w:hAnsi="仿宋" w:cs="仿宋" w:hint="eastAsia"/>
          <w:sz w:val="32"/>
          <w:szCs w:val="32"/>
        </w:rPr>
        <w:t>一座。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目标3：依据河北省2023年民生工程和鹿泉区民生实事任务要求，改造或新建口袋公园6个，满足人均公园绿地覆盖率要求，完成上级安排任务。该项目通过公开招标委托第三方负责实施。项目总投资650万元，其中：设计费12万元（含地形测绘），预算编制费1.2万元，招投标代理费3.0万元，监理费8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万元；检测费2万元。项目计划开工时间2023年4月，计划完工时间2023年10月。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绩效指标3：完成新建或改造口袋公园6个，提升城市品味，美化环境。</w:t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二、城乡建设方面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目标1：为解决污水外溢现象，确保环境整洁，进一步改善我区市政设施，提高城市形象。计划对石柏大街原有的雨污水管道进行改造提升。该项目通过公开招标委托第三方负责实施。项目总投资60万元，其中设计费2.3万元，监理费0.8万元；项目开工时间：2022.10.10，竣工时间：</w:t>
      </w:r>
      <w:proofErr w:type="gramStart"/>
      <w:r>
        <w:rPr>
          <w:rFonts w:ascii="仿宋" w:eastAsia="仿宋" w:hAnsi="仿宋" w:cs="仿宋" w:hint="eastAsia"/>
          <w:sz w:val="32"/>
          <w:szCs w:val="32"/>
        </w:rPr>
        <w:t>2022.12.20.</w:t>
      </w:r>
      <w:proofErr w:type="gramEnd"/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绩效指标1：完成雨污水管道安装260米，改善环境。</w:t>
      </w:r>
    </w:p>
    <w:p w:rsidR="00FA068E" w:rsidRDefault="003B3A44">
      <w:pPr>
        <w:pStyle w:val="-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绩效目标2：为美化环境，提升市容市貌，计划对翠屏大街曹庄段道路两侧裸露黄土进行整治。</w:t>
      </w:r>
    </w:p>
    <w:p w:rsidR="00FA068E" w:rsidRDefault="003B3A44">
      <w:pPr>
        <w:pStyle w:val="-0"/>
        <w:rPr>
          <w:rFonts w:ascii="仿宋" w:eastAsia="仿宋" w:hAnsi="仿宋" w:cs="仿宋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绩效指标2：完成便道铺装4000平方米，方便市民出行，改善交通条件。</w:t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  <w:r>
        <w:rPr>
          <w:rFonts w:ascii="仿宋" w:eastAsia="仿宋" w:hAnsi="仿宋" w:cs="仿宋" w:hint="eastAsia"/>
          <w:sz w:val="32"/>
          <w:szCs w:val="32"/>
        </w:rPr>
        <w:tab/>
      </w:r>
    </w:p>
    <w:p w:rsidR="00FA068E" w:rsidRDefault="003B3A44">
      <w:p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二、自评工作开展情况</w:t>
      </w:r>
    </w:p>
    <w:p w:rsidR="00FA068E" w:rsidRDefault="003B3A44">
      <w:pPr>
        <w:spacing w:line="560" w:lineRule="exact"/>
        <w:rPr>
          <w:rFonts w:ascii="仿宋" w:eastAsia="仿宋" w:hAnsi="仿宋" w:cs="楷体_GB2312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</w:t>
      </w:r>
      <w:r>
        <w:rPr>
          <w:rFonts w:ascii="仿宋" w:eastAsia="仿宋" w:hAnsi="仿宋" w:cs="楷体_GB2312" w:hint="eastAsia"/>
          <w:b/>
          <w:bCs/>
          <w:sz w:val="32"/>
          <w:szCs w:val="32"/>
        </w:rPr>
        <w:t>（一）自评的组织工作</w:t>
      </w:r>
    </w:p>
    <w:p w:rsidR="00FA068E" w:rsidRDefault="003B3A44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评价资料收集：要求业务科室准备好绩效评价所需的佐证材料，</w:t>
      </w:r>
      <w:proofErr w:type="gramStart"/>
      <w:r>
        <w:rPr>
          <w:rFonts w:ascii="仿宋" w:eastAsia="仿宋" w:hAnsi="仿宋" w:hint="eastAsia"/>
          <w:sz w:val="32"/>
          <w:szCs w:val="32"/>
        </w:rPr>
        <w:t>其中评价</w:t>
      </w:r>
      <w:proofErr w:type="gramEnd"/>
      <w:r>
        <w:rPr>
          <w:rFonts w:ascii="仿宋" w:eastAsia="仿宋" w:hAnsi="仿宋" w:hint="eastAsia"/>
          <w:sz w:val="32"/>
          <w:szCs w:val="32"/>
        </w:rPr>
        <w:t>指标应有对应的佐证材料相关指标的实现情况。</w:t>
      </w:r>
    </w:p>
    <w:p w:rsidR="00FA068E" w:rsidRDefault="003B3A44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评价过程：</w:t>
      </w:r>
      <w:r>
        <w:rPr>
          <w:rFonts w:ascii="仿宋" w:eastAsia="仿宋" w:hAnsi="仿宋"/>
          <w:sz w:val="32"/>
          <w:szCs w:val="32"/>
        </w:rPr>
        <w:t>1</w:t>
      </w:r>
      <w:r>
        <w:rPr>
          <w:rFonts w:ascii="仿宋" w:eastAsia="仿宋" w:hAnsi="仿宋" w:hint="eastAsia"/>
          <w:sz w:val="32"/>
          <w:szCs w:val="32"/>
        </w:rPr>
        <w:t>、通过对相关资料的原件、数据来源及计算方法等，进一步核实自评材料及佐证材料的客观性、真实性、准确性，确保相关内容真实可靠、满足评价报告的需要。</w:t>
      </w:r>
      <w:r>
        <w:rPr>
          <w:rFonts w:ascii="仿宋" w:eastAsia="仿宋" w:hAnsi="仿宋"/>
          <w:sz w:val="32"/>
          <w:szCs w:val="32"/>
        </w:rPr>
        <w:t>2</w:t>
      </w:r>
      <w:r>
        <w:rPr>
          <w:rFonts w:ascii="仿宋" w:eastAsia="仿宋" w:hAnsi="仿宋" w:hint="eastAsia"/>
          <w:sz w:val="32"/>
          <w:szCs w:val="32"/>
        </w:rPr>
        <w:t>、通过仔细查阅实施、管理等各项过程材料、补充评审评价深度的不足，进一步把握评价项目及预算执行的规范性。</w:t>
      </w:r>
    </w:p>
    <w:p w:rsidR="00FA068E" w:rsidRDefault="00FA068E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</w:p>
    <w:p w:rsidR="00FA068E" w:rsidRDefault="00FA068E">
      <w:pPr>
        <w:spacing w:line="560" w:lineRule="exact"/>
        <w:ind w:firstLine="640"/>
        <w:rPr>
          <w:rFonts w:ascii="仿宋" w:eastAsia="仿宋" w:hAnsi="仿宋"/>
          <w:sz w:val="32"/>
          <w:szCs w:val="32"/>
        </w:rPr>
      </w:pPr>
    </w:p>
    <w:p w:rsidR="00FA068E" w:rsidRDefault="003B3A44">
      <w:pPr>
        <w:numPr>
          <w:ilvl w:val="0"/>
          <w:numId w:val="3"/>
        </w:numPr>
        <w:spacing w:line="560" w:lineRule="exact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lastRenderedPageBreak/>
        <w:t>自评的方法和过程</w:t>
      </w:r>
    </w:p>
    <w:p w:rsidR="00FA068E" w:rsidRDefault="003B3A44">
      <w:pPr>
        <w:spacing w:line="560" w:lineRule="exact"/>
        <w:ind w:firstLineChars="200" w:firstLine="640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202</w:t>
      </w:r>
      <w:r>
        <w:rPr>
          <w:rFonts w:ascii="仿宋" w:eastAsia="仿宋" w:hAnsi="仿宋" w:cs="仿宋"/>
          <w:sz w:val="32"/>
          <w:szCs w:val="32"/>
        </w:rPr>
        <w:t>3</w:t>
      </w:r>
      <w:r>
        <w:rPr>
          <w:rFonts w:ascii="仿宋" w:eastAsia="仿宋" w:hAnsi="仿宋" w:cs="仿宋" w:hint="eastAsia"/>
          <w:sz w:val="32"/>
          <w:szCs w:val="32"/>
        </w:rPr>
        <w:t>年度预算项目绩效自评采用对比法、因素分析法、审核法。主要由项目实施股室对各项目进行综合评价。包括项目预算资金的投入、执行及项目年度预期目标、产出指标、效益指标的预期指标值与实际完成值的评定，以打分的形式评价预算项目年度绩效指标的完成情况。</w:t>
      </w:r>
    </w:p>
    <w:p w:rsidR="00FA068E" w:rsidRDefault="003B3A44">
      <w:pPr>
        <w:spacing w:line="560" w:lineRule="exact"/>
        <w:rPr>
          <w:rFonts w:ascii="黑体" w:eastAsia="黑体" w:hAnsi="黑体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 xml:space="preserve">    </w:t>
      </w:r>
      <w:r>
        <w:rPr>
          <w:rFonts w:ascii="仿宋" w:eastAsia="仿宋" w:hAnsi="仿宋" w:hint="eastAsia"/>
          <w:b/>
          <w:bCs/>
          <w:sz w:val="32"/>
          <w:szCs w:val="32"/>
        </w:rPr>
        <w:t xml:space="preserve"> </w:t>
      </w:r>
      <w:r>
        <w:rPr>
          <w:rFonts w:ascii="黑体" w:eastAsia="黑体" w:hAnsi="黑体" w:hint="eastAsia"/>
          <w:sz w:val="32"/>
          <w:szCs w:val="32"/>
        </w:rPr>
        <w:t>三、部门整体支出绩效目标实现情况及指标分析</w:t>
      </w:r>
    </w:p>
    <w:p w:rsidR="00FA068E" w:rsidRDefault="003B3A44">
      <w:pPr>
        <w:numPr>
          <w:ilvl w:val="0"/>
          <w:numId w:val="4"/>
        </w:numPr>
        <w:spacing w:line="560" w:lineRule="exact"/>
        <w:ind w:firstLineChars="200" w:firstLine="643"/>
        <w:rPr>
          <w:rFonts w:ascii="仿宋" w:eastAsia="仿宋" w:hAnsi="仿宋" w:cs="楷体_GB2312"/>
          <w:b/>
          <w:bCs/>
          <w:sz w:val="32"/>
          <w:szCs w:val="32"/>
        </w:rPr>
      </w:pPr>
      <w:r>
        <w:rPr>
          <w:rFonts w:ascii="仿宋" w:eastAsia="仿宋" w:hAnsi="仿宋" w:cs="楷体_GB2312" w:hint="eastAsia"/>
          <w:b/>
          <w:bCs/>
          <w:sz w:val="32"/>
          <w:szCs w:val="32"/>
        </w:rPr>
        <w:t>总体绩效目标实现情况</w:t>
      </w:r>
    </w:p>
    <w:p w:rsidR="00FA068E" w:rsidRDefault="003B3A44">
      <w:p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20</w:t>
      </w:r>
      <w:r>
        <w:rPr>
          <w:rFonts w:ascii="仿宋" w:eastAsia="仿宋" w:hAnsi="仿宋"/>
          <w:color w:val="000000" w:themeColor="text1"/>
          <w:sz w:val="32"/>
          <w:szCs w:val="32"/>
        </w:rPr>
        <w:t>23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年，我们将根据城市规划和区政府工作部署，积极参与北部区域振兴，加快区基础设施建设，不断提高保障和服务水平，增强城市综合承载力。突出功能完善，着力提升城市品质。</w:t>
      </w:r>
    </w:p>
    <w:p w:rsidR="00FA068E" w:rsidRDefault="003B3A44">
      <w:pPr>
        <w:numPr>
          <w:ilvl w:val="0"/>
          <w:numId w:val="5"/>
        </w:num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聚焦“民生实事”，持续增强供热保障能力。为满足主城区供热管网运行需要，进一步提高主城区供热质量。</w:t>
      </w:r>
    </w:p>
    <w:p w:rsidR="00FA068E" w:rsidRDefault="003B3A44">
      <w:pPr>
        <w:numPr>
          <w:ilvl w:val="0"/>
          <w:numId w:val="5"/>
        </w:num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开展景观打造，实现设计规划效果，提升城市建设品位。完成</w:t>
      </w:r>
      <w:r>
        <w:rPr>
          <w:rFonts w:ascii="仿宋" w:eastAsia="仿宋" w:hAnsi="仿宋"/>
          <w:color w:val="000000" w:themeColor="text1"/>
          <w:sz w:val="32"/>
          <w:szCs w:val="32"/>
        </w:rPr>
        <w:t>2023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年口袋公园建设。</w:t>
      </w:r>
    </w:p>
    <w:p w:rsidR="00FA068E" w:rsidRDefault="003B3A44">
      <w:pPr>
        <w:numPr>
          <w:ilvl w:val="0"/>
          <w:numId w:val="5"/>
        </w:num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着力完善基础设施、补齐发展短板，市政基础设施提升改造工程，改善出行环境。</w:t>
      </w:r>
    </w:p>
    <w:p w:rsidR="00FA068E" w:rsidRDefault="003B3A44">
      <w:pPr>
        <w:numPr>
          <w:ilvl w:val="0"/>
          <w:numId w:val="5"/>
        </w:num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为了营造欢乐、祥和、平安、吉祥的节日氛围，采用重要节点布置大型造型灯（如市民广场、海山公园正大门等），城区主要街道悬挂灯笼作为装饰；形成点面一体，给人强烈的视觉冲击，突出喜庆大气的广场、公园美化装饰效果，彰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显节日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新气象，美化城区环境，提高城市形象，为辖区广大市民营造一个欢乐、祥和的节日氛围。</w:t>
      </w:r>
    </w:p>
    <w:p w:rsidR="00FA068E" w:rsidRDefault="003B3A44" w:rsidP="00A61EF2">
      <w:pPr>
        <w:spacing w:line="560" w:lineRule="exact"/>
        <w:ind w:leftChars="200" w:left="42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 xml:space="preserve"> 通过自评，202</w:t>
      </w:r>
      <w:r>
        <w:rPr>
          <w:rFonts w:ascii="仿宋" w:eastAsia="仿宋" w:hAnsi="仿宋"/>
          <w:color w:val="000000" w:themeColor="text1"/>
          <w:sz w:val="32"/>
          <w:szCs w:val="32"/>
        </w:rPr>
        <w:t>3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年完成了年初编制的预期绩效目标任务。</w:t>
      </w:r>
    </w:p>
    <w:p w:rsidR="00FA068E" w:rsidRDefault="003B3A44">
      <w:pPr>
        <w:spacing w:line="560" w:lineRule="exact"/>
        <w:rPr>
          <w:rFonts w:ascii="仿宋" w:eastAsia="仿宋" w:hAnsi="仿宋"/>
          <w:b/>
          <w:bCs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b/>
          <w:bCs/>
          <w:color w:val="0000FF"/>
          <w:sz w:val="32"/>
          <w:szCs w:val="32"/>
        </w:rPr>
        <w:lastRenderedPageBreak/>
        <w:t xml:space="preserve">   </w:t>
      </w:r>
      <w:r>
        <w:rPr>
          <w:rFonts w:ascii="仿宋" w:eastAsia="仿宋" w:hAnsi="仿宋" w:cs="楷体_GB2312" w:hint="eastAsia"/>
          <w:b/>
          <w:bCs/>
          <w:color w:val="0000FF"/>
          <w:sz w:val="32"/>
          <w:szCs w:val="32"/>
        </w:rPr>
        <w:t xml:space="preserve"> </w:t>
      </w:r>
      <w:r>
        <w:rPr>
          <w:rFonts w:ascii="仿宋" w:eastAsia="仿宋" w:hAnsi="仿宋" w:cs="楷体_GB2312" w:hint="eastAsia"/>
          <w:b/>
          <w:bCs/>
          <w:color w:val="000000" w:themeColor="text1"/>
          <w:sz w:val="32"/>
          <w:szCs w:val="32"/>
        </w:rPr>
        <w:t>（二）分项绩效目标实现情况及指标分析</w:t>
      </w:r>
    </w:p>
    <w:p w:rsidR="00FA068E" w:rsidRDefault="003B3A44">
      <w:pPr>
        <w:spacing w:line="56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1、</w:t>
      </w:r>
      <w:r w:rsidR="00DF66EB">
        <w:rPr>
          <w:rFonts w:ascii="仿宋" w:eastAsia="仿宋" w:hAnsi="仿宋" w:hint="eastAsia"/>
          <w:color w:val="000000" w:themeColor="text1"/>
          <w:sz w:val="32"/>
          <w:szCs w:val="32"/>
        </w:rPr>
        <w:t>城区高温水管道铺设项目</w:t>
      </w:r>
    </w:p>
    <w:tbl>
      <w:tblPr>
        <w:tblW w:w="0" w:type="auto"/>
        <w:tblInd w:w="93" w:type="dxa"/>
        <w:tblLook w:val="04A0" w:firstRow="1" w:lastRow="0" w:firstColumn="1" w:lastColumn="0" w:noHBand="0" w:noVBand="1"/>
      </w:tblPr>
      <w:tblGrid>
        <w:gridCol w:w="1117"/>
        <w:gridCol w:w="1002"/>
        <w:gridCol w:w="1336"/>
        <w:gridCol w:w="757"/>
        <w:gridCol w:w="1214"/>
        <w:gridCol w:w="715"/>
        <w:gridCol w:w="1214"/>
        <w:gridCol w:w="1613"/>
      </w:tblGrid>
      <w:tr w:rsidR="00F55DDC" w:rsidRPr="00F55DDC" w:rsidTr="00F55DDC">
        <w:trPr>
          <w:trHeight w:val="540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4"/>
                <w:szCs w:val="44"/>
              </w:rPr>
            </w:pPr>
            <w:r w:rsidRPr="00F55DDC"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  <w:t>区级部门预算项目绩效自评表</w:t>
            </w:r>
          </w:p>
        </w:tc>
      </w:tr>
      <w:tr w:rsidR="00F55DDC" w:rsidRPr="00F55DDC" w:rsidTr="00F55DDC">
        <w:trPr>
          <w:trHeight w:val="315"/>
        </w:trPr>
        <w:tc>
          <w:tcPr>
            <w:tcW w:w="0" w:type="auto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（2023年度）</w:t>
            </w:r>
          </w:p>
        </w:tc>
      </w:tr>
      <w:tr w:rsidR="00F55DDC" w:rsidRPr="00F55DDC" w:rsidTr="00F55DDC">
        <w:trPr>
          <w:trHeight w:val="360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填报单位：石家庄市鹿泉区公用事业管理中心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金额单位：万元</w:t>
            </w:r>
          </w:p>
        </w:tc>
      </w:tr>
      <w:tr w:rsidR="00F55DDC" w:rsidRPr="00F55DDC" w:rsidTr="00F55DDC">
        <w:trPr>
          <w:trHeight w:val="559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一、</w:t>
            </w: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 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基本情况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城区高温水管道铺设项目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实施(主管）单位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石家庄市鹿泉区公用事业管理中心</w:t>
            </w:r>
          </w:p>
        </w:tc>
      </w:tr>
      <w:tr w:rsidR="00F55DDC" w:rsidRPr="00F55DDC" w:rsidTr="00F55DDC">
        <w:trPr>
          <w:trHeight w:val="480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二、预算执行情况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预算安排情况（调整后）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资金到位情况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资金执行情况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预算执行进度</w:t>
            </w:r>
          </w:p>
        </w:tc>
      </w:tr>
      <w:tr w:rsidR="00F55DDC" w:rsidRPr="00F55DDC" w:rsidTr="00F55DDC">
        <w:trPr>
          <w:trHeight w:val="42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预算数：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374.390123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到位数：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374.390123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执行数：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374.390123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</w:tr>
      <w:tr w:rsidR="00F55DDC" w:rsidRPr="00F55DDC" w:rsidTr="00F55DDC">
        <w:trPr>
          <w:trHeight w:val="540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其中：                 财政资金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374.390123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其中：                      财政资金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374.390123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其中：                     财政资金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374.390123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405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465"/>
        </w:trPr>
        <w:tc>
          <w:tcPr>
            <w:tcW w:w="0" w:type="auto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三、目标完成情况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年度预期目标</w:t>
            </w:r>
          </w:p>
        </w:tc>
        <w:tc>
          <w:tcPr>
            <w:tcW w:w="0" w:type="auto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具体完成情况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总体完成率</w:t>
            </w:r>
          </w:p>
        </w:tc>
      </w:tr>
      <w:tr w:rsidR="00F55DDC" w:rsidRPr="00F55DDC" w:rsidTr="00F55DDC">
        <w:trPr>
          <w:trHeight w:val="31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完成城区高温水管道铺设项目资金的支付，确保冬季正常供热。</w:t>
            </w:r>
          </w:p>
        </w:tc>
        <w:tc>
          <w:tcPr>
            <w:tcW w:w="0" w:type="auto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完成城区高温水管道铺设项目资金的支付，确保冬季正常供热。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99%</w:t>
            </w:r>
          </w:p>
        </w:tc>
      </w:tr>
      <w:tr w:rsidR="00F55DDC" w:rsidRPr="00F55DDC" w:rsidTr="00F55DDC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31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420"/>
        </w:trPr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四、</w:t>
            </w: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 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年度绩效指标完成情况</w:t>
            </w: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一级指标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二级指标</w:t>
            </w:r>
          </w:p>
        </w:tc>
        <w:tc>
          <w:tcPr>
            <w:tcW w:w="0" w:type="auto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三级指标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预期指标值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实际完成值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自评得分</w:t>
            </w:r>
          </w:p>
        </w:tc>
      </w:tr>
      <w:tr w:rsidR="00F55DDC" w:rsidRPr="00F55DDC" w:rsidTr="00F55DDC">
        <w:trPr>
          <w:trHeight w:val="51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产出指标（40）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数量指标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完成供热管网铺设的数量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≤5800米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3.6万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49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数量指标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老旧高温水管网改造的数量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≤708米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49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质量指标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验收合格率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45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时效指标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管网建设的按时完成率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9</w:t>
            </w:r>
          </w:p>
        </w:tc>
      </w:tr>
      <w:tr w:rsidR="00F55DDC" w:rsidRPr="00F55DDC" w:rsidTr="00F55DDC">
        <w:trPr>
          <w:trHeight w:val="49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成本指标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管道的单位成本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≤1520元/米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6.94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84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预算执行率指标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（10分）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预算执行率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69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效益指标（40）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经济效益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服务人口数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≤35000人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35000</w:t>
            </w:r>
            <w:r w:rsidRPr="00F55DDC">
              <w:rPr>
                <w:rFonts w:ascii="宋体" w:hAnsi="宋体" w:cs="Calibri" w:hint="eastAsia"/>
                <w:color w:val="000000"/>
                <w:kern w:val="0"/>
                <w:sz w:val="20"/>
                <w:szCs w:val="20"/>
              </w:rPr>
              <w:t>人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8</w:t>
            </w:r>
          </w:p>
        </w:tc>
      </w:tr>
      <w:tr w:rsidR="00F55DDC" w:rsidRPr="00F55DDC" w:rsidTr="00F55DDC">
        <w:trPr>
          <w:trHeight w:val="79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社会效益指标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保障冬季正常供暖，提高供暖质量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保障正常供暖、提高供暖质量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保障正常供暖、提高供暖质量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8</w:t>
            </w:r>
          </w:p>
        </w:tc>
      </w:tr>
      <w:tr w:rsidR="00F55DDC" w:rsidRPr="00F55DDC" w:rsidTr="00F55DDC">
        <w:trPr>
          <w:trHeight w:val="48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生态效益指标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项目实施过程中产生环境事故数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0件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0件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7</w:t>
            </w:r>
          </w:p>
        </w:tc>
      </w:tr>
      <w:tr w:rsidR="00F55DDC" w:rsidRPr="00F55DDC" w:rsidTr="00F55DDC">
        <w:trPr>
          <w:trHeight w:val="48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可持续影响指标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项目可持续发挥影响周期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≥10年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  <w:r w:rsidRPr="00F55DDC">
              <w:rPr>
                <w:rFonts w:ascii="宋体" w:hAnsi="宋体" w:cs="Calibri" w:hint="eastAsia"/>
                <w:color w:val="000000"/>
                <w:kern w:val="0"/>
                <w:sz w:val="20"/>
                <w:szCs w:val="20"/>
              </w:rPr>
              <w:t>年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7</w:t>
            </w:r>
          </w:p>
        </w:tc>
      </w:tr>
      <w:tr w:rsidR="00F55DDC" w:rsidRPr="00F55DDC" w:rsidTr="00F55DDC">
        <w:trPr>
          <w:trHeight w:val="570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满意度指标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（10分）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满意度指标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用热户对</w:t>
            </w:r>
            <w:proofErr w:type="gramEnd"/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供热的满意程度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≥95%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95%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495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0" w:type="auto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总分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99</w:t>
            </w:r>
          </w:p>
        </w:tc>
      </w:tr>
      <w:tr w:rsidR="00F55DDC" w:rsidRPr="00F55DDC" w:rsidTr="00F55DDC">
        <w:trPr>
          <w:trHeight w:val="885"/>
        </w:trPr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五、</w:t>
            </w: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 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存在问题、原因及下一步整改措施</w:t>
            </w:r>
          </w:p>
        </w:tc>
        <w:tc>
          <w:tcPr>
            <w:tcW w:w="0" w:type="auto"/>
            <w:gridSpan w:val="7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无</w:t>
            </w:r>
          </w:p>
        </w:tc>
      </w:tr>
    </w:tbl>
    <w:p w:rsidR="00DF66EB" w:rsidRDefault="00DF66EB" w:rsidP="00F55DDC">
      <w:pPr>
        <w:spacing w:line="560" w:lineRule="exact"/>
        <w:rPr>
          <w:rFonts w:ascii="仿宋" w:eastAsia="仿宋" w:hAnsi="仿宋"/>
          <w:color w:val="000000" w:themeColor="text1"/>
          <w:sz w:val="32"/>
          <w:szCs w:val="32"/>
        </w:rPr>
      </w:pPr>
    </w:p>
    <w:p w:rsidR="00EB27D2" w:rsidRDefault="00EB27D2" w:rsidP="00F55DDC">
      <w:p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产出指标：</w:t>
      </w:r>
    </w:p>
    <w:p w:rsidR="00682E56" w:rsidRDefault="00DF55B8" w:rsidP="00682E56">
      <w:p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数量指标：</w:t>
      </w:r>
      <w:r w:rsidR="00682E56">
        <w:rPr>
          <w:rFonts w:ascii="仿宋" w:eastAsia="仿宋" w:hAnsi="仿宋" w:hint="eastAsia"/>
          <w:color w:val="000000" w:themeColor="text1"/>
          <w:sz w:val="32"/>
          <w:szCs w:val="32"/>
        </w:rPr>
        <w:t>指标1：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完成供热管网铺设的数量小于等于5800米，实际完成4980.23米，得分10分。</w:t>
      </w:r>
      <w:r w:rsidR="00682E56">
        <w:rPr>
          <w:rFonts w:ascii="仿宋" w:eastAsia="仿宋" w:hAnsi="仿宋" w:hint="eastAsia"/>
          <w:color w:val="000000" w:themeColor="text1"/>
          <w:sz w:val="32"/>
          <w:szCs w:val="32"/>
        </w:rPr>
        <w:t>指标2：老旧高温水管网改造的数量小于等于708米，实际完成613.3米，得分10分。</w:t>
      </w:r>
      <w:r w:rsidR="003B3A44">
        <w:rPr>
          <w:rFonts w:ascii="仿宋" w:eastAsia="仿宋" w:hAnsi="仿宋" w:hint="eastAsia"/>
          <w:color w:val="000000" w:themeColor="text1"/>
          <w:sz w:val="32"/>
          <w:szCs w:val="32"/>
        </w:rPr>
        <w:t>质量指标：验收合格率100%</w:t>
      </w:r>
      <w:r w:rsidR="00682E56">
        <w:rPr>
          <w:rFonts w:ascii="仿宋" w:eastAsia="仿宋" w:hAnsi="仿宋" w:hint="eastAsia"/>
          <w:color w:val="000000" w:themeColor="text1"/>
          <w:sz w:val="32"/>
          <w:szCs w:val="32"/>
        </w:rPr>
        <w:t>；得分10</w:t>
      </w:r>
      <w:r w:rsidR="003B3A44">
        <w:rPr>
          <w:rFonts w:ascii="仿宋" w:eastAsia="仿宋" w:hAnsi="仿宋" w:hint="eastAsia"/>
          <w:color w:val="000000" w:themeColor="text1"/>
          <w:sz w:val="32"/>
          <w:szCs w:val="32"/>
        </w:rPr>
        <w:t>分</w:t>
      </w:r>
      <w:r w:rsidR="003B3A44">
        <w:rPr>
          <w:rFonts w:ascii="仿宋" w:eastAsia="仿宋" w:hAnsi="仿宋"/>
          <w:color w:val="000000" w:themeColor="text1"/>
          <w:sz w:val="32"/>
          <w:szCs w:val="32"/>
        </w:rPr>
        <w:t>。时效指标</w:t>
      </w:r>
      <w:r w:rsidR="003B3A44">
        <w:rPr>
          <w:rFonts w:ascii="仿宋" w:eastAsia="仿宋" w:hAnsi="仿宋" w:hint="eastAsia"/>
          <w:color w:val="000000" w:themeColor="text1"/>
          <w:sz w:val="32"/>
          <w:szCs w:val="32"/>
        </w:rPr>
        <w:t>：</w:t>
      </w:r>
      <w:r w:rsidR="00682E56">
        <w:rPr>
          <w:rFonts w:ascii="仿宋" w:eastAsia="仿宋" w:hAnsi="仿宋" w:hint="eastAsia"/>
          <w:color w:val="000000" w:themeColor="text1"/>
          <w:sz w:val="32"/>
          <w:szCs w:val="32"/>
        </w:rPr>
        <w:t>按时完成率100%，实际完成率99%，得分9分。该项目计划2022年4月7日开工，10月3日完工，实际</w:t>
      </w:r>
      <w:r w:rsidR="00EB27D2">
        <w:rPr>
          <w:rFonts w:ascii="仿宋" w:eastAsia="仿宋" w:hAnsi="仿宋" w:hint="eastAsia"/>
          <w:color w:val="000000" w:themeColor="text1"/>
          <w:sz w:val="32"/>
          <w:szCs w:val="32"/>
        </w:rPr>
        <w:t>于4月7日开工，10月16日完工。成本指标：每米的成本小于等于1520元，实际每米成本为1511元，得分10分。</w:t>
      </w:r>
    </w:p>
    <w:p w:rsidR="00EB27D2" w:rsidRDefault="00EB27D2" w:rsidP="00682E56">
      <w:pPr>
        <w:spacing w:line="56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效益指标主要包括经济效益指标、社会效益指标、生态效益指标和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可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持续影响指标，得分为30分。该项目实施可确保10年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lastRenderedPageBreak/>
        <w:t>冬季城区正常供热，同时提高供热质量，提高供热达标率。该项目自评总分为99分，评为优秀。</w:t>
      </w:r>
    </w:p>
    <w:p w:rsidR="00FA068E" w:rsidRDefault="003B3A44">
      <w:pPr>
        <w:spacing w:line="560" w:lineRule="exact"/>
        <w:ind w:firstLineChars="200" w:firstLine="640"/>
        <w:rPr>
          <w:rFonts w:ascii="仿宋" w:eastAsia="仿宋" w:hAnsi="仿宋" w:hint="eastAsia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3、2023年节日氛围营造工程</w:t>
      </w:r>
      <w:bookmarkStart w:id="1" w:name="_GoBack"/>
      <w:bookmarkEnd w:id="1"/>
    </w:p>
    <w:tbl>
      <w:tblPr>
        <w:tblW w:w="5000" w:type="pct"/>
        <w:tblLook w:val="04A0" w:firstRow="1" w:lastRow="0" w:firstColumn="1" w:lastColumn="0" w:noHBand="0" w:noVBand="1"/>
      </w:tblPr>
      <w:tblGrid>
        <w:gridCol w:w="1050"/>
        <w:gridCol w:w="897"/>
        <w:gridCol w:w="958"/>
        <w:gridCol w:w="1314"/>
        <w:gridCol w:w="1045"/>
        <w:gridCol w:w="1124"/>
        <w:gridCol w:w="1057"/>
        <w:gridCol w:w="1616"/>
      </w:tblGrid>
      <w:tr w:rsidR="00F55DDC" w:rsidRPr="00F55DDC" w:rsidTr="00F55DDC">
        <w:trPr>
          <w:trHeight w:val="54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方正小标宋_GBK" w:eastAsia="方正小标宋_GBK" w:hAnsi="宋体" w:cs="宋体"/>
                <w:color w:val="000000"/>
                <w:kern w:val="0"/>
                <w:sz w:val="44"/>
                <w:szCs w:val="44"/>
              </w:rPr>
            </w:pPr>
            <w:r w:rsidRPr="00F55DDC">
              <w:rPr>
                <w:rFonts w:ascii="方正小标宋_GBK" w:eastAsia="方正小标宋_GBK" w:hAnsi="宋体" w:cs="宋体" w:hint="eastAsia"/>
                <w:color w:val="000000"/>
                <w:kern w:val="0"/>
                <w:sz w:val="44"/>
                <w:szCs w:val="44"/>
              </w:rPr>
              <w:t>区级部门预算项目绩效自评表</w:t>
            </w:r>
          </w:p>
        </w:tc>
      </w:tr>
      <w:tr w:rsidR="00F55DDC" w:rsidRPr="00F55DDC" w:rsidTr="00F55DDC">
        <w:trPr>
          <w:trHeight w:val="315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（2023年度）</w:t>
            </w:r>
          </w:p>
        </w:tc>
      </w:tr>
      <w:tr w:rsidR="00F55DDC" w:rsidRPr="00F55DDC" w:rsidTr="00F55DDC">
        <w:trPr>
          <w:trHeight w:val="360"/>
        </w:trPr>
        <w:tc>
          <w:tcPr>
            <w:tcW w:w="2395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填报单位：石家庄市鹿泉区公用事业管理中心</w:t>
            </w:r>
          </w:p>
        </w:tc>
        <w:tc>
          <w:tcPr>
            <w:tcW w:w="7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金额单位：万元</w:t>
            </w:r>
          </w:p>
        </w:tc>
      </w:tr>
      <w:tr w:rsidR="00F55DDC" w:rsidRPr="00F55DDC" w:rsidTr="00F55DDC">
        <w:trPr>
          <w:trHeight w:val="559"/>
        </w:trPr>
        <w:tc>
          <w:tcPr>
            <w:tcW w:w="596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一、</w:t>
            </w: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 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基本情况</w:t>
            </w:r>
          </w:p>
        </w:tc>
        <w:tc>
          <w:tcPr>
            <w:tcW w:w="50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项目名称</w:t>
            </w:r>
          </w:p>
        </w:tc>
        <w:tc>
          <w:tcPr>
            <w:tcW w:w="1289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2023年节日氛围营造工程</w:t>
            </w:r>
          </w:p>
        </w:tc>
        <w:tc>
          <w:tcPr>
            <w:tcW w:w="700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实施(主管）单位</w:t>
            </w:r>
          </w:p>
        </w:tc>
        <w:tc>
          <w:tcPr>
            <w:tcW w:w="1906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石家庄市鹿泉区公用事业管理中心</w:t>
            </w:r>
          </w:p>
        </w:tc>
      </w:tr>
      <w:tr w:rsidR="00F55DDC" w:rsidRPr="00F55DDC" w:rsidTr="00F55DDC">
        <w:trPr>
          <w:trHeight w:val="480"/>
        </w:trPr>
        <w:tc>
          <w:tcPr>
            <w:tcW w:w="59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二、预算执行情况</w:t>
            </w:r>
          </w:p>
        </w:tc>
        <w:tc>
          <w:tcPr>
            <w:tcW w:w="1053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预算安排情况（调整后）</w:t>
            </w:r>
          </w:p>
        </w:tc>
        <w:tc>
          <w:tcPr>
            <w:tcW w:w="1445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资金到位情况</w:t>
            </w:r>
          </w:p>
        </w:tc>
        <w:tc>
          <w:tcPr>
            <w:tcW w:w="1278" w:type="pct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资金执行情况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预算执行进度</w:t>
            </w:r>
          </w:p>
        </w:tc>
      </w:tr>
      <w:tr w:rsidR="00F55DDC" w:rsidRPr="00F55DDC" w:rsidTr="00F55DDC">
        <w:trPr>
          <w:trHeight w:val="420"/>
        </w:trPr>
        <w:tc>
          <w:tcPr>
            <w:tcW w:w="59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预算数：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到位数：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执行数：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627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</w:tr>
      <w:tr w:rsidR="00F55DDC" w:rsidRPr="00F55DDC" w:rsidTr="00F55DDC">
        <w:trPr>
          <w:trHeight w:val="540"/>
        </w:trPr>
        <w:tc>
          <w:tcPr>
            <w:tcW w:w="59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其中：                 财政资金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其中：                      财政资金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其中：                     财政资金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righ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62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405"/>
        </w:trPr>
        <w:tc>
          <w:tcPr>
            <w:tcW w:w="59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70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其他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2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465"/>
        </w:trPr>
        <w:tc>
          <w:tcPr>
            <w:tcW w:w="596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三、目标完成情况</w:t>
            </w:r>
          </w:p>
        </w:tc>
        <w:tc>
          <w:tcPr>
            <w:tcW w:w="1798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年度预期目标</w:t>
            </w:r>
          </w:p>
        </w:tc>
        <w:tc>
          <w:tcPr>
            <w:tcW w:w="1978" w:type="pct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具体完成情况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总体完成率</w:t>
            </w:r>
          </w:p>
        </w:tc>
      </w:tr>
      <w:tr w:rsidR="00F55DDC" w:rsidRPr="00F55DDC" w:rsidTr="00F55DDC">
        <w:trPr>
          <w:trHeight w:val="312"/>
        </w:trPr>
        <w:tc>
          <w:tcPr>
            <w:tcW w:w="59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8" w:type="pct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完成海山公园、石柏公园，城区主要街道、游园安装灯笼、彩灯等，营造欢乐、祥和、平安、吉祥的节日氛围。</w:t>
            </w:r>
          </w:p>
        </w:tc>
        <w:tc>
          <w:tcPr>
            <w:tcW w:w="1978" w:type="pct"/>
            <w:gridSpan w:val="3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完成海山公园、石柏公园，城区主要街道、游园安装灯笼、彩灯等，营造欢乐、祥和、平安、吉祥的节日氛围。</w:t>
            </w:r>
          </w:p>
        </w:tc>
        <w:tc>
          <w:tcPr>
            <w:tcW w:w="627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</w:tr>
      <w:tr w:rsidR="00F55DDC" w:rsidRPr="00F55DDC" w:rsidTr="00F55DDC">
        <w:trPr>
          <w:trHeight w:val="379"/>
        </w:trPr>
        <w:tc>
          <w:tcPr>
            <w:tcW w:w="59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8" w:type="pct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78" w:type="pct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390"/>
        </w:trPr>
        <w:tc>
          <w:tcPr>
            <w:tcW w:w="596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798" w:type="pct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78" w:type="pct"/>
            <w:gridSpan w:val="3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7" w:type="pct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F55DDC" w:rsidRPr="00F55DDC" w:rsidTr="00F55DDC">
        <w:trPr>
          <w:trHeight w:val="420"/>
        </w:trPr>
        <w:tc>
          <w:tcPr>
            <w:tcW w:w="596" w:type="pct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四、</w:t>
            </w: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 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年度绩效指标完成情况</w:t>
            </w:r>
          </w:p>
        </w:tc>
        <w:tc>
          <w:tcPr>
            <w:tcW w:w="50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一级指标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二级指标</w:t>
            </w:r>
          </w:p>
        </w:tc>
        <w:tc>
          <w:tcPr>
            <w:tcW w:w="1445" w:type="pct"/>
            <w:gridSpan w:val="2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三级指标</w:t>
            </w:r>
          </w:p>
        </w:tc>
        <w:tc>
          <w:tcPr>
            <w:tcW w:w="658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预期指标值</w:t>
            </w:r>
          </w:p>
        </w:tc>
        <w:tc>
          <w:tcPr>
            <w:tcW w:w="62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实际完成值</w:t>
            </w:r>
          </w:p>
        </w:tc>
        <w:tc>
          <w:tcPr>
            <w:tcW w:w="62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自评得分</w:t>
            </w:r>
          </w:p>
        </w:tc>
      </w:tr>
      <w:tr w:rsidR="00F55DDC" w:rsidRPr="00F55DDC" w:rsidTr="00F55DDC">
        <w:trPr>
          <w:trHeight w:val="510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产出指标（40）</w:t>
            </w:r>
          </w:p>
        </w:tc>
        <w:tc>
          <w:tcPr>
            <w:tcW w:w="5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数量指标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完成节日氛围营造灯笼、彩灯数量</w:t>
            </w:r>
          </w:p>
        </w:tc>
        <w:tc>
          <w:tcPr>
            <w:tcW w:w="6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≥2000个</w:t>
            </w:r>
          </w:p>
        </w:tc>
        <w:tc>
          <w:tcPr>
            <w:tcW w:w="6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2000个</w:t>
            </w:r>
          </w:p>
        </w:tc>
        <w:tc>
          <w:tcPr>
            <w:tcW w:w="6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11.5</w:t>
            </w:r>
          </w:p>
        </w:tc>
      </w:tr>
      <w:tr w:rsidR="00F55DDC" w:rsidRPr="00F55DDC" w:rsidTr="00F55DDC">
        <w:trPr>
          <w:trHeight w:val="495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质量指标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工程的验收合格率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12.5</w:t>
            </w:r>
          </w:p>
        </w:tc>
      </w:tr>
      <w:tr w:rsidR="00F55DDC" w:rsidRPr="00F55DDC" w:rsidTr="00F55DDC">
        <w:trPr>
          <w:trHeight w:val="450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时效指标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工程的完工率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12.5</w:t>
            </w:r>
          </w:p>
        </w:tc>
      </w:tr>
      <w:tr w:rsidR="00F55DDC" w:rsidRPr="00F55DDC" w:rsidTr="00F55DDC">
        <w:trPr>
          <w:trHeight w:val="495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成本指标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节日氛围营造的成本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≤195万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190</w:t>
            </w:r>
            <w:r w:rsidRPr="00F55DDC">
              <w:rPr>
                <w:rFonts w:ascii="宋体" w:hAnsi="宋体" w:cs="Calibri" w:hint="eastAsia"/>
                <w:color w:val="000000"/>
                <w:kern w:val="0"/>
                <w:sz w:val="20"/>
                <w:szCs w:val="20"/>
              </w:rPr>
              <w:t>万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11.5</w:t>
            </w:r>
          </w:p>
        </w:tc>
      </w:tr>
      <w:tr w:rsidR="00F55DDC" w:rsidRPr="00F55DDC" w:rsidTr="00F55DDC">
        <w:trPr>
          <w:trHeight w:val="840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预算执行率指标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（10分）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预算执行率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100%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795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社会效益指标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营造欢乐、祥和、平安、吉祥的节日氛围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营造气氛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营造气氛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13.5</w:t>
            </w:r>
          </w:p>
        </w:tc>
      </w:tr>
      <w:tr w:rsidR="00F55DDC" w:rsidRPr="00F55DDC" w:rsidTr="00F55DDC">
        <w:trPr>
          <w:trHeight w:val="480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可持续影响指标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灯笼、彩灯使用期限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≥2个月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2</w:t>
            </w:r>
            <w:r w:rsidRPr="00F55DDC">
              <w:rPr>
                <w:rFonts w:ascii="宋体" w:hAnsi="宋体" w:cs="Calibri" w:hint="eastAsia"/>
                <w:color w:val="000000"/>
                <w:kern w:val="0"/>
                <w:sz w:val="20"/>
                <w:szCs w:val="20"/>
              </w:rPr>
              <w:t>个月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14</w:t>
            </w:r>
          </w:p>
        </w:tc>
      </w:tr>
      <w:tr w:rsidR="00F55DDC" w:rsidRPr="00F55DDC" w:rsidTr="00F55DDC">
        <w:trPr>
          <w:trHeight w:val="570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09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满意度指标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（10分）</w:t>
            </w: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满意度指标</w:t>
            </w:r>
          </w:p>
        </w:tc>
        <w:tc>
          <w:tcPr>
            <w:tcW w:w="14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市民对节日氛围建设的</w:t>
            </w:r>
            <w:proofErr w:type="gramStart"/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的</w:t>
            </w:r>
            <w:proofErr w:type="gramEnd"/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满意程度</w:t>
            </w:r>
          </w:p>
        </w:tc>
        <w:tc>
          <w:tcPr>
            <w:tcW w:w="6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≥90%</w:t>
            </w:r>
          </w:p>
        </w:tc>
        <w:tc>
          <w:tcPr>
            <w:tcW w:w="6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90%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10</w:t>
            </w:r>
          </w:p>
        </w:tc>
      </w:tr>
      <w:tr w:rsidR="00F55DDC" w:rsidRPr="00F55DDC" w:rsidTr="00F55DDC">
        <w:trPr>
          <w:trHeight w:val="495"/>
        </w:trPr>
        <w:tc>
          <w:tcPr>
            <w:tcW w:w="596" w:type="pct"/>
            <w:vMerge/>
            <w:tcBorders>
              <w:top w:val="nil"/>
              <w:left w:val="single" w:sz="4" w:space="0" w:color="auto"/>
              <w:bottom w:val="single" w:sz="4" w:space="0" w:color="000000"/>
              <w:right w:val="nil"/>
            </w:tcBorders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3776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总分</w:t>
            </w:r>
          </w:p>
        </w:tc>
        <w:tc>
          <w:tcPr>
            <w:tcW w:w="6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center"/>
              <w:rPr>
                <w:rFonts w:cs="Calibri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95.5</w:t>
            </w:r>
          </w:p>
        </w:tc>
      </w:tr>
      <w:tr w:rsidR="00F55DDC" w:rsidRPr="00F55DDC" w:rsidTr="00F55DDC">
        <w:trPr>
          <w:trHeight w:val="885"/>
        </w:trPr>
        <w:tc>
          <w:tcPr>
            <w:tcW w:w="59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五、</w:t>
            </w:r>
            <w:r w:rsidRPr="00F55DDC">
              <w:rPr>
                <w:rFonts w:cs="Calibri"/>
                <w:color w:val="000000"/>
                <w:kern w:val="0"/>
                <w:sz w:val="20"/>
                <w:szCs w:val="20"/>
              </w:rPr>
              <w:t> </w:t>
            </w: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存在问题、原因及下一步整改措施</w:t>
            </w:r>
          </w:p>
        </w:tc>
        <w:tc>
          <w:tcPr>
            <w:tcW w:w="4404" w:type="pct"/>
            <w:gridSpan w:val="7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F55DDC" w:rsidRPr="00F55DDC" w:rsidRDefault="00F55DDC" w:rsidP="00F55DD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F55DDC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继续保持，下年度财政给予支持。</w:t>
            </w:r>
          </w:p>
        </w:tc>
      </w:tr>
    </w:tbl>
    <w:p w:rsidR="00EB27D2" w:rsidRDefault="00EB27D2" w:rsidP="00F55DDC">
      <w:pPr>
        <w:spacing w:line="560" w:lineRule="exact"/>
        <w:rPr>
          <w:rFonts w:ascii="仿宋" w:eastAsia="仿宋" w:hAnsi="仿宋"/>
          <w:color w:val="000000" w:themeColor="text1"/>
          <w:sz w:val="32"/>
          <w:szCs w:val="32"/>
        </w:rPr>
      </w:pPr>
    </w:p>
    <w:p w:rsidR="00FA068E" w:rsidRDefault="003B3A44">
      <w:pPr>
        <w:spacing w:line="560" w:lineRule="exact"/>
        <w:ind w:firstLineChars="200" w:firstLine="640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color w:val="000000" w:themeColor="text1"/>
          <w:sz w:val="32"/>
          <w:szCs w:val="32"/>
        </w:rPr>
        <w:t>数量指标；完成节日氛围营造灯笼、彩灯数量20000个，实际安装20000个，评分11.5分。质量指标：验收合格率100%；评分10分</w:t>
      </w:r>
      <w:r>
        <w:rPr>
          <w:rFonts w:ascii="仿宋" w:eastAsia="仿宋" w:hAnsi="仿宋"/>
          <w:color w:val="000000" w:themeColor="text1"/>
          <w:sz w:val="32"/>
          <w:szCs w:val="32"/>
        </w:rPr>
        <w:t>。时效指标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：项目的按时完成率，</w:t>
      </w:r>
      <w:r>
        <w:rPr>
          <w:rFonts w:ascii="仿宋" w:eastAsia="仿宋" w:hAnsi="仿宋"/>
          <w:color w:val="000000" w:themeColor="text1"/>
          <w:sz w:val="32"/>
          <w:szCs w:val="32"/>
        </w:rPr>
        <w:t>该项目202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3</w:t>
      </w:r>
      <w:r>
        <w:rPr>
          <w:rFonts w:ascii="仿宋" w:eastAsia="仿宋" w:hAnsi="仿宋"/>
          <w:color w:val="000000" w:themeColor="text1"/>
          <w:sz w:val="32"/>
          <w:szCs w:val="32"/>
        </w:rPr>
        <w:t>年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4</w:t>
      </w:r>
      <w:r>
        <w:rPr>
          <w:rFonts w:ascii="仿宋" w:eastAsia="仿宋" w:hAnsi="仿宋"/>
          <w:color w:val="000000" w:themeColor="text1"/>
          <w:sz w:val="32"/>
          <w:szCs w:val="32"/>
        </w:rPr>
        <w:t>月开始施工，202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2</w:t>
      </w:r>
      <w:r>
        <w:rPr>
          <w:rFonts w:ascii="仿宋" w:eastAsia="仿宋" w:hAnsi="仿宋"/>
          <w:color w:val="000000" w:themeColor="text1"/>
          <w:sz w:val="32"/>
          <w:szCs w:val="32"/>
        </w:rPr>
        <w:t>年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5</w:t>
      </w:r>
      <w:r>
        <w:rPr>
          <w:rFonts w:ascii="仿宋" w:eastAsia="仿宋" w:hAnsi="仿宋"/>
          <w:color w:val="000000" w:themeColor="text1"/>
          <w:sz w:val="32"/>
          <w:szCs w:val="32"/>
        </w:rPr>
        <w:t>月竣工，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按时完工；评分12.5分。成本指标：项目的总成本小于195.5万元，实际总成本小于190万元，评分12.5分。社会效益指标：营造欢乐、祥和、平安、吉祥的节日氛围，评分13.5分。可持续影响指标：项目使用期限大于2个月，评分14分。满意度指标：市民对节日氛围建设的</w:t>
      </w: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的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满意程度≥90%，评分10分。预算执行率：预算安排资金30万元，拨付资金30万元，评分10分。存在问题原因及整改措施：继续保持，下年度财政给予支持。该项目自评总分95.5分。</w:t>
      </w:r>
    </w:p>
    <w:p w:rsidR="00FA068E" w:rsidRDefault="003B3A44">
      <w:pPr>
        <w:spacing w:line="56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z w:val="32"/>
          <w:szCs w:val="32"/>
        </w:rPr>
        <w:t>四、评价结论和评价等级</w:t>
      </w:r>
    </w:p>
    <w:p w:rsidR="00FA068E" w:rsidRPr="00932A55" w:rsidRDefault="003B3A44">
      <w:pPr>
        <w:adjustRightInd w:val="0"/>
        <w:snapToGrid w:val="0"/>
        <w:spacing w:line="580" w:lineRule="exact"/>
        <w:ind w:firstLineChars="200" w:firstLine="640"/>
        <w:rPr>
          <w:rFonts w:ascii="仿宋" w:eastAsia="仿宋" w:hAnsi="仿宋" w:cs="仿宋_GB2312"/>
          <w:color w:val="000000" w:themeColor="text1"/>
          <w:sz w:val="32"/>
          <w:szCs w:val="32"/>
        </w:rPr>
      </w:pP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根据预算绩效管理要求，本部门组织对</w:t>
      </w:r>
      <w:r w:rsidRPr="00932A55">
        <w:rPr>
          <w:rFonts w:ascii="仿宋" w:eastAsia="仿宋" w:hAnsi="仿宋" w:cs="仿宋_GB2312"/>
          <w:color w:val="000000" w:themeColor="text1"/>
          <w:sz w:val="32"/>
          <w:szCs w:val="32"/>
        </w:rPr>
        <w:t>202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3年度预算项目全面开展绩效自评，其中，</w:t>
      </w:r>
      <w:proofErr w:type="gramStart"/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一级项目</w:t>
      </w:r>
      <w:proofErr w:type="gramEnd"/>
      <w:r w:rsidR="00A61EF2"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36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个，二级项目</w:t>
      </w:r>
      <w:r w:rsidRPr="00932A55">
        <w:rPr>
          <w:rFonts w:ascii="仿宋" w:eastAsia="仿宋" w:hAnsi="仿宋" w:cs="仿宋_GB2312"/>
          <w:color w:val="000000" w:themeColor="text1"/>
          <w:sz w:val="32"/>
          <w:szCs w:val="32"/>
        </w:rPr>
        <w:t>22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个。其中，</w:t>
      </w:r>
      <w:r w:rsidR="00A61EF2"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57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 xml:space="preserve">个项目评分优秀，1 </w:t>
      </w:r>
      <w:proofErr w:type="gramStart"/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个</w:t>
      </w:r>
      <w:proofErr w:type="gramEnd"/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项目评分一般（上安电厂长输管线对接项目因再融资，</w:t>
      </w:r>
      <w:r w:rsidRPr="00932A55">
        <w:rPr>
          <w:rFonts w:ascii="仿宋" w:eastAsia="仿宋" w:hAnsi="仿宋" w:cs="仿宋_GB2312"/>
          <w:color w:val="000000" w:themeColor="text1"/>
          <w:sz w:val="32"/>
          <w:szCs w:val="32"/>
        </w:rPr>
        <w:t>2023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年应偿还本金</w:t>
      </w:r>
      <w:r w:rsidRPr="00932A55">
        <w:rPr>
          <w:rFonts w:ascii="仿宋" w:eastAsia="仿宋" w:hAnsi="仿宋" w:cs="仿宋_GB2312"/>
          <w:color w:val="000000" w:themeColor="text1"/>
          <w:sz w:val="32"/>
          <w:szCs w:val="32"/>
        </w:rPr>
        <w:t>5000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万，实际偿还本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lastRenderedPageBreak/>
        <w:t>金</w:t>
      </w:r>
      <w:r w:rsidRPr="00932A55">
        <w:rPr>
          <w:rFonts w:ascii="仿宋" w:eastAsia="仿宋" w:hAnsi="仿宋" w:cs="仿宋_GB2312"/>
          <w:color w:val="000000" w:themeColor="text1"/>
          <w:sz w:val="32"/>
          <w:szCs w:val="32"/>
        </w:rPr>
        <w:t>500</w:t>
      </w:r>
      <w:r w:rsidRPr="00932A55">
        <w:rPr>
          <w:rFonts w:ascii="仿宋" w:eastAsia="仿宋" w:hAnsi="仿宋" w:cs="仿宋_GB2312" w:hint="eastAsia"/>
          <w:color w:val="000000" w:themeColor="text1"/>
          <w:sz w:val="32"/>
          <w:szCs w:val="32"/>
        </w:rPr>
        <w:t>万元）。</w:t>
      </w:r>
    </w:p>
    <w:p w:rsidR="00FA068E" w:rsidRDefault="003B3A44">
      <w:pPr>
        <w:spacing w:line="560" w:lineRule="exact"/>
        <w:ind w:firstLineChars="200" w:firstLine="640"/>
        <w:rPr>
          <w:rFonts w:ascii="黑体" w:eastAsia="黑体" w:hAnsi="黑体"/>
          <w:color w:val="000000" w:themeColor="text1"/>
          <w:sz w:val="32"/>
          <w:szCs w:val="32"/>
        </w:rPr>
      </w:pPr>
      <w:r>
        <w:rPr>
          <w:rFonts w:ascii="黑体" w:eastAsia="黑体" w:hAnsi="黑体" w:hint="eastAsia"/>
          <w:color w:val="000000" w:themeColor="text1"/>
          <w:sz w:val="32"/>
          <w:szCs w:val="32"/>
        </w:rPr>
        <w:t>五、存在的问题及改进措施</w:t>
      </w:r>
    </w:p>
    <w:p w:rsidR="00FA068E" w:rsidRDefault="003B3A44">
      <w:pPr>
        <w:spacing w:line="560" w:lineRule="exact"/>
        <w:ind w:firstLineChars="200" w:firstLine="643"/>
        <w:rPr>
          <w:rFonts w:ascii="仿宋" w:eastAsia="仿宋" w:hAnsi="仿宋"/>
          <w:b/>
          <w:bCs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（一）存在的主要问题</w:t>
      </w:r>
    </w:p>
    <w:p w:rsidR="00FA068E" w:rsidRDefault="003B3A44">
      <w:pPr>
        <w:spacing w:line="560" w:lineRule="exact"/>
        <w:ind w:firstLineChars="200" w:firstLine="640"/>
        <w:rPr>
          <w:rFonts w:ascii="仿宋" w:eastAsia="仿宋" w:hAnsi="仿宋"/>
          <w:b/>
          <w:bCs/>
          <w:color w:val="000000" w:themeColor="text1"/>
          <w:sz w:val="32"/>
          <w:szCs w:val="32"/>
        </w:rPr>
      </w:pPr>
      <w:proofErr w:type="gramStart"/>
      <w:r>
        <w:rPr>
          <w:rFonts w:ascii="仿宋" w:eastAsia="仿宋" w:hAnsi="仿宋" w:hint="eastAsia"/>
          <w:color w:val="000000" w:themeColor="text1"/>
          <w:sz w:val="32"/>
          <w:szCs w:val="32"/>
        </w:rPr>
        <w:t>个别资金</w:t>
      </w:r>
      <w:proofErr w:type="gramEnd"/>
      <w:r>
        <w:rPr>
          <w:rFonts w:ascii="仿宋" w:eastAsia="仿宋" w:hAnsi="仿宋" w:hint="eastAsia"/>
          <w:color w:val="000000" w:themeColor="text1"/>
          <w:sz w:val="32"/>
          <w:szCs w:val="32"/>
        </w:rPr>
        <w:t>使用不及时；项目实施时机不成熟进行了谋划实施，占用了预算资金指标。</w:t>
      </w:r>
    </w:p>
    <w:p w:rsidR="00FA068E" w:rsidRDefault="003B3A44">
      <w:pPr>
        <w:numPr>
          <w:ilvl w:val="0"/>
          <w:numId w:val="4"/>
        </w:numPr>
        <w:spacing w:line="560" w:lineRule="exact"/>
        <w:ind w:firstLineChars="200" w:firstLine="643"/>
        <w:rPr>
          <w:rFonts w:ascii="仿宋" w:eastAsia="仿宋" w:hAnsi="仿宋"/>
          <w:b/>
          <w:bCs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>针对问题提出具体的改进措施或建议</w:t>
      </w:r>
    </w:p>
    <w:p w:rsidR="00FA068E" w:rsidRDefault="003B3A44">
      <w:pPr>
        <w:spacing w:line="560" w:lineRule="exact"/>
        <w:ind w:firstLineChars="200" w:firstLine="643"/>
        <w:rPr>
          <w:rFonts w:ascii="仿宋" w:eastAsia="仿宋" w:hAnsi="仿宋"/>
          <w:color w:val="000000" w:themeColor="text1"/>
          <w:sz w:val="32"/>
          <w:szCs w:val="32"/>
        </w:rPr>
      </w:pPr>
      <w:r>
        <w:rPr>
          <w:rFonts w:ascii="仿宋" w:eastAsia="仿宋" w:hAnsi="仿宋" w:hint="eastAsia"/>
          <w:b/>
          <w:bCs/>
          <w:color w:val="000000" w:themeColor="text1"/>
          <w:sz w:val="32"/>
          <w:szCs w:val="32"/>
        </w:rPr>
        <w:t xml:space="preserve">  </w:t>
      </w:r>
      <w:r>
        <w:rPr>
          <w:rFonts w:ascii="仿宋" w:eastAsia="仿宋" w:hAnsi="仿宋" w:hint="eastAsia"/>
          <w:color w:val="000000" w:themeColor="text1"/>
          <w:sz w:val="32"/>
          <w:szCs w:val="32"/>
        </w:rPr>
        <w:t>按规定合理安排资金使用，项目谋划要客观实际，确保能够实施。</w:t>
      </w:r>
    </w:p>
    <w:p w:rsidR="00FA068E" w:rsidRDefault="003B3A44">
      <w:pPr>
        <w:numPr>
          <w:ilvl w:val="0"/>
          <w:numId w:val="7"/>
        </w:numPr>
        <w:adjustRightInd w:val="0"/>
        <w:snapToGrid w:val="0"/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评价工作组人员</w:t>
      </w:r>
    </w:p>
    <w:p w:rsidR="00FA068E" w:rsidRDefault="003B3A44" w:rsidP="00A61EF2">
      <w:pPr>
        <w:adjustRightInd w:val="0"/>
        <w:snapToGrid w:val="0"/>
        <w:spacing w:line="560" w:lineRule="exact"/>
        <w:ind w:leftChars="200" w:left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组长：刘英杰   主任</w:t>
      </w:r>
    </w:p>
    <w:p w:rsidR="00FA068E" w:rsidRDefault="003B3A44" w:rsidP="00A61EF2">
      <w:pPr>
        <w:adjustRightInd w:val="0"/>
        <w:snapToGrid w:val="0"/>
        <w:spacing w:line="560" w:lineRule="exact"/>
        <w:ind w:leftChars="200" w:left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副组长： 刘  猛    副主任   王永丽    副主任</w:t>
      </w:r>
    </w:p>
    <w:p w:rsidR="00FA068E" w:rsidRDefault="003B3A44" w:rsidP="00A61EF2">
      <w:pPr>
        <w:adjustRightInd w:val="0"/>
        <w:snapToGrid w:val="0"/>
        <w:spacing w:line="560" w:lineRule="exact"/>
        <w:ind w:leftChars="200" w:left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       杜彦章    副主任   张  </w:t>
      </w:r>
      <w:proofErr w:type="gramStart"/>
      <w:r>
        <w:rPr>
          <w:rFonts w:ascii="黑体" w:eastAsia="黑体" w:hAnsi="黑体" w:hint="eastAsia"/>
          <w:sz w:val="32"/>
          <w:szCs w:val="32"/>
        </w:rPr>
        <w:t>彬</w:t>
      </w:r>
      <w:proofErr w:type="gramEnd"/>
      <w:r>
        <w:rPr>
          <w:rFonts w:ascii="黑体" w:eastAsia="黑体" w:hAnsi="黑体" w:hint="eastAsia"/>
          <w:sz w:val="32"/>
          <w:szCs w:val="32"/>
        </w:rPr>
        <w:t xml:space="preserve">    副主任</w:t>
      </w:r>
    </w:p>
    <w:p w:rsidR="00FA068E" w:rsidRDefault="003B3A44" w:rsidP="00A61EF2">
      <w:pPr>
        <w:adjustRightInd w:val="0"/>
        <w:snapToGrid w:val="0"/>
        <w:spacing w:line="560" w:lineRule="exact"/>
        <w:ind w:leftChars="200" w:left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       </w:t>
      </w:r>
      <w:proofErr w:type="gramStart"/>
      <w:r>
        <w:rPr>
          <w:rFonts w:ascii="黑体" w:eastAsia="黑体" w:hAnsi="黑体" w:hint="eastAsia"/>
          <w:sz w:val="32"/>
          <w:szCs w:val="32"/>
        </w:rPr>
        <w:t>封惠贞</w:t>
      </w:r>
      <w:proofErr w:type="gramEnd"/>
      <w:r>
        <w:rPr>
          <w:rFonts w:ascii="黑体" w:eastAsia="黑体" w:hAnsi="黑体" w:hint="eastAsia"/>
          <w:sz w:val="32"/>
          <w:szCs w:val="32"/>
        </w:rPr>
        <w:t xml:space="preserve">    副主任</w:t>
      </w:r>
    </w:p>
    <w:p w:rsidR="00FA068E" w:rsidRDefault="003B3A44" w:rsidP="00A61EF2">
      <w:pPr>
        <w:adjustRightInd w:val="0"/>
        <w:snapToGrid w:val="0"/>
        <w:spacing w:line="560" w:lineRule="exact"/>
        <w:ind w:leftChars="200" w:left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小组成员：各项目股室负责人及下属单位负责人</w:t>
      </w:r>
    </w:p>
    <w:p w:rsidR="00FA068E" w:rsidRDefault="003B3A44" w:rsidP="00A61EF2">
      <w:pPr>
        <w:adjustRightInd w:val="0"/>
        <w:snapToGrid w:val="0"/>
        <w:spacing w:line="560" w:lineRule="exact"/>
        <w:ind w:leftChars="200" w:left="42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        </w:t>
      </w:r>
    </w:p>
    <w:p w:rsidR="00FA068E" w:rsidRDefault="00FA068E">
      <w:pPr>
        <w:spacing w:line="560" w:lineRule="exact"/>
        <w:rPr>
          <w:rFonts w:ascii="仿宋" w:eastAsia="仿宋" w:hAnsi="仿宋"/>
          <w:color w:val="0000FF"/>
        </w:rPr>
      </w:pPr>
    </w:p>
    <w:sectPr w:rsidR="00FA068E">
      <w:footerReference w:type="default" r:id="rId9"/>
      <w:pgSz w:w="11906" w:h="16838"/>
      <w:pgMar w:top="1440" w:right="1474" w:bottom="1440" w:left="1587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5298" w:rsidRDefault="00C35298">
      <w:r>
        <w:separator/>
      </w:r>
    </w:p>
  </w:endnote>
  <w:endnote w:type="continuationSeparator" w:id="0">
    <w:p w:rsidR="00C35298" w:rsidRDefault="00C35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charset w:val="00"/>
    <w:family w:val="auto"/>
    <w:pitch w:val="default"/>
  </w:font>
  <w:font w:name="仿宋_GB2312">
    <w:altName w:val="等线"/>
    <w:charset w:val="86"/>
    <w:family w:val="auto"/>
    <w:pitch w:val="default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A068E" w:rsidRDefault="003B3A4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FA068E" w:rsidRDefault="003B3A44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 w:rsidR="00F55DDC" w:rsidRPr="00F55DDC">
                            <w:rPr>
                              <w:noProof/>
                            </w:rPr>
                            <w:t>- 10 -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Quad Arrow 3073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" filled="f" stroked="f">
              <v:textbox style="mso-fit-shape-to-text:t" inset="0,0,0,0">
                <w:txbxContent>
                  <w:p w:rsidR="00FA068E" w:rsidRDefault="003B3A44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 w:rsidR="00F55DDC" w:rsidRPr="00F55DDC">
                      <w:rPr>
                        <w:noProof/>
                      </w:rPr>
                      <w:t>- 10 -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5298" w:rsidRDefault="00C35298">
      <w:r>
        <w:separator/>
      </w:r>
    </w:p>
  </w:footnote>
  <w:footnote w:type="continuationSeparator" w:id="0">
    <w:p w:rsidR="00C35298" w:rsidRDefault="00C352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90FFE218"/>
    <w:multiLevelType w:val="singleLevel"/>
    <w:tmpl w:val="90FFE218"/>
    <w:lvl w:ilvl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A18CA2FD"/>
    <w:multiLevelType w:val="singleLevel"/>
    <w:tmpl w:val="A18CA2FD"/>
    <w:lvl w:ilvl="0">
      <w:start w:val="2"/>
      <w:numFmt w:val="decimal"/>
      <w:suff w:val="nothing"/>
      <w:lvlText w:val="%1、"/>
      <w:lvlJc w:val="left"/>
    </w:lvl>
  </w:abstractNum>
  <w:abstractNum w:abstractNumId="2">
    <w:nsid w:val="CBBEE24A"/>
    <w:multiLevelType w:val="singleLevel"/>
    <w:tmpl w:val="CBBEE24A"/>
    <w:lvl w:ilvl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D15B60DA"/>
    <w:multiLevelType w:val="singleLevel"/>
    <w:tmpl w:val="D15B60DA"/>
    <w:lvl w:ilvl="0">
      <w:start w:val="1"/>
      <w:numFmt w:val="decimal"/>
      <w:suff w:val="nothing"/>
      <w:lvlText w:val="%1、"/>
      <w:lvlJc w:val="left"/>
    </w:lvl>
  </w:abstractNum>
  <w:abstractNum w:abstractNumId="4">
    <w:nsid w:val="0516AA81"/>
    <w:multiLevelType w:val="singleLevel"/>
    <w:tmpl w:val="0516AA81"/>
    <w:lvl w:ilvl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5">
    <w:nsid w:val="5D135AAC"/>
    <w:multiLevelType w:val="multilevel"/>
    <w:tmpl w:val="5D135AAC"/>
    <w:lvl w:ilvl="0">
      <w:start w:val="6"/>
      <w:numFmt w:val="decimal"/>
      <w:lvlText w:val="%1、"/>
      <w:lvlJc w:val="left"/>
      <w:pPr>
        <w:ind w:left="1360" w:hanging="720"/>
      </w:pPr>
      <w:rPr>
        <w:rFonts w:hint="default"/>
        <w:sz w:val="32"/>
      </w:rPr>
    </w:lvl>
    <w:lvl w:ilvl="1">
      <w:start w:val="1"/>
      <w:numFmt w:val="lowerLetter"/>
      <w:lvlText w:val="%2)"/>
      <w:lvlJc w:val="left"/>
      <w:pPr>
        <w:ind w:left="1480" w:hanging="420"/>
      </w:pPr>
    </w:lvl>
    <w:lvl w:ilvl="2">
      <w:start w:val="1"/>
      <w:numFmt w:val="lowerRoman"/>
      <w:lvlText w:val="%3."/>
      <w:lvlJc w:val="right"/>
      <w:pPr>
        <w:ind w:left="1900" w:hanging="420"/>
      </w:pPr>
    </w:lvl>
    <w:lvl w:ilvl="3">
      <w:start w:val="1"/>
      <w:numFmt w:val="decimal"/>
      <w:lvlText w:val="%4."/>
      <w:lvlJc w:val="left"/>
      <w:pPr>
        <w:ind w:left="2320" w:hanging="420"/>
      </w:pPr>
    </w:lvl>
    <w:lvl w:ilvl="4">
      <w:start w:val="1"/>
      <w:numFmt w:val="lowerLetter"/>
      <w:lvlText w:val="%5)"/>
      <w:lvlJc w:val="left"/>
      <w:pPr>
        <w:ind w:left="2740" w:hanging="420"/>
      </w:pPr>
    </w:lvl>
    <w:lvl w:ilvl="5">
      <w:start w:val="1"/>
      <w:numFmt w:val="lowerRoman"/>
      <w:lvlText w:val="%6."/>
      <w:lvlJc w:val="right"/>
      <w:pPr>
        <w:ind w:left="3160" w:hanging="420"/>
      </w:pPr>
    </w:lvl>
    <w:lvl w:ilvl="6">
      <w:start w:val="1"/>
      <w:numFmt w:val="decimal"/>
      <w:lvlText w:val="%7."/>
      <w:lvlJc w:val="left"/>
      <w:pPr>
        <w:ind w:left="3580" w:hanging="420"/>
      </w:pPr>
    </w:lvl>
    <w:lvl w:ilvl="7">
      <w:start w:val="1"/>
      <w:numFmt w:val="lowerLetter"/>
      <w:lvlText w:val="%8)"/>
      <w:lvlJc w:val="left"/>
      <w:pPr>
        <w:ind w:left="4000" w:hanging="420"/>
      </w:pPr>
    </w:lvl>
    <w:lvl w:ilvl="8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5E68489B"/>
    <w:multiLevelType w:val="singleLevel"/>
    <w:tmpl w:val="5E68489B"/>
    <w:lvl w:ilvl="0">
      <w:start w:val="1"/>
      <w:numFmt w:val="chineseCounting"/>
      <w:suff w:val="nothing"/>
      <w:lvlText w:val="（%1）"/>
      <w:lvlJc w:val="left"/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ZiYzE4Mjg0ZDA0OTEzZTkyNmQ4NTBmNmM0NDk3MzMifQ=="/>
  </w:docVars>
  <w:rsids>
    <w:rsidRoot w:val="0EBD2122"/>
    <w:rsid w:val="003B3A44"/>
    <w:rsid w:val="005C7DF1"/>
    <w:rsid w:val="00682E56"/>
    <w:rsid w:val="007E6C1F"/>
    <w:rsid w:val="00932A55"/>
    <w:rsid w:val="00A61EF2"/>
    <w:rsid w:val="00AF566A"/>
    <w:rsid w:val="00B6553A"/>
    <w:rsid w:val="00B7334F"/>
    <w:rsid w:val="00C35298"/>
    <w:rsid w:val="00DF55B8"/>
    <w:rsid w:val="00DF66EB"/>
    <w:rsid w:val="00EB27D2"/>
    <w:rsid w:val="00F55DDC"/>
    <w:rsid w:val="00FA068E"/>
    <w:rsid w:val="00FB43B2"/>
    <w:rsid w:val="01B104CA"/>
    <w:rsid w:val="02106AB0"/>
    <w:rsid w:val="02B43A28"/>
    <w:rsid w:val="046F331E"/>
    <w:rsid w:val="052A36A2"/>
    <w:rsid w:val="07493A9B"/>
    <w:rsid w:val="07956271"/>
    <w:rsid w:val="07A72826"/>
    <w:rsid w:val="083228E2"/>
    <w:rsid w:val="09721397"/>
    <w:rsid w:val="0BB63BED"/>
    <w:rsid w:val="0D3C5106"/>
    <w:rsid w:val="0EB97A43"/>
    <w:rsid w:val="0EBD2122"/>
    <w:rsid w:val="0F214EAE"/>
    <w:rsid w:val="11B71E6A"/>
    <w:rsid w:val="13026051"/>
    <w:rsid w:val="1AAF0063"/>
    <w:rsid w:val="1AEA5E24"/>
    <w:rsid w:val="1BE140DE"/>
    <w:rsid w:val="1CC33701"/>
    <w:rsid w:val="22481CA5"/>
    <w:rsid w:val="23147A35"/>
    <w:rsid w:val="23FE383A"/>
    <w:rsid w:val="248C197D"/>
    <w:rsid w:val="252959AF"/>
    <w:rsid w:val="25DE25A2"/>
    <w:rsid w:val="277A6671"/>
    <w:rsid w:val="292D35B7"/>
    <w:rsid w:val="2A265899"/>
    <w:rsid w:val="2A594280"/>
    <w:rsid w:val="2B242084"/>
    <w:rsid w:val="33EB6CFF"/>
    <w:rsid w:val="350B6A67"/>
    <w:rsid w:val="35A12947"/>
    <w:rsid w:val="37387040"/>
    <w:rsid w:val="386947BA"/>
    <w:rsid w:val="3B625C0A"/>
    <w:rsid w:val="3CAD7013"/>
    <w:rsid w:val="3CEE1963"/>
    <w:rsid w:val="404D3B10"/>
    <w:rsid w:val="41146C46"/>
    <w:rsid w:val="42A762BC"/>
    <w:rsid w:val="434C1041"/>
    <w:rsid w:val="46D06C94"/>
    <w:rsid w:val="47A515CF"/>
    <w:rsid w:val="4A3F6969"/>
    <w:rsid w:val="4AB87960"/>
    <w:rsid w:val="4C9C27FE"/>
    <w:rsid w:val="501C7BC1"/>
    <w:rsid w:val="512260B4"/>
    <w:rsid w:val="52BD6ACB"/>
    <w:rsid w:val="548B1642"/>
    <w:rsid w:val="55537534"/>
    <w:rsid w:val="56010207"/>
    <w:rsid w:val="561A74F1"/>
    <w:rsid w:val="57AE17D3"/>
    <w:rsid w:val="597244E8"/>
    <w:rsid w:val="59EF13A9"/>
    <w:rsid w:val="5B141994"/>
    <w:rsid w:val="5E133285"/>
    <w:rsid w:val="5EB71C30"/>
    <w:rsid w:val="62300B8C"/>
    <w:rsid w:val="624176D4"/>
    <w:rsid w:val="64C8789E"/>
    <w:rsid w:val="66AF0CE5"/>
    <w:rsid w:val="677A1D95"/>
    <w:rsid w:val="6AC537CF"/>
    <w:rsid w:val="6B827A5A"/>
    <w:rsid w:val="6BD17719"/>
    <w:rsid w:val="6DD24AEC"/>
    <w:rsid w:val="6E5B14A6"/>
    <w:rsid w:val="6F425282"/>
    <w:rsid w:val="70534397"/>
    <w:rsid w:val="70942AF2"/>
    <w:rsid w:val="711B255E"/>
    <w:rsid w:val="7317199D"/>
    <w:rsid w:val="75AE4D02"/>
    <w:rsid w:val="760A7E39"/>
    <w:rsid w:val="7BB51E06"/>
    <w:rsid w:val="7C387F7C"/>
    <w:rsid w:val="7DFA7CBD"/>
    <w:rsid w:val="7E760845"/>
    <w:rsid w:val="7FE8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-">
    <w:name w:val="插入文本样式-插入总体目标文件"/>
    <w:basedOn w:val="a"/>
    <w:qFormat/>
    <w:pPr>
      <w:spacing w:line="500" w:lineRule="exact"/>
      <w:ind w:firstLine="560"/>
      <w:jc w:val="left"/>
    </w:pPr>
    <w:rPr>
      <w:rFonts w:ascii="Times New Roman" w:eastAsia="方正仿宋_GBK" w:hAnsi="Times New Roman" w:cs="Times New Roman"/>
      <w:sz w:val="28"/>
    </w:rPr>
  </w:style>
  <w:style w:type="paragraph" w:customStyle="1" w:styleId="-0">
    <w:name w:val="插入文本样式-插入职责分类绩效目标文件"/>
    <w:basedOn w:val="a"/>
    <w:qFormat/>
    <w:pPr>
      <w:spacing w:line="500" w:lineRule="exact"/>
      <w:ind w:firstLine="560"/>
      <w:jc w:val="left"/>
    </w:pPr>
    <w:rPr>
      <w:rFonts w:ascii="Times New Roman" w:eastAsia="方正仿宋_GBK" w:hAnsi="Times New Roman" w:cs="Times New Roman"/>
      <w:sz w:val="28"/>
    </w:rPr>
  </w:style>
  <w:style w:type="paragraph" w:styleId="a5">
    <w:name w:val="Balloon Text"/>
    <w:basedOn w:val="a"/>
    <w:link w:val="Char"/>
    <w:rsid w:val="00DF66EB"/>
    <w:rPr>
      <w:sz w:val="18"/>
      <w:szCs w:val="18"/>
    </w:rPr>
  </w:style>
  <w:style w:type="character" w:customStyle="1" w:styleId="Char">
    <w:name w:val="批注框文本 Char"/>
    <w:basedOn w:val="a0"/>
    <w:link w:val="a5"/>
    <w:rsid w:val="00DF66EB"/>
    <w:rPr>
      <w:rFonts w:ascii="Calibri" w:hAnsi="Calibri" w:cs="黑体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-">
    <w:name w:val="插入文本样式-插入总体目标文件"/>
    <w:basedOn w:val="a"/>
    <w:qFormat/>
    <w:pPr>
      <w:spacing w:line="500" w:lineRule="exact"/>
      <w:ind w:firstLine="560"/>
      <w:jc w:val="left"/>
    </w:pPr>
    <w:rPr>
      <w:rFonts w:ascii="Times New Roman" w:eastAsia="方正仿宋_GBK" w:hAnsi="Times New Roman" w:cs="Times New Roman"/>
      <w:sz w:val="28"/>
    </w:rPr>
  </w:style>
  <w:style w:type="paragraph" w:customStyle="1" w:styleId="-0">
    <w:name w:val="插入文本样式-插入职责分类绩效目标文件"/>
    <w:basedOn w:val="a"/>
    <w:qFormat/>
    <w:pPr>
      <w:spacing w:line="500" w:lineRule="exact"/>
      <w:ind w:firstLine="560"/>
      <w:jc w:val="left"/>
    </w:pPr>
    <w:rPr>
      <w:rFonts w:ascii="Times New Roman" w:eastAsia="方正仿宋_GBK" w:hAnsi="Times New Roman" w:cs="Times New Roman"/>
      <w:sz w:val="28"/>
    </w:rPr>
  </w:style>
  <w:style w:type="paragraph" w:styleId="a5">
    <w:name w:val="Balloon Text"/>
    <w:basedOn w:val="a"/>
    <w:link w:val="Char"/>
    <w:rsid w:val="00DF66EB"/>
    <w:rPr>
      <w:sz w:val="18"/>
      <w:szCs w:val="18"/>
    </w:rPr>
  </w:style>
  <w:style w:type="character" w:customStyle="1" w:styleId="Char">
    <w:name w:val="批注框文本 Char"/>
    <w:basedOn w:val="a0"/>
    <w:link w:val="a5"/>
    <w:rsid w:val="00DF66EB"/>
    <w:rPr>
      <w:rFonts w:ascii="Calibri" w:hAnsi="Calibri" w:cs="黑体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853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11</Pages>
  <Words>924</Words>
  <Characters>5267</Characters>
  <Application>Microsoft Office Word</Application>
  <DocSecurity>0</DocSecurity>
  <Lines>43</Lines>
  <Paragraphs>12</Paragraphs>
  <ScaleCrop>false</ScaleCrop>
  <Company/>
  <LinksUpToDate>false</LinksUpToDate>
  <CharactersWithSpaces>6179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附件3：</dc:title>
  <dc:creator>欣欣大人</dc:creator>
  <cp:lastModifiedBy>dell</cp:lastModifiedBy>
  <cp:revision>8</cp:revision>
  <cp:lastPrinted>2022-01-19T07:24:00Z</cp:lastPrinted>
  <dcterms:created xsi:type="dcterms:W3CDTF">2020-02-04T03:46:00Z</dcterms:created>
  <dcterms:modified xsi:type="dcterms:W3CDTF">2024-09-22T13:05:00Z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2052-11.8.2.10912</vt:lpwstr>
  </property>
  <property fmtid="{D5CDD505-2E9C-101B-9397-08002B2CF9AE}" pid="3" name="ICV">
    <vt:lpwstr>0F34C12086264FC9836416CF09891BE1</vt:lpwstr>
  </property>
</Properties>
</file>