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1.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JUHC8XbAAAACwEAAA8AAAAAAAAAAQAgAAAA&#10;IgAAAGRycy9kb3ducmV2LnhtbFBLAQIUABQAAAAIAIdO4kBqgGFVJQMAAPYIAAAOAAAAAAAAAAEA&#10;IAAAACoBAABkcnMvZTJvRG9jLnhtbFBLBQYAAAAABgAGAFkBAADB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ZqWWv2AAAAAsBAAAPAAAAAAAA&#10;AAEAIAAAACIAAABkcnMvZG93bnJldi54bWxQSwECFAAUAAAACACHTuJA5W10YaABAAARAwAADgAA&#10;AAAAAAABACAAAAAnAQAAZHJzL2Uyb0RvYy54bWxQSwUGAAAAAAYABgBZAQAAOQU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rPr>
          <w:rFonts w:hint="eastAsia"/>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315001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：石家庄市鹿泉区司法局(本级)</w:t>
      </w:r>
    </w:p>
    <w:p>
      <w:pPr>
        <w:spacing w:line="600" w:lineRule="auto"/>
        <w:jc w:val="left"/>
        <w:rPr>
          <w:rFonts w:hint="default" w:ascii="楷体_GB2312" w:hAnsi="楷体_GB2312" w:eastAsia="楷体_GB2312" w:cs="楷体_GB2312"/>
          <w:color w:val="000000"/>
          <w:sz w:val="40"/>
          <w:szCs w:val="40"/>
          <w:lang w:val="en-US" w:eastAsia="zh-CN"/>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rPr>
          <w:rFonts w:ascii="黑体" w:hAnsi="黑体" w:eastAsia="黑体" w:cs="黑体"/>
          <w:b/>
          <w:bCs/>
          <w:sz w:val="72"/>
          <w:szCs w:val="96"/>
        </w:rPr>
      </w:pPr>
    </w:p>
    <w:p>
      <w:pPr>
        <w:rPr>
          <w:rFonts w:ascii="黑体" w:hAnsi="黑体" w:eastAsia="黑体" w:cs="黑体"/>
          <w:b/>
          <w:bCs/>
          <w:sz w:val="72"/>
          <w:szCs w:val="96"/>
        </w:rPr>
      </w:pPr>
    </w:p>
    <w:p>
      <w:pPr>
        <w:keepNext w:val="0"/>
        <w:keepLines w:val="0"/>
        <w:pageBreakBefore w:val="0"/>
        <w:widowControl w:val="0"/>
        <w:kinsoku/>
        <w:wordWrap/>
        <w:overflowPunct/>
        <w:topLinePunct w:val="0"/>
        <w:autoSpaceDE/>
        <w:autoSpaceDN/>
        <w:bidi w:val="0"/>
        <w:adjustRightInd/>
        <w:snapToGrid/>
        <w:jc w:val="center"/>
        <w:textAlignment w:val="auto"/>
        <w:rPr>
          <w:rFonts w:ascii="黑体" w:hAnsi="黑体" w:eastAsia="黑体" w:cs="黑体"/>
          <w:b/>
          <w:bCs/>
          <w:spacing w:val="-20"/>
          <w:sz w:val="56"/>
          <w:szCs w:val="56"/>
        </w:rPr>
      </w:pPr>
      <w:r>
        <w:rPr>
          <w:rFonts w:hint="eastAsia" w:ascii="黑体" w:hAnsi="黑体" w:eastAsia="黑体" w:cs="黑体"/>
          <w:b/>
          <w:bCs/>
          <w:spacing w:val="-20"/>
          <w:sz w:val="56"/>
          <w:szCs w:val="56"/>
        </w:rPr>
        <w:t>2023年度</w:t>
      </w:r>
      <w:r>
        <w:rPr>
          <w:rFonts w:hint="eastAsia" w:ascii="黑体" w:hAnsi="黑体" w:eastAsia="黑体" w:cs="黑体"/>
          <w:b/>
          <w:bCs/>
          <w:spacing w:val="-20"/>
          <w:sz w:val="56"/>
          <w:szCs w:val="56"/>
          <w:lang w:eastAsia="zh-CN"/>
        </w:rPr>
        <w:t>单位</w:t>
      </w:r>
      <w:r>
        <w:rPr>
          <w:rFonts w:hint="eastAsia" w:ascii="黑体" w:hAnsi="黑体" w:eastAsia="黑体" w:cs="黑体"/>
          <w:b/>
          <w:bCs/>
          <w:spacing w:val="-20"/>
          <w:sz w:val="56"/>
          <w:szCs w:val="56"/>
        </w:rPr>
        <w:t>决算公开文本</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黑体" w:eastAsia="黑体" w:cs="黑体"/>
          <w:spacing w:val="-20"/>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石家庄市鹿泉区司法局</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hint="eastAsia"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概况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单位</w:t>
      </w:r>
      <w:r>
        <w:rPr>
          <w:rFonts w:hint="eastAsia" w:ascii="黑体" w:hAnsi="宋体" w:eastAsia="黑体" w:cs="黑体"/>
          <w:i w:val="0"/>
          <w:iCs w:val="0"/>
          <w:caps w:val="0"/>
          <w:color w:val="000000"/>
          <w:spacing w:val="0"/>
          <w:sz w:val="32"/>
          <w:szCs w:val="32"/>
          <w:highlight w:val="none"/>
          <w:shd w:val="clear" w:fill="FFFFFF"/>
        </w:rPr>
        <w:t>职责</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ascii="黑体" w:hAnsi="黑体" w:eastAsia="黑体"/>
          <w:sz w:val="32"/>
        </w:rPr>
      </w:pPr>
      <w:r>
        <w:rPr>
          <w:rFonts w:hint="eastAsia" w:ascii="仿宋_GB2312" w:hAnsi="Calibri" w:eastAsia="仿宋_GB2312" w:cs="仿宋_GB2312"/>
          <w:kern w:val="0"/>
          <w:sz w:val="32"/>
          <w:szCs w:val="32"/>
          <w:lang w:val="en-US" w:eastAsia="zh-CN" w:bidi="ar-SA"/>
        </w:rPr>
        <w:t>石家庄市鹿泉区司法局属于石家庄市鹿泉区人民政府职能单位，设立基层科、宣传教育科、司法鉴定科、矫正科、法律援助中心等科室。主要职能：1、贯彻执行司法行政工作的法律法规、方针政策和司法行政地方性法规、规章；拟订全区司法行政工作发展规划及年度计划并组织监督实施。2、制定全区普及法律常识规划和法治宣传教育计划并组织实施，指导区级各行业、区属各单位及乡镇（街道）的法治宣传工作。3、负责指导监督律师工作、公证工作并承担相应责任，监督全区律师机构、公证机构活动；指导监督企事业法律顾问工作。4、监督管理全区法律援助工作。5、指导、监督、管理乡镇（街道）司法所建设和人民调解、基层法律服务、帮教安置工作。6、指导管理全区社区矫正工作。7、管理、监督、指导全区面向社会服务的司法鉴定工作。8、负责全区司法行政系统的队伍建设、思想政治、对外宣传和交流工作。9、承办以区政府或区政府办公室名义印发的规范性文件审核工作；承办区政府重大行政决策合法性审查。</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 xml:space="preserve">”）共 </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4"/>
                <w:szCs w:val="24"/>
                <w:lang w:eastAsia="zh-CN"/>
              </w:rPr>
              <w:t>石家庄市鹿泉区司法局</w:t>
            </w:r>
            <w:r>
              <w:rPr>
                <w:rFonts w:hint="eastAsia" w:ascii="仿宋_GB2312" w:hAnsi="Calibri" w:eastAsia="仿宋_GB2312" w:cs="ArialUnicodeMS"/>
                <w:kern w:val="0"/>
                <w:sz w:val="24"/>
                <w:szCs w:val="24"/>
              </w:rPr>
              <w:t>(本级)</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行政部门</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numPr>
                <w:ilvl w:val="0"/>
                <w:numId w:val="2"/>
              </w:numPr>
              <w:spacing w:line="560" w:lineRule="exact"/>
              <w:ind w:firstLine="560" w:firstLineChars="200"/>
              <w:jc w:val="left"/>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rPr>
              <w:t>经费形式分为财政拨款、财政性资金基本保证、财政性资金定额或定项补助、财政性资金零补助四类。</w:t>
            </w:r>
          </w:p>
          <w:p>
            <w:pPr>
              <w:numPr>
                <w:ilvl w:val="0"/>
                <w:numId w:val="2"/>
              </w:numPr>
              <w:spacing w:line="560" w:lineRule="exact"/>
              <w:ind w:firstLine="560" w:firstLineChars="200"/>
              <w:jc w:val="left"/>
              <w:rPr>
                <w:rFonts w:hint="eastAsia" w:ascii="仿宋_GB2312" w:hAnsi="Calibri" w:eastAsia="仿宋_GB2312" w:cs="ArialUnicodeMS"/>
                <w:kern w:val="0"/>
                <w:sz w:val="28"/>
                <w:szCs w:val="28"/>
              </w:rPr>
            </w:pPr>
            <w:r>
              <w:rPr>
                <w:rFonts w:hint="eastAsia" w:ascii="仿宋_GB2312" w:eastAsia="仿宋_GB2312" w:cs="仿宋_GB2312"/>
                <w:kern w:val="0"/>
                <w:sz w:val="28"/>
                <w:szCs w:val="28"/>
                <w:lang w:val="en-US" w:eastAsia="zh-CN"/>
              </w:rPr>
              <w:t>我部门无二级预算单位，因此，石家庄市鹿泉区司法局2023年度部门决算即石家庄市鹿泉区司法局本级2023年度决算。</w:t>
            </w:r>
          </w:p>
        </w:tc>
      </w:tr>
    </w:tbl>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度单位</w:t>
      </w:r>
      <w:r>
        <w:rPr>
          <w:rFonts w:hint="eastAsia" w:ascii="黑体" w:hAnsi="宋体" w:eastAsia="黑体" w:cs="黑体"/>
          <w:i w:val="0"/>
          <w:iCs w:val="0"/>
          <w:caps w:val="0"/>
          <w:color w:val="000000"/>
          <w:spacing w:val="0"/>
          <w:sz w:val="72"/>
          <w:szCs w:val="72"/>
          <w:highlight w:val="none"/>
          <w:shd w:val="clear" w:fill="FFFFFF"/>
        </w:rPr>
        <w:t>决算报表</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8" w:type="default"/>
          <w:pgSz w:w="11906" w:h="16838"/>
          <w:pgMar w:top="1531" w:right="1984" w:bottom="1531" w:left="2098" w:header="851" w:footer="992" w:gutter="0"/>
          <w:cols w:space="720" w:num="1"/>
          <w:docGrid w:type="lines" w:linePitch="312" w:charSpace="0"/>
        </w:sectPr>
      </w:pP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编制单位：石家庄市鹿泉区司法局(本级)</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1,899.30</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1,585.45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72.73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1,899.30</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1,898.03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1,901.35</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1,901.35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编制单位：石家庄市鹿泉区司法局(本级)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1,899.30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1,899.30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公共安全支出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1,586.72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1,586.72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司法</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1,586.72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1,586.72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2040601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1,053.08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1,053.08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2040602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89.37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2040604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基层司法业务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263.58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263.58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2040605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普法宣传</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2040606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律师管理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2040607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公共法律服务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2040610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社区矫正</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33.30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2040699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其他司法支出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29.16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185.44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72.73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编制单位：石家庄市鹿泉区司法局(本级)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1,898.03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1,364.39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533.64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公共安全支出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1,585.45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1,051.81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司法</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1,585.45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1,051.81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1,051.81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1,051.81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2040604</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基层司法业务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263.58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263.58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普法宣传</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2040606</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律师管理</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2040607</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公共法律服务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社区矫正</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其他司法支出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185.44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185.44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185.44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185.44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113.40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113.40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72.04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72.04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编制单位：石家庄市鹿泉区司法局(本级)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1,899.30</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1,585.45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1,585.45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185.44</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185.44</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54.41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54.41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72.73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72.73</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1,899.30</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1,898.03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1,898.03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3.32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w:t>
            </w: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1,901.35</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1,901.35</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1,901.35</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5455"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7"/>
        <w:gridCol w:w="3416"/>
        <w:gridCol w:w="325"/>
        <w:gridCol w:w="982"/>
        <w:gridCol w:w="1037"/>
        <w:gridCol w:w="383"/>
        <w:gridCol w:w="17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编制单位：石家庄市鹿泉区司法局(本级)</w:t>
            </w:r>
          </w:p>
        </w:tc>
        <w:tc>
          <w:tcPr>
            <w:tcW w:w="155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1"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52"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3"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1,898.03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1,364.39</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533.64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公共安全支出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1,585.45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1,051.81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司法</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1,585.45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1,051.81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533.64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1,051.81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1,051.81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2040604</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基层司法业务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263.58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263.58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普法宣传</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2040606</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律师管理</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2040607</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公共法律服务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86.16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86.16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2040610</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社区矫正</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33.30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2040699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其他司法支出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185.44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185.44</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185.44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185.44</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113.40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113.40</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72.04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72.04</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54.41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72.73</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编制单位：石家庄市鹿泉区司法局(本级)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839.28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406.59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221.48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23.00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201.29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0.71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193.12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0.90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22.09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0.68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72.04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8.40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23.41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31.87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20.13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22.53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72.73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3.09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118.52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13.18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97.69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7.65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279.45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4.00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4.73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8.10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24.79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957.81</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406.59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编制单位：石家庄市鹿泉区司法局(本级)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编制单位：石家庄市鹿泉区司法局(本级)</w:t>
            </w:r>
          </w:p>
        </w:tc>
        <w:tc>
          <w:tcPr>
            <w:tcW w:w="1666"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2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484"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484"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831"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831"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821"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60"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21"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828"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828"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8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编制单位：石家庄市鹿泉区司法局(本级)</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14.10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13.50</w:t>
            </w: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13.50</w:t>
            </w: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0.60</w:t>
            </w: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8.40</w:t>
            </w: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8.10</w:t>
            </w: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8.10</w:t>
            </w: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度单位</w:t>
      </w:r>
      <w:bookmarkStart w:id="0" w:name="_GoBack"/>
      <w:bookmarkEnd w:id="0"/>
      <w:r>
        <w:rPr>
          <w:rFonts w:hint="eastAsia" w:ascii="黑体" w:hAnsi="宋体" w:eastAsia="黑体" w:cs="黑体"/>
          <w:i w:val="0"/>
          <w:iCs w:val="0"/>
          <w:caps w:val="0"/>
          <w:color w:val="000000"/>
          <w:spacing w:val="-20"/>
          <w:sz w:val="72"/>
          <w:szCs w:val="72"/>
          <w:highlight w:val="none"/>
          <w:shd w:val="clear" w:fill="FFFFFF"/>
        </w:rPr>
        <w:t>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pPr>
        <w:spacing w:line="495" w:lineRule="exact"/>
        <w:ind w:left="100" w:right="86" w:firstLine="641"/>
        <w:jc w:val="both"/>
        <w:rPr>
          <w:rFonts w:ascii="仿宋" w:hAnsi="仿宋" w:eastAsia="仿宋"/>
          <w:sz w:val="32"/>
        </w:rPr>
      </w:pPr>
      <w:r>
        <w:rPr>
          <w:rFonts w:hint="default" w:ascii="Times New Roman" w:hAnsi="Times New Roman" w:eastAsia="仿宋_GB2312" w:cs="Times New Roman"/>
          <w:kern w:val="2"/>
          <w:sz w:val="32"/>
          <w:szCs w:val="32"/>
          <w:lang w:eastAsia="zh-CN"/>
        </w:rPr>
        <w:t>本单位</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1,901.35</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增加84.23万元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增长4.64%，</w:t>
      </w:r>
      <w:r>
        <w:rPr>
          <w:rFonts w:hint="default" w:ascii="Times New Roman" w:hAnsi="Times New Roman" w:eastAsia="仿宋_GB2312" w:cs="Times New Roman"/>
          <w:kern w:val="2"/>
          <w:sz w:val="32"/>
          <w:szCs w:val="32"/>
        </w:rPr>
        <w:t>主要是</w:t>
      </w:r>
      <w:r>
        <w:rPr>
          <w:rFonts w:hint="eastAsia" w:ascii="仿宋" w:hAnsi="仿宋" w:eastAsia="仿宋"/>
          <w:sz w:val="32"/>
          <w:szCs w:val="32"/>
        </w:rPr>
        <w:t>基本支出、项目支出均有增加</w:t>
      </w:r>
      <w:r>
        <w:rPr>
          <w:rFonts w:ascii="仿宋" w:hAnsi="仿宋" w:eastAsia="仿宋"/>
          <w:sz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1,899.3</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1,899.3</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1,898.03万元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1,364.39万元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占71.88%；</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533.64万元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占28.12%；</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anchor distT="0" distB="0" distL="114300" distR="114300" simplePos="0" relativeHeight="251667456" behindDoc="1" locked="0" layoutInCell="1" allowOverlap="1">
            <wp:simplePos x="0" y="0"/>
            <wp:positionH relativeFrom="column">
              <wp:posOffset>5080</wp:posOffset>
            </wp:positionH>
            <wp:positionV relativeFrom="paragraph">
              <wp:posOffset>84455</wp:posOffset>
            </wp:positionV>
            <wp:extent cx="5256530" cy="2988310"/>
            <wp:effectExtent l="5080" t="4445" r="15240" b="17145"/>
            <wp:wrapTight wrapText="bothSides">
              <wp:wrapPolygon>
                <wp:start x="-21" y="-32"/>
                <wp:lineTo x="-21" y="21449"/>
                <wp:lineTo x="21506" y="21449"/>
                <wp:lineTo x="21506" y="-32"/>
                <wp:lineTo x="-21" y="-32"/>
              </wp:wrapPolygon>
            </wp:wrapTight>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年度财政拨款本年收入1,899.3</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增加119.71万元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增长6.73%，</w:t>
      </w:r>
      <w:r>
        <w:rPr>
          <w:rFonts w:hint="default" w:ascii="Times New Roman" w:hAnsi="Times New Roman" w:eastAsia="仿宋_GB2312" w:cs="Times New Roman"/>
          <w:color w:val="auto"/>
          <w:kern w:val="2"/>
          <w:sz w:val="32"/>
          <w:szCs w:val="32"/>
          <w:lang w:val="zh-CN" w:eastAsia="zh-CN" w:bidi="ar-SA"/>
        </w:rPr>
        <w:t>主要是</w:t>
      </w:r>
      <w:r>
        <w:rPr>
          <w:rFonts w:ascii="仿宋" w:hAnsi="仿宋" w:eastAsia="仿宋"/>
          <w:sz w:val="32"/>
        </w:rPr>
        <w:t>项目经费较去年有所</w:t>
      </w:r>
      <w:r>
        <w:rPr>
          <w:rFonts w:hint="eastAsia" w:ascii="仿宋" w:hAnsi="仿宋" w:eastAsia="仿宋"/>
          <w:sz w:val="32"/>
          <w:lang w:eastAsia="zh-CN"/>
        </w:rPr>
        <w:t>增加</w:t>
      </w:r>
      <w:r>
        <w:rPr>
          <w:rFonts w:hint="default" w:ascii="Times New Roman" w:hAnsi="Times New Roman" w:eastAsia="仿宋_GB2312" w:cs="Times New Roman"/>
          <w:color w:val="auto"/>
          <w:kern w:val="2"/>
          <w:sz w:val="32"/>
          <w:szCs w:val="32"/>
          <w:lang w:val="zh-CN" w:eastAsia="zh-CN" w:bidi="ar-SA"/>
        </w:rPr>
        <w:t>；本年支出 1,898.03</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增加82.96万元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增长4.57%，</w:t>
      </w:r>
      <w:r>
        <w:rPr>
          <w:rFonts w:hint="default" w:ascii="Times New Roman" w:hAnsi="Times New Roman" w:eastAsia="仿宋_GB2312" w:cs="Times New Roman"/>
          <w:color w:val="auto"/>
          <w:kern w:val="2"/>
          <w:sz w:val="32"/>
          <w:szCs w:val="32"/>
          <w:lang w:val="zh-CN" w:eastAsia="zh-CN" w:bidi="ar-SA"/>
        </w:rPr>
        <w:t>主要是</w:t>
      </w:r>
      <w:r>
        <w:rPr>
          <w:rFonts w:ascii="仿宋" w:hAnsi="仿宋" w:eastAsia="仿宋"/>
          <w:sz w:val="32"/>
        </w:rPr>
        <w:t>项目支出</w:t>
      </w:r>
      <w:r>
        <w:rPr>
          <w:rFonts w:hint="eastAsia" w:ascii="仿宋" w:hAnsi="仿宋" w:eastAsia="仿宋"/>
          <w:sz w:val="32"/>
          <w:lang w:eastAsia="zh-CN"/>
        </w:rPr>
        <w:t>增加</w:t>
      </w:r>
      <w:r>
        <w:rPr>
          <w:rFonts w:hint="default" w:ascii="Times New Roman" w:hAnsi="Times New Roman" w:eastAsia="仿宋_GB2312" w:cs="Times New Roman"/>
          <w:color w:val="auto"/>
          <w:kern w:val="2"/>
          <w:sz w:val="32"/>
          <w:szCs w:val="32"/>
          <w:lang w:val="zh-CN" w:eastAsia="zh-CN" w:bidi="ar-SA"/>
        </w:rPr>
        <w:t>。具体情况如下：</w:t>
      </w:r>
    </w:p>
    <w:p>
      <w:pPr>
        <w:numPr>
          <w:ilvl w:val="0"/>
          <w:numId w:val="3"/>
        </w:numPr>
        <w:autoSpaceDE w:val="0"/>
        <w:autoSpaceDN w:val="0"/>
        <w:adjustRightInd w:val="0"/>
        <w:spacing w:line="580" w:lineRule="exact"/>
        <w:ind w:firstLine="640" w:firstLineChars="20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kern w:val="2"/>
          <w:sz w:val="32"/>
          <w:szCs w:val="32"/>
          <w:lang w:val="zh-CN"/>
        </w:rPr>
        <w:t>一般公共预算财政拨款本年收入1,899.3</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增加119.71万元，增长6.73%，</w:t>
      </w:r>
      <w:r>
        <w:rPr>
          <w:rFonts w:hint="default" w:ascii="Times New Roman" w:hAnsi="Times New Roman" w:eastAsia="仿宋_GB2312" w:cs="Times New Roman"/>
          <w:color w:val="auto"/>
          <w:kern w:val="2"/>
          <w:sz w:val="32"/>
          <w:szCs w:val="32"/>
          <w:lang w:val="zh-CN" w:eastAsia="zh-CN" w:bidi="ar-SA"/>
        </w:rPr>
        <w:t>主要是</w:t>
      </w:r>
      <w:r>
        <w:rPr>
          <w:rFonts w:ascii="仿宋" w:hAnsi="仿宋" w:eastAsia="仿宋"/>
          <w:sz w:val="32"/>
        </w:rPr>
        <w:t>项目经费较去年有所</w:t>
      </w:r>
      <w:r>
        <w:rPr>
          <w:rFonts w:hint="eastAsia" w:ascii="仿宋" w:hAnsi="仿宋" w:eastAsia="仿宋"/>
          <w:sz w:val="32"/>
          <w:lang w:eastAsia="zh-CN"/>
        </w:rPr>
        <w:t>增加</w:t>
      </w:r>
      <w:r>
        <w:rPr>
          <w:rFonts w:hint="default"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kern w:val="2"/>
          <w:sz w:val="32"/>
          <w:szCs w:val="32"/>
          <w:lang w:val="zh-CN"/>
        </w:rPr>
        <w:t>本年支出 1,898.03</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增加82.96万元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增长4.57%，</w:t>
      </w:r>
      <w:r>
        <w:rPr>
          <w:rFonts w:hint="default" w:ascii="Times New Roman" w:hAnsi="Times New Roman" w:eastAsia="仿宋_GB2312" w:cs="Times New Roman"/>
          <w:color w:val="auto"/>
          <w:kern w:val="2"/>
          <w:sz w:val="32"/>
          <w:szCs w:val="32"/>
          <w:lang w:val="zh-CN" w:eastAsia="zh-CN" w:bidi="ar-SA"/>
        </w:rPr>
        <w:t>主要是</w:t>
      </w:r>
      <w:r>
        <w:rPr>
          <w:rFonts w:ascii="仿宋" w:hAnsi="仿宋" w:eastAsia="仿宋"/>
          <w:sz w:val="32"/>
        </w:rPr>
        <w:t>项目支出</w:t>
      </w:r>
      <w:r>
        <w:rPr>
          <w:rFonts w:hint="eastAsia" w:ascii="仿宋" w:hAnsi="仿宋" w:eastAsia="仿宋"/>
          <w:sz w:val="32"/>
          <w:lang w:eastAsia="zh-CN"/>
        </w:rPr>
        <w:t>增加</w:t>
      </w:r>
      <w:r>
        <w:rPr>
          <w:rFonts w:hint="default" w:ascii="Times New Roman" w:hAnsi="Times New Roman" w:eastAsia="仿宋_GB2312" w:cs="Times New Roman"/>
          <w:color w:val="auto"/>
          <w:kern w:val="2"/>
          <w:sz w:val="32"/>
          <w:szCs w:val="32"/>
          <w:lang w:val="zh-CN" w:eastAsia="zh-CN" w:bidi="ar-SA"/>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 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spacing w:line="20" w:lineRule="exact"/>
        <w:rPr>
          <w:rFonts w:ascii="Times New Roman" w:hAnsi="Times New Roman" w:eastAsia="Times New Roman"/>
        </w:rPr>
      </w:pPr>
    </w:p>
    <w:p>
      <w:pPr>
        <w:spacing w:line="200" w:lineRule="exact"/>
        <w:rPr>
          <w:rFonts w:ascii="Times New Roman" w:hAnsi="Times New Roman" w:eastAsia="Times New Roman"/>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年度财政拨款本年收入1,899.3万元，完成年初预算的96.92%，比年初预算</w:t>
      </w:r>
      <w:r>
        <w:rPr>
          <w:rFonts w:hint="eastAsia" w:ascii="Times New Roman" w:hAnsi="Times New Roman" w:eastAsia="仿宋_GB2312" w:cs="Times New Roman"/>
          <w:sz w:val="30"/>
          <w:szCs w:val="30"/>
          <w:highlight w:val="none"/>
          <w:lang w:val="zh-CN"/>
        </w:rPr>
        <w:t>减少60.28万元</w:t>
      </w:r>
      <w:r>
        <w:rPr>
          <w:rFonts w:hint="default" w:ascii="Times New Roman" w:hAnsi="Times New Roman" w:eastAsia="仿宋_GB2312" w:cs="Times New Roman"/>
          <w:color w:val="auto"/>
          <w:kern w:val="2"/>
          <w:sz w:val="32"/>
          <w:szCs w:val="32"/>
          <w:lang w:val="zh-CN" w:eastAsia="zh-CN" w:bidi="ar-SA"/>
        </w:rPr>
        <w:t>，决算数小于预算数主要原因是</w:t>
      </w:r>
      <w:r>
        <w:rPr>
          <w:rFonts w:hint="eastAsia" w:ascii="Times New Roman" w:hAnsi="Times New Roman" w:eastAsia="仿宋_GB2312" w:cs="Times New Roman"/>
          <w:color w:val="auto"/>
          <w:kern w:val="2"/>
          <w:sz w:val="32"/>
          <w:szCs w:val="32"/>
          <w:lang w:val="zh-CN" w:eastAsia="zh-CN" w:bidi="ar-SA"/>
        </w:rPr>
        <w:t>项目资金支出较少结转下年</w:t>
      </w:r>
      <w:r>
        <w:rPr>
          <w:rFonts w:hint="default" w:ascii="Times New Roman" w:hAnsi="Times New Roman" w:eastAsia="仿宋_GB2312" w:cs="Times New Roman"/>
          <w:color w:val="auto"/>
          <w:kern w:val="2"/>
          <w:sz w:val="32"/>
          <w:szCs w:val="32"/>
          <w:lang w:val="zh-CN" w:eastAsia="zh-CN" w:bidi="ar-SA"/>
        </w:rPr>
        <w:t>；本年支出1,898.03万元，完成年初预算的96.86%，比年初预算</w:t>
      </w:r>
      <w:r>
        <w:rPr>
          <w:rFonts w:hint="eastAsia" w:ascii="Times New Roman" w:hAnsi="Times New Roman" w:eastAsia="仿宋_GB2312" w:cs="Times New Roman"/>
          <w:sz w:val="30"/>
          <w:szCs w:val="30"/>
          <w:highlight w:val="none"/>
          <w:lang w:val="zh-CN"/>
        </w:rPr>
        <w:t>减少61.55万元</w:t>
      </w:r>
      <w:r>
        <w:rPr>
          <w:rFonts w:hint="default" w:ascii="Times New Roman" w:hAnsi="Times New Roman" w:eastAsia="仿宋_GB2312" w:cs="Times New Roman"/>
          <w:color w:val="auto"/>
          <w:kern w:val="2"/>
          <w:sz w:val="32"/>
          <w:szCs w:val="32"/>
          <w:lang w:val="zh-CN" w:eastAsia="zh-CN" w:bidi="ar-SA"/>
        </w:rPr>
        <w:t>，决算数小于</w:t>
      </w:r>
      <w:r>
        <w:rPr>
          <w:rFonts w:hint="default" w:ascii="Times New Roman" w:hAnsi="Times New Roman" w:eastAsia="仿宋_GB2312" w:cs="Times New Roman"/>
          <w:kern w:val="2"/>
          <w:sz w:val="32"/>
          <w:szCs w:val="32"/>
          <w:lang w:val="zh-CN"/>
        </w:rPr>
        <w:t>预算数主要原因是</w:t>
      </w:r>
      <w:r>
        <w:rPr>
          <w:rFonts w:hint="eastAsia" w:ascii="Times New Roman" w:hAnsi="Times New Roman" w:eastAsia="仿宋_GB2312" w:cs="Times New Roman"/>
          <w:kern w:val="2"/>
          <w:sz w:val="32"/>
          <w:szCs w:val="32"/>
          <w:lang w:val="zh-CN"/>
        </w:rPr>
        <w:t>项目资金支出较少</w:t>
      </w:r>
      <w:r>
        <w:rPr>
          <w:rFonts w:hint="default"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收入1,899.3万元，完成年初预算的 96.92%，比年初预算</w:t>
      </w:r>
      <w:r>
        <w:rPr>
          <w:rFonts w:hint="eastAsia" w:ascii="Times New Roman" w:hAnsi="Times New Roman" w:eastAsia="仿宋_GB2312" w:cs="Times New Roman"/>
          <w:sz w:val="30"/>
          <w:szCs w:val="30"/>
          <w:highlight w:val="none"/>
          <w:lang w:val="zh-CN"/>
        </w:rPr>
        <w:t>减少60.28万元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color w:val="auto"/>
          <w:kern w:val="2"/>
          <w:sz w:val="32"/>
          <w:szCs w:val="32"/>
          <w:lang w:val="zh-CN" w:eastAsia="zh-CN" w:bidi="ar-SA"/>
        </w:rPr>
        <w:t>项目资金支出较少结转下年</w:t>
      </w:r>
      <w:r>
        <w:rPr>
          <w:rFonts w:hint="default" w:ascii="Times New Roman" w:hAnsi="Times New Roman" w:eastAsia="仿宋_GB2312" w:cs="Times New Roman"/>
          <w:kern w:val="2"/>
          <w:sz w:val="32"/>
          <w:szCs w:val="32"/>
          <w:lang w:val="zh-CN"/>
        </w:rPr>
        <w:t>；本年支出1,898.03万元，完成年初预算的96.86%，比年初预算</w:t>
      </w:r>
      <w:r>
        <w:rPr>
          <w:rFonts w:hint="eastAsia" w:ascii="Times New Roman" w:hAnsi="Times New Roman" w:eastAsia="仿宋_GB2312" w:cs="Times New Roman"/>
          <w:sz w:val="30"/>
          <w:szCs w:val="30"/>
          <w:highlight w:val="none"/>
          <w:lang w:val="zh-CN"/>
        </w:rPr>
        <w:t>减少61.55万元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项目资金支出较少</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anchor distT="0" distB="0" distL="114300" distR="114300" simplePos="0" relativeHeight="251668480" behindDoc="0" locked="0" layoutInCell="1" allowOverlap="1">
            <wp:simplePos x="0" y="0"/>
            <wp:positionH relativeFrom="column">
              <wp:posOffset>5080</wp:posOffset>
            </wp:positionH>
            <wp:positionV relativeFrom="paragraph">
              <wp:posOffset>88265</wp:posOffset>
            </wp:positionV>
            <wp:extent cx="5256530" cy="2988310"/>
            <wp:effectExtent l="5080" t="4445" r="11430" b="9525"/>
            <wp:wrapSquare wrapText="bothSides"/>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年度财政拨款支出1,898.03万元，主要用于以下方面：</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公共安全类（类）支出1,585.45万元，占83.53%</w:t>
      </w:r>
      <w:r>
        <w:rPr>
          <w:rFonts w:hint="eastAsia" w:ascii="Times New Roman" w:hAnsi="Times New Roman" w:eastAsia="仿宋_GB2312" w:cs="Times New Roman"/>
          <w:color w:val="auto"/>
          <w:kern w:val="2"/>
          <w:sz w:val="32"/>
          <w:szCs w:val="32"/>
          <w:lang w:val="zh-CN" w:eastAsia="zh-CN" w:bidi="ar-SA"/>
        </w:rPr>
        <w:t>主要用于行政运行等</w:t>
      </w:r>
      <w:r>
        <w:rPr>
          <w:rFonts w:hint="default" w:ascii="Times New Roman" w:hAnsi="Times New Roman" w:eastAsia="仿宋_GB2312" w:cs="Times New Roman"/>
          <w:color w:val="auto"/>
          <w:kern w:val="2"/>
          <w:sz w:val="32"/>
          <w:szCs w:val="32"/>
          <w:lang w:val="zh-CN" w:eastAsia="zh-CN" w:bidi="ar-SA"/>
        </w:rPr>
        <w:t>；社会保障和就业 （类）支出185.44万元，占9.77%</w:t>
      </w:r>
      <w:r>
        <w:rPr>
          <w:rFonts w:hint="eastAsia" w:ascii="Times New Roman" w:hAnsi="Times New Roman" w:eastAsia="仿宋_GB2312" w:cs="Times New Roman"/>
          <w:color w:val="auto"/>
          <w:kern w:val="2"/>
          <w:sz w:val="32"/>
          <w:szCs w:val="32"/>
          <w:lang w:val="zh-CN" w:eastAsia="zh-CN" w:bidi="ar-SA"/>
        </w:rPr>
        <w:t>主要用于养老保险等支出</w:t>
      </w:r>
      <w:r>
        <w:rPr>
          <w:rFonts w:hint="default" w:ascii="Times New Roman" w:hAnsi="Times New Roman" w:eastAsia="仿宋_GB2312" w:cs="Times New Roman"/>
          <w:color w:val="auto"/>
          <w:kern w:val="2"/>
          <w:sz w:val="32"/>
          <w:szCs w:val="32"/>
          <w:lang w:val="zh-CN" w:eastAsia="zh-CN" w:bidi="ar-SA"/>
        </w:rPr>
        <w:t>；卫生健康（类）支出54.41万元，占2.87%</w:t>
      </w:r>
      <w:r>
        <w:rPr>
          <w:rFonts w:hint="eastAsia" w:ascii="Times New Roman" w:hAnsi="Times New Roman" w:eastAsia="仿宋_GB2312" w:cs="Times New Roman"/>
          <w:color w:val="auto"/>
          <w:kern w:val="2"/>
          <w:sz w:val="32"/>
          <w:szCs w:val="32"/>
          <w:lang w:val="zh-CN" w:eastAsia="zh-CN" w:bidi="ar-SA"/>
        </w:rPr>
        <w:t>，主要用于医疗保险支出</w:t>
      </w:r>
      <w:r>
        <w:rPr>
          <w:rFonts w:hint="default" w:ascii="Times New Roman" w:hAnsi="Times New Roman" w:eastAsia="仿宋_GB2312" w:cs="Times New Roman"/>
          <w:color w:val="auto"/>
          <w:kern w:val="2"/>
          <w:sz w:val="32"/>
          <w:szCs w:val="32"/>
          <w:lang w:val="zh-CN" w:eastAsia="zh-CN" w:bidi="ar-SA"/>
        </w:rPr>
        <w:t>；住房保障（类）支出72.73万元，占3.83%。</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pStyle w:val="10"/>
        <w:keepNext w:val="0"/>
        <w:keepLines w:val="0"/>
        <w:widowControl/>
        <w:numPr>
          <w:ilvl w:val="0"/>
          <w:numId w:val="4"/>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年度财政拨款基本支出1,364.39万元，其中：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人员经费957.81万元，主要包括基本工资、津贴补贴、奖金、绩效工资、机关事业部门基本养老保险缴费、职工基本医疗保险缴费、公务员医疗补助缴费、住房公积金、其他社会保障缴费、离休费、 退休费、生活补助。</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406.59万元，主要包括办公费、印刷费、咨询费、水费、电费、邮电费、取暖费、差旅费、维修（护）费、租赁费、公务接待费、劳务费、委托业务费、工会经费、福利费、公务用车运行维护费、其他交通费用、其他商品和服务支出。</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年度“三公”经费财政拨款支出预算为14.1万元，支出决算为8.4万元，完成预算的59.57%，较预算</w:t>
      </w:r>
      <w:r>
        <w:rPr>
          <w:rFonts w:hint="eastAsia" w:ascii="Times New Roman" w:hAnsi="Times New Roman" w:eastAsia="仿宋_GB2312" w:cs="Times New Roman"/>
          <w:color w:val="auto"/>
          <w:kern w:val="2"/>
          <w:sz w:val="32"/>
          <w:szCs w:val="32"/>
          <w:lang w:val="zh-CN" w:eastAsia="zh-CN" w:bidi="ar-SA"/>
        </w:rPr>
        <w:t>减少5.7万元，降低40.43%，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厉行节约减少经费开支</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减少4.9万元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降低36.82%，</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厉行节约减少经费开支</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本单位</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个、共</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人</w:t>
      </w:r>
      <w:r>
        <w:rPr>
          <w:rFonts w:hint="eastAsia"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kern w:val="2"/>
          <w:sz w:val="32"/>
          <w:szCs w:val="32"/>
          <w:lang w:val="en-US" w:eastAsia="zh-CN" w:bidi="ar-SA"/>
        </w:rPr>
        <w:t>无本部门组织的出国（境）团组。</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年度公务用车购置及运行维护费预算为13.5万元，支出决算 8.1万元，完成预算的59.97%,较预算</w:t>
      </w:r>
      <w:r>
        <w:rPr>
          <w:rFonts w:hint="eastAsia" w:ascii="Times New Roman" w:hAnsi="Times New Roman" w:eastAsia="仿宋_GB2312" w:cs="Times New Roman"/>
          <w:color w:val="auto"/>
          <w:kern w:val="2"/>
          <w:sz w:val="32"/>
          <w:szCs w:val="32"/>
          <w:lang w:val="zh-CN" w:eastAsia="zh-CN" w:bidi="ar-SA"/>
        </w:rPr>
        <w:t>减少5.4万元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降低40.03%，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厉行节约减少经费开支</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减少5.05万元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降低38.41%，</w:t>
      </w:r>
      <w:r>
        <w:rPr>
          <w:rFonts w:hint="default" w:ascii="Times New Roman" w:hAnsi="Times New Roman" w:eastAsia="仿宋_GB2312" w:cs="Times New Roman"/>
          <w:color w:val="auto"/>
          <w:kern w:val="2"/>
          <w:sz w:val="32"/>
          <w:szCs w:val="32"/>
          <w:lang w:val="zh-CN" w:eastAsia="zh-CN" w:bidi="ar-SA"/>
        </w:rPr>
        <w:t>主要</w:t>
      </w:r>
      <w:r>
        <w:rPr>
          <w:rFonts w:hint="eastAsia" w:ascii="Times New Roman" w:hAnsi="Times New Roman" w:eastAsia="仿宋_GB2312" w:cs="Times New Roman"/>
          <w:color w:val="auto"/>
          <w:kern w:val="2"/>
          <w:sz w:val="32"/>
          <w:szCs w:val="32"/>
          <w:lang w:val="zh-CN" w:eastAsia="zh-CN" w:bidi="ar-SA"/>
        </w:rPr>
        <w:t>厉行节约减少经费开支</w:t>
      </w:r>
      <w:r>
        <w:rPr>
          <w:rFonts w:hint="default" w:ascii="Times New Roman" w:hAnsi="Times New Roman" w:eastAsia="仿宋_GB2312" w:cs="Times New Roman"/>
          <w:color w:val="auto"/>
          <w:kern w:val="2"/>
          <w:sz w:val="32"/>
          <w:szCs w:val="32"/>
          <w:lang w:val="zh-CN" w:eastAsia="zh-CN" w:bidi="ar-SA"/>
        </w:rPr>
        <w:t>。其中：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Arial" w:cs="Times New Roman"/>
          <w:highlight w:val="none"/>
        </w:rPr>
      </w:pPr>
    </w:p>
    <w:p>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仿宋_GB2312" w:cs="Times New Roman"/>
          <w:b/>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8.1</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w:t>
      </w:r>
      <w:r>
        <w:rPr>
          <w:rFonts w:hint="eastAsia" w:ascii="Times New Roman" w:hAnsi="Times New Roman" w:eastAsia="仿宋_GB2312" w:cs="Times New Roman"/>
          <w:color w:val="auto"/>
          <w:kern w:val="2"/>
          <w:sz w:val="32"/>
          <w:szCs w:val="32"/>
          <w:lang w:val="en-US" w:eastAsia="zh-CN" w:bidi="ar-SA"/>
        </w:rPr>
        <w:t>7</w:t>
      </w:r>
      <w:r>
        <w:rPr>
          <w:rFonts w:hint="default" w:ascii="Times New Roman" w:hAnsi="Times New Roman" w:eastAsia="仿宋_GB2312" w:cs="Times New Roman"/>
          <w:color w:val="auto"/>
          <w:kern w:val="2"/>
          <w:sz w:val="32"/>
          <w:szCs w:val="32"/>
          <w:lang w:val="zh-CN" w:eastAsia="zh-CN" w:bidi="ar-SA"/>
        </w:rPr>
        <w:t>辆，发生运行维护费支出8.1万元。公车运行维护费支出较预算</w:t>
      </w:r>
      <w:r>
        <w:rPr>
          <w:rFonts w:hint="eastAsia" w:ascii="Times New Roman" w:hAnsi="Times New Roman" w:eastAsia="仿宋_GB2312" w:cs="Times New Roman"/>
          <w:color w:val="auto"/>
          <w:kern w:val="2"/>
          <w:sz w:val="32"/>
          <w:szCs w:val="32"/>
          <w:lang w:val="zh-CN" w:eastAsia="zh-CN" w:bidi="ar-SA"/>
        </w:rPr>
        <w:t>减少5.4万元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降低40.03%，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厉行节约减少经费开支</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减少5.05万元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降低38.41%，</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厉行节约减少经费开支</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年度公务接待费支出预算为0.6万元，支出决算0.3万元，完成预算的50.67%。公务接待费支出较预算</w:t>
      </w:r>
      <w:r>
        <w:rPr>
          <w:rFonts w:hint="eastAsia" w:ascii="Times New Roman" w:hAnsi="Times New Roman" w:eastAsia="仿宋_GB2312" w:cs="Times New Roman"/>
          <w:color w:val="auto"/>
          <w:kern w:val="2"/>
          <w:sz w:val="32"/>
          <w:szCs w:val="32"/>
          <w:lang w:val="zh-CN" w:eastAsia="zh-CN" w:bidi="ar-SA"/>
        </w:rPr>
        <w:t>减少0.3万元，降低49.33%，</w:t>
      </w:r>
      <w:r>
        <w:rPr>
          <w:rFonts w:ascii="仿宋" w:hAnsi="仿宋" w:eastAsia="仿宋"/>
          <w:sz w:val="30"/>
        </w:rPr>
        <w:t>主要是认真贯彻落实中央八</w:t>
      </w:r>
      <w:r>
        <w:rPr>
          <w:rFonts w:ascii="仿宋" w:hAnsi="仿宋" w:eastAsia="仿宋"/>
          <w:sz w:val="32"/>
        </w:rPr>
        <w:t>项规定精神和厉行节约要求，从严控制公务接待费开支</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减少0.3万元，降低49.33%，</w:t>
      </w:r>
      <w:r>
        <w:rPr>
          <w:rFonts w:ascii="仿宋" w:hAnsi="仿宋" w:eastAsia="仿宋"/>
          <w:sz w:val="30"/>
        </w:rPr>
        <w:t>主要是认真贯彻落实中央八</w:t>
      </w:r>
      <w:r>
        <w:rPr>
          <w:rFonts w:ascii="仿宋" w:hAnsi="仿宋" w:eastAsia="仿宋"/>
          <w:sz w:val="32"/>
        </w:rPr>
        <w:t>项规定精神和厉行节约要求，从严控制公务接待费开支</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8</w:t>
      </w:r>
      <w:r>
        <w:rPr>
          <w:rFonts w:hint="default" w:ascii="Times New Roman" w:hAnsi="Times New Roman" w:eastAsia="仿宋_GB2312" w:cs="Times New Roman"/>
          <w:color w:val="auto"/>
          <w:kern w:val="2"/>
          <w:sz w:val="32"/>
          <w:szCs w:val="32"/>
          <w:lang w:val="zh-CN" w:eastAsia="zh-CN" w:bidi="ar-SA"/>
        </w:rPr>
        <w:t>人次。</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60" w:firstLineChars="20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年度机关运行经费支出406.59万元，较2022年度</w:t>
      </w:r>
      <w:r>
        <w:rPr>
          <w:rFonts w:hint="eastAsia" w:ascii="Times New Roman" w:hAnsi="Times New Roman" w:eastAsia="仿宋_GB2312" w:cs="Times New Roman"/>
          <w:color w:val="auto"/>
          <w:kern w:val="2"/>
          <w:sz w:val="32"/>
          <w:szCs w:val="32"/>
          <w:lang w:val="zh-CN" w:eastAsia="zh-CN" w:bidi="ar-SA"/>
        </w:rPr>
        <w:t>增加43.34万元，增长11.93%，</w:t>
      </w:r>
      <w:r>
        <w:rPr>
          <w:rFonts w:hint="default" w:ascii="Times New Roman" w:hAnsi="Times New Roman" w:eastAsia="仿宋_GB2312" w:cs="Times New Roman"/>
          <w:color w:val="auto"/>
          <w:kern w:val="2"/>
          <w:sz w:val="32"/>
          <w:szCs w:val="32"/>
          <w:lang w:val="zh-CN" w:eastAsia="zh-CN" w:bidi="ar-SA"/>
        </w:rPr>
        <w:t>主要原因</w:t>
      </w:r>
      <w:r>
        <w:rPr>
          <w:rFonts w:hint="eastAsia" w:ascii="Times New Roman" w:hAnsi="Times New Roman" w:eastAsia="仿宋_GB2312" w:cs="Times New Roman"/>
          <w:color w:val="auto"/>
          <w:kern w:val="2"/>
          <w:sz w:val="32"/>
          <w:szCs w:val="32"/>
          <w:lang w:val="zh-CN" w:eastAsia="zh-CN" w:bidi="ar-SA"/>
        </w:rPr>
        <w:t>是</w:t>
      </w:r>
      <w:r>
        <w:rPr>
          <w:rFonts w:hint="eastAsia" w:ascii="仿宋" w:hAnsi="仿宋" w:eastAsia="仿宋"/>
          <w:sz w:val="32"/>
          <w:lang w:eastAsia="zh-CN"/>
        </w:rPr>
        <w:t>202</w:t>
      </w:r>
      <w:r>
        <w:rPr>
          <w:rFonts w:hint="eastAsia" w:ascii="仿宋" w:hAnsi="仿宋" w:eastAsia="仿宋"/>
          <w:sz w:val="32"/>
          <w:lang w:val="en-US" w:eastAsia="zh-CN"/>
        </w:rPr>
        <w:t>3</w:t>
      </w:r>
      <w:r>
        <w:rPr>
          <w:rFonts w:ascii="仿宋" w:hAnsi="仿宋" w:eastAsia="仿宋"/>
          <w:sz w:val="32"/>
        </w:rPr>
        <w:t>年度</w:t>
      </w:r>
      <w:r>
        <w:rPr>
          <w:rFonts w:hint="eastAsia" w:ascii="仿宋" w:hAnsi="仿宋" w:eastAsia="仿宋"/>
          <w:sz w:val="32"/>
          <w:lang w:eastAsia="zh-CN"/>
        </w:rPr>
        <w:t>录用</w:t>
      </w:r>
      <w:r>
        <w:rPr>
          <w:rFonts w:hint="eastAsia" w:ascii="仿宋" w:hAnsi="仿宋" w:eastAsia="仿宋"/>
          <w:sz w:val="32"/>
          <w:lang w:val="en-US" w:eastAsia="zh-CN"/>
        </w:rPr>
        <w:t>6</w:t>
      </w:r>
      <w:r>
        <w:rPr>
          <w:rFonts w:ascii="仿宋" w:hAnsi="仿宋" w:eastAsia="仿宋"/>
          <w:sz w:val="32"/>
        </w:rPr>
        <w:t>人，人员经费增加</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年度政府采购支出总额0万元，从采购类型来看，政府采购货物支出0万元、政府采购工程支出0万元、政府采购服务支出0万元。授予中小企业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0万元，占政府采购支出总额的0%，其中授予小微企业合同金额0万元，占政府采购支出总额的0%。</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年12月31日，本单位共有车辆</w:t>
      </w:r>
      <w:r>
        <w:rPr>
          <w:rFonts w:hint="eastAsia" w:ascii="Times New Roman" w:hAnsi="Times New Roman" w:eastAsia="仿宋_GB2312" w:cs="Times New Roman"/>
          <w:color w:val="auto"/>
          <w:kern w:val="2"/>
          <w:sz w:val="32"/>
          <w:szCs w:val="32"/>
          <w:lang w:val="en-US" w:eastAsia="zh-CN" w:bidi="ar-SA"/>
        </w:rPr>
        <w:t>7</w:t>
      </w:r>
      <w:r>
        <w:rPr>
          <w:rFonts w:hint="default" w:ascii="Times New Roman" w:hAnsi="Times New Roman" w:eastAsia="仿宋_GB2312" w:cs="Times New Roman"/>
          <w:color w:val="auto"/>
          <w:kern w:val="2"/>
          <w:sz w:val="32"/>
          <w:szCs w:val="32"/>
          <w:lang w:val="zh-CN" w:eastAsia="zh-CN" w:bidi="ar-SA"/>
        </w:rPr>
        <w:t>辆，</w:t>
      </w:r>
      <w:r>
        <w:rPr>
          <w:rFonts w:ascii="仿宋" w:hAnsi="仿宋" w:eastAsia="仿宋"/>
          <w:sz w:val="32"/>
        </w:rPr>
        <w:t>较上年增减无变化</w:t>
      </w:r>
      <w:r>
        <w:rPr>
          <w:rFonts w:hint="default" w:ascii="Times New Roman" w:hAnsi="Times New Roman" w:eastAsia="仿宋_GB2312" w:cs="Times New Roman"/>
          <w:color w:val="auto"/>
          <w:kern w:val="2"/>
          <w:sz w:val="32"/>
          <w:szCs w:val="32"/>
          <w:lang w:val="zh-CN" w:eastAsia="zh-CN" w:bidi="ar-SA"/>
        </w:rPr>
        <w:t>。其中，副部（省）级及以上领导用车0辆，主要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用车0辆，机要通信用车1辆，应急保障用车0辆，执法执勤用车6辆，特种专业技术用车0辆，离退休干部用车0辆。单位价值100万元（含）以上设备（不含车辆）0台（套）。</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highlight w:val="yellow"/>
          <w:lang w:val="en-US"/>
        </w:rPr>
      </w:pPr>
      <w:r>
        <w:rPr>
          <w:rFonts w:hint="default" w:ascii="Times New Roman" w:hAnsi="Times New Roman" w:eastAsia="仿宋_GB2312" w:cs="Times New Roman"/>
          <w:color w:val="auto"/>
          <w:kern w:val="2"/>
          <w:sz w:val="32"/>
          <w:szCs w:val="32"/>
          <w:lang w:val="zh-CN" w:eastAsia="zh-CN" w:bidi="ar-SA"/>
        </w:rPr>
        <w:t>根据预算绩效管理要求，本单位组织对2023年度一般公共预算项目支出全面开展绩效自评，其中，一级项目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19</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533.64</w:t>
      </w:r>
      <w:r>
        <w:rPr>
          <w:rFonts w:hint="default" w:ascii="Times New Roman" w:hAnsi="Times New Roman" w:eastAsia="仿宋_GB2312" w:cs="Times New Roman"/>
          <w:color w:val="auto"/>
          <w:kern w:val="2"/>
          <w:sz w:val="32"/>
          <w:szCs w:val="32"/>
          <w:lang w:val="zh-CN" w:eastAsia="zh-CN" w:bidi="ar-SA"/>
        </w:rPr>
        <w:t>万元</w:t>
      </w:r>
      <w:r>
        <w:rPr>
          <w:rFonts w:hint="eastAsia"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w:t>
      </w:r>
      <w:r>
        <w:rPr>
          <w:rFonts w:hint="eastAsia" w:ascii="Times New Roman" w:hAnsi="Times New Roman" w:eastAsia="仿宋_GB2312" w:cs="Times New Roman"/>
          <w:b/>
          <w:bCs/>
          <w:sz w:val="32"/>
          <w:szCs w:val="32"/>
          <w:lang w:eastAsia="zh-CN"/>
        </w:rPr>
        <w:t>单位</w:t>
      </w:r>
      <w:r>
        <w:rPr>
          <w:rFonts w:hint="default" w:ascii="Times New Roman" w:hAnsi="Times New Roman" w:eastAsia="仿宋_GB2312" w:cs="Times New Roman"/>
          <w:b/>
          <w:bCs/>
          <w:sz w:val="32"/>
          <w:szCs w:val="32"/>
        </w:rPr>
        <w:t>决算中项目绩效自评结果</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eastAsia" w:ascii="仿宋" w:hAnsi="仿宋" w:eastAsia="仿宋" w:cs="Times New Roman"/>
          <w:sz w:val="32"/>
          <w:lang w:val="en-US" w:eastAsia="zh-CN"/>
        </w:rPr>
        <w:t>本单位在今年单位决算公开中反映“人民调解专项经费”、“专职人民调解员工作经费”等项目绩效自评结果，详见下表：</w:t>
      </w: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4"/>
        <w:gridCol w:w="4230"/>
        <w:gridCol w:w="1680"/>
        <w:gridCol w:w="17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Times New Roman" w:hAnsi="Times New Roman" w:eastAsia="仿宋_GB2312" w:cs="Times New Roman"/>
                <w:color w:val="auto"/>
                <w:kern w:val="2"/>
                <w:sz w:val="32"/>
                <w:szCs w:val="32"/>
                <w:vertAlign w:val="baseline"/>
                <w:lang w:val="zh-CN" w:eastAsia="zh-CN" w:bidi="ar-SA"/>
              </w:rPr>
            </w:pPr>
            <w:r>
              <w:rPr>
                <w:rFonts w:hint="eastAsia" w:ascii="Times New Roman" w:hAnsi="Times New Roman" w:eastAsia="仿宋_GB2312" w:cs="Times New Roman"/>
                <w:color w:val="auto"/>
                <w:kern w:val="2"/>
                <w:sz w:val="32"/>
                <w:szCs w:val="32"/>
                <w:vertAlign w:val="baseline"/>
                <w:lang w:val="zh-CN" w:eastAsia="zh-CN" w:bidi="ar-SA"/>
              </w:rPr>
              <w:t>序号</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Times New Roman" w:hAnsi="Times New Roman" w:eastAsia="仿宋_GB2312" w:cs="Times New Roman"/>
                <w:color w:val="auto"/>
                <w:kern w:val="2"/>
                <w:sz w:val="32"/>
                <w:szCs w:val="32"/>
                <w:vertAlign w:val="baseline"/>
                <w:lang w:val="zh-CN" w:eastAsia="zh-CN" w:bidi="ar-SA"/>
              </w:rPr>
            </w:pPr>
            <w:r>
              <w:rPr>
                <w:rFonts w:hint="eastAsia" w:ascii="Times New Roman" w:hAnsi="Times New Roman" w:eastAsia="仿宋_GB2312" w:cs="Times New Roman"/>
                <w:color w:val="auto"/>
                <w:kern w:val="2"/>
                <w:sz w:val="32"/>
                <w:szCs w:val="32"/>
                <w:vertAlign w:val="baseline"/>
                <w:lang w:val="zh-CN" w:eastAsia="zh-CN" w:bidi="ar-SA"/>
              </w:rPr>
              <w:t>项目名称</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Times New Roman" w:hAnsi="Times New Roman" w:eastAsia="仿宋_GB2312" w:cs="Times New Roman"/>
                <w:color w:val="auto"/>
                <w:kern w:val="2"/>
                <w:sz w:val="32"/>
                <w:szCs w:val="32"/>
                <w:vertAlign w:val="baseline"/>
                <w:lang w:val="zh-CN" w:eastAsia="zh-CN" w:bidi="ar-SA"/>
              </w:rPr>
            </w:pPr>
            <w:r>
              <w:rPr>
                <w:rFonts w:hint="eastAsia" w:ascii="Times New Roman" w:hAnsi="Times New Roman" w:eastAsia="仿宋_GB2312" w:cs="Times New Roman"/>
                <w:color w:val="auto"/>
                <w:kern w:val="2"/>
                <w:sz w:val="32"/>
                <w:szCs w:val="32"/>
                <w:vertAlign w:val="baseline"/>
                <w:lang w:val="zh-CN" w:eastAsia="zh-CN" w:bidi="ar-SA"/>
              </w:rPr>
              <w:t>自评得分</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default" w:ascii="Times New Roman" w:hAnsi="Times New Roman" w:eastAsia="仿宋_GB2312" w:cs="Times New Roman"/>
                <w:color w:val="auto"/>
                <w:kern w:val="2"/>
                <w:sz w:val="32"/>
                <w:szCs w:val="32"/>
                <w:vertAlign w:val="baseline"/>
                <w:lang w:val="zh-CN" w:eastAsia="zh-CN" w:bidi="ar-SA"/>
              </w:rPr>
            </w:pPr>
            <w:r>
              <w:rPr>
                <w:rFonts w:hint="eastAsia" w:ascii="Times New Roman" w:hAnsi="Times New Roman" w:eastAsia="仿宋_GB2312" w:cs="Times New Roman"/>
                <w:color w:val="auto"/>
                <w:kern w:val="2"/>
                <w:sz w:val="32"/>
                <w:szCs w:val="32"/>
                <w:vertAlign w:val="baseline"/>
                <w:lang w:val="zh-CN" w:eastAsia="zh-CN" w:bidi="ar-SA"/>
              </w:rPr>
              <w:t>评价等级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司法所工作经费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2</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退役人员工资</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3</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专职人民调解员工作经费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98.2</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4</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诉调对接中心经费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5</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人民调解专项经费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99.9</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6</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依法治区工作经费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7</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普法经费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8</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认罪认罚从宽制度专项工作经费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聘请法律顾问费用</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10</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宜安镇、李村镇、黄壁庄镇和上寨乡61个村法律顾问经费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11</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专项工作经费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96</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12</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社区矫正及安置帮教经费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92</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13</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雍兴法律顾问服务费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14</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2023年中央政法纪检监察转移支付资金</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15</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2023年中央政法纪检监察转移支付资金</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16</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2023年度省级基层公检法司转移支付资金</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17</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2023年市级社区矫正专项经费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18</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行政执法经费、行政复议应诉经费、政府法律顾问经费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4"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19</w:t>
            </w:r>
          </w:p>
        </w:tc>
        <w:tc>
          <w:tcPr>
            <w:tcW w:w="423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刑事案件律师辩护全覆盖经费</w:t>
            </w:r>
          </w:p>
        </w:tc>
        <w:tc>
          <w:tcPr>
            <w:tcW w:w="1680"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en-US" w:eastAsia="zh-CN" w:bidi="ar-SA"/>
              </w:rPr>
            </w:pPr>
            <w:r>
              <w:rPr>
                <w:rFonts w:hint="eastAsia" w:ascii="仿宋" w:hAnsi="仿宋" w:eastAsia="仿宋" w:cs="仿宋"/>
                <w:color w:val="auto"/>
                <w:kern w:val="2"/>
                <w:sz w:val="24"/>
                <w:szCs w:val="24"/>
                <w:vertAlign w:val="baseline"/>
                <w:lang w:val="en-US" w:eastAsia="zh-CN" w:bidi="ar-SA"/>
              </w:rPr>
              <w:t>90</w:t>
            </w:r>
          </w:p>
        </w:tc>
        <w:tc>
          <w:tcPr>
            <w:tcW w:w="1748" w:type="dxa"/>
            <w:vAlign w:val="center"/>
          </w:tcPr>
          <w:p>
            <w:pPr>
              <w:pStyle w:val="10"/>
              <w:keepNext w:val="0"/>
              <w:keepLines w:val="0"/>
              <w:pageBreakBefore w:val="0"/>
              <w:widowControl/>
              <w:suppressLineNumbers w:val="0"/>
              <w:kinsoku/>
              <w:wordWrap/>
              <w:overflowPunct/>
              <w:topLinePunct w:val="0"/>
              <w:autoSpaceDE/>
              <w:autoSpaceDN/>
              <w:bidi w:val="0"/>
              <w:spacing w:before="0" w:beforeAutospacing="0" w:after="0" w:afterAutospacing="0"/>
              <w:ind w:right="0"/>
              <w:jc w:val="center"/>
              <w:textAlignment w:val="auto"/>
              <w:rPr>
                <w:rFonts w:hint="eastAsia" w:ascii="仿宋" w:hAnsi="仿宋" w:eastAsia="仿宋" w:cs="仿宋"/>
                <w:color w:val="auto"/>
                <w:kern w:val="2"/>
                <w:sz w:val="24"/>
                <w:szCs w:val="24"/>
                <w:vertAlign w:val="baseline"/>
                <w:lang w:val="zh-CN" w:eastAsia="zh-CN" w:bidi="ar-SA"/>
              </w:rPr>
            </w:pPr>
            <w:r>
              <w:rPr>
                <w:rFonts w:hint="eastAsia" w:ascii="仿宋" w:hAnsi="仿宋" w:eastAsia="仿宋" w:cs="仿宋"/>
                <w:color w:val="auto"/>
                <w:kern w:val="2"/>
                <w:sz w:val="24"/>
                <w:szCs w:val="24"/>
                <w:vertAlign w:val="baseline"/>
                <w:lang w:val="zh-CN" w:eastAsia="zh-CN" w:bidi="ar-SA"/>
              </w:rPr>
              <w:t>优</w:t>
            </w:r>
          </w:p>
        </w:tc>
      </w:tr>
    </w:tbl>
    <w:p>
      <w:pPr>
        <w:numPr>
          <w:ilvl w:val="0"/>
          <w:numId w:val="5"/>
        </w:numPr>
        <w:adjustRightInd w:val="0"/>
        <w:snapToGrid w:val="0"/>
        <w:spacing w:line="580" w:lineRule="exact"/>
        <w:ind w:left="480" w:leftChars="200" w:firstLine="321" w:firstLineChars="100"/>
        <w:rPr>
          <w:rFonts w:hint="default"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eastAsia="zh-CN"/>
        </w:rPr>
        <w:t>单位</w:t>
      </w:r>
      <w:r>
        <w:rPr>
          <w:rFonts w:hint="default" w:ascii="Times New Roman" w:hAnsi="Times New Roman" w:eastAsia="仿宋_GB2312" w:cs="Times New Roman"/>
          <w:b/>
          <w:bCs/>
          <w:sz w:val="32"/>
          <w:szCs w:val="32"/>
        </w:rPr>
        <w:t>评价项目绩效评价结果</w:t>
      </w:r>
    </w:p>
    <w:p>
      <w:pPr>
        <w:numPr>
          <w:ilvl w:val="0"/>
          <w:numId w:val="0"/>
        </w:numPr>
        <w:adjustRightInd w:val="0"/>
        <w:snapToGrid w:val="0"/>
        <w:spacing w:line="580" w:lineRule="exact"/>
        <w:ind w:leftChars="300"/>
        <w:rPr>
          <w:rFonts w:hint="eastAsia" w:ascii="Times New Roman" w:hAnsi="Times New Roman" w:eastAsia="仿宋_GB2312" w:cs="Times New Roman"/>
          <w:b w:val="0"/>
          <w:bCs w:val="0"/>
          <w:sz w:val="32"/>
          <w:szCs w:val="32"/>
          <w:lang w:eastAsia="zh-CN"/>
        </w:rPr>
      </w:pPr>
      <w:r>
        <w:rPr>
          <w:rFonts w:hint="eastAsia" w:ascii="Times New Roman" w:hAnsi="Times New Roman" w:eastAsia="仿宋_GB2312" w:cs="Times New Roman"/>
          <w:b w:val="0"/>
          <w:bCs w:val="0"/>
          <w:sz w:val="32"/>
          <w:szCs w:val="32"/>
          <w:lang w:eastAsia="zh-CN"/>
        </w:rPr>
        <w:t>从评价情况看，整体评价项目绩效评价结果为优秀。</w:t>
      </w:r>
    </w:p>
    <w:p>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pPr>
        <w:numPr>
          <w:ilvl w:val="0"/>
          <w:numId w:val="6"/>
        </w:numPr>
        <w:tabs>
          <w:tab w:val="left" w:pos="1221"/>
        </w:tabs>
        <w:spacing w:line="495" w:lineRule="exact"/>
        <w:ind w:left="100" w:right="86" w:firstLine="632"/>
        <w:jc w:val="both"/>
        <w:rPr>
          <w:rFonts w:ascii="仿宋" w:hAnsi="仿宋" w:eastAsia="仿宋"/>
          <w:sz w:val="32"/>
        </w:rPr>
      </w:pPr>
      <w:r>
        <w:rPr>
          <w:rFonts w:hint="default" w:ascii="Times New Roman" w:hAnsi="Times New Roman" w:eastAsia="仿宋_GB2312" w:cs="Times New Roman"/>
          <w:sz w:val="32"/>
          <w:szCs w:val="32"/>
        </w:rPr>
        <w:t>本</w:t>
      </w:r>
      <w:r>
        <w:rPr>
          <w:rFonts w:hint="eastAsia" w:ascii="Times New Roman" w:hAnsi="Times New Roman" w:eastAsia="仿宋_GB2312" w:cs="Times New Roman"/>
          <w:sz w:val="32"/>
          <w:szCs w:val="32"/>
          <w:lang w:eastAsia="zh-CN"/>
        </w:rPr>
        <w:t>单位</w:t>
      </w:r>
      <w:r>
        <w:rPr>
          <w:rFonts w:hint="default" w:ascii="Times New Roman" w:hAnsi="Times New Roman" w:eastAsia="仿宋_GB2312" w:cs="Times New Roman"/>
          <w:sz w:val="32"/>
          <w:szCs w:val="32"/>
        </w:rPr>
        <w:t>2023年度</w:t>
      </w:r>
      <w:r>
        <w:rPr>
          <w:rFonts w:ascii="仿宋" w:hAnsi="仿宋" w:eastAsia="仿宋"/>
          <w:sz w:val="32"/>
        </w:rPr>
        <w:t>未发生政府性基金预算、国有资金经营预算收支及结转结余情况，故政府性基金预算、国有资金经营预算等表以空表列示。</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adjustRightInd w:val="0"/>
        <w:snapToGrid w:val="0"/>
        <w:spacing w:line="580" w:lineRule="exact"/>
        <w:ind w:firstLine="640" w:firstLineChars="200"/>
        <w:rPr>
          <w:rFonts w:hint="default" w:ascii="Times New Roman" w:hAnsi="Times New Roman" w:eastAsia="仿宋_GB2312" w:cs="Times New Roman"/>
          <w:sz w:val="32"/>
          <w:szCs w:val="32"/>
        </w:rPr>
      </w:pPr>
    </w:p>
    <w:p>
      <w:pPr>
        <w:widowControl/>
        <w:spacing w:line="580" w:lineRule="exact"/>
        <w:ind w:firstLine="883" w:firstLineChars="200"/>
        <w:jc w:val="left"/>
        <w:rPr>
          <w:rFonts w:hint="default" w:ascii="Times New Roman" w:hAnsi="Times New Roman" w:eastAsia="宋体" w:cs="Times New Roman"/>
          <w:b/>
          <w:bCs/>
          <w:kern w:val="0"/>
          <w:sz w:val="44"/>
          <w:szCs w:val="44"/>
        </w:rPr>
      </w:pPr>
    </w:p>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pPr>
        <w:rPr>
          <w:rFonts w:hint="default" w:ascii="Times New Roman" w:hAnsi="Times New Roman" w:cs="Times New Roman"/>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1F993F48-63F1-46B2-A87F-E4646DD1A1F3}"/>
  </w:font>
  <w:font w:name="黑体">
    <w:panose1 w:val="02010609060101010101"/>
    <w:charset w:val="86"/>
    <w:family w:val="auto"/>
    <w:pitch w:val="default"/>
    <w:sig w:usb0="800002BF" w:usb1="38CF7CFA" w:usb2="00000016" w:usb3="00000000" w:csb0="00040001" w:csb1="00000000"/>
    <w:embedRegular r:id="rId2" w:fontKey="{118BF05E-1A6E-46F2-A76A-94F1C3A62B32}"/>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449C7098-B72A-48F7-B4A3-97494B60DA17}"/>
  </w:font>
  <w:font w:name="仿宋">
    <w:panose1 w:val="02010609060101010101"/>
    <w:charset w:val="86"/>
    <w:family w:val="modern"/>
    <w:pitch w:val="default"/>
    <w:sig w:usb0="800002BF" w:usb1="38CF7CFA" w:usb2="00000016" w:usb3="00000000" w:csb0="00040001" w:csb1="00000000"/>
    <w:embedRegular r:id="rId4" w:fontKey="{C6089E51-2E77-413A-8F5D-A589ED925B4F}"/>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embedRegular r:id="rId5" w:fontKey="{CD1D00B9-F93A-4D44-80F2-584F04FFD42E}"/>
  </w:font>
  <w:font w:name="思源黑体 CN Heavy">
    <w:altName w:val="黑体"/>
    <w:panose1 w:val="00000000000000000000"/>
    <w:charset w:val="86"/>
    <w:family w:val="swiss"/>
    <w:pitch w:val="default"/>
    <w:sig w:usb0="00000000" w:usb1="00000000" w:usb2="00000016" w:usb3="00000000" w:csb0="00060107" w:csb1="00000000"/>
    <w:embedRegular r:id="rId6" w:fontKey="{B2D62659-38BE-4516-88EF-81420FC48D90}"/>
  </w:font>
  <w:font w:name="楷体_GB2312">
    <w:altName w:val="楷体"/>
    <w:panose1 w:val="02010609030101010101"/>
    <w:charset w:val="86"/>
    <w:family w:val="auto"/>
    <w:pitch w:val="default"/>
    <w:sig w:usb0="00000000" w:usb1="00000000" w:usb2="00000000" w:usb3="00000000" w:csb0="00040000" w:csb1="00000000"/>
    <w:embedRegular r:id="rId7" w:fontKey="{48EF3EA2-88EA-4B8C-AC3D-B252EE17A46A}"/>
  </w:font>
  <w:font w:name="仿宋_GB2312">
    <w:panose1 w:val="02010609030101010101"/>
    <w:charset w:val="86"/>
    <w:family w:val="auto"/>
    <w:pitch w:val="default"/>
    <w:sig w:usb0="00000000" w:usb1="00000000" w:usb2="00000000" w:usb3="00000000" w:csb0="00000000" w:csb1="00000000"/>
    <w:embedRegular r:id="rId8" w:fontKey="{AB8C11F2-51DC-458B-8327-31EE7545A04C}"/>
  </w:font>
  <w:font w:name="ArialUnicodeMS">
    <w:altName w:val="Malgun Gothic"/>
    <w:panose1 w:val="00000000000000000000"/>
    <w:charset w:val="81"/>
    <w:family w:val="auto"/>
    <w:pitch w:val="default"/>
    <w:sig w:usb0="00000000" w:usb1="00000000" w:usb2="00000010" w:usb3="00000000" w:csb0="00080001" w:csb1="00000000"/>
    <w:embedRegular r:id="rId9" w:fontKey="{55AA2CC4-BD43-4A3A-BD10-2AB070871811}"/>
  </w:font>
  <w:font w:name="方正仿宋_GB2312">
    <w:panose1 w:val="02000000000000000000"/>
    <w:charset w:val="86"/>
    <w:family w:val="auto"/>
    <w:pitch w:val="default"/>
    <w:sig w:usb0="00000000" w:usb1="00000000" w:usb2="00000000" w:usb3="00000000" w:csb0="00000000" w:csb1="00000000"/>
    <w:embedRegular r:id="rId10" w:fontKey="{EB002D78-6C2B-459B-9DAB-62222BE4B9F4}"/>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C44E5C6"/>
    <w:multiLevelType w:val="singleLevel"/>
    <w:tmpl w:val="EC44E5C6"/>
    <w:lvl w:ilvl="0" w:tentative="0">
      <w:start w:val="1"/>
      <w:numFmt w:val="decimal"/>
      <w:suff w:val="space"/>
      <w:lvlText w:val="%1."/>
      <w:lvlJc w:val="left"/>
    </w:lvl>
  </w:abstractNum>
  <w:abstractNum w:abstractNumId="1">
    <w:nsid w:val="EFFF2BE1"/>
    <w:multiLevelType w:val="singleLevel"/>
    <w:tmpl w:val="EFFF2BE1"/>
    <w:lvl w:ilvl="0" w:tentative="0">
      <w:start w:val="2"/>
      <w:numFmt w:val="decimal"/>
      <w:suff w:val="nothing"/>
      <w:lvlText w:val="%1、"/>
      <w:lvlJc w:val="left"/>
    </w:lvl>
  </w:abstractNum>
  <w:abstractNum w:abstractNumId="2">
    <w:nsid w:val="F31EB42C"/>
    <w:multiLevelType w:val="singleLevel"/>
    <w:tmpl w:val="F31EB42C"/>
    <w:lvl w:ilvl="0" w:tentative="0">
      <w:start w:val="4"/>
      <w:numFmt w:val="chineseCounting"/>
      <w:suff w:val="nothing"/>
      <w:lvlText w:val="（%1）"/>
      <w:lvlJc w:val="left"/>
      <w:rPr>
        <w:rFonts w:hint="eastAsia"/>
      </w:rPr>
    </w:lvl>
  </w:abstractNum>
  <w:abstractNum w:abstractNumId="3">
    <w:nsid w:val="00000002"/>
    <w:multiLevelType w:val="multilevel"/>
    <w:tmpl w:val="00000002"/>
    <w:lvl w:ilvl="0" w:tentative="0">
      <w:start w:val="1"/>
      <w:numFmt w:val="decimal"/>
      <w:lvlText w:val="%1."/>
      <w:lvlJc w:val="left"/>
    </w:lvl>
    <w:lvl w:ilvl="1" w:tentative="0">
      <w:start w:val="1"/>
      <w:numFmt w:val="bullet"/>
      <w:lvlText w:val=""/>
      <w:lvlJc w:val="left"/>
    </w:lvl>
    <w:lvl w:ilvl="2" w:tentative="0">
      <w:start w:val="1"/>
      <w:numFmt w:val="bullet"/>
      <w:lvlText w:val=""/>
      <w:lvlJc w:val="left"/>
    </w:lvl>
    <w:lvl w:ilvl="3" w:tentative="0">
      <w:start w:val="1"/>
      <w:numFmt w:val="bullet"/>
      <w:lvlText w:val=""/>
      <w:lvlJc w:val="left"/>
    </w:lvl>
    <w:lvl w:ilvl="4" w:tentative="0">
      <w:start w:val="1"/>
      <w:numFmt w:val="bullet"/>
      <w:lvlText w:val=""/>
      <w:lvlJc w:val="left"/>
    </w:lvl>
    <w:lvl w:ilvl="5" w:tentative="0">
      <w:start w:val="1"/>
      <w:numFmt w:val="bullet"/>
      <w:lvlText w:val=""/>
      <w:lvlJc w:val="left"/>
    </w:lvl>
    <w:lvl w:ilvl="6" w:tentative="0">
      <w:start w:val="1"/>
      <w:numFmt w:val="bullet"/>
      <w:lvlText w:val=""/>
      <w:lvlJc w:val="left"/>
    </w:lvl>
    <w:lvl w:ilvl="7" w:tentative="0">
      <w:start w:val="1"/>
      <w:numFmt w:val="bullet"/>
      <w:lvlText w:val=""/>
      <w:lvlJc w:val="left"/>
    </w:lvl>
    <w:lvl w:ilvl="8" w:tentative="0">
      <w:start w:val="1"/>
      <w:numFmt w:val="bullet"/>
      <w:lvlText w:val=""/>
      <w:lvlJc w:val="left"/>
    </w:lvl>
  </w:abstractNum>
  <w:abstractNum w:abstractNumId="4">
    <w:nsid w:val="580FEB53"/>
    <w:multiLevelType w:val="singleLevel"/>
    <w:tmpl w:val="580FEB53"/>
    <w:lvl w:ilvl="0" w:tentative="0">
      <w:start w:val="3"/>
      <w:numFmt w:val="chineseCounting"/>
      <w:suff w:val="nothing"/>
      <w:lvlText w:val="（%1）"/>
      <w:lvlJc w:val="left"/>
      <w:rPr>
        <w:rFonts w:hint="eastAsia"/>
      </w:rPr>
    </w:lvl>
  </w:abstractNum>
  <w:abstractNum w:abstractNumId="5">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5"/>
  </w:num>
  <w:num w:numId="2">
    <w:abstractNumId w:val="1"/>
  </w:num>
  <w:num w:numId="3">
    <w:abstractNumId w:val="0"/>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ksImhkaWQiOiIzMWE1MzMwMDNjMmJhYTE1ZmE0MmVkZDFmNDA1ZThhMiIsInVzZXJDb3VudCI6MTl9"/>
  </w:docVars>
  <w:rsids>
    <w:rsidRoot w:val="00000000"/>
    <w:rsid w:val="00086151"/>
    <w:rsid w:val="00236F8C"/>
    <w:rsid w:val="008E12CF"/>
    <w:rsid w:val="0096690D"/>
    <w:rsid w:val="00C65689"/>
    <w:rsid w:val="00CC2C8E"/>
    <w:rsid w:val="00F27B04"/>
    <w:rsid w:val="01616D62"/>
    <w:rsid w:val="01764A64"/>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6A78CC"/>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6C4CAA"/>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D9540B"/>
    <w:rsid w:val="49067B2F"/>
    <w:rsid w:val="491B09F5"/>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AF00EF"/>
    <w:rsid w:val="51B177A9"/>
    <w:rsid w:val="51CF0D81"/>
    <w:rsid w:val="51E066EB"/>
    <w:rsid w:val="51E84FDE"/>
    <w:rsid w:val="525D512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1.sv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1817.12</c:v>
                </c:pt>
                <c:pt idx="1">
                  <c:v>1901.35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2 </a:t>
            </a:r>
            <a:r>
              <a:rPr lang="zh-CN" altLang="en-US" b="0"/>
              <a:t>：支出决算构成情况图</a:t>
            </a:r>
            <a:endParaRPr lang="zh-CN" altLang="en-US" b="0"/>
          </a:p>
        </c:rich>
      </c:tx>
      <c:layout>
        <c:manualLayout>
          <c:xMode val="edge"/>
          <c:yMode val="edge"/>
          <c:x val="0.568253201256342"/>
          <c:y val="0.0363365915852104"/>
        </c:manualLayout>
      </c:layout>
      <c:overlay val="0"/>
      <c:spPr>
        <a:noFill/>
        <a:ln>
          <a:noFill/>
        </a:ln>
        <a:effectLst/>
      </c:spPr>
    </c:title>
    <c:autoTitleDeleted val="0"/>
    <c:plotArea>
      <c:layout>
        <c:manualLayout>
          <c:layoutTarget val="inner"/>
          <c:xMode val="edge"/>
          <c:yMode val="edge"/>
          <c:x val="0.175738100990577"/>
          <c:y val="0.216374840628984"/>
          <c:w val="0.395564145928968"/>
          <c:h val="0.695809604759881"/>
        </c:manualLayout>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13643933.28</c:v>
                </c:pt>
                <c:pt idx="1">
                  <c:v>5336373.54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3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1779.59</c:v>
                </c:pt>
                <c:pt idx="1">
                  <c:v>1815.07</c:v>
                </c:pt>
                <c:pt idx="2">
                  <c:v>1779.59</c:v>
                </c:pt>
                <c:pt idx="3">
                  <c:v>1815.07</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1899.3</c:v>
                </c:pt>
                <c:pt idx="1">
                  <c:v>1898.03</c:v>
                </c:pt>
                <c:pt idx="2">
                  <c:v>1899.3</c:v>
                </c:pt>
                <c:pt idx="3">
                  <c:v>1898.03</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1959.58</c:v>
                </c:pt>
                <c:pt idx="1">
                  <c:v>1959.58</c:v>
                </c:pt>
                <c:pt idx="2">
                  <c:v>1959.58</c:v>
                </c:pt>
                <c:pt idx="3">
                  <c:v>1959.58</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1899.3</c:v>
                </c:pt>
                <c:pt idx="1">
                  <c:v>1898.03</c:v>
                </c:pt>
                <c:pt idx="2">
                  <c:v>1899.3</c:v>
                </c:pt>
                <c:pt idx="3">
                  <c:v>1898.03</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5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0</c:v>
                </c:pt>
                <c:pt idx="1">
                  <c:v>0</c:v>
                </c:pt>
                <c:pt idx="2">
                  <c:v>1585.45</c:v>
                </c:pt>
                <c:pt idx="3">
                  <c:v>0</c:v>
                </c:pt>
                <c:pt idx="4">
                  <c:v>0</c:v>
                </c:pt>
                <c:pt idx="5">
                  <c:v>0</c:v>
                </c:pt>
                <c:pt idx="6">
                  <c:v>185.44</c:v>
                </c:pt>
                <c:pt idx="7">
                  <c:v>54.41</c:v>
                </c:pt>
                <c:pt idx="8">
                  <c:v>0</c:v>
                </c:pt>
                <c:pt idx="9">
                  <c:v>0</c:v>
                </c:pt>
                <c:pt idx="10">
                  <c:v>0</c:v>
                </c:pt>
                <c:pt idx="11">
                  <c:v>0</c:v>
                </c:pt>
                <c:pt idx="12">
                  <c:v>0</c:v>
                </c:pt>
                <c:pt idx="13">
                  <c:v>0</c:v>
                </c:pt>
                <c:pt idx="14">
                  <c:v>0</c:v>
                </c:pt>
                <c:pt idx="15">
                  <c:v>0</c:v>
                </c:pt>
                <c:pt idx="16">
                  <c:v>72.73</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54</Pages>
  <Words>10283</Words>
  <Characters>34683</Characters>
  <Lines>86</Lines>
  <Paragraphs>24</Paragraphs>
  <TotalTime>3</TotalTime>
  <ScaleCrop>false</ScaleCrop>
  <LinksUpToDate>false</LinksUpToDate>
  <CharactersWithSpaces>35311</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2024-09-23T03:22:56Z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