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291173">
      <w:pPr>
        <w:spacing w:line="560" w:lineRule="exact"/>
        <w:jc w:val="both"/>
        <w:rPr>
          <w:rFonts w:ascii="宋体" w:hAnsi="宋体" w:cs="宋体"/>
          <w:b/>
          <w:bCs/>
          <w:sz w:val="44"/>
          <w:szCs w:val="44"/>
        </w:rPr>
      </w:pPr>
    </w:p>
    <w:p w14:paraId="2D91107B">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石家庄市鹿泉区黄壁庄镇人民政府</w:t>
      </w:r>
    </w:p>
    <w:p w14:paraId="73C4CED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bookmarkStart w:id="0" w:name="_GoBack"/>
      <w:bookmarkEnd w:id="0"/>
      <w:r>
        <w:rPr>
          <w:rFonts w:hint="eastAsia" w:ascii="宋体" w:hAnsi="宋体" w:cs="宋体"/>
          <w:b/>
          <w:bCs/>
          <w:sz w:val="44"/>
          <w:szCs w:val="44"/>
        </w:rPr>
        <w:t>年度整体支出绩效自评报告</w:t>
      </w:r>
    </w:p>
    <w:p w14:paraId="34C7B082">
      <w:pPr>
        <w:adjustRightInd w:val="0"/>
        <w:snapToGrid w:val="0"/>
        <w:spacing w:line="560" w:lineRule="exact"/>
        <w:ind w:firstLine="640" w:firstLineChars="200"/>
        <w:rPr>
          <w:rFonts w:hint="eastAsia" w:ascii="仿宋" w:hAnsi="仿宋" w:eastAsia="仿宋"/>
          <w:sz w:val="32"/>
          <w:szCs w:val="32"/>
        </w:rPr>
      </w:pPr>
    </w:p>
    <w:p w14:paraId="705BD1E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石家庄市鹿泉区黄壁庄镇人民政府</w:t>
      </w:r>
      <w:r>
        <w:rPr>
          <w:rFonts w:hint="eastAsia" w:ascii="仿宋" w:hAnsi="仿宋" w:eastAsia="仿宋"/>
          <w:sz w:val="32"/>
          <w:szCs w:val="32"/>
        </w:rPr>
        <w:t>对202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609C8EEE">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5B9739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F9B4049">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1.部门职能： </w:t>
      </w:r>
    </w:p>
    <w:p w14:paraId="194CB3F6">
      <w:pPr>
        <w:widowControl w:val="0"/>
        <w:wordWrap/>
        <w:adjustRightInd w:val="0"/>
        <w:snapToGrid w:val="0"/>
        <w:spacing w:line="560" w:lineRule="exact"/>
        <w:ind w:left="0" w:leftChars="0" w:right="0" w:firstLine="640" w:firstLineChars="200"/>
        <w:textAlignment w:val="auto"/>
        <w:outlineLvl w:val="9"/>
      </w:pPr>
      <w:r>
        <w:rPr>
          <w:rFonts w:hint="eastAsia" w:ascii="仿宋" w:hAnsi="仿宋" w:eastAsia="仿宋"/>
          <w:sz w:val="32"/>
          <w:szCs w:val="32"/>
          <w:lang w:val="en-US" w:eastAsia="zh-CN"/>
        </w:rPr>
        <w:t>根据《石家庄市鹿泉区黄壁庄镇党委、人大、政府职能配置、内设机构和人员编制规定》， 石家庄市鹿泉区黄壁庄镇人民政府的主要职责是：</w:t>
      </w:r>
      <w:r>
        <w:rPr>
          <w:rFonts w:hint="eastAsia" w:ascii="微软雅黑" w:hAnsi="微软雅黑" w:eastAsia="微软雅黑" w:cs="微软雅黑"/>
          <w:color w:val="000000"/>
          <w:kern w:val="0"/>
          <w:sz w:val="28"/>
          <w:szCs w:val="28"/>
          <w:lang w:val="en-US" w:eastAsia="zh-CN" w:bidi="ar"/>
        </w:rPr>
        <w:t xml:space="preserve"> </w:t>
      </w:r>
    </w:p>
    <w:p w14:paraId="1507DF7F">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党政综合办公室 </w:t>
      </w:r>
    </w:p>
    <w:p w14:paraId="79B8DE80">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负责机关日常工作的综合协调和督促检查；负责机关文电、值班、会务、机要、保密、档案、党务政务公开、对外联络、后勤保障等日常运转工作；负责机关和所属单位财务及国有资产管理等工作。 </w:t>
      </w:r>
    </w:p>
    <w:p w14:paraId="31225DA2">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党建工作办公室 </w:t>
      </w:r>
    </w:p>
    <w:p w14:paraId="39422AC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负责基层党的政治建设、组织建设、思想建设、宣传工作、意识形态、精神文明建设、统战工作、民族宗教事务、党管武装、组织人事等工作，统筹推进区域化党建工作，领导辖区内人大工作，以及工会、共青团、妇联等群团工作。 </w:t>
      </w:r>
    </w:p>
    <w:p w14:paraId="25789759">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社会治理和应急管理办公室 </w:t>
      </w:r>
    </w:p>
    <w:p w14:paraId="0082FC79">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止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节各类纠纷；负责加强群防群治组织建设，做好防范邪教工作；会同司法部门开展社区矫正、社区戒毒、社区康复工作，负责刑满释放人员安置帮教工作，负责做好未成年人保护工作。负责指导基层自治和居民区建设工作，负责指导村（居）民委员会建立健全各项自治制度，指导村</w:t>
      </w:r>
      <w:r>
        <w:rPr>
          <w:rFonts w:hint="default" w:ascii="仿宋" w:hAnsi="仿宋" w:eastAsia="仿宋"/>
          <w:sz w:val="32"/>
          <w:szCs w:val="32"/>
          <w:lang w:val="en-US" w:eastAsia="zh-CN"/>
        </w:rPr>
        <w:t>(</w:t>
      </w:r>
      <w:r>
        <w:rPr>
          <w:rFonts w:hint="eastAsia" w:ascii="仿宋" w:hAnsi="仿宋" w:eastAsia="仿宋"/>
          <w:sz w:val="32"/>
          <w:szCs w:val="32"/>
          <w:lang w:val="en-US" w:eastAsia="zh-CN"/>
        </w:rPr>
        <w:t>居</w:t>
      </w:r>
      <w:r>
        <w:rPr>
          <w:rFonts w:hint="default" w:ascii="仿宋" w:hAnsi="仿宋" w:eastAsia="仿宋"/>
          <w:sz w:val="32"/>
          <w:szCs w:val="32"/>
          <w:lang w:val="en-US" w:eastAsia="zh-CN"/>
        </w:rPr>
        <w:t>)</w:t>
      </w:r>
      <w:r>
        <w:rPr>
          <w:rFonts w:hint="eastAsia" w:ascii="仿宋" w:hAnsi="仿宋" w:eastAsia="仿宋"/>
          <w:sz w:val="32"/>
          <w:szCs w:val="32"/>
          <w:lang w:val="en-US" w:eastAsia="zh-CN"/>
        </w:rPr>
        <w:t>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0AAAA44E">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自然资源和生态环境办公室</w:t>
      </w:r>
    </w:p>
    <w:p w14:paraId="268CA857">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w:t>
      </w:r>
      <w:r>
        <w:rPr>
          <w:rFonts w:hint="default" w:ascii="仿宋" w:hAnsi="仿宋" w:eastAsia="仿宋"/>
          <w:sz w:val="32"/>
          <w:szCs w:val="32"/>
          <w:lang w:val="en-US" w:eastAsia="zh-CN"/>
        </w:rPr>
        <w:t>“</w:t>
      </w:r>
      <w:r>
        <w:rPr>
          <w:rFonts w:hint="eastAsia" w:ascii="仿宋" w:hAnsi="仿宋" w:eastAsia="仿宋"/>
          <w:sz w:val="32"/>
          <w:szCs w:val="32"/>
          <w:lang w:val="en-US" w:eastAsia="zh-CN"/>
        </w:rPr>
        <w:t>散乱污</w:t>
      </w:r>
      <w:r>
        <w:rPr>
          <w:rFonts w:hint="default" w:ascii="仿宋" w:hAnsi="仿宋" w:eastAsia="仿宋"/>
          <w:sz w:val="32"/>
          <w:szCs w:val="32"/>
          <w:lang w:val="en-US" w:eastAsia="zh-CN"/>
        </w:rPr>
        <w:t>”</w:t>
      </w:r>
      <w:r>
        <w:rPr>
          <w:rFonts w:hint="eastAsia" w:ascii="仿宋" w:hAnsi="仿宋" w:eastAsia="仿宋"/>
          <w:sz w:val="32"/>
          <w:szCs w:val="32"/>
          <w:lang w:val="en-US" w:eastAsia="zh-CN"/>
        </w:rPr>
        <w:t xml:space="preserve">企业综合整治工作。 </w:t>
      </w:r>
    </w:p>
    <w:p w14:paraId="2F9596A5">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综合行政执法队 </w:t>
      </w:r>
    </w:p>
    <w:p w14:paraId="77AE3782">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根据有关法律法规和上级部门授权、委托，承担城乡建设、生态环境、文化市场、农业农村、安全生产、民族宗教等领域行政执法工作。 </w:t>
      </w:r>
    </w:p>
    <w:p w14:paraId="38348819">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行政综合服务中心 </w:t>
      </w:r>
    </w:p>
    <w:p w14:paraId="2039BF82">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负责行政审批服务事项的受理、办理工作，提供政策和业务咨询；指导村</w:t>
      </w:r>
      <w:r>
        <w:rPr>
          <w:rFonts w:hint="default" w:ascii="仿宋" w:hAnsi="仿宋" w:eastAsia="仿宋"/>
          <w:sz w:val="32"/>
          <w:szCs w:val="32"/>
          <w:lang w:val="en-US" w:eastAsia="zh-CN"/>
        </w:rPr>
        <w:t>(</w:t>
      </w:r>
      <w:r>
        <w:rPr>
          <w:rFonts w:hint="eastAsia" w:ascii="仿宋" w:hAnsi="仿宋" w:eastAsia="仿宋"/>
          <w:sz w:val="32"/>
          <w:szCs w:val="32"/>
          <w:lang w:val="en-US" w:eastAsia="zh-CN"/>
        </w:rPr>
        <w:t>社区</w:t>
      </w:r>
      <w:r>
        <w:rPr>
          <w:rFonts w:hint="default" w:ascii="仿宋" w:hAnsi="仿宋" w:eastAsia="仿宋"/>
          <w:sz w:val="32"/>
          <w:szCs w:val="32"/>
          <w:lang w:val="en-US" w:eastAsia="zh-CN"/>
        </w:rPr>
        <w:t>)</w:t>
      </w:r>
      <w:r>
        <w:rPr>
          <w:rFonts w:hint="eastAsia" w:ascii="仿宋" w:hAnsi="仿宋" w:eastAsia="仿宋"/>
          <w:sz w:val="32"/>
          <w:szCs w:val="32"/>
          <w:lang w:val="en-US" w:eastAsia="zh-CN"/>
        </w:rPr>
        <w:t>便民服务点建设。负责开展群众文化艺术娱乐、体育活动，负责文物普查、保护和开发利用工作，指导村</w:t>
      </w:r>
      <w:r>
        <w:rPr>
          <w:rFonts w:hint="default" w:ascii="仿宋" w:hAnsi="仿宋" w:eastAsia="仿宋"/>
          <w:sz w:val="32"/>
          <w:szCs w:val="32"/>
          <w:lang w:val="en-US" w:eastAsia="zh-CN"/>
        </w:rPr>
        <w:t>(</w:t>
      </w:r>
      <w:r>
        <w:rPr>
          <w:rFonts w:hint="eastAsia" w:ascii="仿宋" w:hAnsi="仿宋" w:eastAsia="仿宋"/>
          <w:sz w:val="32"/>
          <w:szCs w:val="32"/>
          <w:lang w:val="en-US" w:eastAsia="zh-CN"/>
        </w:rPr>
        <w:t>社区</w:t>
      </w:r>
      <w:r>
        <w:rPr>
          <w:rFonts w:hint="default" w:ascii="仿宋" w:hAnsi="仿宋" w:eastAsia="仿宋"/>
          <w:sz w:val="32"/>
          <w:szCs w:val="32"/>
          <w:lang w:val="en-US" w:eastAsia="zh-CN"/>
        </w:rPr>
        <w:t>)</w:t>
      </w:r>
      <w:r>
        <w:rPr>
          <w:rFonts w:hint="eastAsia" w:ascii="仿宋" w:hAnsi="仿宋" w:eastAsia="仿宋"/>
          <w:sz w:val="32"/>
          <w:szCs w:val="32"/>
          <w:lang w:val="en-US" w:eastAsia="zh-CN"/>
        </w:rPr>
        <w:t xml:space="preserve">文化室建设、文体设施规划建设。负责编制镇财政预决算，负责镇政府预算单位的财务管理和核算，负责村级资金核拨和监督管理等相关工作。 </w:t>
      </w:r>
    </w:p>
    <w:p w14:paraId="51D2EC3E">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农业综合服务中心 </w:t>
      </w:r>
    </w:p>
    <w:p w14:paraId="0B967CFB">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负责农业、畜牧、林业、水利、农机等技术推广和服务工作，负责农产品质量安全监管工作</w:t>
      </w:r>
      <w:r>
        <w:rPr>
          <w:rFonts w:hint="default" w:ascii="仿宋" w:hAnsi="仿宋" w:eastAsia="仿宋"/>
          <w:sz w:val="32"/>
          <w:szCs w:val="32"/>
          <w:lang w:val="en-US" w:eastAsia="zh-CN"/>
        </w:rPr>
        <w:t>,</w:t>
      </w:r>
      <w:r>
        <w:rPr>
          <w:rFonts w:hint="eastAsia" w:ascii="仿宋" w:hAnsi="仿宋" w:eastAsia="仿宋"/>
          <w:sz w:val="32"/>
          <w:szCs w:val="32"/>
          <w:lang w:val="en-US" w:eastAsia="zh-CN"/>
        </w:rPr>
        <w:t>负责指导农业生产、技术培训和信息咨询服务；负责动植物病虫害及灾情的预报、防治、处置；负责指导新农村建设、乡村振兴、农村经济发展、农村体制改革、农村土地承包、扶贫开发、水土保持和综合治理等工作</w:t>
      </w:r>
      <w:r>
        <w:rPr>
          <w:rFonts w:hint="default" w:ascii="仿宋" w:hAnsi="仿宋" w:eastAsia="仿宋"/>
          <w:sz w:val="32"/>
          <w:szCs w:val="32"/>
          <w:lang w:val="en-US" w:eastAsia="zh-CN"/>
        </w:rPr>
        <w:t>,</w:t>
      </w:r>
      <w:r>
        <w:rPr>
          <w:rFonts w:hint="eastAsia" w:ascii="仿宋" w:hAnsi="仿宋" w:eastAsia="仿宋"/>
          <w:sz w:val="32"/>
          <w:szCs w:val="32"/>
          <w:lang w:val="en-US" w:eastAsia="zh-CN"/>
        </w:rPr>
        <w:t xml:space="preserve">负责农村环境卫生工作。 </w:t>
      </w:r>
    </w:p>
    <w:p w14:paraId="7DE6DA8B">
      <w:pPr>
        <w:widowControl w:val="0"/>
        <w:wordWrap/>
        <w:spacing w:line="560" w:lineRule="exact"/>
        <w:ind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退役军人服务站 </w:t>
      </w:r>
    </w:p>
    <w:p w14:paraId="0E4EAC2E">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负责退役军人就业创业扶持、拥军优属、优抚帮扶、走访慰问、信访接待、权益保障等工作；配合武装部做好征兵、民兵、预备役、国防教育、国民经济动员、人民防空、国防交通、国防设施保护等相关工作。</w:t>
      </w:r>
      <w:r>
        <w:rPr>
          <w:rFonts w:hint="eastAsia" w:ascii="微软雅黑" w:hAnsi="微软雅黑" w:eastAsia="微软雅黑" w:cs="微软雅黑"/>
          <w:color w:val="000000"/>
          <w:kern w:val="0"/>
          <w:sz w:val="28"/>
          <w:szCs w:val="28"/>
          <w:lang w:val="en-US" w:eastAsia="zh-CN" w:bidi="ar"/>
        </w:rPr>
        <w:t xml:space="preserve"> </w:t>
      </w:r>
    </w:p>
    <w:p w14:paraId="60D2D1E4">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镇纪委</w:t>
      </w:r>
      <w:r>
        <w:rPr>
          <w:rFonts w:hint="default" w:ascii="仿宋" w:hAnsi="仿宋" w:eastAsia="仿宋"/>
          <w:sz w:val="32"/>
          <w:szCs w:val="32"/>
          <w:lang w:val="en-US" w:eastAsia="zh-CN"/>
        </w:rPr>
        <w:t>(</w:t>
      </w:r>
      <w:r>
        <w:rPr>
          <w:rFonts w:hint="eastAsia" w:ascii="仿宋" w:hAnsi="仿宋" w:eastAsia="仿宋"/>
          <w:sz w:val="32"/>
          <w:szCs w:val="32"/>
          <w:lang w:val="en-US" w:eastAsia="zh-CN"/>
        </w:rPr>
        <w:t>监察办公室</w:t>
      </w:r>
      <w:r>
        <w:rPr>
          <w:rFonts w:hint="default" w:ascii="仿宋" w:hAnsi="仿宋" w:eastAsia="仿宋"/>
          <w:sz w:val="32"/>
          <w:szCs w:val="32"/>
          <w:lang w:val="en-US" w:eastAsia="zh-CN"/>
        </w:rPr>
        <w:t xml:space="preserve">) </w:t>
      </w:r>
    </w:p>
    <w:p w14:paraId="098583FF">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负责全镇党的纪律检查工作</w:t>
      </w:r>
      <w:r>
        <w:rPr>
          <w:rFonts w:hint="default" w:ascii="仿宋" w:hAnsi="仿宋" w:eastAsia="仿宋"/>
          <w:sz w:val="32"/>
          <w:szCs w:val="32"/>
          <w:lang w:val="en-US" w:eastAsia="zh-CN"/>
        </w:rPr>
        <w:t>,</w:t>
      </w:r>
      <w:r>
        <w:rPr>
          <w:rFonts w:hint="eastAsia" w:ascii="仿宋" w:hAnsi="仿宋" w:eastAsia="仿宋"/>
          <w:sz w:val="32"/>
          <w:szCs w:val="32"/>
          <w:lang w:val="en-US" w:eastAsia="zh-CN"/>
        </w:rPr>
        <w:t>监督检查辖区内党组织和党员贯彻执行党的路线方针政策和决议</w:t>
      </w:r>
      <w:r>
        <w:rPr>
          <w:rFonts w:hint="default" w:ascii="仿宋" w:hAnsi="仿宋" w:eastAsia="仿宋"/>
          <w:sz w:val="32"/>
          <w:szCs w:val="32"/>
          <w:lang w:val="en-US" w:eastAsia="zh-CN"/>
        </w:rPr>
        <w:t>,</w:t>
      </w:r>
      <w:r>
        <w:rPr>
          <w:rFonts w:hint="eastAsia" w:ascii="仿宋" w:hAnsi="仿宋" w:eastAsia="仿宋"/>
          <w:sz w:val="32"/>
          <w:szCs w:val="32"/>
          <w:lang w:val="en-US" w:eastAsia="zh-CN"/>
        </w:rPr>
        <w:t>遵守和执行党内法规和上级党委决定、命令的情况</w:t>
      </w:r>
      <w:r>
        <w:rPr>
          <w:rFonts w:hint="default" w:ascii="仿宋" w:hAnsi="仿宋" w:eastAsia="仿宋"/>
          <w:sz w:val="32"/>
          <w:szCs w:val="32"/>
          <w:lang w:val="en-US" w:eastAsia="zh-CN"/>
        </w:rPr>
        <w:t>,</w:t>
      </w:r>
      <w:r>
        <w:rPr>
          <w:rFonts w:hint="eastAsia" w:ascii="仿宋" w:hAnsi="仿宋" w:eastAsia="仿宋"/>
          <w:sz w:val="32"/>
          <w:szCs w:val="32"/>
          <w:lang w:val="en-US" w:eastAsia="zh-CN"/>
        </w:rPr>
        <w:t>监督检查公职人员依法履职、秉公用权、廉洁从政从业以及道德操守等情况；负责组织协调全镇党风廉政建设和反腐败工作；受理本镇范围内对党的组织、党员违犯党纪行为的检举以及党员的控告、申诉</w:t>
      </w:r>
      <w:r>
        <w:rPr>
          <w:rFonts w:hint="default" w:ascii="仿宋" w:hAnsi="仿宋" w:eastAsia="仿宋"/>
          <w:sz w:val="32"/>
          <w:szCs w:val="32"/>
          <w:lang w:val="en-US" w:eastAsia="zh-CN"/>
        </w:rPr>
        <w:t>,</w:t>
      </w:r>
      <w:r>
        <w:rPr>
          <w:rFonts w:hint="eastAsia" w:ascii="仿宋" w:hAnsi="仿宋" w:eastAsia="仿宋"/>
          <w:sz w:val="32"/>
          <w:szCs w:val="32"/>
          <w:lang w:val="en-US" w:eastAsia="zh-CN"/>
        </w:rPr>
        <w:t>维护党员的权利。督促落实全镇党务、政务、财务、村务公开</w:t>
      </w:r>
      <w:r>
        <w:rPr>
          <w:rFonts w:hint="default" w:ascii="仿宋" w:hAnsi="仿宋" w:eastAsia="仿宋"/>
          <w:sz w:val="32"/>
          <w:szCs w:val="32"/>
          <w:lang w:val="en-US" w:eastAsia="zh-CN"/>
        </w:rPr>
        <w:t>,</w:t>
      </w:r>
      <w:r>
        <w:rPr>
          <w:rFonts w:hint="eastAsia" w:ascii="仿宋" w:hAnsi="仿宋" w:eastAsia="仿宋"/>
          <w:sz w:val="32"/>
          <w:szCs w:val="32"/>
          <w:lang w:val="en-US" w:eastAsia="zh-CN"/>
        </w:rPr>
        <w:t>监督规范农村资金、资产、资源管理</w:t>
      </w:r>
      <w:r>
        <w:rPr>
          <w:rFonts w:hint="default" w:ascii="仿宋" w:hAnsi="仿宋" w:eastAsia="仿宋"/>
          <w:sz w:val="32"/>
          <w:szCs w:val="32"/>
          <w:lang w:val="en-US" w:eastAsia="zh-CN"/>
        </w:rPr>
        <w:t>,</w:t>
      </w:r>
      <w:r>
        <w:rPr>
          <w:rFonts w:hint="eastAsia" w:ascii="仿宋" w:hAnsi="仿宋" w:eastAsia="仿宋"/>
          <w:sz w:val="32"/>
          <w:szCs w:val="32"/>
          <w:lang w:val="en-US" w:eastAsia="zh-CN"/>
        </w:rPr>
        <w:t xml:space="preserve">负责内部审计工作。 </w:t>
      </w:r>
    </w:p>
    <w:p w14:paraId="2E389256">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人民武装部及工会、共青团、妇联等群团组织按有关章程和规定设置</w:t>
      </w:r>
      <w:r>
        <w:rPr>
          <w:rFonts w:hint="default" w:ascii="仿宋" w:hAnsi="仿宋" w:eastAsia="仿宋"/>
          <w:sz w:val="32"/>
          <w:szCs w:val="32"/>
          <w:lang w:val="en-US" w:eastAsia="zh-CN"/>
        </w:rPr>
        <w:t>,</w:t>
      </w:r>
      <w:r>
        <w:rPr>
          <w:rFonts w:hint="eastAsia" w:ascii="仿宋" w:hAnsi="仿宋" w:eastAsia="仿宋"/>
          <w:sz w:val="32"/>
          <w:szCs w:val="32"/>
          <w:lang w:val="en-US" w:eastAsia="zh-CN"/>
        </w:rPr>
        <w:t>在镇党委统一领导下开展工作。</w:t>
      </w:r>
    </w:p>
    <w:p w14:paraId="26AD5C52">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2.组织机构</w:t>
      </w:r>
    </w:p>
    <w:p w14:paraId="25971F1F">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从决算编报单位构成看，纳入 2023 年度石家庄市鹿泉区黄壁庄镇人民政府决算汇编范围的独立核算单位（以下简称“单位”）共 1 个，具体情况如下：</w:t>
      </w:r>
    </w:p>
    <w:p w14:paraId="4A92477B">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p>
    <w:tbl>
      <w:tblPr>
        <w:tblStyle w:val="5"/>
        <w:tblW w:w="0" w:type="auto"/>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3600"/>
        <w:gridCol w:w="2490"/>
        <w:gridCol w:w="1969"/>
      </w:tblGrid>
      <w:tr w14:paraId="72979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900" w:type="dxa"/>
          </w:tcPr>
          <w:p w14:paraId="5701DB4F">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序号</w:t>
            </w:r>
          </w:p>
        </w:tc>
        <w:tc>
          <w:tcPr>
            <w:tcW w:w="3600" w:type="dxa"/>
          </w:tcPr>
          <w:p w14:paraId="71FCEC3F">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单位名称</w:t>
            </w:r>
          </w:p>
        </w:tc>
        <w:tc>
          <w:tcPr>
            <w:tcW w:w="2490" w:type="dxa"/>
          </w:tcPr>
          <w:p w14:paraId="1F00A10A">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单位基本性质</w:t>
            </w:r>
          </w:p>
        </w:tc>
        <w:tc>
          <w:tcPr>
            <w:tcW w:w="1969" w:type="dxa"/>
          </w:tcPr>
          <w:p w14:paraId="514F6439">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经费形式</w:t>
            </w:r>
          </w:p>
        </w:tc>
      </w:tr>
      <w:tr w14:paraId="5813D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Pr>
          <w:p w14:paraId="4EC01D02">
            <w:pPr>
              <w:widowControl w:val="0"/>
              <w:wordWrap/>
              <w:spacing w:line="560" w:lineRule="exact"/>
              <w:ind w:right="0"/>
              <w:jc w:val="center"/>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1</w:t>
            </w:r>
          </w:p>
        </w:tc>
        <w:tc>
          <w:tcPr>
            <w:tcW w:w="3600" w:type="dxa"/>
          </w:tcPr>
          <w:p w14:paraId="267363D5">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石家庄市鹿泉区黄壁庄镇人民政府</w:t>
            </w:r>
          </w:p>
        </w:tc>
        <w:tc>
          <w:tcPr>
            <w:tcW w:w="2490" w:type="dxa"/>
          </w:tcPr>
          <w:p w14:paraId="70882581">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行政单位</w:t>
            </w:r>
          </w:p>
        </w:tc>
        <w:tc>
          <w:tcPr>
            <w:tcW w:w="1969" w:type="dxa"/>
          </w:tcPr>
          <w:p w14:paraId="163FE3F8">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财政拨款</w:t>
            </w:r>
          </w:p>
        </w:tc>
      </w:tr>
    </w:tbl>
    <w:p w14:paraId="54E71709">
      <w:pPr>
        <w:widowControl w:val="0"/>
        <w:wordWrap/>
        <w:spacing w:line="560" w:lineRule="exact"/>
        <w:ind w:right="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3.人员</w:t>
      </w:r>
    </w:p>
    <w:p w14:paraId="7B243A23">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2023年在编人员数量:</w:t>
      </w:r>
    </w:p>
    <w:p w14:paraId="427EEBB2">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行政编制人数：23人</w:t>
      </w:r>
    </w:p>
    <w:p w14:paraId="6C74C4FB">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事业编制人数:23人</w:t>
      </w:r>
    </w:p>
    <w:p w14:paraId="345AD27E">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4.资产：</w:t>
      </w:r>
    </w:p>
    <w:p w14:paraId="52994410">
      <w:pPr>
        <w:widowControl w:val="0"/>
        <w:wordWrap/>
        <w:spacing w:line="560" w:lineRule="exact"/>
        <w:ind w:left="0" w:leftChars="0" w:right="0" w:firstLine="640" w:firstLineChars="200"/>
        <w:textAlignment w:val="auto"/>
        <w:outlineLvl w:val="9"/>
        <w:rPr>
          <w:rFonts w:hint="eastAsia" w:ascii="微软雅黑" w:hAnsi="微软雅黑" w:eastAsia="微软雅黑" w:cs="微软雅黑"/>
          <w:color w:val="000000"/>
          <w:kern w:val="0"/>
          <w:sz w:val="28"/>
          <w:szCs w:val="28"/>
          <w:lang w:val="en-US" w:eastAsia="zh-CN" w:bidi="ar"/>
        </w:rPr>
      </w:pPr>
      <w:r>
        <w:rPr>
          <w:rFonts w:hint="eastAsia" w:ascii="仿宋" w:hAnsi="仿宋" w:eastAsia="仿宋"/>
          <w:sz w:val="32"/>
          <w:szCs w:val="32"/>
          <w:lang w:val="en-US" w:eastAsia="zh-CN"/>
        </w:rPr>
        <w:t>截止到2023年年底石家庄市鹿泉区黄壁庄镇人民政府货币资金166.6万元，固定资产净值784.7万元。</w:t>
      </w:r>
    </w:p>
    <w:p w14:paraId="260A3390">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A4A3767">
      <w:pPr>
        <w:keepNext w:val="0"/>
        <w:keepLines w:val="0"/>
        <w:widowControl/>
        <w:suppressLineNumbers w:val="0"/>
        <w:jc w:val="left"/>
      </w:pPr>
      <w:r>
        <w:rPr>
          <w:rFonts w:hint="eastAsia" w:ascii="仿宋" w:hAnsi="仿宋" w:eastAsia="仿宋"/>
          <w:sz w:val="32"/>
          <w:szCs w:val="32"/>
          <w:lang w:val="en-US" w:eastAsia="zh-CN"/>
        </w:rPr>
        <w:t>2022年部门预算安排的总体情况：</w:t>
      </w:r>
      <w:r>
        <w:rPr>
          <w:rFonts w:hint="eastAsia" w:ascii="微软雅黑" w:hAnsi="微软雅黑" w:eastAsia="微软雅黑" w:cs="微软雅黑"/>
          <w:color w:val="000000"/>
          <w:kern w:val="0"/>
          <w:sz w:val="28"/>
          <w:szCs w:val="28"/>
          <w:lang w:val="en-US" w:eastAsia="zh-CN" w:bidi="ar"/>
        </w:rPr>
        <w:t xml:space="preserve"> </w:t>
      </w:r>
    </w:p>
    <w:p w14:paraId="15FEEA22">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default" w:ascii="仿宋" w:hAnsi="仿宋" w:eastAsia="仿宋"/>
          <w:sz w:val="32"/>
          <w:szCs w:val="32"/>
          <w:lang w:val="en-US" w:eastAsia="zh-CN"/>
        </w:rPr>
        <w:t>1</w:t>
      </w:r>
      <w:r>
        <w:rPr>
          <w:rFonts w:hint="eastAsia" w:ascii="仿宋" w:hAnsi="仿宋" w:eastAsia="仿宋"/>
          <w:sz w:val="32"/>
          <w:szCs w:val="32"/>
          <w:lang w:val="en-US" w:eastAsia="zh-CN"/>
        </w:rPr>
        <w:t>、收入说明：反映本部门当年全部收入。</w:t>
      </w:r>
      <w:r>
        <w:rPr>
          <w:rFonts w:hint="default" w:ascii="仿宋" w:hAnsi="仿宋" w:eastAsia="仿宋"/>
          <w:sz w:val="32"/>
          <w:szCs w:val="32"/>
          <w:lang w:val="en-US" w:eastAsia="zh-CN"/>
        </w:rPr>
        <w:t>202</w:t>
      </w:r>
      <w:r>
        <w:rPr>
          <w:rFonts w:hint="eastAsia" w:ascii="仿宋" w:hAnsi="仿宋" w:eastAsia="仿宋"/>
          <w:sz w:val="32"/>
          <w:szCs w:val="32"/>
          <w:lang w:val="en-US" w:eastAsia="zh-CN"/>
        </w:rPr>
        <w:t>3年预算收入 1477.94</w:t>
      </w:r>
      <w:r>
        <w:rPr>
          <w:rFonts w:hint="default" w:ascii="仿宋" w:hAnsi="仿宋" w:eastAsia="仿宋"/>
          <w:sz w:val="32"/>
          <w:szCs w:val="32"/>
          <w:lang w:val="en-US" w:eastAsia="zh-CN"/>
        </w:rPr>
        <w:t xml:space="preserve"> </w:t>
      </w:r>
      <w:r>
        <w:rPr>
          <w:rFonts w:hint="eastAsia" w:ascii="仿宋" w:hAnsi="仿宋" w:eastAsia="仿宋"/>
          <w:sz w:val="32"/>
          <w:szCs w:val="32"/>
          <w:lang w:val="en-US" w:eastAsia="zh-CN"/>
        </w:rPr>
        <w:t xml:space="preserve">万元，其中：一般公共预算收入 1477.94万元，基金预算收入 0万元，财政专户核拨收入 </w:t>
      </w:r>
      <w:r>
        <w:rPr>
          <w:rFonts w:hint="default" w:ascii="仿宋" w:hAnsi="仿宋" w:eastAsia="仿宋"/>
          <w:sz w:val="32"/>
          <w:szCs w:val="32"/>
          <w:lang w:val="en-US" w:eastAsia="zh-CN"/>
        </w:rPr>
        <w:t xml:space="preserve">0 </w:t>
      </w:r>
      <w:r>
        <w:rPr>
          <w:rFonts w:hint="eastAsia" w:ascii="仿宋" w:hAnsi="仿宋" w:eastAsia="仿宋"/>
          <w:sz w:val="32"/>
          <w:szCs w:val="32"/>
          <w:lang w:val="en-US" w:eastAsia="zh-CN"/>
        </w:rPr>
        <w:t>万元，其他来源收入（单位资金）</w:t>
      </w:r>
      <w:r>
        <w:rPr>
          <w:rFonts w:hint="default" w:ascii="仿宋" w:hAnsi="仿宋" w:eastAsia="仿宋"/>
          <w:sz w:val="32"/>
          <w:szCs w:val="32"/>
          <w:lang w:val="en-US" w:eastAsia="zh-CN"/>
        </w:rPr>
        <w:t xml:space="preserve">0 </w:t>
      </w:r>
      <w:r>
        <w:rPr>
          <w:rFonts w:hint="eastAsia" w:ascii="仿宋" w:hAnsi="仿宋" w:eastAsia="仿宋"/>
          <w:sz w:val="32"/>
          <w:szCs w:val="32"/>
          <w:lang w:val="en-US" w:eastAsia="zh-CN"/>
        </w:rPr>
        <w:t xml:space="preserve">万元。 </w:t>
      </w:r>
    </w:p>
    <w:p w14:paraId="1A41D75F">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2.支出说明：收支预算总表支出栏、基本支出表、项目支出表按经济分类和支出功能分类科目编制，反映鹿泉区黄壁庄镇年度部门预算中支出预算的总体情况。</w:t>
      </w:r>
      <w:r>
        <w:rPr>
          <w:rFonts w:hint="default" w:ascii="仿宋" w:hAnsi="仿宋" w:eastAsia="仿宋"/>
          <w:sz w:val="32"/>
          <w:szCs w:val="32"/>
          <w:lang w:val="en-US" w:eastAsia="zh-CN"/>
        </w:rPr>
        <w:t>202</w:t>
      </w:r>
      <w:r>
        <w:rPr>
          <w:rFonts w:hint="eastAsia" w:ascii="仿宋" w:hAnsi="仿宋" w:eastAsia="仿宋"/>
          <w:sz w:val="32"/>
          <w:szCs w:val="32"/>
          <w:lang w:val="en-US" w:eastAsia="zh-CN"/>
        </w:rPr>
        <w:t>3年支出预算 1477.94万元，其中基本支出 945.18</w:t>
      </w:r>
      <w:r>
        <w:rPr>
          <w:rFonts w:hint="default" w:ascii="仿宋" w:hAnsi="仿宋" w:eastAsia="仿宋"/>
          <w:sz w:val="32"/>
          <w:szCs w:val="32"/>
          <w:lang w:val="en-US" w:eastAsia="zh-CN"/>
        </w:rPr>
        <w:t xml:space="preserve"> </w:t>
      </w:r>
      <w:r>
        <w:rPr>
          <w:rFonts w:hint="eastAsia" w:ascii="仿宋" w:hAnsi="仿宋" w:eastAsia="仿宋"/>
          <w:sz w:val="32"/>
          <w:szCs w:val="32"/>
          <w:lang w:val="en-US" w:eastAsia="zh-CN"/>
        </w:rPr>
        <w:t>万元，包括人员经费 729.91</w:t>
      </w:r>
      <w:r>
        <w:rPr>
          <w:rFonts w:hint="default" w:ascii="仿宋" w:hAnsi="仿宋" w:eastAsia="仿宋"/>
          <w:sz w:val="32"/>
          <w:szCs w:val="32"/>
          <w:lang w:val="en-US" w:eastAsia="zh-CN"/>
        </w:rPr>
        <w:t xml:space="preserve"> </w:t>
      </w:r>
      <w:r>
        <w:rPr>
          <w:rFonts w:hint="eastAsia" w:ascii="仿宋" w:hAnsi="仿宋" w:eastAsia="仿宋"/>
          <w:sz w:val="32"/>
          <w:szCs w:val="32"/>
          <w:lang w:val="en-US" w:eastAsia="zh-CN"/>
        </w:rPr>
        <w:t>万元和日常公用经费215.27</w:t>
      </w:r>
      <w:r>
        <w:rPr>
          <w:rFonts w:hint="default" w:ascii="仿宋" w:hAnsi="仿宋" w:eastAsia="仿宋"/>
          <w:sz w:val="32"/>
          <w:szCs w:val="32"/>
          <w:lang w:val="en-US" w:eastAsia="zh-CN"/>
        </w:rPr>
        <w:t xml:space="preserve"> </w:t>
      </w:r>
      <w:r>
        <w:rPr>
          <w:rFonts w:hint="eastAsia" w:ascii="仿宋" w:hAnsi="仿宋" w:eastAsia="仿宋"/>
          <w:sz w:val="32"/>
          <w:szCs w:val="32"/>
          <w:lang w:val="en-US" w:eastAsia="zh-CN"/>
        </w:rPr>
        <w:t>万元；项目支出 532.76</w:t>
      </w:r>
      <w:r>
        <w:rPr>
          <w:rFonts w:hint="default" w:ascii="仿宋" w:hAnsi="仿宋" w:eastAsia="仿宋"/>
          <w:sz w:val="32"/>
          <w:szCs w:val="32"/>
          <w:lang w:val="en-US" w:eastAsia="zh-CN"/>
        </w:rPr>
        <w:t xml:space="preserve"> </w:t>
      </w:r>
      <w:r>
        <w:rPr>
          <w:rFonts w:hint="eastAsia" w:ascii="仿宋" w:hAnsi="仿宋" w:eastAsia="仿宋"/>
          <w:sz w:val="32"/>
          <w:szCs w:val="32"/>
          <w:lang w:val="en-US" w:eastAsia="zh-CN"/>
        </w:rPr>
        <w:t>万元。</w:t>
      </w:r>
    </w:p>
    <w:p w14:paraId="00BD5915">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2023年</w:t>
      </w:r>
      <w:r>
        <w:rPr>
          <w:rFonts w:hint="default" w:ascii="仿宋" w:hAnsi="仿宋" w:eastAsia="仿宋"/>
          <w:sz w:val="32"/>
          <w:szCs w:val="32"/>
          <w:lang w:val="en-US" w:eastAsia="zh-CN"/>
        </w:rPr>
        <w:t>部门</w:t>
      </w:r>
      <w:r>
        <w:rPr>
          <w:rFonts w:hint="eastAsia" w:ascii="仿宋" w:hAnsi="仿宋" w:eastAsia="仿宋"/>
          <w:sz w:val="32"/>
          <w:szCs w:val="32"/>
          <w:lang w:val="en-US" w:eastAsia="zh-CN"/>
        </w:rPr>
        <w:t>决算</w:t>
      </w:r>
      <w:r>
        <w:rPr>
          <w:rFonts w:hint="default" w:ascii="仿宋" w:hAnsi="仿宋" w:eastAsia="仿宋"/>
          <w:sz w:val="32"/>
          <w:szCs w:val="32"/>
          <w:lang w:val="en-US" w:eastAsia="zh-CN"/>
        </w:rPr>
        <w:t>的总体情况</w:t>
      </w:r>
      <w:r>
        <w:rPr>
          <w:rFonts w:hint="eastAsia" w:ascii="仿宋" w:hAnsi="仿宋" w:eastAsia="仿宋"/>
          <w:sz w:val="32"/>
          <w:szCs w:val="32"/>
          <w:lang w:val="en-US" w:eastAsia="zh-CN"/>
        </w:rPr>
        <w:t>：</w:t>
      </w:r>
    </w:p>
    <w:p w14:paraId="27BA4143">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1.收入说明：石家庄市鹿泉区黄壁庄镇人民政府2023年度收入合计1772.62万元，其中：财政拨款收入1772.62万元，占100%。</w:t>
      </w:r>
    </w:p>
    <w:p w14:paraId="520DBA55">
      <w:pPr>
        <w:widowControl w:val="0"/>
        <w:wordWrap/>
        <w:spacing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 w:hAnsi="仿宋" w:eastAsia="仿宋"/>
          <w:sz w:val="32"/>
          <w:szCs w:val="32"/>
          <w:lang w:val="en-US" w:eastAsia="zh-CN"/>
        </w:rPr>
        <w:t>2.支出说明：石家庄市鹿泉区黄壁庄镇人民政府2023年度支出合计1772.62万元，其中：基本支出1463.05万元，占82.5%；项目支出309.57万元，占17.5%。</w:t>
      </w:r>
    </w:p>
    <w:p w14:paraId="53AE7809">
      <w:pPr>
        <w:numPr>
          <w:ilvl w:val="0"/>
          <w:numId w:val="1"/>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5133B92B">
      <w:pPr>
        <w:pStyle w:val="7"/>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部门总体绩效目标：认真落实国家政策方针，充分发挥经济管理职能，加强本乡镇全体民众的政策引导，为全镇人民提供公共服务，主动维护社会稳定，积极构建和谐社会，防范安全生产事故，营造安全氛围，改善生态环境，持续巩固已建成的省级美丽乡村成果，为建设生态宜居、乡风文明、人民满意的生态水源地、绿色黄壁庄不懈努力。</w:t>
      </w:r>
    </w:p>
    <w:p w14:paraId="7EDC133F">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cs="黑体"/>
          <w:b w:val="0"/>
          <w:bCs w:val="0"/>
          <w:kern w:val="2"/>
          <w:sz w:val="32"/>
          <w:szCs w:val="32"/>
          <w:lang w:val="en-US" w:eastAsia="zh-CN" w:bidi="ar-SA"/>
        </w:rPr>
      </w:pPr>
      <w:r>
        <w:rPr>
          <w:rFonts w:hint="default" w:ascii="仿宋" w:hAnsi="仿宋" w:eastAsia="仿宋" w:cs="黑体"/>
          <w:b w:val="0"/>
          <w:bCs w:val="0"/>
          <w:kern w:val="2"/>
          <w:sz w:val="32"/>
          <w:szCs w:val="32"/>
          <w:lang w:val="en-US" w:eastAsia="zh-CN" w:bidi="ar-SA"/>
        </w:rPr>
        <w:t>我们</w:t>
      </w:r>
      <w:r>
        <w:rPr>
          <w:rFonts w:hint="eastAsia" w:ascii="仿宋" w:hAnsi="仿宋" w:eastAsia="仿宋" w:cs="黑体"/>
          <w:b w:val="0"/>
          <w:bCs w:val="0"/>
          <w:kern w:val="2"/>
          <w:sz w:val="32"/>
          <w:szCs w:val="32"/>
          <w:lang w:val="en-US" w:eastAsia="zh-CN" w:bidi="ar-SA"/>
        </w:rPr>
        <w:t>将始终坚持以习近平新时代中国特色社会主义思想为指导，坚持以人民为中心的发展思想，深入学习宣传贯彻党的二十大精神，弘扬伟大建党精神，紧紧围绕全区“四个率先突破”“六区同创”总要求，</w:t>
      </w:r>
      <w:r>
        <w:rPr>
          <w:rFonts w:hint="default" w:ascii="仿宋" w:hAnsi="仿宋" w:eastAsia="仿宋" w:cs="黑体"/>
          <w:b w:val="0"/>
          <w:bCs w:val="0"/>
          <w:kern w:val="2"/>
          <w:sz w:val="32"/>
          <w:szCs w:val="32"/>
          <w:lang w:val="en-US" w:eastAsia="zh-CN" w:bidi="ar-SA"/>
        </w:rPr>
        <w:t>团结带领全镇广大干部群众，</w:t>
      </w:r>
      <w:r>
        <w:rPr>
          <w:rFonts w:hint="eastAsia" w:ascii="仿宋" w:hAnsi="仿宋" w:eastAsia="仿宋" w:cs="黑体"/>
          <w:b w:val="0"/>
          <w:bCs w:val="0"/>
          <w:kern w:val="2"/>
          <w:sz w:val="32"/>
          <w:szCs w:val="32"/>
          <w:lang w:val="en-US" w:eastAsia="zh-CN" w:bidi="ar-SA"/>
        </w:rPr>
        <w:t>抢抓北部振兴的重大机遇，坚持</w:t>
      </w:r>
      <w:r>
        <w:rPr>
          <w:rFonts w:hint="default" w:ascii="仿宋" w:hAnsi="仿宋" w:eastAsia="仿宋" w:cs="黑体"/>
          <w:b w:val="0"/>
          <w:bCs w:val="0"/>
          <w:kern w:val="2"/>
          <w:sz w:val="32"/>
          <w:szCs w:val="32"/>
          <w:lang w:val="en-US" w:eastAsia="zh-CN" w:bidi="ar-SA"/>
        </w:rPr>
        <w:t>抓党建促乡村振兴、打造生态农业</w:t>
      </w:r>
      <w:r>
        <w:rPr>
          <w:rFonts w:hint="eastAsia" w:ascii="仿宋" w:hAnsi="仿宋" w:eastAsia="仿宋" w:cs="黑体"/>
          <w:b w:val="0"/>
          <w:bCs w:val="0"/>
          <w:kern w:val="2"/>
          <w:sz w:val="32"/>
          <w:szCs w:val="32"/>
          <w:lang w:val="en-US" w:eastAsia="zh-CN" w:bidi="ar-SA"/>
        </w:rPr>
        <w:t>乡</w:t>
      </w:r>
      <w:r>
        <w:rPr>
          <w:rFonts w:hint="default" w:ascii="仿宋" w:hAnsi="仿宋" w:eastAsia="仿宋" w:cs="黑体"/>
          <w:b w:val="0"/>
          <w:bCs w:val="0"/>
          <w:kern w:val="2"/>
          <w:sz w:val="32"/>
          <w:szCs w:val="32"/>
          <w:lang w:val="en-US" w:eastAsia="zh-CN" w:bidi="ar-SA"/>
        </w:rPr>
        <w:t>镇、</w:t>
      </w:r>
      <w:r>
        <w:rPr>
          <w:rFonts w:hint="eastAsia" w:ascii="仿宋" w:hAnsi="仿宋" w:eastAsia="仿宋" w:cs="黑体"/>
          <w:b w:val="0"/>
          <w:bCs w:val="0"/>
          <w:kern w:val="2"/>
          <w:sz w:val="32"/>
          <w:szCs w:val="32"/>
          <w:lang w:val="en-US" w:eastAsia="zh-CN" w:bidi="ar-SA"/>
        </w:rPr>
        <w:t>主动</w:t>
      </w:r>
      <w:r>
        <w:rPr>
          <w:rFonts w:hint="default" w:ascii="仿宋" w:hAnsi="仿宋" w:eastAsia="仿宋" w:cs="黑体"/>
          <w:b w:val="0"/>
          <w:bCs w:val="0"/>
          <w:kern w:val="2"/>
          <w:sz w:val="32"/>
          <w:szCs w:val="32"/>
          <w:lang w:val="en-US" w:eastAsia="zh-CN" w:bidi="ar-SA"/>
        </w:rPr>
        <w:t>融入滹沱河生态经济带，全方位推动五大振兴，全面打造沿滹沱河</w:t>
      </w:r>
      <w:r>
        <w:rPr>
          <w:rFonts w:hint="eastAsia" w:ascii="仿宋" w:hAnsi="仿宋" w:eastAsia="仿宋" w:cs="黑体"/>
          <w:b w:val="0"/>
          <w:bCs w:val="0"/>
          <w:kern w:val="2"/>
          <w:sz w:val="32"/>
          <w:szCs w:val="32"/>
          <w:lang w:val="en-US" w:eastAsia="zh-CN" w:bidi="ar-SA"/>
        </w:rPr>
        <w:t>片区</w:t>
      </w:r>
      <w:r>
        <w:rPr>
          <w:rFonts w:hint="default" w:ascii="仿宋" w:hAnsi="仿宋" w:eastAsia="仿宋" w:cs="黑体"/>
          <w:b w:val="0"/>
          <w:bCs w:val="0"/>
          <w:kern w:val="2"/>
          <w:sz w:val="32"/>
          <w:szCs w:val="32"/>
          <w:lang w:val="en-US" w:eastAsia="zh-CN" w:bidi="ar-SA"/>
        </w:rPr>
        <w:t>乡村振兴带、生态经济带</w:t>
      </w:r>
      <w:r>
        <w:rPr>
          <w:rFonts w:hint="eastAsia" w:ascii="仿宋" w:hAnsi="仿宋" w:eastAsia="仿宋" w:cs="黑体"/>
          <w:b w:val="0"/>
          <w:bCs w:val="0"/>
          <w:kern w:val="2"/>
          <w:sz w:val="32"/>
          <w:szCs w:val="32"/>
          <w:lang w:val="en-US" w:eastAsia="zh-CN" w:bidi="ar-SA"/>
        </w:rPr>
        <w:t>，为建设生态宜居、乡风文明、人民满意的黄壁庄努力奋斗！</w:t>
      </w:r>
    </w:p>
    <w:p w14:paraId="4F57E373">
      <w:pPr>
        <w:pStyle w:val="8"/>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一）发展优势产业，创建特色知名品牌。围绕镇域实际，鼓励支持石家庄市鹿泉区吉武农产品专业合作社、河北生之谷农业科技有限公司扩大发展规模，建设高质量产业园示范区，帮助扶持田村千汇多肉种植基地、古贤豆腐坊等品牌创建和市场宣传，扩大品牌知名度和影响力，做好产业融合，延长产业链，实现经济高质量发展。</w:t>
      </w:r>
    </w:p>
    <w:p w14:paraId="7B4BE045">
      <w:pPr>
        <w:pStyle w:val="8"/>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二）完善基础设施，持续增进民生福祉。将持续不断改善民生列入重点工作，优化人居环境，持续加强基础设施建设，实现美丽乡村精品化，进一步提高群众幸福感和满意度。同时，抢抓北部振兴机遇，围绕滹沱河等资源优势，完善休闲娱乐等服务设施建设，吸引更多游客前来观光游玩。</w:t>
      </w:r>
    </w:p>
    <w:p w14:paraId="44757AC9">
      <w:pPr>
        <w:pStyle w:val="8"/>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三）注重项目建设，加大招商引资力度。通过招商推介领导小组引进更多优质项目在我镇落地生根。抢抓滹沱河生态经济带建设和水源地调整的重大机遇，持续优化营商环境，整合资源，加强对接，谋划推进绿色低碳高效的生态经济项目，打好项目建设翻身仗，为全区高质量发展做贡献。</w:t>
      </w:r>
    </w:p>
    <w:p w14:paraId="1438D965">
      <w:pPr>
        <w:pStyle w:val="7"/>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（四）完善基层治理体系，提升社会治理水平。</w:t>
      </w:r>
      <w:r>
        <w:rPr>
          <w:rFonts w:hint="default" w:ascii="仿宋" w:hAnsi="仿宋" w:eastAsia="仿宋" w:cs="黑体"/>
          <w:b w:val="0"/>
          <w:bCs w:val="0"/>
          <w:kern w:val="2"/>
          <w:sz w:val="32"/>
          <w:szCs w:val="32"/>
          <w:lang w:val="en-US" w:eastAsia="zh-CN" w:bidi="ar-SA"/>
        </w:rPr>
        <w:t>大力弘扬新时代“枫桥经验”，构建一站式多元化矛盾纠纷化解机制，做到信访问题“动态清零”，打造无信访村。常态化开展扫黑除恶斗争，持续打击“村霸”等黑恶势力，深入推进宗教领域系统治理，有效化解宗教领域风险隐患。</w:t>
      </w:r>
      <w:r>
        <w:rPr>
          <w:rFonts w:hint="eastAsia" w:ascii="仿宋" w:hAnsi="仿宋" w:eastAsia="仿宋" w:cs="黑体"/>
          <w:b w:val="0"/>
          <w:bCs w:val="0"/>
          <w:kern w:val="2"/>
          <w:sz w:val="32"/>
          <w:szCs w:val="32"/>
          <w:lang w:val="en-US" w:eastAsia="zh-CN" w:bidi="ar-SA"/>
        </w:rPr>
        <w:t xml:space="preserve">统筹做好安全生产、食品药品安全、消防、防火等工作，严防各类安全事故发生。 </w:t>
      </w:r>
    </w:p>
    <w:p w14:paraId="2E0A760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jc w:val="left"/>
        <w:textAlignment w:val="auto"/>
        <w:outlineLvl w:val="9"/>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部门整体支出绩效指标：绩效指标权重由各部门根据评价对象实际情况确定，总分设定为100分。原则上一级指标权重统一设置为：产出指标 40分（包含数量、质量、时效、成本)预算执行率指标 10分、效益指标 40 分（包含经济效益、社会效益、生态效益、可持续影响）、满意度指标 10分，二、三级指标所占权重应当根据指标重要程度、项目实施阶段等因素综合确定，准确反映预算项目的产出和效果。同类评价对象的指标权重设置基本一致，便于评价结果相互比较。</w:t>
      </w:r>
    </w:p>
    <w:p w14:paraId="525B1738">
      <w:pPr>
        <w:pStyle w:val="7"/>
        <w:rPr>
          <w:rFonts w:hint="eastAsia" w:ascii="仿宋" w:hAnsi="仿宋" w:eastAsia="仿宋" w:cs="黑体"/>
          <w:b w:val="0"/>
          <w:bCs w:val="0"/>
          <w:kern w:val="2"/>
          <w:sz w:val="32"/>
          <w:szCs w:val="32"/>
          <w:lang w:val="en-US" w:eastAsia="uk-UA" w:bidi="ar-SA"/>
        </w:rPr>
      </w:pPr>
    </w:p>
    <w:p w14:paraId="366A396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FD28CB0">
      <w:pPr>
        <w:spacing w:line="560" w:lineRule="exact"/>
        <w:rPr>
          <w:rFonts w:hint="eastAsia" w:ascii="仿宋" w:hAnsi="仿宋" w:eastAsia="仿宋"/>
          <w:b/>
          <w:bCs/>
          <w:sz w:val="32"/>
          <w:szCs w:val="32"/>
          <w:lang w:val="en-US" w:eastAsia="zh-CN"/>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r>
        <w:rPr>
          <w:rFonts w:hint="eastAsia" w:ascii="仿宋" w:hAnsi="仿宋" w:eastAsia="仿宋"/>
          <w:sz w:val="32"/>
          <w:szCs w:val="32"/>
        </w:rPr>
        <w:t xml:space="preserve">  </w:t>
      </w:r>
    </w:p>
    <w:p w14:paraId="7B6C475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资料收集：绩效自评工作小组确定需要收集的资料，通过翻阅项目账本、原始凭证、询问相关科室确定自评的数据资料，各科室积极配合，告知自评小组相关项目概况、社会效益，自评小组通过实地考察、走街访户确定项目相关的质量信息和群众满意度。</w:t>
      </w:r>
    </w:p>
    <w:p w14:paraId="75974ED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过程：成立绩效自评工作小组，收集项目资料，全面了解建设项目管理制度和流程、资金使用情况、受益群体的反馈情况，在收集和审核项目资料的基础上，制定了绩效评价指标体系，并进一步修改和完善，最后根据评价标准和资料依据，进行了分析，得出评价结论。</w:t>
      </w:r>
    </w:p>
    <w:p w14:paraId="42B619E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评价工作管理组织：绩效自评工作小组</w:t>
      </w:r>
    </w:p>
    <w:p w14:paraId="11AFE25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组长：王晓光</w:t>
      </w:r>
    </w:p>
    <w:p w14:paraId="68121D7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副组长：刘爱琴</w:t>
      </w:r>
    </w:p>
    <w:p w14:paraId="3BCC82D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组员：杨晓宇、刘晓燕、尹海霆</w:t>
      </w:r>
    </w:p>
    <w:p w14:paraId="0FBB9530">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AB2C0B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评价方法：</w:t>
      </w:r>
    </w:p>
    <w:p w14:paraId="02A720D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成本效益分析法、对比分析法、因素分析法、公众评判法</w:t>
      </w:r>
    </w:p>
    <w:p w14:paraId="1F3E9E3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评价过程：</w:t>
      </w:r>
    </w:p>
    <w:p w14:paraId="0ECC06F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1.部门整体支出绩效自评指表评分表的指标解释和指标说明，结合本单位实际情況作出分析；</w:t>
      </w:r>
    </w:p>
    <w:p w14:paraId="610439D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2、根据以上指标对比实际情况给与每个小项打分；</w:t>
      </w:r>
    </w:p>
    <w:p w14:paraId="0EB8A8D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3、完成部门整体支出绩效自评指表评分表打分，进行总结全面分析本单位通过绩效评价分析存在的问题，提出的问题，并且进行分析整改。</w:t>
      </w:r>
    </w:p>
    <w:p w14:paraId="5DB1B5B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ascii="楷体" w:hAnsi="楷体" w:eastAsia="楷体" w:cs="楷体_GB2312"/>
          <w:bCs/>
          <w:sz w:val="32"/>
          <w:szCs w:val="32"/>
        </w:rPr>
      </w:pPr>
      <w:r>
        <w:rPr>
          <w:rFonts w:hint="eastAsia" w:ascii="仿宋" w:hAnsi="仿宋" w:eastAsia="仿宋"/>
          <w:sz w:val="32"/>
          <w:szCs w:val="32"/>
          <w:lang w:val="en-US" w:eastAsia="zh-CN"/>
        </w:rPr>
        <w:t>4、将绩效评价结果运用。</w:t>
      </w:r>
    </w:p>
    <w:p w14:paraId="7110F78E">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0691967">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6436499">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我单位积极履职，强化管理，能够根据年初工作规划和重点工作，加强预算收支管理，建立健全内部管理制度，梳理内部管理流程，使部门整体支出管理情況得到提升，认真落实国家政策方针，充分发挥经济管理职能，加强本乡镇全体民众的政策引导，为全镇人民提供公共服务，主动维护社会稳定，积极构建和谐社会，防范安全生产事故，营造安全氛围，改善生态环境，持续巩固已建成的省级美丽乡村成果，全部按时并高质量完成绩效目标。</w:t>
      </w:r>
    </w:p>
    <w:p w14:paraId="02C8280B">
      <w:pPr>
        <w:widowControl w:val="0"/>
        <w:wordWrap/>
        <w:spacing w:line="560" w:lineRule="exact"/>
        <w:ind w:right="0" w:firstLine="643" w:firstLineChars="200"/>
        <w:textAlignment w:val="auto"/>
        <w:outlineLvl w:val="9"/>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6DAB764">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（1）2023年区级田村废弃地道塌陷勘测和修复工程</w:t>
      </w:r>
    </w:p>
    <w:p w14:paraId="6D8894BB">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村内天然气管道、污水管网修建的开挖，导致地道不稳定性、不确定性逐年增加，部分地道已发生明显塌陷危害，废弃地道地道塌陷直接威胁到村内燃气管道、供排水设施、居民房屋及居住区的环境安全。对田村村10处地塌陷地方进行维修；到雨季时防止地道塌陷杜绝安全事故发生。</w:t>
      </w:r>
    </w:p>
    <w:p w14:paraId="572EFD6E">
      <w:pPr>
        <w:pStyle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路面塌陷10处，路面修整面积258平方米，路面修整单价542元/平米，路面铺新土方数1500方，路面铺新土单价85元/方，清理废土及垃圾方数903方，清理废土及垃圾单价40元/方，按时完工率大于等于95%，验收合格率大于等于95%，执行率达96%，执行率未达到100%扣一分，得分99分。</w:t>
      </w:r>
    </w:p>
    <w:p w14:paraId="76B5683E">
      <w:pPr>
        <w:pStyle w:val="9"/>
        <w:ind w:left="0" w:leftChars="0" w:firstLine="320" w:firstLineChars="1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（2）2023年区级232省道至小壁林区道路两侧美化绿化工程</w:t>
      </w:r>
    </w:p>
    <w:p w14:paraId="158C9091">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按照我镇“十四五”规划中建设滹沱河沿线美丽乡村片区的工作谋划，美化绿化该道路提升镇村形象；提高路网建设水平、优化营商环境、提升群众幸福指数；建设宜居宜游的美丽新农村。232省道至小壁林区道路两侧美化绿化，硬化1条上吕村到小壁林区乡间道路，道路两侧平整、加固两侧路肩，清理垃圾，修建树池，道路两侧种植可观赏树木，道路全段热熔标线。</w:t>
      </w:r>
    </w:p>
    <w:p w14:paraId="46F15AD0">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绩效指标：道路硬化大于等于2280平方米，种植可观赏树木大于等于5000棵，道路热熔线大于等于1800米，清理垃圾4000方，验收合格率大于等于95%，及时完工率大于等于95%。全部达到绩效目标，得分100分。</w:t>
      </w:r>
    </w:p>
    <w:p w14:paraId="19775FD1">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（3）2023年区级黄壁庄镇离退休党支部规范化建设提升工程</w:t>
      </w:r>
    </w:p>
    <w:p w14:paraId="4AC1C234">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绩效目标：离退休党支部进行了室内外装修，主要是墙壁喷涂、院落铺砖和安装不锈钢栏杆等项目，优化党支部办公环境，提高为群众办事效率。</w:t>
      </w:r>
    </w:p>
    <w:p w14:paraId="00D5C8E7">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室内装修板面积465.12平米，室内装修版单价100元/平方米，墙壁喷涂面积3081平米，墙壁喷涂单价14.12元/平方米，院内铺砖面积500平米，院内铺砖单价25元/平方米，验收合格率大于等于95%，按时完工率大于等于95%。全部达到绩效目标，得分100分。</w:t>
      </w:r>
    </w:p>
    <w:p w14:paraId="69EA2C18">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（4）2023年区级截导流坑塘及配套工程后续运行管护资金</w:t>
      </w:r>
    </w:p>
    <w:p w14:paraId="5907255D">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绩效目标：为保证黄壁庄镇截导流坑塘及配套工程的正常运行，对截导流后续工作进行管护，改善水资源问题，优化环境，提升群众幸福指数。</w:t>
      </w:r>
      <w:r>
        <w:rPr>
          <w:rFonts w:hint="eastAsia" w:ascii="仿宋" w:hAnsi="仿宋" w:eastAsia="仿宋" w:cs="黑体"/>
          <w:kern w:val="2"/>
          <w:sz w:val="32"/>
          <w:szCs w:val="32"/>
          <w:lang w:val="en-US" w:eastAsia="zh-CN" w:bidi="ar-SA"/>
        </w:rPr>
        <w:tab/>
      </w:r>
    </w:p>
    <w:p w14:paraId="27405A68">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管护坑塘数量2个，污水设备运行单位成本8000元/年，管护成本48000元/年，二氧化氯粉材料费8000元/年，灌溉成本1000元/年，垃圾清运费800元/年，实际工程验收合格数量占总数量的比率大于等于95%，管护坑塘设备及时完工率大于等于95%。全部达到绩效目标，得分100分。</w:t>
      </w:r>
    </w:p>
    <w:p w14:paraId="6FCD2A0C">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（5）2023年区级滹沱河生态修复三期工程占地补偿费</w:t>
      </w:r>
    </w:p>
    <w:p w14:paraId="52143837">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滹沱河生态修复三期工程占地生态补贴后美化乡村环境，工程量包括6.7公里主槽疏浚、岸坡修整、岸坡防护、水生态及道路修复，土方开挖375万立方米，生态绿化面积达到379.11万平方米，该项目2021年全部完工，项目占用下黄壁村、黄壁庄村集体土地478.86亩。补贴到位后缓解村内困难人民生活困难，进一步提升群众生活水平，提升群众幸福感。</w:t>
      </w:r>
    </w:p>
    <w:p w14:paraId="0CEDBC95">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拥有集体土地使用证的总占地面积478.86亩，拥有集体土地使用证占地面积每亩补贴标准1440元/亩，拥有其他土地使用证的总占用面积2818.14亩，拥有其他土地占用面积每亩补贴标准400元、亩，补助、补贴发放覆盖率95%，补助、补贴发放时间：按规定时间及时发放。全部达到绩效目标，得分100分。</w:t>
      </w:r>
    </w:p>
    <w:p w14:paraId="6B5AEB2E">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（6）2023年区级军队退役人员劳务派遣、公益岗位工资及保险</w:t>
      </w:r>
    </w:p>
    <w:p w14:paraId="4CA34055">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绩效目标：我镇对符合就业困难条件退役军人12人，实行公益岗位托管安置；帮扶救助到位，加大救助工作，实现就业；使退役军人实现最基本生活保障，通过公益岗位予以托管，共需资金65.972964元。</w:t>
      </w:r>
    </w:p>
    <w:p w14:paraId="201DB5C9">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涉军人员工资发放完成率100%,退役军人人数12人，涉军人员工资发放及时率100%，涉军人员工资标准不低于3300元；维持单位服务能力98%；涉军公益岗位人员工资发放完成情况100%，执行率99%，执行率未达到100%扣一分，得分99分。</w:t>
      </w:r>
    </w:p>
    <w:p w14:paraId="78CD3EB5">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（7）2023年区级微型消防站建设</w:t>
      </w:r>
    </w:p>
    <w:p w14:paraId="476BA68C">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黄壁庄镇需配备10个村及乡镇的消防设备共11套，涉及采购内容：微型消防柜780元；消防灭火防护服、消防头盔、消防手套、消防安全腰带、消防灭火防护靴8850元、消防腰斧90元；消防轻型安全绳165元、消防过滤式自救呼吸器159元；手持对讲机320元、消防斧28元；绝缘剪断钳230元；铁铤42元；机动消防泵3000元；电动消防车20300元。进一步微型消防站建整合多种形式消防力量，将防火、灭火和宣传功能有机整合，以救早、灭小和“3分钟到场”扑初起火灾为目标着力提高社会火灾防控整体水平。</w:t>
      </w:r>
    </w:p>
    <w:p w14:paraId="19F0F628">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配备消防设备数量11套；建成一个微型消防站所需剩余成本18.88万元；通过验收的工程量占建设工程总量的比率不低于95%；实际完成的工程量占计划完成工程总量的比率不低于95%；消防设备使用年限不低于10年；消防设备健全后受益人数不少于19000人；受益人口满意度达到93%，执行率99%，受益人口满意度未达到95%扣两分，执行率未达到100%扣一分，得分97分。</w:t>
      </w:r>
    </w:p>
    <w:p w14:paraId="3C18279B">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（8）2023年区级村庄规划费</w:t>
      </w:r>
    </w:p>
    <w:p w14:paraId="3E0B9DC9">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按照区自然资源和规划局“多规合一”实用性村庄规划编制要求，编制黄壁庄镇10个村村庄规划，主要是结合村庄现状，利用原有路基、空闲地，优化村庄道路布局使农村居住环境进一步提升，提升人民群众居住幸福感。</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14:paraId="537D3EAE">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绩效指标：村庄规划编制数量10个，村庄规划编制合格率100%，村庄规划编制及时完成率100%，村庄规划编制成本15万元，村庄规划编制持续发展作用大于等于30年。全部达到绩效目标，得分100分。</w:t>
      </w:r>
    </w:p>
    <w:p w14:paraId="2A76613E">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（9）2023年区级滹沱河沿岸村庄人居环境提升</w:t>
      </w:r>
    </w:p>
    <w:p w14:paraId="5735A72F">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绩效目标：滹沱河沿岸人居环境提升需对道路村庄沿岸6600米地方进行人居环境提升工作，有效提升人们生活质量，提升人民幸福感。</w:t>
      </w:r>
    </w:p>
    <w:p w14:paraId="1F5BDAA4">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下黄壁浆砌石挡墙长度1800米；下黄壁浆砌石挡墙成本40万元；下黄壁光伏发电面积640平方米；下黄壁光伏发电成本55万元；下黄壁西环北环人居环境整治长度2000米；下黄壁西环北环人居环境整治长度所需成本58万元；下黄壁建设面食加工厂1座；建设面食加工厂所需成本40万元；上黄壁战备路护坡、道路修复、绿化总长度2800米；上黄壁战备路护坡、道路修复、绿化总成本50万元；上黄壁长兴街村庄种植绿植650棵；通过验收的工程量占建设工程总量的比率不低于98%；实际完成的工程量占总体完成工程总量的比率不低于98%；建成后预计使用年限10年；修建完工后受益人口数1900人；调查中满意和较满意的群众人数占全部调查人数的比率95%。人口满意度未达到98%扣一分，得分99分。</w:t>
      </w:r>
    </w:p>
    <w:p w14:paraId="414098F6">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（10）2023年镇级专项公用经费</w:t>
      </w:r>
    </w:p>
    <w:p w14:paraId="1C143B6E">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 2023年专项公用经费预算资金，保障全单位83人工作正常，共计164.08万元。保障单位日常工作正常运转</w:t>
      </w:r>
      <w:r>
        <w:rPr>
          <w:rFonts w:hint="eastAsia" w:ascii="仿宋" w:hAnsi="仿宋" w:eastAsia="仿宋" w:cs="黑体"/>
          <w:kern w:val="2"/>
          <w:sz w:val="32"/>
          <w:szCs w:val="32"/>
          <w:lang w:val="en-US" w:eastAsia="zh-CN" w:bidi="ar-SA"/>
        </w:rPr>
        <w:tab/>
      </w:r>
    </w:p>
    <w:p w14:paraId="62ABC386">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保障办公人数83人；各项日常工作保障率不低于98%；及时保障各项日常办公需要不低于98%；单位人员满意度不低于98%；长期使用性，长期保障；专项公用经费支出，按规定指出。全部达到绩效目标，得分100分。</w:t>
      </w:r>
    </w:p>
    <w:p w14:paraId="54BF0729">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（11）公共文化设施免费开放（乡镇文化站）</w:t>
      </w:r>
    </w:p>
    <w:p w14:paraId="085E6CE7">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绩效目标：举办黄壁庄镇文化公共设施免费开放交流活动，扩大黄壁庄镇影响力，提升人民幸福指数、提升人民生活质量。</w:t>
      </w:r>
    </w:p>
    <w:p w14:paraId="72AA7001">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免费开放交流活动场次不低于30次；免费开放交流活动成本15000元；免费开放交流活动覆盖率，黄壁庄镇10个行政村都可参与免费开放活动；交流活动按期完成率不低于98%；举办文化活动持续性不低于5年；人民群众满意度不低于98%。全部达到绩效目标，得分100分。</w:t>
      </w:r>
    </w:p>
    <w:p w14:paraId="594FA087">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（12）2023年镇级代课老师工资</w:t>
      </w:r>
    </w:p>
    <w:p w14:paraId="57DF16C7">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绩效目标：用于2023年全年镇级43名代课教师工资，满足学校工作正常运转。</w:t>
      </w:r>
      <w:r>
        <w:rPr>
          <w:rFonts w:hint="eastAsia" w:ascii="仿宋" w:hAnsi="仿宋" w:eastAsia="仿宋" w:cs="黑体"/>
          <w:kern w:val="2"/>
          <w:sz w:val="32"/>
          <w:szCs w:val="32"/>
          <w:lang w:val="en-US" w:eastAsia="zh-CN" w:bidi="ar-SA"/>
        </w:rPr>
        <w:tab/>
      </w:r>
    </w:p>
    <w:p w14:paraId="0B0B1652">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绩效指标:保障人数43人；工资发放的准确性不低于98%；工资按规定时间发放；工资发放标准按规定执行；长期发放；单位人员满意度不低于98%，执行率99%，执行率未达到100%扣一分，得分99分。</w:t>
      </w:r>
    </w:p>
    <w:p w14:paraId="2903E001">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（13）2023年区级人居环境整治、露天焚烧隐患清理</w:t>
      </w:r>
    </w:p>
    <w:p w14:paraId="150A2AAD">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我镇组织各村大力开展人居环境政治工作，对京赞线、环坝公路、田村村东、沿村村南等范围内所有道路两侧、边渠等易发生露天焚烧问题区域的垃圾和秸秆、柴草等进行了清理整治，共清理垃10000立方米，每立方米26元。通过清理我镇区域内积存的垃圾、秸秆、柴草等进行整治，切实改善农村人居环境，提升人们幸福指数。</w:t>
      </w:r>
    </w:p>
    <w:p w14:paraId="4530F19F">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清理秸秆垃圾总方数10000立方米，清理我镇区域内积存的垃圾、秸秆、柴草等成本26万元，实际处理垃圾的数量占应处理垃圾数量的比例98%，实际完成的工程量占计划完成工程总量的比率98%，受益人口数19000人，切实改善农村人居环境提升人们幸福指数有效改善我镇区域内10个村积存垃圾，受益群众满意度98%。全部达到绩效目标，得分100分。</w:t>
      </w:r>
    </w:p>
    <w:p w14:paraId="07EEFE07">
      <w:pPr>
        <w:pStyle w:val="9"/>
        <w:numPr>
          <w:ilvl w:val="0"/>
          <w:numId w:val="4"/>
        </w:numPr>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农村生活垃圾清理资金</w:t>
      </w:r>
    </w:p>
    <w:p w14:paraId="613AE46F">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绩效目标：达到10个行政村垃圾桶表面无污垢、垃圾桶四周无散落垃圾，保障农村生活垃圾清理范围全覆盖，对10个行政村的街道清扫保洁并对产生的垃圾及时清理，日产日清，达到生活垃圾无积存。</w:t>
      </w:r>
    </w:p>
    <w:p w14:paraId="2213D4AD">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清扫保洁行政村数量10个，农村垃圾清扫面积617360平方米，农村生活垃圾处理率95%，清扫生活垃圾服务期限1年，生活垃圾处理预算成本98.69万元，生活垃圾处理及时率及时处理，改善农村环境质量改善环境质量，长期使用性得到保障，受益群众满意度调查95%。全部达到绩效目标，得分100分。</w:t>
      </w:r>
    </w:p>
    <w:p w14:paraId="557A8C98">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（15）黄壁庄镇对付子波及其家庭的信访救助金</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14:paraId="15FAD588">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绩效目标：拨付信访人付子波信访救助金10万元，解决部分合理需求，化解信访案件。</w:t>
      </w:r>
    </w:p>
    <w:p w14:paraId="333954B3">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黄壁庄镇实际发放补助人数1人，黄壁庄镇补助发放覆盖率100%，补助发放合规人数占发放总人数得比例100%，黄壁庄镇实际补助发放的时间按规定时间及时发放，实际人均补助标准10万元，受补助人生活水平提高程度生活水平提高，维护社会信访稳定化解信访积案，维护信访稳定，通过问卷调查，资助对象满意度调查95%。全部达到绩效目标，得分100分。</w:t>
      </w:r>
    </w:p>
    <w:p w14:paraId="53C22CB3">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（16）石财农【2021】88号2022年市级农村综合改革（黄壁庄镇一事一议项目）</w:t>
      </w:r>
    </w:p>
    <w:p w14:paraId="59AE179F">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绩效目标：安装路灯共90盏，修建排水沟共303米，道路硬化总面积3714平方米。农村环境得到改善提升，方便村民出行，有效提升人们生活质量，提升人民幸福感。</w:t>
      </w:r>
    </w:p>
    <w:p w14:paraId="6BDE74AD">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安装路灯盏数90盏，修建排水沟米数303米，道路硬化平方米数3714平方米，竣工验收合格率100%，项目按计划完工数占总工程量百分比100%，一事一议项目修建部分成本金额32.67万元，施工后使用年限10年，设施正常运转率95%，满意度95%。全部达到绩效目标，得分100分。</w:t>
      </w:r>
    </w:p>
    <w:p w14:paraId="000B90F0">
      <w:pPr>
        <w:pStyle w:val="9"/>
        <w:numPr>
          <w:ilvl w:val="0"/>
          <w:numId w:val="5"/>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石财农【2021】101号2022年省级农村综合改革转移支付资金（黄壁庄镇北白砂一事一议项目）</w:t>
      </w:r>
    </w:p>
    <w:p w14:paraId="360723FE">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浆砌石坡230米，路沿石230米，铺设水泥管道60米；铺设便道砖100米，宽5米，共500平方米；安装6米高金属喷漆灯杆搭配LED50w灯头4套。农村环境得到改善提升，方便村民出行，有效提升人们生活质量，提升人民幸福感。</w:t>
      </w:r>
    </w:p>
    <w:p w14:paraId="0DD88C42">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浆砌石坡长度230米，铺设路沿石长度230米，铺设水泥管道长度60米，铺设便道砖平方数500平方米，铺设便道砖平方数4套，竣工验收合格率100%，项目按计划完工数占总工程量百分比100%，一事一议项目修建部分成本金额32.67万元，施工后使用年限10年，设施正常运转率95%，满意度95%。全部达到绩效目标，得分100分。</w:t>
      </w:r>
    </w:p>
    <w:p w14:paraId="4B2CF143">
      <w:pPr>
        <w:pStyle w:val="9"/>
        <w:numPr>
          <w:ilvl w:val="0"/>
          <w:numId w:val="5"/>
        </w:numPr>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石财农【2022】58号2022年市级农村综合改革（黄壁庄镇一事一议项目）</w:t>
      </w:r>
    </w:p>
    <w:p w14:paraId="04746F0E">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绩效目标：安装路灯共90盏，修建排水沟共303米，道路硬化总面积3714平方米。农村环境得到改善提升，方便村民出行，有效提升人们生活质量，提升人民幸福感。</w:t>
      </w:r>
    </w:p>
    <w:p w14:paraId="572206EC">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安装路灯盏数90盏，修建排水沟米数303米，道路硬化平方米数3714平方米，竣工验收合格率100%，项目按计划完工数占总工程量百分比100%，一事一议项目修建部分成本金额37.83万元，施工后使用年限10年，设施正常运转率95%，满意度95%。全部达到绩效目标，得分100分。</w:t>
      </w:r>
    </w:p>
    <w:p w14:paraId="2C1B8946">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2E2110F">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202</w:t>
      </w:r>
      <w:r>
        <w:rPr>
          <w:rFonts w:hint="eastAsia" w:ascii="仿宋" w:hAnsi="仿宋" w:eastAsia="仿宋"/>
          <w:sz w:val="32"/>
          <w:szCs w:val="32"/>
          <w:lang w:val="en-US" w:eastAsia="zh-CN"/>
        </w:rPr>
        <w:t>3</w:t>
      </w:r>
      <w:r>
        <w:rPr>
          <w:rFonts w:hint="eastAsia" w:ascii="仿宋" w:hAnsi="仿宋" w:eastAsia="仿宋"/>
          <w:sz w:val="32"/>
          <w:szCs w:val="32"/>
          <w:lang w:eastAsia="zh-CN"/>
        </w:rPr>
        <w:t>年，我单位积极履职，强化管理，全部按时并高质量完成了目标任务，产出指标</w:t>
      </w:r>
      <w:r>
        <w:rPr>
          <w:rFonts w:hint="eastAsia" w:ascii="仿宋" w:hAnsi="仿宋" w:eastAsia="仿宋"/>
          <w:sz w:val="32"/>
          <w:szCs w:val="32"/>
          <w:lang w:val="en-US" w:eastAsia="zh-CN"/>
        </w:rPr>
        <w:t>4</w:t>
      </w:r>
      <w:r>
        <w:rPr>
          <w:rFonts w:hint="eastAsia" w:ascii="仿宋" w:hAnsi="仿宋" w:eastAsia="仿宋"/>
          <w:sz w:val="32"/>
          <w:szCs w:val="32"/>
          <w:lang w:eastAsia="zh-CN"/>
        </w:rPr>
        <w:t xml:space="preserve">0分，效益指标 </w:t>
      </w:r>
      <w:r>
        <w:rPr>
          <w:rFonts w:hint="eastAsia" w:ascii="仿宋" w:hAnsi="仿宋" w:eastAsia="仿宋"/>
          <w:sz w:val="32"/>
          <w:szCs w:val="32"/>
          <w:lang w:val="en-US" w:eastAsia="zh-CN"/>
        </w:rPr>
        <w:t>4</w:t>
      </w:r>
      <w:r>
        <w:rPr>
          <w:rFonts w:hint="eastAsia" w:ascii="仿宋" w:hAnsi="仿宋" w:eastAsia="仿宋"/>
          <w:sz w:val="32"/>
          <w:szCs w:val="32"/>
          <w:lang w:eastAsia="zh-CN"/>
        </w:rPr>
        <w:t>0分，服务对象满意度</w:t>
      </w:r>
      <w:r>
        <w:rPr>
          <w:rFonts w:hint="eastAsia" w:ascii="仿宋" w:hAnsi="仿宋" w:eastAsia="仿宋"/>
          <w:sz w:val="32"/>
          <w:szCs w:val="32"/>
          <w:lang w:val="en-US" w:eastAsia="zh-CN"/>
        </w:rPr>
        <w:t>9</w:t>
      </w:r>
      <w:r>
        <w:rPr>
          <w:rFonts w:hint="eastAsia" w:ascii="仿宋" w:hAnsi="仿宋" w:eastAsia="仿宋"/>
          <w:sz w:val="32"/>
          <w:szCs w:val="32"/>
          <w:lang w:eastAsia="zh-CN"/>
        </w:rPr>
        <w:t>分，执行率</w:t>
      </w:r>
      <w:r>
        <w:rPr>
          <w:rFonts w:hint="eastAsia" w:ascii="仿宋" w:hAnsi="仿宋" w:eastAsia="仿宋"/>
          <w:sz w:val="32"/>
          <w:szCs w:val="32"/>
          <w:lang w:val="en-US" w:eastAsia="zh-CN"/>
        </w:rPr>
        <w:t>9分，</w:t>
      </w:r>
      <w:r>
        <w:rPr>
          <w:rFonts w:hint="eastAsia" w:ascii="仿宋" w:hAnsi="仿宋" w:eastAsia="仿宋"/>
          <w:sz w:val="32"/>
          <w:szCs w:val="32"/>
          <w:lang w:eastAsia="zh-CN"/>
        </w:rPr>
        <w:t xml:space="preserve">自评分数为 </w:t>
      </w:r>
      <w:r>
        <w:rPr>
          <w:rFonts w:hint="eastAsia" w:ascii="仿宋" w:hAnsi="仿宋" w:eastAsia="仿宋"/>
          <w:sz w:val="32"/>
          <w:szCs w:val="32"/>
          <w:lang w:val="en-US" w:eastAsia="zh-CN"/>
        </w:rPr>
        <w:t>98</w:t>
      </w:r>
      <w:r>
        <w:rPr>
          <w:rFonts w:hint="eastAsia" w:ascii="仿宋" w:hAnsi="仿宋" w:eastAsia="仿宋"/>
          <w:sz w:val="32"/>
          <w:szCs w:val="32"/>
          <w:lang w:eastAsia="zh-CN"/>
        </w:rPr>
        <w:t>分，完成绩效目标。</w:t>
      </w:r>
      <w:r>
        <w:rPr>
          <w:rFonts w:hint="eastAsia" w:ascii="仿宋" w:hAnsi="仿宋" w:eastAsia="仿宋"/>
          <w:sz w:val="32"/>
          <w:szCs w:val="32"/>
          <w:lang w:val="en-US" w:eastAsia="zh-CN"/>
        </w:rPr>
        <w:t xml:space="preserve"> </w:t>
      </w:r>
    </w:p>
    <w:p w14:paraId="207E2F0E">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评价等级为优秀。</w:t>
      </w:r>
    </w:p>
    <w:p w14:paraId="57A4B94D">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2D58CE3C">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3F515B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0E3C91F">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rPr>
        <w:t>总体上我单位能够根据年初工作规划和重点工作，加强预算收支管理，建立健全内部管理制度，梳理内部管理流程，使部门整体支出管理情況得到提升，较好完成年度工作任务，但部门在绩效目标</w:t>
      </w:r>
      <w:r>
        <w:rPr>
          <w:rFonts w:hint="eastAsia" w:ascii="仿宋" w:hAnsi="仿宋" w:eastAsia="仿宋"/>
          <w:sz w:val="32"/>
          <w:szCs w:val="32"/>
          <w:lang w:eastAsia="zh-CN"/>
        </w:rPr>
        <w:t>编制</w:t>
      </w:r>
      <w:r>
        <w:rPr>
          <w:rFonts w:hint="eastAsia" w:ascii="仿宋" w:hAnsi="仿宋" w:eastAsia="仿宋"/>
          <w:sz w:val="32"/>
          <w:szCs w:val="32"/>
        </w:rPr>
        <w:t>、</w:t>
      </w:r>
      <w:r>
        <w:rPr>
          <w:rFonts w:hint="eastAsia" w:ascii="仿宋" w:hAnsi="仿宋" w:eastAsia="仿宋"/>
          <w:sz w:val="32"/>
          <w:szCs w:val="32"/>
          <w:lang w:eastAsia="zh-CN"/>
        </w:rPr>
        <w:t>预算执行和资金使用效率</w:t>
      </w:r>
      <w:r>
        <w:rPr>
          <w:rFonts w:hint="eastAsia" w:ascii="仿宋" w:hAnsi="仿宋" w:eastAsia="仿宋"/>
          <w:sz w:val="32"/>
          <w:szCs w:val="32"/>
        </w:rPr>
        <w:t>等方面仍有待完善。</w:t>
      </w:r>
    </w:p>
    <w:p w14:paraId="7C920BC8">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393521D8">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lang w:eastAsia="zh-CN"/>
        </w:rPr>
        <w:t>、量化绩效指标：在编制绩效目标时，应设立清晰具体且可衡量的绩效指标，</w:t>
      </w:r>
      <w:r>
        <w:rPr>
          <w:rFonts w:hint="eastAsia" w:ascii="仿宋" w:hAnsi="仿宋" w:eastAsia="仿宋"/>
          <w:sz w:val="32"/>
          <w:szCs w:val="32"/>
        </w:rPr>
        <w:t>仔细研究项目情况，结合单位实际，制定更加合理、更加易于考核量化的目标，更好的开展项目绩效工作。</w:t>
      </w:r>
    </w:p>
    <w:p w14:paraId="133ED332">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密切关注目标进展，加快预算执行：督促业务部门加快项目实施进度，确保年底全部执行完成所有预算目标，确保绩效目标得到全面贯彻执行，密切关注目标任务开展，适时调整工作内容和方向，确保绩效目标全面贯彻执行。</w:t>
      </w:r>
    </w:p>
    <w:p w14:paraId="6D0C622F">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640" w:firstLineChars="200"/>
        <w:textAlignment w:val="auto"/>
        <w:outlineLvl w:val="9"/>
        <w:rPr>
          <w:rFonts w:hint="eastAsia" w:ascii="黑体" w:hAnsi="黑体" w:eastAsia="黑体"/>
          <w:sz w:val="32"/>
          <w:szCs w:val="32"/>
        </w:rPr>
      </w:pPr>
      <w:r>
        <w:rPr>
          <w:rFonts w:hint="eastAsia" w:ascii="仿宋" w:hAnsi="仿宋" w:eastAsia="仿宋"/>
          <w:sz w:val="32"/>
          <w:szCs w:val="32"/>
          <w:lang w:val="en-US" w:eastAsia="zh-CN"/>
        </w:rPr>
        <w:t>3、透明度和公开度:在不影响敏感信息的前提下，提高绩效自评的透明度和公开度，以增强评估的公正性和可信度。</w:t>
      </w:r>
    </w:p>
    <w:p w14:paraId="0A2FA3D4">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sz w:val="32"/>
          <w:szCs w:val="32"/>
        </w:rPr>
      </w:pPr>
    </w:p>
    <w:p w14:paraId="60C0DE80">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sz w:val="32"/>
          <w:szCs w:val="32"/>
        </w:rPr>
      </w:pPr>
    </w:p>
    <w:p w14:paraId="043CA9B5">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sz w:val="32"/>
          <w:szCs w:val="32"/>
        </w:rPr>
      </w:pPr>
    </w:p>
    <w:p w14:paraId="0FA00A4C">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sz w:val="32"/>
          <w:szCs w:val="32"/>
        </w:rPr>
      </w:pPr>
    </w:p>
    <w:p w14:paraId="66C78DD1">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sz w:val="32"/>
          <w:szCs w:val="32"/>
        </w:rPr>
      </w:pPr>
    </w:p>
    <w:p w14:paraId="1B3D5B3B">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sz w:val="32"/>
          <w:szCs w:val="32"/>
        </w:rPr>
      </w:pPr>
    </w:p>
    <w:p w14:paraId="64D54C92">
      <w:pPr>
        <w:adjustRightInd w:val="0"/>
        <w:snapToGrid w:val="0"/>
        <w:spacing w:line="560" w:lineRule="exact"/>
        <w:ind w:firstLine="640" w:firstLineChars="200"/>
        <w:rPr>
          <w:rFonts w:hint="eastAsia" w:ascii="黑体" w:hAnsi="黑体" w:eastAsia="黑体"/>
          <w:sz w:val="32"/>
          <w:szCs w:val="32"/>
        </w:rPr>
      </w:pPr>
    </w:p>
    <w:p w14:paraId="5B55B153">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4"/>
        <w:tblpPr w:leftFromText="180" w:rightFromText="180" w:vertAnchor="text" w:horzAnchor="page" w:tblpXSpec="center" w:tblpY="779"/>
        <w:tblOverlap w:val="never"/>
        <w:tblW w:w="113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708"/>
        <w:gridCol w:w="1732"/>
        <w:gridCol w:w="4435"/>
        <w:gridCol w:w="1731"/>
        <w:gridCol w:w="1731"/>
      </w:tblGrid>
      <w:tr w14:paraId="0BD2A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3" w:hRule="atLeast"/>
          <w:jc w:val="center"/>
        </w:trPr>
        <w:tc>
          <w:tcPr>
            <w:tcW w:w="1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1BFCA">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姓名</w:t>
            </w: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E80E9">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小组职务</w:t>
            </w:r>
          </w:p>
        </w:tc>
        <w:tc>
          <w:tcPr>
            <w:tcW w:w="4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6C97E">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工作单位</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260D6">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职务</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A673D">
            <w:pPr>
              <w:keepNext w:val="0"/>
              <w:keepLines w:val="0"/>
              <w:widowControl/>
              <w:suppressLineNumbers w:val="0"/>
              <w:jc w:val="center"/>
              <w:textAlignment w:val="center"/>
              <w:rPr>
                <w:rFonts w:hint="eastAsia" w:ascii="宋体" w:hAnsi="宋体" w:eastAsia="宋体" w:cs="宋体"/>
                <w:i w:val="0"/>
                <w:iCs w:val="0"/>
                <w:color w:val="000000"/>
                <w:kern w:val="0"/>
                <w:sz w:val="28"/>
                <w:szCs w:val="28"/>
                <w:u w:val="none"/>
                <w:lang w:val="en-US" w:eastAsia="zh-CN" w:bidi="ar"/>
              </w:rPr>
            </w:pPr>
            <w:r>
              <w:rPr>
                <w:rFonts w:hint="eastAsia" w:ascii="宋体" w:hAnsi="宋体" w:cs="宋体"/>
                <w:i w:val="0"/>
                <w:iCs w:val="0"/>
                <w:color w:val="000000"/>
                <w:kern w:val="0"/>
                <w:sz w:val="28"/>
                <w:szCs w:val="28"/>
                <w:u w:val="none"/>
                <w:lang w:val="en-US" w:eastAsia="zh-CN" w:bidi="ar"/>
              </w:rPr>
              <w:t>签字</w:t>
            </w:r>
          </w:p>
        </w:tc>
      </w:tr>
      <w:tr w14:paraId="4084D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3" w:hRule="atLeast"/>
          <w:jc w:val="center"/>
        </w:trPr>
        <w:tc>
          <w:tcPr>
            <w:tcW w:w="1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68AB2">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王晓光</w:t>
            </w: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B2E3C">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组长</w:t>
            </w:r>
          </w:p>
        </w:tc>
        <w:tc>
          <w:tcPr>
            <w:tcW w:w="4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DDE8E">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石家庄市鹿泉区黄壁庄镇人民政府</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2358E">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镇长</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75A1F">
            <w:pPr>
              <w:keepNext w:val="0"/>
              <w:keepLines w:val="0"/>
              <w:widowControl/>
              <w:suppressLineNumbers w:val="0"/>
              <w:jc w:val="center"/>
              <w:textAlignment w:val="center"/>
              <w:rPr>
                <w:rFonts w:hint="eastAsia" w:ascii="宋体" w:hAnsi="宋体" w:eastAsia="宋体" w:cs="宋体"/>
                <w:i w:val="0"/>
                <w:iCs w:val="0"/>
                <w:color w:val="000000"/>
                <w:kern w:val="0"/>
                <w:sz w:val="28"/>
                <w:szCs w:val="28"/>
                <w:u w:val="none"/>
                <w:lang w:val="en-US" w:eastAsia="zh-CN" w:bidi="ar"/>
              </w:rPr>
            </w:pPr>
          </w:p>
        </w:tc>
      </w:tr>
      <w:tr w14:paraId="38E9A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3" w:hRule="atLeast"/>
          <w:jc w:val="center"/>
        </w:trPr>
        <w:tc>
          <w:tcPr>
            <w:tcW w:w="1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30705">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刘爱琴</w:t>
            </w: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79113">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副组长</w:t>
            </w:r>
          </w:p>
        </w:tc>
        <w:tc>
          <w:tcPr>
            <w:tcW w:w="4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3ED9E">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石家庄市鹿泉区黄壁庄镇人民政府</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37DC8">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财政所所长</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789E0">
            <w:pPr>
              <w:keepNext w:val="0"/>
              <w:keepLines w:val="0"/>
              <w:widowControl/>
              <w:suppressLineNumbers w:val="0"/>
              <w:jc w:val="center"/>
              <w:textAlignment w:val="center"/>
              <w:rPr>
                <w:rFonts w:hint="eastAsia" w:ascii="宋体" w:hAnsi="宋体" w:eastAsia="宋体" w:cs="宋体"/>
                <w:i w:val="0"/>
                <w:iCs w:val="0"/>
                <w:color w:val="000000"/>
                <w:kern w:val="0"/>
                <w:sz w:val="28"/>
                <w:szCs w:val="28"/>
                <w:u w:val="none"/>
                <w:lang w:val="en-US" w:eastAsia="zh-CN" w:bidi="ar"/>
              </w:rPr>
            </w:pPr>
          </w:p>
        </w:tc>
      </w:tr>
      <w:tr w14:paraId="6545A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3" w:hRule="atLeast"/>
          <w:jc w:val="center"/>
        </w:trPr>
        <w:tc>
          <w:tcPr>
            <w:tcW w:w="1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D93DC">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杨晓宇</w:t>
            </w: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01E5B">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组员</w:t>
            </w:r>
          </w:p>
        </w:tc>
        <w:tc>
          <w:tcPr>
            <w:tcW w:w="4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2729C">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石家庄市鹿泉区黄壁庄镇人民政府</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648D1">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财政所职员</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05947">
            <w:pPr>
              <w:keepNext w:val="0"/>
              <w:keepLines w:val="0"/>
              <w:widowControl/>
              <w:suppressLineNumbers w:val="0"/>
              <w:jc w:val="center"/>
              <w:textAlignment w:val="center"/>
              <w:rPr>
                <w:rFonts w:hint="eastAsia" w:ascii="宋体" w:hAnsi="宋体" w:eastAsia="宋体" w:cs="宋体"/>
                <w:i w:val="0"/>
                <w:iCs w:val="0"/>
                <w:color w:val="000000"/>
                <w:kern w:val="0"/>
                <w:sz w:val="28"/>
                <w:szCs w:val="28"/>
                <w:u w:val="none"/>
                <w:lang w:val="en-US" w:eastAsia="zh-CN" w:bidi="ar"/>
              </w:rPr>
            </w:pPr>
          </w:p>
        </w:tc>
      </w:tr>
      <w:tr w14:paraId="56139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3" w:hRule="atLeast"/>
          <w:jc w:val="center"/>
        </w:trPr>
        <w:tc>
          <w:tcPr>
            <w:tcW w:w="1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D4066">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刘笑燕</w:t>
            </w: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9ADCA">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组员</w:t>
            </w:r>
          </w:p>
        </w:tc>
        <w:tc>
          <w:tcPr>
            <w:tcW w:w="4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2878A">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石家庄市鹿泉区黄壁庄镇人民政府</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88890">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财政所职员</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7CEFC">
            <w:pPr>
              <w:keepNext w:val="0"/>
              <w:keepLines w:val="0"/>
              <w:widowControl/>
              <w:suppressLineNumbers w:val="0"/>
              <w:jc w:val="center"/>
              <w:textAlignment w:val="center"/>
              <w:rPr>
                <w:rFonts w:hint="eastAsia" w:ascii="宋体" w:hAnsi="宋体" w:eastAsia="宋体" w:cs="宋体"/>
                <w:i w:val="0"/>
                <w:iCs w:val="0"/>
                <w:color w:val="000000"/>
                <w:kern w:val="0"/>
                <w:sz w:val="28"/>
                <w:szCs w:val="28"/>
                <w:u w:val="none"/>
                <w:lang w:val="en-US" w:eastAsia="zh-CN" w:bidi="ar"/>
              </w:rPr>
            </w:pPr>
          </w:p>
        </w:tc>
      </w:tr>
      <w:tr w14:paraId="6097A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1" w:hRule="atLeast"/>
          <w:jc w:val="center"/>
        </w:trPr>
        <w:tc>
          <w:tcPr>
            <w:tcW w:w="1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DEBCD">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尹海霆</w:t>
            </w: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FDFA6">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组员</w:t>
            </w:r>
          </w:p>
        </w:tc>
        <w:tc>
          <w:tcPr>
            <w:tcW w:w="4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7DC40">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石家庄市鹿泉区黄壁庄镇人民政府</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2D87C">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财政所职员</w:t>
            </w:r>
          </w:p>
        </w:tc>
        <w:tc>
          <w:tcPr>
            <w:tcW w:w="17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0682D">
            <w:pPr>
              <w:keepNext w:val="0"/>
              <w:keepLines w:val="0"/>
              <w:widowControl/>
              <w:suppressLineNumbers w:val="0"/>
              <w:jc w:val="center"/>
              <w:textAlignment w:val="center"/>
              <w:rPr>
                <w:rFonts w:hint="eastAsia" w:ascii="宋体" w:hAnsi="宋体" w:eastAsia="宋体" w:cs="宋体"/>
                <w:i w:val="0"/>
                <w:iCs w:val="0"/>
                <w:color w:val="000000"/>
                <w:kern w:val="0"/>
                <w:sz w:val="28"/>
                <w:szCs w:val="28"/>
                <w:u w:val="none"/>
                <w:lang w:val="en-US" w:eastAsia="zh-CN" w:bidi="ar"/>
              </w:rPr>
            </w:pPr>
          </w:p>
        </w:tc>
      </w:tr>
    </w:tbl>
    <w:p w14:paraId="61B3E78C">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11120">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31A131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6A3714"/>
    <w:multiLevelType w:val="singleLevel"/>
    <w:tmpl w:val="986A3714"/>
    <w:lvl w:ilvl="0" w:tentative="0">
      <w:start w:val="17"/>
      <w:numFmt w:val="decimal"/>
      <w:suff w:val="nothing"/>
      <w:lvlText w:val="（%1）"/>
      <w:lvlJc w:val="left"/>
    </w:lvl>
  </w:abstractNum>
  <w:abstractNum w:abstractNumId="1">
    <w:nsid w:val="C8CB5061"/>
    <w:multiLevelType w:val="singleLevel"/>
    <w:tmpl w:val="C8CB5061"/>
    <w:lvl w:ilvl="0" w:tentative="0">
      <w:start w:val="2"/>
      <w:numFmt w:val="chineseCounting"/>
      <w:suff w:val="nothing"/>
      <w:lvlText w:val="（%1）"/>
      <w:lvlJc w:val="left"/>
      <w:rPr>
        <w:rFonts w:hint="eastAsia"/>
      </w:rPr>
    </w:lvl>
  </w:abstractNum>
  <w:abstractNum w:abstractNumId="2">
    <w:nsid w:val="FED5F267"/>
    <w:multiLevelType w:val="singleLevel"/>
    <w:tmpl w:val="FED5F267"/>
    <w:lvl w:ilvl="0" w:tentative="0">
      <w:start w:val="14"/>
      <w:numFmt w:val="decimal"/>
      <w:suff w:val="nothing"/>
      <w:lvlText w:val="（%1）"/>
      <w:lvlJc w:val="left"/>
    </w:lvl>
  </w:abstractNum>
  <w:abstractNum w:abstractNumId="3">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GExZmEwYTFjY2FlZGE4NDM4OTFkYmQ0NjkyY2Y4ZTMifQ=="/>
  </w:docVars>
  <w:rsids>
    <w:rsidRoot w:val="0EBD2122"/>
    <w:rsid w:val="000B0260"/>
    <w:rsid w:val="007E6C1F"/>
    <w:rsid w:val="00956A93"/>
    <w:rsid w:val="009E575C"/>
    <w:rsid w:val="00AF167E"/>
    <w:rsid w:val="00AF566A"/>
    <w:rsid w:val="00B478EA"/>
    <w:rsid w:val="00B6553A"/>
    <w:rsid w:val="00BC6576"/>
    <w:rsid w:val="00CE06BA"/>
    <w:rsid w:val="00F441CC"/>
    <w:rsid w:val="012A5840"/>
    <w:rsid w:val="014B4F10"/>
    <w:rsid w:val="01B104CA"/>
    <w:rsid w:val="02106AB0"/>
    <w:rsid w:val="02A90680"/>
    <w:rsid w:val="02B43A28"/>
    <w:rsid w:val="046F331E"/>
    <w:rsid w:val="07956271"/>
    <w:rsid w:val="08410D59"/>
    <w:rsid w:val="09721397"/>
    <w:rsid w:val="0BB63BED"/>
    <w:rsid w:val="0EB97A43"/>
    <w:rsid w:val="0EBD2122"/>
    <w:rsid w:val="0F214EAE"/>
    <w:rsid w:val="11B71E6A"/>
    <w:rsid w:val="1AAF0063"/>
    <w:rsid w:val="1B904B75"/>
    <w:rsid w:val="1BB87D26"/>
    <w:rsid w:val="1BE140DE"/>
    <w:rsid w:val="1D24536D"/>
    <w:rsid w:val="1DDC6482"/>
    <w:rsid w:val="1F5E47B0"/>
    <w:rsid w:val="1F946717"/>
    <w:rsid w:val="23F66AF6"/>
    <w:rsid w:val="248C197D"/>
    <w:rsid w:val="252959AF"/>
    <w:rsid w:val="252E2829"/>
    <w:rsid w:val="253B601F"/>
    <w:rsid w:val="26333164"/>
    <w:rsid w:val="277A6671"/>
    <w:rsid w:val="292D35B7"/>
    <w:rsid w:val="2AAE63F7"/>
    <w:rsid w:val="320C39CC"/>
    <w:rsid w:val="32817910"/>
    <w:rsid w:val="33EB6CFF"/>
    <w:rsid w:val="35A12947"/>
    <w:rsid w:val="37387040"/>
    <w:rsid w:val="37DA21A1"/>
    <w:rsid w:val="3B625C0A"/>
    <w:rsid w:val="3BA7300C"/>
    <w:rsid w:val="3CED22AA"/>
    <w:rsid w:val="3CEE1963"/>
    <w:rsid w:val="40BF1FDC"/>
    <w:rsid w:val="436B78D3"/>
    <w:rsid w:val="44124A97"/>
    <w:rsid w:val="46407F8B"/>
    <w:rsid w:val="49805A0E"/>
    <w:rsid w:val="49B4594B"/>
    <w:rsid w:val="4C9C27FE"/>
    <w:rsid w:val="512260B4"/>
    <w:rsid w:val="528C2901"/>
    <w:rsid w:val="52BD6ACB"/>
    <w:rsid w:val="553A5BF4"/>
    <w:rsid w:val="55537534"/>
    <w:rsid w:val="561A74F1"/>
    <w:rsid w:val="597244E8"/>
    <w:rsid w:val="5D470E2B"/>
    <w:rsid w:val="5E4B544F"/>
    <w:rsid w:val="5EB71C30"/>
    <w:rsid w:val="5F8D5183"/>
    <w:rsid w:val="61EC49CA"/>
    <w:rsid w:val="62F75547"/>
    <w:rsid w:val="63DC1411"/>
    <w:rsid w:val="66847D31"/>
    <w:rsid w:val="66AF0CE5"/>
    <w:rsid w:val="69DA5E56"/>
    <w:rsid w:val="6A48239C"/>
    <w:rsid w:val="6AC537CF"/>
    <w:rsid w:val="6E5B14A6"/>
    <w:rsid w:val="711B255E"/>
    <w:rsid w:val="78B20A71"/>
    <w:rsid w:val="795C052F"/>
    <w:rsid w:val="7BB51E06"/>
    <w:rsid w:val="7C387F7C"/>
    <w:rsid w:val="7D221F7A"/>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No Spacing"/>
    <w:qFormat/>
    <w:uiPriority w:val="1"/>
    <w:pPr>
      <w:widowControl w:val="0"/>
      <w:jc w:val="both"/>
    </w:pPr>
    <w:rPr>
      <w:rFonts w:ascii="宋体" w:hAnsi="宋体" w:eastAsia="仿宋_GB2312" w:cs="Times New Roman"/>
      <w:kern w:val="2"/>
      <w:sz w:val="32"/>
      <w:szCs w:val="22"/>
      <w:lang w:val="en-US" w:eastAsia="zh-CN" w:bidi="ar-SA"/>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9492</Words>
  <Characters>10155</Characters>
  <Lines>4</Lines>
  <Paragraphs>1</Paragraphs>
  <TotalTime>8</TotalTime>
  <ScaleCrop>false</ScaleCrop>
  <LinksUpToDate>false</LinksUpToDate>
  <CharactersWithSpaces>10229</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2024-09-13T08:51:34Z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96934721B1514D3FBAA28020338CE855_12</vt:lpwstr>
  </property>
</Properties>
</file>