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8480"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8480;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xxTSgKwIAACQEAAAOAAAAAAAAAAEAIAAAACsBAABkcnMvZTJvRG9jLnht&#10;bFBLBQYAAAAABgAGAFkBAADIBQ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mc:Fallback>
        </mc:AlternateContent>
      </w:r>
      <w:r>
        <w:drawing>
          <wp:anchor distT="0" distB="0" distL="114300" distR="114300" simplePos="0" relativeHeight="251669504"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3"/>
                    <a:stretch>
                      <a:fillRect/>
                    </a:stretch>
                  </pic:blipFill>
                  <pic:spPr>
                    <a:xfrm>
                      <a:off x="0" y="0"/>
                      <a:ext cx="7592060" cy="10739755"/>
                    </a:xfrm>
                    <a:prstGeom prst="rect">
                      <a:avLst/>
                    </a:prstGeom>
                  </pic:spPr>
                </pic:pic>
              </a:graphicData>
            </a:graphic>
          </wp:anchor>
        </w:drawing>
      </w:r>
      <w:r>
        <w:br w:type="page"/>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 xml:space="preserve">         </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中共石家庄市鹿泉区委组织部</w:t>
      </w: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中共石家庄市</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鹿泉区委组织部</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3200" w:firstLineChars="800"/>
        <w:jc w:val="both"/>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78" w:lineRule="exact"/>
        <w:ind w:firstLine="640" w:firstLineChars="200"/>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ascii="宋体" w:hAnsi="宋体" w:eastAsia="仿宋_GB2312" w:cs="仿宋_GB2312"/>
          <w:color w:val="000000"/>
          <w:sz w:val="32"/>
          <w:szCs w:val="32"/>
          <w:lang w:val="en-US" w:eastAsia="zh-CN"/>
        </w:rPr>
        <w:t>联席</w:t>
      </w:r>
      <w:r>
        <w:rPr>
          <w:rFonts w:hint="eastAsia" w:ascii="宋体" w:hAnsi="宋体" w:eastAsia="仿宋_GB2312" w:cs="仿宋_GB2312"/>
          <w:color w:val="000000"/>
          <w:sz w:val="32"/>
          <w:szCs w:val="32"/>
        </w:rPr>
        <w:t>会议”牵头抓总工作。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color w:val="000000"/>
          <w:sz w:val="32"/>
          <w:szCs w:val="32"/>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w:t>
      </w:r>
      <w:r>
        <w:rPr>
          <w:rFonts w:hint="eastAsia" w:ascii="宋体" w:hAnsi="宋体" w:eastAsia="仿宋_GB2312" w:cs="仿宋_GB2312"/>
          <w:sz w:val="32"/>
          <w:szCs w:val="32"/>
          <w:lang w:val="zh-CN"/>
        </w:rPr>
        <w:t>负责谋划指导和组织推动全区抓党建促脱贫攻坚工作；承担区委非公有制经济组织和社会组织工作委员会职责。</w:t>
      </w:r>
    </w:p>
    <w:p>
      <w:pPr>
        <w:pStyle w:val="11"/>
        <w:shd w:val="clear" w:color="auto" w:fill="auto"/>
        <w:tabs>
          <w:tab w:val="left" w:pos="1430"/>
        </w:tabs>
        <w:spacing w:line="578" w:lineRule="exact"/>
        <w:ind w:firstLine="660"/>
        <w:jc w:val="both"/>
        <w:rPr>
          <w:rFonts w:hint="eastAsia" w:ascii="宋体" w:hAnsi="宋体" w:eastAsia="仿宋_GB2312" w:cs="仿宋_GB2312"/>
          <w:spacing w:val="0"/>
          <w:sz w:val="32"/>
          <w:szCs w:val="32"/>
          <w:u w:val="single"/>
        </w:rPr>
      </w:pPr>
      <w:r>
        <w:rPr>
          <w:rFonts w:hint="eastAsia" w:ascii="宋体" w:hAnsi="宋体" w:eastAsia="仿宋_GB2312" w:cs="仿宋_GB2312"/>
          <w:spacing w:val="0"/>
          <w:sz w:val="32"/>
          <w:szCs w:val="32"/>
          <w:lang w:val="zh-CN"/>
        </w:rPr>
        <w:t>（三）负责乡局级领导班子和干部队伍建设的宏观管理。研究提出领导班子和领导干部队伍建设规划以及干部管理体制的建议，指导领导班子思想作风建设</w:t>
      </w:r>
      <w:r>
        <w:rPr>
          <w:rFonts w:hint="eastAsia" w:ascii="宋体" w:hAnsi="宋体" w:eastAsia="仿宋_GB2312" w:cs="仿宋_GB2312"/>
          <w:spacing w:val="0"/>
          <w:sz w:val="32"/>
          <w:szCs w:val="32"/>
        </w:rPr>
        <w:t>；负责提出各乡（镇、区）</w:t>
      </w:r>
      <w:r>
        <w:rPr>
          <w:rFonts w:hint="eastAsia" w:ascii="宋体" w:hAnsi="宋体" w:eastAsia="仿宋_GB2312" w:cs="仿宋_GB2312"/>
          <w:spacing w:val="0"/>
          <w:sz w:val="32"/>
          <w:szCs w:val="32"/>
          <w:lang w:val="zh-CN"/>
        </w:rPr>
        <w:t>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w:t>
      </w:r>
      <w:r>
        <w:rPr>
          <w:rFonts w:hint="eastAsia" w:ascii="宋体" w:hAnsi="宋体" w:eastAsia="仿宋_GB2312" w:cs="仿宋_GB2312"/>
          <w:spacing w:val="0"/>
          <w:sz w:val="32"/>
          <w:szCs w:val="32"/>
        </w:rPr>
        <w:t>各乡（镇、区）</w:t>
      </w:r>
      <w:r>
        <w:rPr>
          <w:rFonts w:hint="eastAsia" w:ascii="宋体" w:hAnsi="宋体" w:eastAsia="仿宋_GB2312" w:cs="仿宋_GB2312"/>
          <w:spacing w:val="0"/>
          <w:sz w:val="32"/>
          <w:szCs w:val="32"/>
          <w:lang w:val="zh-CN"/>
        </w:rPr>
        <w:t>和区直</w:t>
      </w:r>
      <w:r>
        <w:rPr>
          <w:rFonts w:hint="eastAsia" w:ascii="宋体" w:hAnsi="宋体" w:eastAsia="仿宋_GB2312" w:cs="仿宋_GB2312"/>
          <w:spacing w:val="0"/>
          <w:sz w:val="32"/>
          <w:szCs w:val="32"/>
        </w:rPr>
        <w:t>部门</w:t>
      </w:r>
      <w:r>
        <w:rPr>
          <w:rFonts w:hint="eastAsia" w:ascii="宋体" w:hAnsi="宋体" w:eastAsia="仿宋_GB2312" w:cs="仿宋_GB2312"/>
          <w:spacing w:val="0"/>
          <w:sz w:val="32"/>
          <w:szCs w:val="32"/>
          <w:lang w:val="zh-CN"/>
        </w:rPr>
        <w:t>股级干部的选任（备案审批）和日常监督管理工作；负责全区干部档案管理工作；负责省派选调生、大学生村官的培养、使用和管理；承办有关干部的调配、交流安置事宜。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w:t>
      </w:r>
      <w:r>
        <w:rPr>
          <w:rFonts w:hint="eastAsia" w:ascii="宋体" w:hAnsi="宋体" w:eastAsia="仿宋_GB2312" w:cs="仿宋_GB2312"/>
          <w:sz w:val="32"/>
          <w:szCs w:val="32"/>
          <w:lang w:val="zh-CN"/>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w:t>
      </w:r>
      <w:r>
        <w:rPr>
          <w:rFonts w:hint="eastAsia" w:ascii="宋体" w:hAnsi="宋体" w:eastAsia="仿宋_GB2312" w:cs="仿宋_GB2312"/>
          <w:sz w:val="32"/>
          <w:szCs w:val="32"/>
        </w:rPr>
        <w:t>负责全区干部考核工作，组织实施对区委管理领导班子和领导干部的考核工作，负责全区机关目标绩效管理，组织实施区级机关职能绩效目标考核；承担区委干部考核委员会日常工作。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（五）负责公务员、参照公务员法管理事业单位工作人员录用调配、考核奖惩、培训和工资福利等工作；研究拟订公务员管理办法并组织实施；指导全区公务员、参照公务员法管理事业单位工作人员队伍建设。</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rPr>
        <w:t>（六）负责全区人才工作和人才队伍建设的牵头抓总、统筹协调、推进落实；负责做好省管优秀专家、市管拔尖人才等重点人才推荐申报、</w:t>
      </w:r>
      <w:r>
        <w:rPr>
          <w:rFonts w:hint="eastAsia" w:ascii="宋体" w:hAnsi="宋体" w:eastAsia="仿宋_GB2312" w:cs="仿宋_GB2312"/>
          <w:sz w:val="32"/>
          <w:szCs w:val="32"/>
          <w:lang w:val="zh-CN"/>
        </w:rPr>
        <w:t>联系服务工作；负责区管拔尖人才的选拔管理；承担区委人才工作领导小组办公室日常工作。</w:t>
      </w:r>
    </w:p>
    <w:p>
      <w:pPr>
        <w:spacing w:line="578" w:lineRule="exact"/>
        <w:ind w:firstLine="640" w:firstLineChars="200"/>
        <w:rPr>
          <w:rFonts w:hint="eastAsia" w:ascii="宋体" w:hAnsi="宋体" w:eastAsia="仿宋_GB2312" w:cs="仿宋_GB2312"/>
          <w:sz w:val="32"/>
          <w:szCs w:val="32"/>
          <w:lang w:val="zh-CN"/>
        </w:rPr>
      </w:pPr>
      <w:r>
        <w:rPr>
          <w:rFonts w:hint="eastAsia" w:ascii="宋体" w:hAnsi="宋体" w:eastAsia="仿宋_GB2312" w:cs="仿宋_GB2312"/>
          <w:sz w:val="32"/>
          <w:szCs w:val="32"/>
          <w:lang w:val="zh-CN"/>
        </w:rPr>
        <w:t>（七）负责组织系统新闻宣传、信息化建设和组织史征编工作。</w:t>
      </w:r>
    </w:p>
    <w:p>
      <w:pPr>
        <w:spacing w:line="578"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val="zh-CN"/>
        </w:rPr>
        <w:t>（八）负责全区组织工作的检查督促，及时向区委反映重要情况并提出建议</w:t>
      </w:r>
      <w:r>
        <w:rPr>
          <w:rFonts w:hint="eastAsia" w:ascii="宋体" w:hAnsi="宋体" w:eastAsia="仿宋_GB2312" w:cs="仿宋_GB2312"/>
          <w:sz w:val="32"/>
          <w:szCs w:val="32"/>
        </w:rPr>
        <w:t>。</w:t>
      </w:r>
    </w:p>
    <w:p>
      <w:pPr>
        <w:pStyle w:val="11"/>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（九）统一管理区委机构编制委员会办公室，归口管理区委老干部局。</w:t>
      </w:r>
    </w:p>
    <w:p>
      <w:pPr>
        <w:pStyle w:val="11"/>
        <w:shd w:val="clear" w:color="auto" w:fill="auto"/>
        <w:tabs>
          <w:tab w:val="left" w:pos="1430"/>
        </w:tabs>
        <w:spacing w:line="578" w:lineRule="exact"/>
        <w:ind w:firstLine="660"/>
        <w:jc w:val="both"/>
        <w:rPr>
          <w:rFonts w:hint="eastAsia" w:ascii="宋体" w:hAnsi="宋体" w:eastAsia="仿宋_GB2312" w:cs="仿宋_GB2312"/>
          <w:spacing w:val="0"/>
          <w:sz w:val="32"/>
          <w:szCs w:val="32"/>
          <w:lang w:val="zh-CN"/>
        </w:rPr>
      </w:pPr>
      <w:r>
        <w:rPr>
          <w:rFonts w:hint="eastAsia" w:ascii="宋体" w:hAnsi="宋体" w:eastAsia="仿宋_GB2312" w:cs="仿宋_GB2312"/>
          <w:spacing w:val="0"/>
          <w:sz w:val="32"/>
          <w:szCs w:val="32"/>
          <w:lang w:val="zh-CN"/>
        </w:rPr>
        <w:t>（十）完成区委交办的其他任务。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7"/>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lang w:eastAsia="zh-CN"/>
              </w:rPr>
              <w:t>中共石家庄市鹿泉区委组织部</w:t>
            </w:r>
            <w:r>
              <w:rPr>
                <w:rFonts w:hint="eastAsia" w:ascii="仿宋_GB2312" w:hAnsi="Calibri" w:eastAsia="仿宋_GB2312" w:cs="Arial Black"/>
                <w:kern w:val="0"/>
                <w:sz w:val="28"/>
                <w:szCs w:val="28"/>
              </w:rPr>
              <w:t>(本级)</w:t>
            </w:r>
          </w:p>
        </w:tc>
        <w:tc>
          <w:tcPr>
            <w:tcW w:w="2404" w:type="dxa"/>
          </w:tcPr>
          <w:p>
            <w:pPr>
              <w:jc w:val="both"/>
              <w:rPr>
                <w:rFonts w:ascii="仿宋_GB2312" w:hAnsi="Calibri" w:eastAsia="仿宋_GB2312" w:cs="Arial Black"/>
                <w:kern w:val="0"/>
                <w:sz w:val="28"/>
                <w:szCs w:val="28"/>
                <w:lang w:val="en-US" w:eastAsia="zh-CN" w:bidi="ar-SA"/>
              </w:rPr>
            </w:pPr>
            <w:r>
              <w:rPr>
                <w:rFonts w:hint="eastAsia" w:ascii="仿宋_GB2312" w:hAnsi="Calibri" w:eastAsia="仿宋_GB2312" w:cs="Arial Black"/>
                <w:kern w:val="0"/>
                <w:sz w:val="28"/>
                <w:szCs w:val="28"/>
              </w:rPr>
              <w:t>行政单位</w:t>
            </w:r>
          </w:p>
        </w:tc>
        <w:tc>
          <w:tcPr>
            <w:tcW w:w="2622"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6592.76</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1576.08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23.9</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增加了服务群众专项经费以及村干部好青年基础职务补贴</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5408" behindDoc="1" locked="0" layoutInCell="1" allowOverlap="1">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14:textFill>
            <w14:solidFill>
              <w14:schemeClr w14:val="tx1"/>
            </w14:solidFill>
          </w14:textFill>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6538.08</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6533.08</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99.9</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0.1</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rPr>
        <w:t>如图所示</w:t>
      </w:r>
      <w:r>
        <w:rPr>
          <w:rFonts w:hint="eastAsia" w:ascii="仿宋_GB2312" w:hAnsi="Times New Roman" w:eastAsia="仿宋_GB2312" w:cs="Wingdings"/>
          <w:color w:val="000000" w:themeColor="text1"/>
          <w:sz w:val="32"/>
          <w:szCs w:val="32"/>
          <w14:textFill>
            <w14:solidFill>
              <w14:schemeClr w14:val="tx1"/>
            </w14:solidFill>
          </w14:textFill>
        </w:rPr>
        <w:t>：</w:t>
      </w:r>
    </w:p>
    <w:p>
      <w:pPr>
        <w:snapToGrid w:val="0"/>
        <w:spacing w:line="600" w:lineRule="exact"/>
        <w:outlineLvl w:val="1"/>
        <w:rPr>
          <w:rFonts w:hint="eastAsia" w:ascii="黑体" w:hAnsi="Calibri" w:eastAsia="黑体" w:cs="Times New Roman"/>
          <w:sz w:val="32"/>
          <w:szCs w:val="32"/>
          <w:lang w:eastAsia="zh-CN"/>
        </w:rPr>
      </w:pPr>
      <w:r>
        <w:rPr>
          <w:rFonts w:hint="eastAsia" w:ascii="黑体" w:hAnsi="Calibri" w:eastAsia="黑体" w:cs="Times New Roman"/>
          <w:sz w:val="32"/>
          <w:szCs w:val="32"/>
          <w:lang w:eastAsia="zh-CN"/>
        </w:rPr>
        <w:drawing>
          <wp:anchor distT="0" distB="0" distL="114300" distR="114300" simplePos="0" relativeHeight="251670528" behindDoc="0" locked="0" layoutInCell="1" allowOverlap="1">
            <wp:simplePos x="0" y="0"/>
            <wp:positionH relativeFrom="column">
              <wp:posOffset>927735</wp:posOffset>
            </wp:positionH>
            <wp:positionV relativeFrom="paragraph">
              <wp:posOffset>109855</wp:posOffset>
            </wp:positionV>
            <wp:extent cx="3973830" cy="1597660"/>
            <wp:effectExtent l="5080" t="5080" r="21590" b="16510"/>
            <wp:wrapSquare wrapText="bothSides"/>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snapToGrid w:val="0"/>
        <w:spacing w:line="600" w:lineRule="exact"/>
        <w:outlineLvl w:val="1"/>
        <w:rPr>
          <w:rFonts w:hint="eastAsia" w:ascii="黑体" w:hAnsi="Calibri" w:eastAsia="黑体" w:cs="Times New Roman"/>
          <w:sz w:val="32"/>
          <w:szCs w:val="32"/>
          <w:lang w:eastAsia="zh-CN"/>
        </w:rPr>
      </w:pPr>
    </w:p>
    <w:p>
      <w:pPr>
        <w:snapToGrid w:val="0"/>
        <w:spacing w:line="600" w:lineRule="exact"/>
        <w:outlineLvl w:val="1"/>
        <w:rPr>
          <w:rFonts w:hint="eastAsia" w:ascii="黑体" w:hAnsi="Calibri" w:eastAsia="黑体" w:cs="Times New Roman"/>
          <w:sz w:val="32"/>
          <w:szCs w:val="32"/>
          <w:lang w:eastAsia="zh-CN"/>
        </w:rPr>
      </w:pPr>
    </w:p>
    <w:p>
      <w:pPr>
        <w:snapToGrid w:val="0"/>
        <w:spacing w:line="600" w:lineRule="exact"/>
        <w:outlineLvl w:val="1"/>
        <w:rPr>
          <w:rFonts w:hint="eastAsia" w:ascii="黑体" w:hAnsi="Calibri" w:eastAsia="黑体" w:cs="Times New Roman"/>
          <w:sz w:val="32"/>
          <w:szCs w:val="32"/>
          <w:lang w:eastAsia="zh-CN"/>
        </w:rPr>
      </w:pPr>
    </w:p>
    <w:p>
      <w:pPr>
        <w:snapToGrid w:val="0"/>
        <w:spacing w:line="600" w:lineRule="exact"/>
        <w:outlineLvl w:val="1"/>
        <w:rPr>
          <w:rFonts w:hint="eastAsia" w:ascii="黑体" w:hAnsi="Calibri" w:eastAsia="黑体" w:cs="Times New Roman"/>
          <w:sz w:val="32"/>
          <w:szCs w:val="32"/>
          <w:lang w:eastAsia="zh-CN"/>
        </w:rPr>
      </w:pPr>
      <w:r>
        <w:rPr>
          <w:sz w:val="32"/>
        </w:rPr>
        <mc:AlternateContent>
          <mc:Choice Requires="wps">
            <w:drawing>
              <wp:anchor distT="0" distB="0" distL="114300" distR="114300" simplePos="0" relativeHeight="251669504" behindDoc="0" locked="0" layoutInCell="1" allowOverlap="1">
                <wp:simplePos x="0" y="0"/>
                <wp:positionH relativeFrom="column">
                  <wp:posOffset>1895475</wp:posOffset>
                </wp:positionH>
                <wp:positionV relativeFrom="paragraph">
                  <wp:posOffset>232410</wp:posOffset>
                </wp:positionV>
                <wp:extent cx="2374265" cy="585470"/>
                <wp:effectExtent l="4445" t="4445" r="21590" b="19685"/>
                <wp:wrapNone/>
                <wp:docPr id="10" name="文本框 10"/>
                <wp:cNvGraphicFramePr/>
                <a:graphic xmlns:a="http://schemas.openxmlformats.org/drawingml/2006/main">
                  <a:graphicData uri="http://schemas.microsoft.com/office/word/2010/wordprocessingShape">
                    <wps:wsp>
                      <wps:cNvSpPr txBox="1"/>
                      <wps:spPr>
                        <a:xfrm>
                          <a:off x="2179320" y="9287510"/>
                          <a:ext cx="2374265" cy="58547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Theme="minorEastAsia"/>
                                <w:lang w:eastAsia="zh-CN"/>
                              </w:rPr>
                            </w:pPr>
                            <w:r>
                              <w:rPr>
                                <w:rFonts w:hint="eastAsia" w:ascii="仿宋_GB2312" w:hAnsi="Times New Roman" w:eastAsia="仿宋_GB2312" w:cs="Wingdings"/>
                                <w:color w:val="000000" w:themeColor="text1"/>
                                <w:sz w:val="28"/>
                                <w:szCs w:val="28"/>
                                <w:lang w:eastAsia="zh-CN"/>
                                <w14:textFill>
                                  <w14:solidFill>
                                    <w14:schemeClr w14:val="tx1"/>
                                  </w14:solidFill>
                                </w14:textFill>
                              </w:rPr>
                              <w:t>图</w:t>
                            </w:r>
                            <w:r>
                              <w:rPr>
                                <w:rFonts w:hint="eastAsia" w:ascii="仿宋_GB2312" w:hAnsi="Times New Roman" w:eastAsia="仿宋_GB2312" w:cs="Wingdings"/>
                                <w:color w:val="000000" w:themeColor="text1"/>
                                <w:sz w:val="28"/>
                                <w:szCs w:val="28"/>
                                <w:lang w:val="en-US" w:eastAsia="zh-CN"/>
                                <w14:textFill>
                                  <w14:solidFill>
                                    <w14:schemeClr w14:val="tx1"/>
                                  </w14:solidFill>
                                </w14:textFill>
                              </w:rPr>
                              <w:t>2：</w:t>
                            </w:r>
                            <w:r>
                              <w:rPr>
                                <w:rFonts w:hint="eastAsia" w:ascii="仿宋_GB2312" w:hAnsi="Times New Roman" w:eastAsia="仿宋_GB2312" w:cs="Wingdings"/>
                                <w:color w:val="000000" w:themeColor="text1"/>
                                <w:sz w:val="28"/>
                                <w:szCs w:val="28"/>
                                <w:lang w:eastAsia="zh-CN"/>
                                <w14:textFill>
                                  <w14:solidFill>
                                    <w14:schemeClr w14:val="tx1"/>
                                  </w14:solidFill>
                                </w14:textFill>
                              </w:rPr>
                              <w:t>收入构成情况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9.25pt;margin-top:18.3pt;height:46.1pt;width:186.95pt;z-index:251669504;mso-width-relative:page;mso-height-relative:page;" fillcolor="#FFFFFF [3201]" filled="t" stroked="t" coordsize="21600,21600" o:gfxdata="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U9ZbEtgAAAAKAQAADwAAAAAAAAABACAA&#10;AAAiAAAAZHJzL2Rvd25yZXYueG1sUEsBAhQAFAAAAAgAh07iQL8LiTdGAgAAeAQAAA4AAAAAAAAA&#10;AQAgAAAAJwEAAGRycy9lMm9Eb2MueG1sUEsFBgAAAAAGAAYAWQEAAN8FAAAAAA==&#10;">
                <v:fill on="t" focussize="0,0"/>
                <v:stroke weight="0.5pt" color="#FFFFFF [3212]" joinstyle="round"/>
                <v:imagedata o:title=""/>
                <o:lock v:ext="edit" aspectratio="f"/>
                <v:textbox>
                  <w:txbxContent>
                    <w:p>
                      <w:pPr>
                        <w:rPr>
                          <w:rFonts w:hint="eastAsia" w:eastAsiaTheme="minorEastAsia"/>
                          <w:lang w:eastAsia="zh-CN"/>
                        </w:rPr>
                      </w:pPr>
                      <w:r>
                        <w:rPr>
                          <w:rFonts w:hint="eastAsia" w:ascii="仿宋_GB2312" w:hAnsi="Times New Roman" w:eastAsia="仿宋_GB2312" w:cs="Wingdings"/>
                          <w:color w:val="000000" w:themeColor="text1"/>
                          <w:sz w:val="28"/>
                          <w:szCs w:val="28"/>
                          <w:lang w:eastAsia="zh-CN"/>
                          <w14:textFill>
                            <w14:solidFill>
                              <w14:schemeClr w14:val="tx1"/>
                            </w14:solidFill>
                          </w14:textFill>
                        </w:rPr>
                        <w:t>图</w:t>
                      </w:r>
                      <w:r>
                        <w:rPr>
                          <w:rFonts w:hint="eastAsia" w:ascii="仿宋_GB2312" w:hAnsi="Times New Roman" w:eastAsia="仿宋_GB2312" w:cs="Wingdings"/>
                          <w:color w:val="000000" w:themeColor="text1"/>
                          <w:sz w:val="28"/>
                          <w:szCs w:val="28"/>
                          <w:lang w:val="en-US" w:eastAsia="zh-CN"/>
                          <w14:textFill>
                            <w14:solidFill>
                              <w14:schemeClr w14:val="tx1"/>
                            </w14:solidFill>
                          </w14:textFill>
                        </w:rPr>
                        <w:t>2：</w:t>
                      </w:r>
                      <w:r>
                        <w:rPr>
                          <w:rFonts w:hint="eastAsia" w:ascii="仿宋_GB2312" w:hAnsi="Times New Roman" w:eastAsia="仿宋_GB2312" w:cs="Wingdings"/>
                          <w:color w:val="000000" w:themeColor="text1"/>
                          <w:sz w:val="28"/>
                          <w:szCs w:val="28"/>
                          <w:lang w:eastAsia="zh-CN"/>
                          <w14:textFill>
                            <w14:solidFill>
                              <w14:schemeClr w14:val="tx1"/>
                            </w14:solidFill>
                          </w14:textFill>
                        </w:rPr>
                        <w:t>收入构成情况</w:t>
                      </w:r>
                    </w:p>
                  </w:txbxContent>
                </v:textbox>
              </v:shape>
            </w:pict>
          </mc:Fallback>
        </mc:AlternateConten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6510.98</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662.94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10.2</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5848.04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89.8</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1552" behindDoc="0" locked="0" layoutInCell="1" allowOverlap="1">
            <wp:simplePos x="0" y="0"/>
            <wp:positionH relativeFrom="column">
              <wp:posOffset>1524000</wp:posOffset>
            </wp:positionH>
            <wp:positionV relativeFrom="paragraph">
              <wp:posOffset>281940</wp:posOffset>
            </wp:positionV>
            <wp:extent cx="2867660" cy="2264410"/>
            <wp:effectExtent l="4445" t="4445" r="23495" b="17145"/>
            <wp:wrapSquare wrapText="bothSides"/>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r>
        <w:rPr>
          <w:sz w:val="32"/>
        </w:rPr>
        <mc:AlternateContent>
          <mc:Choice Requires="wps">
            <w:drawing>
              <wp:anchor distT="0" distB="0" distL="114300" distR="114300" simplePos="0" relativeHeight="251660288" behindDoc="1" locked="0" layoutInCell="1" allowOverlap="1">
                <wp:simplePos x="0" y="0"/>
                <wp:positionH relativeFrom="column">
                  <wp:posOffset>1578610</wp:posOffset>
                </wp:positionH>
                <wp:positionV relativeFrom="paragraph">
                  <wp:posOffset>113030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2242820" y="5314315"/>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4.3pt;margin-top:8.9pt;height:38.05pt;width:260.95pt;z-index:-251656192;mso-width-relative:page;mso-height-relative:page;" fillcolor="#FFFFFF" filled="t" stroked="f" coordsize="21600,21600" o:gfxdata="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O4dOUHVAAAACQEAAA8AAAAAAAAAAQAgAAAA&#10;IgAAAGRycy9kb3ducmV2LnhtbFBLAQIUABQAAAAIAIdO4kDAo9/CRwIAAF0EAAAOAAAAAAAAAAEA&#10;IAAAACQBAABkcnMvZTJvRG9jLnhtbFBLBQYAAAAABgAGAFkBAADd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600" w:lineRule="exact"/>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6533.08</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1663.1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25.5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增加了服务群众专项经费以及村干部好青年基础职务补贴</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6505.98</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1646.52</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25.3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增加了服务群众专项经费以及村干部好青年基础职务补贴的支出</w:t>
      </w:r>
      <w:r>
        <w:rPr>
          <w:rFonts w:hint="eastAsia" w:ascii="仿宋_GB2312" w:hAnsi="Times New Roman" w:eastAsia="仿宋_GB2312" w:cs="Wingdings"/>
          <w:sz w:val="32"/>
          <w:szCs w:val="32"/>
        </w:rPr>
        <w:t>。如图所示：</w:t>
      </w:r>
    </w:p>
    <w:p>
      <w:pPr>
        <w:adjustRightInd w:val="0"/>
        <w:snapToGrid w:val="0"/>
        <w:spacing w:line="600" w:lineRule="exact"/>
        <w:ind w:firstLine="640" w:firstLineChars="200"/>
        <w:rPr>
          <w:rFonts w:ascii="仿宋_GB2312" w:hAnsi="Times New Roman" w:eastAsia="仿宋_GB2312" w:cs="Wingding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drawing>
          <wp:anchor distT="0" distB="0" distL="114300" distR="114300" simplePos="0" relativeHeight="251672576" behindDoc="0" locked="0" layoutInCell="1" allowOverlap="1">
            <wp:simplePos x="0" y="0"/>
            <wp:positionH relativeFrom="column">
              <wp:posOffset>828675</wp:posOffset>
            </wp:positionH>
            <wp:positionV relativeFrom="paragraph">
              <wp:posOffset>72390</wp:posOffset>
            </wp:positionV>
            <wp:extent cx="4751070" cy="3091815"/>
            <wp:effectExtent l="4445" t="4445" r="6985" b="8890"/>
            <wp:wrapSquare wrapText="bothSides"/>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snapToGrid w:val="0"/>
        <w:spacing w:line="600" w:lineRule="exact"/>
        <w:ind w:firstLine="643" w:firstLineChars="200"/>
        <w:rPr>
          <w:rFonts w:hint="eastAsia" w:ascii="楷体_GB2312" w:hAnsi="Times New Roman" w:eastAsia="楷体_GB2312" w:cs="Mongolian Baiti"/>
          <w:b/>
          <w:bCs/>
          <w:sz w:val="32"/>
          <w:szCs w:val="32"/>
          <w:lang w:eastAsia="zh-CN"/>
        </w:rPr>
      </w:pPr>
    </w:p>
    <w:p>
      <w:pPr>
        <w:snapToGrid w:val="0"/>
        <w:spacing w:line="600" w:lineRule="exact"/>
        <w:ind w:firstLine="643" w:firstLineChars="200"/>
        <w:rPr>
          <w:rFonts w:hint="eastAsia" w:ascii="楷体_GB2312" w:hAnsi="Times New Roman" w:eastAsia="楷体_GB2312" w:cs="Mongolian Baiti"/>
          <w:b/>
          <w:bCs/>
          <w:sz w:val="32"/>
          <w:szCs w:val="32"/>
          <w:lang w:eastAsia="zh-CN"/>
        </w:rPr>
      </w:pPr>
    </w:p>
    <w:p>
      <w:pPr>
        <w:snapToGrid w:val="0"/>
        <w:spacing w:line="600" w:lineRule="exact"/>
        <w:ind w:firstLine="643" w:firstLineChars="200"/>
        <w:rPr>
          <w:rFonts w:hint="eastAsia" w:ascii="楷体_GB2312" w:hAnsi="Times New Roman" w:eastAsia="楷体_GB2312" w:cs="Mongolian Baiti"/>
          <w:b/>
          <w:bCs/>
          <w:sz w:val="32"/>
          <w:szCs w:val="32"/>
          <w:lang w:eastAsia="zh-CN"/>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73600" behindDoc="0" locked="0" layoutInCell="1" allowOverlap="1">
                <wp:simplePos x="0" y="0"/>
                <wp:positionH relativeFrom="column">
                  <wp:posOffset>1515110</wp:posOffset>
                </wp:positionH>
                <wp:positionV relativeFrom="paragraph">
                  <wp:posOffset>258445</wp:posOffset>
                </wp:positionV>
                <wp:extent cx="3487420" cy="490855"/>
                <wp:effectExtent l="0" t="0" r="17780" b="4445"/>
                <wp:wrapNone/>
                <wp:docPr id="15" name="文本框 15"/>
                <wp:cNvGraphicFramePr/>
                <a:graphic xmlns:a="http://schemas.openxmlformats.org/drawingml/2006/main">
                  <a:graphicData uri="http://schemas.microsoft.com/office/word/2010/wordprocessingShape">
                    <wps:wsp>
                      <wps:cNvSpPr txBox="1"/>
                      <wps:spPr>
                        <a:xfrm>
                          <a:off x="2611755" y="5774690"/>
                          <a:ext cx="3487420" cy="49085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图</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财政收支与上年决算数对比</w:t>
                            </w:r>
                            <w:r>
                              <w:rPr>
                                <w:rFonts w:hint="eastAsia" w:ascii="仿宋_GB2312" w:hAnsi="仿宋_GB2312" w:eastAsia="仿宋_GB2312" w:cs="仿宋_GB2312"/>
                                <w:sz w:val="28"/>
                                <w:szCs w:val="28"/>
                                <w:lang w:eastAsia="zh-CN"/>
                              </w:rPr>
                              <w:t>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9.3pt;margin-top:20.35pt;height:38.65pt;width:274.6pt;z-index:251673600;mso-width-relative:page;mso-height-relative:page;" fillcolor="#FFFFFF [3201]" filled="t" stroked="f" coordsize="21600,21600" o:gfxdata="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ZWu9htUAAAAKAQAADwAAAAAAAAABACAAAAAiAAAAZHJz&#10;L2Rvd25yZXYueG1sUEsBAhQAFAAAAAgAh07iQDvN20tAAgAATwQAAA4AAAAAAAAAAQAgAAAAJAEA&#10;AGRycy9lMm9Eb2MueG1sUEsFBgAAAAAGAAYAWQEAANYFAAAAAA==&#10;">
                <v:fill on="t" focussize="0,0"/>
                <v:stroke on="f" weight="0.5pt"/>
                <v:imagedata o:title=""/>
                <o:lock v:ext="edit" aspectratio="f"/>
                <v:textbox>
                  <w:txbxContent>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图</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财政收支与上年决算数对比</w:t>
                      </w:r>
                      <w:r>
                        <w:rPr>
                          <w:rFonts w:hint="eastAsia" w:ascii="仿宋_GB2312" w:hAnsi="仿宋_GB2312" w:eastAsia="仿宋_GB2312" w:cs="仿宋_GB2312"/>
                          <w:sz w:val="28"/>
                          <w:szCs w:val="28"/>
                          <w:lang w:eastAsia="zh-CN"/>
                        </w:rPr>
                        <w:t>情况</w:t>
                      </w:r>
                    </w:p>
                  </w:txbxContent>
                </v:textbox>
              </v:shape>
            </w:pict>
          </mc:Fallback>
        </mc:AlternateContent>
      </w: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6533.08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108</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498.41</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调整追加人才房租补贴、村党组织活动经费以及村干部好青年基础职务补贴</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6505.98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108</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471.31</w:t>
      </w:r>
      <w:r>
        <w:rPr>
          <w:rFonts w:hint="eastAsia" w:ascii="仿宋_GB2312" w:hAnsi="Times New Roman" w:eastAsia="仿宋_GB2312" w:cs="Wingdings"/>
          <w:sz w:val="32"/>
          <w:szCs w:val="32"/>
        </w:rPr>
        <w:t>万元，决算数大于（小于）预算数主要原因是</w:t>
      </w:r>
      <w:r>
        <w:rPr>
          <w:rFonts w:hint="eastAsia" w:ascii="仿宋_GB2312" w:hAnsi="Times New Roman" w:eastAsia="仿宋_GB2312" w:cs="Wingdings"/>
          <w:sz w:val="32"/>
          <w:szCs w:val="32"/>
          <w:lang w:eastAsia="zh-CN"/>
        </w:rPr>
        <w:t>因调整追加人才房租补贴、村党组织活动经费以及村干部好青年基础职务补贴导致支出增加</w:t>
      </w:r>
      <w:r>
        <w:rPr>
          <w:rFonts w:hint="eastAsia" w:ascii="仿宋_GB2312" w:hAnsi="Times New Roman" w:eastAsia="仿宋_GB2312" w:cs="Wingdings"/>
          <w:sz w:val="32"/>
          <w:szCs w:val="32"/>
        </w:rPr>
        <w:t>。如图所示：</w: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3" w:firstLineChars="200"/>
        <w:rPr>
          <w:rFonts w:hint="eastAsia"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lang w:eastAsia="zh-CN"/>
        </w:rPr>
        <w:drawing>
          <wp:anchor distT="0" distB="0" distL="114300" distR="114300" simplePos="0" relativeHeight="251674624" behindDoc="0" locked="0" layoutInCell="1" allowOverlap="1">
            <wp:simplePos x="0" y="0"/>
            <wp:positionH relativeFrom="column">
              <wp:posOffset>805815</wp:posOffset>
            </wp:positionH>
            <wp:positionV relativeFrom="paragraph">
              <wp:posOffset>-1064260</wp:posOffset>
            </wp:positionV>
            <wp:extent cx="4765675" cy="3611245"/>
            <wp:effectExtent l="4445" t="4445" r="11430" b="22860"/>
            <wp:wrapSquare wrapText="bothSides"/>
            <wp:docPr id="16" name="图表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sz w:val="32"/>
        </w:rPr>
        <mc:AlternateContent>
          <mc:Choice Requires="wps">
            <w:drawing>
              <wp:anchor distT="0" distB="0" distL="114300" distR="114300" simplePos="0" relativeHeight="251675648" behindDoc="0" locked="0" layoutInCell="1" allowOverlap="1">
                <wp:simplePos x="0" y="0"/>
                <wp:positionH relativeFrom="column">
                  <wp:posOffset>1332865</wp:posOffset>
                </wp:positionH>
                <wp:positionV relativeFrom="paragraph">
                  <wp:posOffset>103505</wp:posOffset>
                </wp:positionV>
                <wp:extent cx="3728720" cy="453390"/>
                <wp:effectExtent l="0" t="0" r="5080" b="3810"/>
                <wp:wrapNone/>
                <wp:docPr id="17" name="文本框 17"/>
                <wp:cNvGraphicFramePr/>
                <a:graphic xmlns:a="http://schemas.openxmlformats.org/drawingml/2006/main">
                  <a:graphicData uri="http://schemas.microsoft.com/office/word/2010/wordprocessingShape">
                    <wps:wsp>
                      <wps:cNvSpPr txBox="1"/>
                      <wps:spPr>
                        <a:xfrm>
                          <a:off x="3102610" y="3568065"/>
                          <a:ext cx="3728720" cy="45339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_GB2312" w:hAnsi="Times New Roman" w:eastAsia="仿宋_GB2312" w:cs="Wingdings"/>
                                <w:sz w:val="28"/>
                                <w:szCs w:val="28"/>
                              </w:rPr>
                            </w:pPr>
                            <w:r>
                              <w:rPr>
                                <w:rFonts w:hint="eastAsia" w:ascii="仿宋_GB2312" w:hAnsi="Times New Roman" w:eastAsia="仿宋_GB2312" w:cs="Wingdings"/>
                                <w:sz w:val="28"/>
                                <w:szCs w:val="28"/>
                                <w:lang w:eastAsia="zh-CN"/>
                              </w:rPr>
                              <w:t>图</w:t>
                            </w:r>
                            <w:r>
                              <w:rPr>
                                <w:rFonts w:hint="eastAsia" w:ascii="仿宋_GB2312" w:hAnsi="Times New Roman" w:eastAsia="仿宋_GB2312" w:cs="Wingdings"/>
                                <w:sz w:val="28"/>
                                <w:szCs w:val="28"/>
                                <w:lang w:val="en-US" w:eastAsia="zh-CN"/>
                              </w:rPr>
                              <w:t>5：</w:t>
                            </w:r>
                            <w:r>
                              <w:rPr>
                                <w:rFonts w:hint="eastAsia" w:ascii="仿宋_GB2312" w:hAnsi="Times New Roman" w:eastAsia="仿宋_GB2312" w:cs="Wingdings"/>
                                <w:sz w:val="28"/>
                                <w:szCs w:val="28"/>
                              </w:rPr>
                              <w:t>财政拨款收支与年初预算数对比情况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4.95pt;margin-top:8.15pt;height:35.7pt;width:293.6pt;z-index:251675648;mso-width-relative:page;mso-height-relative:page;" fillcolor="#FFFFFF [3201]" filled="t" stroked="f" coordsize="21600,21600" o:gfxdata="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Yx8fEdQAAAAJAQAADwAAAAAAAAABACAAAAAiAAAAZHJz&#10;L2Rvd25yZXYueG1sUEsBAhQAFAAAAAgAh07iQClxaqdBAgAATwQAAA4AAAAAAAAAAQAgAAAAIwEA&#10;AGRycy9lMm9Eb2MueG1sUEsFBgAAAAAGAAYAWQEAANYFAAAAAA==&#10;">
                <v:fill on="t" focussize="0,0"/>
                <v:stroke on="f" weight="0.5pt"/>
                <v:imagedata o:title=""/>
                <o:lock v:ext="edit" aspectratio="f"/>
                <v:textbox>
                  <w:txbxContent>
                    <w:p>
                      <w:pPr>
                        <w:rPr>
                          <w:rFonts w:hint="eastAsia" w:ascii="仿宋_GB2312" w:hAnsi="Times New Roman" w:eastAsia="仿宋_GB2312" w:cs="Wingdings"/>
                          <w:sz w:val="28"/>
                          <w:szCs w:val="28"/>
                        </w:rPr>
                      </w:pPr>
                      <w:r>
                        <w:rPr>
                          <w:rFonts w:hint="eastAsia" w:ascii="仿宋_GB2312" w:hAnsi="Times New Roman" w:eastAsia="仿宋_GB2312" w:cs="Wingdings"/>
                          <w:sz w:val="28"/>
                          <w:szCs w:val="28"/>
                          <w:lang w:eastAsia="zh-CN"/>
                        </w:rPr>
                        <w:t>图</w:t>
                      </w:r>
                      <w:r>
                        <w:rPr>
                          <w:rFonts w:hint="eastAsia" w:ascii="仿宋_GB2312" w:hAnsi="Times New Roman" w:eastAsia="仿宋_GB2312" w:cs="Wingdings"/>
                          <w:sz w:val="28"/>
                          <w:szCs w:val="28"/>
                          <w:lang w:val="en-US" w:eastAsia="zh-CN"/>
                        </w:rPr>
                        <w:t>5：</w:t>
                      </w:r>
                      <w:r>
                        <w:rPr>
                          <w:rFonts w:hint="eastAsia" w:ascii="仿宋_GB2312" w:hAnsi="Times New Roman" w:eastAsia="仿宋_GB2312" w:cs="Wingdings"/>
                          <w:sz w:val="28"/>
                          <w:szCs w:val="28"/>
                        </w:rPr>
                        <w:t>财政拨款收支与年初预算数对比情况</w:t>
                      </w:r>
                    </w:p>
                  </w:txbxContent>
                </v:textbox>
              </v:shape>
            </w:pict>
          </mc:Fallback>
        </mc:AlternateContent>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0"/>
        </w:numPr>
        <w:adjustRightInd w:val="0"/>
        <w:snapToGrid w:val="0"/>
        <w:spacing w:line="600" w:lineRule="exact"/>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val="en-US" w:eastAsia="zh-CN"/>
        </w:rPr>
        <w:t xml:space="preserve">    （三）</w:t>
      </w: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:6505.98</w:t>
      </w:r>
      <w:r>
        <w:rPr>
          <w:rFonts w:hint="eastAsia" w:ascii="仿宋_GB2312" w:hAnsi="Times New Roman" w:eastAsia="仿宋_GB2312" w:cs="Wingdings"/>
          <w:sz w:val="32"/>
          <w:szCs w:val="32"/>
        </w:rPr>
        <w:t>万元，主要用于以下方面（按本部门支出的功能分类大类进行列举，可对各类支出用途进行概括说明）：比如：一般公共服务（类）支出</w:t>
      </w:r>
      <w:r>
        <w:rPr>
          <w:rFonts w:hint="eastAsia" w:ascii="仿宋_GB2312" w:hAnsi="Times New Roman" w:eastAsia="仿宋_GB2312" w:cs="Wingdings"/>
          <w:sz w:val="32"/>
          <w:szCs w:val="32"/>
          <w:lang w:val="en-US" w:eastAsia="zh-CN"/>
        </w:rPr>
        <w:t>1290.97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19.8</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%；教育（类）支出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%；科学技术（类）支出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60.08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0.9</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56.19</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农林水（类）支出</w:t>
      </w:r>
      <w:r>
        <w:rPr>
          <w:rFonts w:hint="eastAsia" w:ascii="仿宋_GB2312" w:hAnsi="Times New Roman" w:eastAsia="仿宋_GB2312" w:cs="Wingdings"/>
          <w:sz w:val="32"/>
          <w:szCs w:val="32"/>
          <w:lang w:val="en-US" w:eastAsia="zh-CN"/>
        </w:rPr>
        <w:t>5061.8万元，</w:t>
      </w:r>
      <w:r>
        <w:rPr>
          <w:rFonts w:hint="eastAsia" w:ascii="仿宋_GB2312" w:hAnsi="Times New Roman" w:eastAsia="仿宋_GB2312" w:cs="Wingdings"/>
          <w:sz w:val="32"/>
          <w:szCs w:val="32"/>
        </w:rPr>
        <w:t xml:space="preserve">占 </w:t>
      </w:r>
      <w:r>
        <w:rPr>
          <w:rFonts w:hint="eastAsia" w:ascii="仿宋_GB2312" w:hAnsi="Times New Roman" w:eastAsia="仿宋_GB2312" w:cs="Wingdings"/>
          <w:sz w:val="32"/>
          <w:szCs w:val="32"/>
          <w:lang w:val="en-US" w:eastAsia="zh-CN"/>
        </w:rPr>
        <w:t>77.8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，卫生健康（类）支出</w:t>
      </w:r>
      <w:r>
        <w:rPr>
          <w:rFonts w:hint="eastAsia" w:ascii="仿宋_GB2312" w:hAnsi="Times New Roman" w:eastAsia="仿宋_GB2312" w:cs="Wingdings"/>
          <w:sz w:val="32"/>
          <w:szCs w:val="32"/>
          <w:lang w:val="en-US" w:eastAsia="zh-CN"/>
        </w:rPr>
        <w:t>36.94万元，</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0.6</w:t>
      </w:r>
      <w:r>
        <w:rPr>
          <w:rFonts w:hint="eastAsia" w:ascii="仿宋_GB2312" w:hAnsi="Times New Roman" w:eastAsia="仿宋_GB2312" w:cs="Wingdings"/>
          <w:sz w:val="32"/>
          <w:szCs w:val="32"/>
        </w:rPr>
        <w:t>%。如图所示：</w: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rPr>
          <w:rFonts w:hint="eastAsia" w:ascii="楷体_GB2312" w:hAnsi="Times New Roman" w:eastAsia="楷体_GB2312" w:cs="Mongolian Baiti"/>
          <w:b/>
          <w:bCs/>
          <w:sz w:val="32"/>
          <w:szCs w:val="32"/>
          <w:lang w:eastAsia="zh-CN"/>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drawing>
          <wp:anchor distT="0" distB="0" distL="114300" distR="114300" simplePos="0" relativeHeight="251676672" behindDoc="0" locked="0" layoutInCell="1" allowOverlap="1">
            <wp:simplePos x="0" y="0"/>
            <wp:positionH relativeFrom="column">
              <wp:posOffset>729615</wp:posOffset>
            </wp:positionH>
            <wp:positionV relativeFrom="paragraph">
              <wp:posOffset>-965200</wp:posOffset>
            </wp:positionV>
            <wp:extent cx="4173220" cy="2917190"/>
            <wp:effectExtent l="4445" t="5080" r="13335" b="11430"/>
            <wp:wrapSquare wrapText="bothSides"/>
            <wp:docPr id="18" name="图表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600" w:lineRule="exact"/>
        <w:ind w:firstLine="643" w:firstLineChars="200"/>
        <w:rPr>
          <w:rFonts w:hint="eastAsia" w:ascii="楷体_GB2312" w:hAnsi="Times New Roman" w:eastAsia="楷体_GB2312" w:cs="Mongolian Baiti"/>
          <w:b/>
          <w:bCs/>
          <w:sz w:val="32"/>
          <w:szCs w:val="32"/>
        </w:rPr>
      </w:pPr>
    </w:p>
    <w:p>
      <w:pPr>
        <w:adjustRightInd w:val="0"/>
        <w:snapToGrid w:val="0"/>
        <w:spacing w:line="600" w:lineRule="exact"/>
        <w:ind w:firstLine="643" w:firstLineChars="200"/>
        <w:rPr>
          <w:rFonts w:hint="eastAsia" w:ascii="楷体_GB2312" w:hAnsi="Times New Roman" w:eastAsia="楷体_GB2312" w:cs="Mongolian Baiti"/>
          <w:b/>
          <w:bCs/>
          <w:sz w:val="32"/>
          <w:szCs w:val="32"/>
        </w:rPr>
      </w:pPr>
    </w:p>
    <w:p>
      <w:pPr>
        <w:adjustRightInd w:val="0"/>
        <w:snapToGrid w:val="0"/>
        <w:spacing w:line="600" w:lineRule="exact"/>
        <w:ind w:firstLine="643" w:firstLineChars="200"/>
        <w:rPr>
          <w:rFonts w:hint="eastAsia" w:ascii="楷体_GB2312" w:hAnsi="Times New Roman" w:eastAsia="楷体_GB2312" w:cs="Mongolian Baiti"/>
          <w:b/>
          <w:bCs/>
          <w:sz w:val="32"/>
          <w:szCs w:val="32"/>
        </w:rPr>
      </w:pPr>
    </w:p>
    <w:p>
      <w:pPr>
        <w:adjustRightInd w:val="0"/>
        <w:snapToGrid w:val="0"/>
        <w:spacing w:line="600" w:lineRule="exact"/>
        <w:ind w:firstLine="643" w:firstLineChars="200"/>
        <w:rPr>
          <w:rFonts w:hint="eastAsia" w:ascii="楷体_GB2312" w:hAnsi="Times New Roman" w:eastAsia="楷体_GB2312" w:cs="Mongolian Baiti"/>
          <w:b/>
          <w:bCs/>
          <w:sz w:val="32"/>
          <w:szCs w:val="32"/>
        </w:rPr>
      </w:pPr>
    </w:p>
    <w:p>
      <w:pPr>
        <w:adjustRightInd w:val="0"/>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2336" behindDoc="1" locked="0" layoutInCell="1" allowOverlap="1">
                <wp:simplePos x="0" y="0"/>
                <wp:positionH relativeFrom="column">
                  <wp:posOffset>1040130</wp:posOffset>
                </wp:positionH>
                <wp:positionV relativeFrom="paragraph">
                  <wp:posOffset>248285</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53260" y="94564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6</w:t>
                            </w:r>
                            <w:r>
                              <w:rPr>
                                <w:rFonts w:hint="eastAsia" w:ascii="仿宋_GB2312" w:hAnsi="Times New Roman" w:eastAsia="仿宋_GB2312" w:cs="Wingdings"/>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81.9pt;margin-top:19.55pt;height:30.85pt;width:281.6pt;z-index:-251654144;mso-width-relative:page;mso-height-relative:page;" fillcolor="#FFFFFF" filled="t" stroked="f" coordsize="21600,21600" o:gfxdata="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pm1qG1AAAAAoBAAAPAAAAAAAAAAEAIAAAACIA&#10;AABkcnMvZG93bnJldi54bWxQSwECFAAUAAAACACHTuJATFR2j0YCAABeBAAADgAAAAAAAAABACAA&#10;AAAjAQAAZHJzL2Uyb0RvYy54bWxQSwUGAAAAAAYABgBZAQAA2w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6</w:t>
                      </w:r>
                      <w:r>
                        <w:rPr>
                          <w:rFonts w:hint="eastAsia" w:ascii="仿宋_GB2312" w:hAnsi="Times New Roman" w:eastAsia="仿宋_GB2312" w:cs="Wingdings"/>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600" w:lineRule="exact"/>
        <w:rPr>
          <w:rFonts w:hint="eastAsia" w:ascii="楷体_GB2312" w:hAnsi="Times New Roman" w:eastAsia="楷体_GB2312" w:cs="Mongolian Baiti"/>
          <w:b/>
          <w:bCs/>
          <w:sz w:val="32"/>
          <w:szCs w:val="32"/>
        </w:rPr>
      </w:pP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662.94</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559.56</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公务员医疗补助缴费、住房公积金、医疗费、其他社会保障缴费、其他工资福利支出、退休费、生活补助、医疗费补助、奖励金、其他对个人和家庭的补助支出；公用经费</w:t>
      </w:r>
      <w:r>
        <w:rPr>
          <w:rFonts w:hint="eastAsia" w:ascii="仿宋_GB2312" w:hAnsi="Times New Roman" w:eastAsia="仿宋_GB2312" w:cs="Wingdings"/>
          <w:sz w:val="32"/>
          <w:szCs w:val="32"/>
          <w:lang w:val="en-US" w:eastAsia="zh-CN"/>
        </w:rPr>
        <w:t>103.38</w:t>
      </w:r>
      <w:r>
        <w:rPr>
          <w:rFonts w:hint="eastAsia" w:ascii="仿宋_GB2312" w:hAnsi="Times New Roman" w:eastAsia="仿宋_GB2312" w:cs="Wingdings"/>
          <w:sz w:val="32"/>
          <w:szCs w:val="32"/>
        </w:rPr>
        <w:t>万元，主要包括办公费、印刷费、咨询费、手续费、水费、电费、邮电费、取暖费、物业管理费、差旅费、维修（护）费、租赁费、会议费、培训费、公务接待费、劳务费、委托业务费、工会经费、福利费、公务用车运行维护费、其他交通费用、税金及附加费用、其他商品和服务支出、办公设备购置、专用设备购置、信息网络及软件购置更新、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近年来，鹿泉区委组织部</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7.4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5万</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68.5</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2.4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32</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厉行节约，严控公公车使用，公务用车运行维护费支出3.08万，较预算减少2.32万元；</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2019年度</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人/无本单位组织的出国（境）团组。因公出国（境）费支出较预算增加（减少）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%；较上年增加（减少）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3.08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57</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2.32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43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厉行节约，严控公车使用</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厉行节约，严控公务车使用</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本部门2020年度未发生‘公务用车购置’经费支出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w:t>
      </w:r>
      <w:r>
        <w:rPr>
          <w:rFonts w:hint="eastAsia" w:ascii="仿宋_GB2312" w:hAnsi="Times New Roman" w:eastAsia="仿宋_GB2312" w:cs="Wingdings"/>
          <w:sz w:val="32"/>
          <w:szCs w:val="32"/>
          <w:lang w:eastAsia="zh-CN"/>
        </w:rPr>
        <w:t>年初</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；与2019年度决算支出持平。</w:t>
      </w:r>
    </w:p>
    <w:p>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3.08</w:t>
      </w:r>
      <w:r>
        <w:rPr>
          <w:rFonts w:hint="eastAsia" w:ascii="仿宋_GB2312" w:hAnsi="Times New Roman" w:eastAsia="仿宋_GB2312" w:cs="Wingdings"/>
          <w:sz w:val="32"/>
          <w:szCs w:val="32"/>
        </w:rPr>
        <w:t>万元。公车运行维护费支出较预算减少</w:t>
      </w:r>
      <w:r>
        <w:rPr>
          <w:rFonts w:hint="eastAsia" w:ascii="仿宋_GB2312" w:hAnsi="Times New Roman" w:eastAsia="仿宋_GB2312" w:cs="Wingdings"/>
          <w:sz w:val="32"/>
          <w:szCs w:val="32"/>
          <w:lang w:val="en-US" w:eastAsia="zh-CN"/>
        </w:rPr>
        <w:t>2.32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43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厉行节约，严控公务车使用</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rPr>
        <w:t>2019年度</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1.99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99.5</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30</w:t>
      </w:r>
      <w:r>
        <w:rPr>
          <w:rFonts w:hint="eastAsia" w:ascii="仿宋_GB2312" w:hAnsi="Times New Roman" w:eastAsia="仿宋_GB2312" w:cs="Wingdings"/>
          <w:sz w:val="32"/>
          <w:szCs w:val="32"/>
        </w:rPr>
        <w:t>人次。公务接待费支出较预算</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0.01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,主要</w:t>
      </w:r>
      <w:r>
        <w:rPr>
          <w:rFonts w:hint="eastAsia" w:ascii="仿宋_GB2312" w:hAnsi="Times New Roman" w:eastAsia="仿宋_GB2312" w:cs="Wingdings"/>
          <w:sz w:val="32"/>
          <w:szCs w:val="32"/>
          <w:lang w:eastAsia="zh-CN"/>
        </w:rPr>
        <w:t>是严格落实中央</w:t>
      </w:r>
      <w:bookmarkStart w:id="0" w:name="_GoBack"/>
      <w:bookmarkEnd w:id="0"/>
      <w:r>
        <w:rPr>
          <w:rFonts w:hint="eastAsia" w:ascii="仿宋_GB2312" w:hAnsi="Times New Roman" w:eastAsia="仿宋_GB2312" w:cs="Wingdings"/>
          <w:sz w:val="32"/>
          <w:szCs w:val="32"/>
          <w:lang w:eastAsia="zh-CN"/>
        </w:rPr>
        <w:t>八项规定精神，厉行节约要求，节约经费</w:t>
      </w:r>
      <w:r>
        <w:rPr>
          <w:rFonts w:hint="eastAsia" w:ascii="仿宋_GB2312" w:hAnsi="Times New Roman" w:eastAsia="仿宋_GB2312" w:cs="Wingdings"/>
          <w:sz w:val="32"/>
          <w:szCs w:val="32"/>
        </w:rPr>
        <w:t>；较上年度增加</w:t>
      </w:r>
      <w:r>
        <w:rPr>
          <w:rFonts w:hint="eastAsia" w:ascii="仿宋_GB2312" w:hAnsi="Times New Roman" w:eastAsia="仿宋_GB2312" w:cs="Wingdings"/>
          <w:sz w:val="32"/>
          <w:szCs w:val="32"/>
          <w:lang w:val="en-US" w:eastAsia="zh-CN"/>
        </w:rPr>
        <w:t>0.31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迎接接待上级调研与检查较多</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，鹿泉区委组织部</w:t>
      </w:r>
      <w:r>
        <w:rPr>
          <w:rFonts w:hint="eastAsia" w:ascii="仿宋_GB2312" w:hAnsi="Times New Roman" w:eastAsia="仿宋_GB2312" w:cs="Wingdings"/>
          <w:sz w:val="32"/>
          <w:szCs w:val="32"/>
        </w:rPr>
        <w:t>组织对2020年度</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个</w:t>
      </w:r>
      <w:r>
        <w:rPr>
          <w:rFonts w:hint="eastAsia" w:ascii="仿宋_GB2312" w:hAnsi="Times New Roman" w:eastAsia="仿宋_GB2312" w:cs="Wingdings"/>
          <w:sz w:val="32"/>
          <w:szCs w:val="32"/>
        </w:rPr>
        <w:t>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仿宋_GB2312" w:eastAsia="仿宋_GB2312" w:cs="仿宋_GB2312"/>
          <w:sz w:val="32"/>
          <w:szCs w:val="32"/>
          <w:lang w:val="en-US" w:eastAsia="zh-CN"/>
        </w:rPr>
        <w:t>4959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仿宋_GB2312" w:eastAsia="仿宋_GB2312" w:cs="仿宋_GB2312"/>
          <w:sz w:val="32"/>
          <w:szCs w:val="32"/>
        </w:rPr>
        <w:t>占一般公共预算项目支出总额的</w:t>
      </w:r>
      <w:r>
        <w:rPr>
          <w:rFonts w:hint="eastAsia" w:ascii="仿宋_GB2312" w:hAnsi="仿宋_GB2312" w:eastAsia="仿宋_GB2312" w:cs="仿宋_GB2312"/>
          <w:sz w:val="32"/>
          <w:szCs w:val="32"/>
          <w:lang w:val="en-US" w:eastAsia="zh-CN"/>
        </w:rPr>
        <w:t>76</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我单位</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20</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20</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right="-105" w:rightChars="-50"/>
        <w:jc w:val="both"/>
        <w:textAlignment w:val="auto"/>
        <w:outlineLvl w:val="9"/>
        <w:rPr>
          <w:rFonts w:hint="eastAsia" w:ascii="仿宋_GB2312" w:hAnsi="宋体" w:eastAsia="仿宋_GB2312"/>
          <w:b/>
          <w:sz w:val="32"/>
          <w:szCs w:val="32"/>
          <w:lang w:val="en-US" w:eastAsia="zh-CN"/>
        </w:rPr>
      </w:pPr>
    </w:p>
    <w:p>
      <w:pPr>
        <w:wordWrap/>
        <w:adjustRightInd/>
        <w:snapToGrid w:val="0"/>
        <w:spacing w:before="0" w:after="0" w:line="360" w:lineRule="auto"/>
        <w:ind w:left="-105" w:leftChars="-50" w:right="-105" w:rightChars="-50"/>
        <w:jc w:val="center"/>
        <w:textAlignment w:val="auto"/>
        <w:outlineLvl w:val="9"/>
        <w:rPr>
          <w:rFonts w:hint="eastAsia" w:ascii="仿宋_GB2312" w:hAnsi="仿宋_GB2312" w:eastAsia="仿宋_GB2312" w:cs="仿宋_GB2312"/>
          <w:sz w:val="32"/>
          <w:szCs w:val="32"/>
          <w:highlight w:val="yellow"/>
        </w:rPr>
      </w:pPr>
      <w:r>
        <w:rPr>
          <w:rFonts w:hint="eastAsia" w:ascii="仿宋_GB2312" w:hAnsi="宋体" w:eastAsia="仿宋_GB2312"/>
          <w:b/>
          <w:sz w:val="32"/>
          <w:szCs w:val="32"/>
          <w:lang w:val="en-US" w:eastAsia="zh-CN"/>
        </w:rPr>
        <w:t>组织部</w:t>
      </w:r>
      <w:r>
        <w:rPr>
          <w:rFonts w:hint="eastAsia" w:ascii="仿宋_GB2312" w:hAnsi="宋体" w:eastAsia="仿宋_GB2312"/>
          <w:b/>
          <w:sz w:val="32"/>
          <w:szCs w:val="32"/>
        </w:rPr>
        <w:t>绩效自评结果统计表</w:t>
      </w:r>
    </w:p>
    <w:tbl>
      <w:tblPr>
        <w:tblStyle w:val="6"/>
        <w:tblW w:w="96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55"/>
        <w:gridCol w:w="3646"/>
        <w:gridCol w:w="1426"/>
        <w:gridCol w:w="2026"/>
        <w:gridCol w:w="16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90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项目实施单位</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会议接待费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restart"/>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评价结果为优秀，应当加大资金，创造更好公共效益。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干部综合信息管理系统软件建设专项经费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非公企业和社会组织党建工作经费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村党组织活动经费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考核专项业务费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人才工作专项经费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村级办公经费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离任村党组织书记和村委会主任补贴</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农村老党员补贴</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干部信息管理专项经费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服务群众专项经费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3646" w:type="dxa"/>
            <w:tcBorders>
              <w:top w:val="single" w:color="000000" w:sz="4" w:space="0"/>
              <w:left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专项公用经费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农村党组织书记及村主任养老保险奖励</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人才绿卡C卡房租补贴</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村干部基础职务补贴及农村好青年基础职务补贴</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干部数字档案建设专项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大学生村官工作生活补贴费用</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区管拔尖人才补贴经费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培训费</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36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领导干部综合评价系统后期维护及新增项目费用</w:t>
            </w:r>
          </w:p>
        </w:tc>
        <w:tc>
          <w:tcPr>
            <w:tcW w:w="14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区委组织部</w:t>
            </w:r>
          </w:p>
        </w:tc>
        <w:tc>
          <w:tcPr>
            <w:tcW w:w="2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95分以上优秀等级</w:t>
            </w:r>
          </w:p>
        </w:tc>
        <w:tc>
          <w:tcPr>
            <w:tcW w:w="169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bl>
    <w:p>
      <w:pPr>
        <w:adjustRightInd w:val="0"/>
        <w:snapToGrid w:val="0"/>
        <w:spacing w:line="600" w:lineRule="exact"/>
        <w:ind w:firstLine="640" w:firstLineChars="200"/>
        <w:rPr>
          <w:rFonts w:hint="eastAsia" w:ascii="仿宋_GB2312" w:hAnsi="仿宋_GB2312" w:eastAsia="仿宋_GB2312" w:cs="仿宋_GB2312"/>
          <w:sz w:val="32"/>
          <w:szCs w:val="32"/>
          <w:highlight w:val="yellow"/>
        </w:rPr>
      </w:pP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组织部</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val="en-US" w:eastAsia="zh-CN"/>
        </w:rPr>
        <w:t>村干部基础职务补贴及农村好青年基础职务补贴</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人才绿卡C卡房租补贴</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个项目绩效自评结果。</w:t>
      </w:r>
    </w:p>
    <w:p>
      <w:pPr>
        <w:widowControl w:val="0"/>
        <w:wordWrap/>
        <w:adjustRightInd w:val="0"/>
        <w:snapToGrid w:val="0"/>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村干部基础职务补贴及农村好青年基础职务补贴</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村干部基础职务补贴及农村好青年基础职务补贴</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分。全年预算数为2639万元，执行数为</w:t>
      </w:r>
      <w:r>
        <w:rPr>
          <w:rFonts w:hint="eastAsia" w:ascii="仿宋_GB2312" w:hAnsi="仿宋_GB2312" w:eastAsia="仿宋_GB2312" w:cs="仿宋_GB2312"/>
          <w:sz w:val="32"/>
          <w:szCs w:val="32"/>
          <w:lang w:val="en-US" w:eastAsia="zh-CN"/>
        </w:rPr>
        <w:t>2639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_GB2312" w:eastAsia="仿宋_GB2312"/>
          <w:sz w:val="32"/>
          <w:szCs w:val="32"/>
        </w:rPr>
        <w:t>为全区1415名村“两委”干部发放基础职务补贴，有利于进一步增强村干部的事业心和责任感，充分调动村干部的工作积极性、主动性和创造性，为建设社会主义新农村，实施乡村振兴战略，推动农村全面发展，提供保障。</w:t>
      </w:r>
      <w:r>
        <w:rPr>
          <w:rFonts w:hint="eastAsia" w:ascii="仿宋_GB2312" w:eastAsia="仿宋_GB2312"/>
          <w:sz w:val="32"/>
          <w:szCs w:val="32"/>
          <w:lang w:eastAsia="zh-CN"/>
        </w:rPr>
        <w:t>二是</w:t>
      </w:r>
      <w:r>
        <w:rPr>
          <w:rFonts w:hint="eastAsia" w:ascii="仿宋_GB2312" w:eastAsia="仿宋_GB2312"/>
          <w:sz w:val="32"/>
          <w:szCs w:val="32"/>
        </w:rPr>
        <w:t>为我区208名农村好青年</w:t>
      </w:r>
      <w:r>
        <w:rPr>
          <w:rFonts w:hint="eastAsia" w:ascii="仿宋_GB2312" w:eastAsia="仿宋_GB2312"/>
          <w:sz w:val="32"/>
          <w:szCs w:val="32"/>
          <w:lang w:eastAsia="zh-CN"/>
        </w:rPr>
        <w:t>按</w:t>
      </w:r>
      <w:r>
        <w:rPr>
          <w:rFonts w:hint="eastAsia" w:ascii="仿宋_GB2312" w:eastAsia="仿宋_GB2312"/>
          <w:sz w:val="32"/>
          <w:szCs w:val="32"/>
        </w:rPr>
        <w:t>标准，按月发放基础职务补贴，有助于进一步推进村级后备干部和人才队伍建设，激发农村好青年热爱农村工作、志愿为家乡做贡献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未发现问题。</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人才绿卡C卡房租补贴</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人才绿卡C卡房租补贴</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499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按照要求</w:t>
      </w:r>
      <w:r>
        <w:rPr>
          <w:rFonts w:hint="eastAsia" w:ascii="仿宋_GB2312" w:eastAsia="仿宋_GB2312"/>
          <w:sz w:val="32"/>
          <w:szCs w:val="32"/>
          <w:lang w:val="en-US" w:eastAsia="zh-CN"/>
        </w:rPr>
        <w:t>对我区</w:t>
      </w:r>
      <w:r>
        <w:rPr>
          <w:rFonts w:hint="eastAsia" w:ascii="仿宋_GB2312" w:eastAsia="仿宋_GB2312"/>
          <w:sz w:val="32"/>
          <w:szCs w:val="32"/>
          <w:lang w:eastAsia="zh-CN"/>
        </w:rPr>
        <w:t>持“</w:t>
      </w:r>
      <w:r>
        <w:rPr>
          <w:rFonts w:hint="eastAsia" w:ascii="仿宋_GB2312" w:eastAsia="仿宋_GB2312"/>
          <w:sz w:val="32"/>
          <w:szCs w:val="32"/>
          <w:lang w:val="en-US" w:eastAsia="zh-CN"/>
        </w:rPr>
        <w:t>C</w:t>
      </w:r>
      <w:r>
        <w:rPr>
          <w:rFonts w:hint="eastAsia" w:ascii="仿宋_GB2312" w:eastAsia="仿宋_GB2312"/>
          <w:sz w:val="32"/>
          <w:szCs w:val="32"/>
          <w:lang w:eastAsia="zh-CN"/>
        </w:rPr>
        <w:t>卡”人才</w:t>
      </w:r>
      <w:r>
        <w:rPr>
          <w:rFonts w:hint="eastAsia" w:ascii="仿宋_GB2312" w:eastAsia="仿宋_GB2312"/>
          <w:sz w:val="32"/>
          <w:szCs w:val="32"/>
          <w:lang w:val="en-US" w:eastAsia="zh-CN"/>
        </w:rPr>
        <w:t>发放2020年度房租补贴</w:t>
      </w:r>
      <w:r>
        <w:rPr>
          <w:rFonts w:hint="eastAsia" w:ascii="仿宋_GB2312" w:hAnsi="仿宋_GB2312" w:eastAsia="仿宋_GB2312" w:cs="仿宋_GB2312"/>
          <w:sz w:val="32"/>
          <w:szCs w:val="32"/>
        </w:rPr>
        <w:t>。发现的主要问题及原因：</w:t>
      </w:r>
      <w:r>
        <w:rPr>
          <w:rFonts w:hint="eastAsia" w:ascii="仿宋_GB2312" w:eastAsia="仿宋_GB2312"/>
          <w:b w:val="0"/>
          <w:bCs w:val="0"/>
          <w:sz w:val="32"/>
          <w:szCs w:val="32"/>
          <w:lang w:val="en-US" w:eastAsia="zh-CN"/>
        </w:rPr>
        <w:t>各企事业单位持卡人存在外出公差或者使用银行借记卡未开通状态，房租补助不能及时发放的问题。</w:t>
      </w:r>
      <w:r>
        <w:rPr>
          <w:rFonts w:hint="eastAsia" w:ascii="仿宋_GB2312" w:hAnsi="仿宋_GB2312" w:eastAsia="仿宋_GB2312" w:cs="仿宋_GB2312"/>
          <w:sz w:val="32"/>
          <w:szCs w:val="32"/>
        </w:rPr>
        <w:t>下一步改进措施：</w:t>
      </w:r>
      <w:r>
        <w:rPr>
          <w:rFonts w:hint="eastAsia" w:ascii="仿宋_GB2312" w:eastAsia="仿宋_GB2312"/>
          <w:b w:val="0"/>
          <w:bCs w:val="0"/>
          <w:sz w:val="32"/>
          <w:szCs w:val="32"/>
          <w:lang w:val="en-US" w:eastAsia="zh-CN"/>
        </w:rPr>
        <w:t>要求各企事业单位统一收集持“C卡”人才银行信息，并及时更新，确保每位持卡人才生活补助能在规定的时间内按时发放到位。</w:t>
      </w:r>
    </w:p>
    <w:p>
      <w:pPr>
        <w:numPr>
          <w:ilvl w:val="0"/>
          <w:numId w:val="0"/>
        </w:numPr>
        <w:ind w:firstLine="640" w:firstLineChars="200"/>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103.38</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24.29</w:t>
      </w:r>
      <w:r>
        <w:rPr>
          <w:rFonts w:hint="eastAsia" w:ascii="仿宋_GB2312" w:hAnsi="仿宋_GB2312" w:eastAsia="仿宋_GB2312" w:cs="仿宋_GB2312"/>
          <w:sz w:val="32"/>
          <w:szCs w:val="32"/>
        </w:rPr>
        <w:t>万元，增</w:t>
      </w:r>
      <w:r>
        <w:rPr>
          <w:rFonts w:hint="eastAsia" w:ascii="仿宋_GB2312" w:hAnsi="仿宋_GB2312" w:eastAsia="仿宋_GB2312" w:cs="仿宋_GB2312"/>
          <w:sz w:val="32"/>
          <w:szCs w:val="32"/>
          <w:lang w:eastAsia="zh-CN"/>
        </w:rPr>
        <w:t>长</w:t>
      </w:r>
      <w:r>
        <w:rPr>
          <w:rFonts w:hint="eastAsia" w:ascii="仿宋_GB2312" w:hAnsi="仿宋_GB2312" w:eastAsia="仿宋_GB2312" w:cs="仿宋_GB2312"/>
          <w:sz w:val="32"/>
          <w:szCs w:val="32"/>
          <w:lang w:val="en-US" w:eastAsia="zh-CN"/>
        </w:rPr>
        <w:t>23.5</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人员增加以及我部承接市督导组工作</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与上年持平，无增减变化</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辆，其他用车主要是</w:t>
      </w:r>
      <w:r>
        <w:rPr>
          <w:rFonts w:hint="eastAsia" w:ascii="仿宋_GB2312" w:hAnsi="仿宋_GB2312" w:eastAsia="仿宋_GB2312" w:cs="仿宋_GB2312"/>
          <w:sz w:val="32"/>
          <w:szCs w:val="32"/>
          <w:lang w:eastAsia="zh-CN"/>
        </w:rPr>
        <w:t>公务用车</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lang w:val="en-US" w:eastAsia="zh-CN"/>
        </w:rPr>
        <w:t>没有</w:t>
      </w:r>
      <w:r>
        <w:rPr>
          <w:rFonts w:hint="eastAsia" w:ascii="仿宋_GB2312" w:hAnsi="仿宋_GB2312" w:eastAsia="仿宋_GB2312" w:cs="仿宋_GB2312"/>
          <w:sz w:val="32"/>
          <w:szCs w:val="32"/>
        </w:rPr>
        <w:t>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outlineLvl w:val="2"/>
        <w:rPr>
          <w:rFonts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本部门2020年度未发生政府性基金预算、国有资金经营预算收支及结转结余情况，故政府性基金预算财政拨款收入支出决算表、国有资本经营预算财政拨款支出决算表等表以空表列示。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Jdu0e2AAAAAsBAAAPAAAAAAAAAAEAIAAAACIAAABkcnMvZG93bnJldi54&#10;bWxQSwECFAAUAAAACACHTuJA+DKZGGwCAAD+BAAADgAAAAAAAAABACAAAAAnAQAAZHJzL2Uyb0Rv&#10;Yy54bWxQSwUGAAAAAAYABgBZAQAABQYAAAAA&#10;">
                <v:fill type="pattern" on="t" color2="#FFFFFF [3212]" focussize="0,0" r:id="rId14"/>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7456;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4"/>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tbl>
      <w:tblPr>
        <w:tblStyle w:val="6"/>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tblPrEx>
          <w:tblLayout w:type="fixed"/>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FFFFFF"/>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lang w:bidi="ar"/>
              </w:rPr>
              <w:t>收入支出决算总表</w:t>
            </w:r>
          </w:p>
        </w:tc>
      </w:tr>
      <w:tr>
        <w:tblPrEx>
          <w:tblLayout w:type="fixed"/>
          <w:tblCellMar>
            <w:top w:w="15" w:type="dxa"/>
            <w:left w:w="15" w:type="dxa"/>
            <w:bottom w:w="15" w:type="dxa"/>
            <w:right w:w="15" w:type="dxa"/>
          </w:tblCellMar>
        </w:tblPrEx>
        <w:trPr>
          <w:trHeight w:val="227" w:hRule="atLeast"/>
        </w:trPr>
        <w:tc>
          <w:tcPr>
            <w:tcW w:w="2356" w:type="dxa"/>
            <w:shd w:val="clear" w:color="auto" w:fill="FFFFFF"/>
            <w:vAlign w:val="center"/>
          </w:tcPr>
          <w:p>
            <w:pPr>
              <w:jc w:val="left"/>
              <w:rPr>
                <w:rFonts w:ascii="宋体" w:hAnsi="宋体" w:eastAsia="宋体" w:cs="宋体"/>
                <w:color w:val="000000"/>
                <w:sz w:val="18"/>
                <w:szCs w:val="18"/>
              </w:rPr>
            </w:pPr>
          </w:p>
        </w:tc>
        <w:tc>
          <w:tcPr>
            <w:tcW w:w="432" w:type="dxa"/>
            <w:gridSpan w:val="2"/>
            <w:shd w:val="clear" w:color="auto" w:fill="FFFFFF"/>
            <w:vAlign w:val="center"/>
          </w:tcPr>
          <w:p>
            <w:pPr>
              <w:jc w:val="left"/>
              <w:rPr>
                <w:rFonts w:ascii="宋体" w:hAnsi="宋体" w:eastAsia="宋体" w:cs="宋体"/>
                <w:color w:val="000000"/>
                <w:sz w:val="18"/>
                <w:szCs w:val="18"/>
              </w:rPr>
            </w:pPr>
          </w:p>
        </w:tc>
        <w:tc>
          <w:tcPr>
            <w:tcW w:w="1763" w:type="dxa"/>
            <w:gridSpan w:val="2"/>
            <w:shd w:val="clear" w:color="auto" w:fill="FFFFFF"/>
            <w:vAlign w:val="center"/>
          </w:tcPr>
          <w:p>
            <w:pPr>
              <w:jc w:val="left"/>
              <w:rPr>
                <w:rFonts w:ascii="宋体" w:hAnsi="宋体" w:eastAsia="宋体" w:cs="宋体"/>
                <w:color w:val="000000"/>
                <w:sz w:val="18"/>
                <w:szCs w:val="18"/>
              </w:rPr>
            </w:pPr>
          </w:p>
        </w:tc>
        <w:tc>
          <w:tcPr>
            <w:tcW w:w="2665" w:type="dxa"/>
            <w:shd w:val="clear" w:color="auto" w:fill="FFFFFF"/>
            <w:vAlign w:val="center"/>
          </w:tcPr>
          <w:p>
            <w:pPr>
              <w:jc w:val="left"/>
              <w:rPr>
                <w:rFonts w:ascii="宋体" w:hAnsi="宋体" w:eastAsia="宋体" w:cs="宋体"/>
                <w:color w:val="000000"/>
                <w:sz w:val="18"/>
                <w:szCs w:val="18"/>
              </w:rPr>
            </w:pPr>
          </w:p>
        </w:tc>
        <w:tc>
          <w:tcPr>
            <w:tcW w:w="432" w:type="dxa"/>
            <w:shd w:val="clear" w:color="auto" w:fill="FFFFFF"/>
            <w:vAlign w:val="center"/>
          </w:tcPr>
          <w:p>
            <w:pPr>
              <w:jc w:val="left"/>
              <w:rPr>
                <w:rFonts w:ascii="宋体" w:hAnsi="宋体" w:eastAsia="宋体" w:cs="宋体"/>
                <w:color w:val="000000"/>
                <w:sz w:val="18"/>
                <w:szCs w:val="18"/>
              </w:rPr>
            </w:pPr>
          </w:p>
        </w:tc>
        <w:tc>
          <w:tcPr>
            <w:tcW w:w="1604" w:type="dxa"/>
            <w:tcBorders>
              <w:right w:val="single" w:color="808080" w:sz="4" w:space="0"/>
            </w:tcBorders>
            <w:shd w:val="clear" w:color="auto" w:fill="FFFFFF"/>
            <w:vAlign w:val="center"/>
          </w:tcPr>
          <w:p>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公开01表</w:t>
            </w:r>
          </w:p>
        </w:tc>
      </w:tr>
      <w:tr>
        <w:tblPrEx>
          <w:tblLayout w:type="fixed"/>
          <w:tblCellMar>
            <w:top w:w="15" w:type="dxa"/>
            <w:left w:w="15" w:type="dxa"/>
            <w:bottom w:w="15" w:type="dxa"/>
            <w:right w:w="15" w:type="dxa"/>
          </w:tblCellMar>
        </w:tblPrEx>
        <w:trPr>
          <w:trHeight w:val="227" w:hRule="atLeast"/>
        </w:trPr>
        <w:tc>
          <w:tcPr>
            <w:tcW w:w="4551" w:type="dxa"/>
            <w:gridSpan w:val="5"/>
            <w:tcBorders>
              <w:bottom w:val="single" w:color="808080" w:sz="4" w:space="0"/>
            </w:tcBorders>
            <w:shd w:val="clear" w:color="auto" w:fill="FFFFFF"/>
            <w:vAlign w:val="center"/>
          </w:tcPr>
          <w:p>
            <w:pPr>
              <w:jc w:val="both"/>
              <w:rPr>
                <w:rFonts w:ascii="宋体" w:hAnsi="宋体" w:eastAsia="宋体" w:cs="宋体"/>
                <w:color w:val="000000"/>
                <w:sz w:val="24"/>
              </w:rPr>
            </w:pPr>
            <w:r>
              <w:rPr>
                <w:rFonts w:hint="eastAsia" w:ascii="宋体" w:hAnsi="宋体" w:eastAsia="宋体" w:cs="宋体"/>
                <w:color w:val="000000"/>
                <w:kern w:val="0"/>
                <w:sz w:val="22"/>
                <w:szCs w:val="22"/>
                <w:lang w:bidi="ar"/>
              </w:rPr>
              <w:t>部门：</w:t>
            </w:r>
            <w:r>
              <w:rPr>
                <w:rFonts w:hint="eastAsia" w:ascii="宋体" w:hAnsi="宋体" w:eastAsia="宋体" w:cs="宋体"/>
                <w:color w:val="000000"/>
                <w:kern w:val="0"/>
                <w:sz w:val="18"/>
                <w:szCs w:val="18"/>
                <w:lang w:eastAsia="zh-CN" w:bidi="ar"/>
              </w:rPr>
              <w:t>中共石家庄市鹿泉区委组织部</w:t>
            </w:r>
          </w:p>
        </w:tc>
        <w:tc>
          <w:tcPr>
            <w:tcW w:w="2665" w:type="dxa"/>
            <w:tcBorders>
              <w:bottom w:val="single" w:color="808080" w:sz="4" w:space="0"/>
            </w:tcBorders>
            <w:shd w:val="clear" w:color="auto" w:fill="FFFFFF"/>
            <w:vAlign w:val="center"/>
          </w:tcPr>
          <w:p>
            <w:pPr>
              <w:jc w:val="left"/>
              <w:rPr>
                <w:rFonts w:ascii="宋体" w:hAnsi="宋体" w:eastAsia="宋体" w:cs="宋体"/>
                <w:color w:val="000000"/>
                <w:sz w:val="18"/>
                <w:szCs w:val="18"/>
              </w:rPr>
            </w:pPr>
          </w:p>
        </w:tc>
        <w:tc>
          <w:tcPr>
            <w:tcW w:w="432" w:type="dxa"/>
            <w:tcBorders>
              <w:bottom w:val="single" w:color="808080" w:sz="4" w:space="0"/>
            </w:tcBorders>
            <w:shd w:val="clear" w:color="auto" w:fill="FFFFFF"/>
            <w:vAlign w:val="center"/>
          </w:tcPr>
          <w:p>
            <w:pPr>
              <w:jc w:val="left"/>
              <w:rPr>
                <w:rFonts w:ascii="宋体" w:hAnsi="宋体" w:eastAsia="宋体" w:cs="宋体"/>
                <w:color w:val="000000"/>
                <w:sz w:val="18"/>
                <w:szCs w:val="18"/>
              </w:rPr>
            </w:pPr>
          </w:p>
        </w:tc>
        <w:tc>
          <w:tcPr>
            <w:tcW w:w="1604" w:type="dxa"/>
            <w:tcBorders>
              <w:bottom w:val="single" w:color="808080" w:sz="4" w:space="0"/>
              <w:right w:val="single" w:color="808080" w:sz="4" w:space="0"/>
            </w:tcBorders>
            <w:shd w:val="clear" w:color="auto" w:fill="FFFFFF"/>
            <w:vAlign w:val="center"/>
          </w:tcPr>
          <w:p>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金额单位：万元</w:t>
            </w:r>
          </w:p>
        </w:tc>
      </w:tr>
      <w:tr>
        <w:tblPrEx>
          <w:tblLayout w:type="fixed"/>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收入</w:t>
            </w:r>
          </w:p>
        </w:tc>
        <w:tc>
          <w:tcPr>
            <w:tcW w:w="4701" w:type="dxa"/>
            <w:gridSpan w:val="3"/>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支出</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417"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604"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25" w:type="dxa"/>
            <w:gridSpan w:val="2"/>
            <w:tcBorders>
              <w:bottom w:val="single" w:color="000000" w:sz="4" w:space="0"/>
              <w:right w:val="single" w:color="000000" w:sz="4" w:space="0"/>
            </w:tcBorders>
            <w:shd w:val="clear" w:color="auto" w:fill="FFFFFF"/>
            <w:vAlign w:val="center"/>
          </w:tcPr>
          <w:p>
            <w:pPr>
              <w:jc w:val="center"/>
              <w:rPr>
                <w:rFonts w:ascii="宋体" w:hAnsi="宋体" w:eastAsia="宋体" w:cs="宋体"/>
                <w:color w:val="000000"/>
                <w:sz w:val="15"/>
                <w:szCs w:val="16"/>
              </w:rPr>
            </w:pPr>
          </w:p>
        </w:tc>
        <w:tc>
          <w:tcPr>
            <w:tcW w:w="1417"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32" w:type="dxa"/>
            <w:tcBorders>
              <w:bottom w:val="single" w:color="000000" w:sz="4" w:space="0"/>
              <w:right w:val="single" w:color="000000" w:sz="4" w:space="0"/>
            </w:tcBorders>
            <w:shd w:val="clear" w:color="auto" w:fill="FFFFFF"/>
            <w:vAlign w:val="center"/>
          </w:tcPr>
          <w:p>
            <w:pPr>
              <w:jc w:val="center"/>
              <w:rPr>
                <w:rFonts w:ascii="宋体" w:hAnsi="宋体" w:eastAsia="宋体" w:cs="宋体"/>
                <w:color w:val="000000"/>
                <w:sz w:val="15"/>
                <w:szCs w:val="16"/>
              </w:rPr>
            </w:pPr>
          </w:p>
        </w:tc>
        <w:tc>
          <w:tcPr>
            <w:tcW w:w="1604"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6,533.08</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一、一般公共服务支出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32</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1,295.97</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二、政府性基金预算财政拨款收入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二、外交支出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33</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三、国有资本经营预算财政拨款收入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三、国防支出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34</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四、上级补助收入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四、公共安全支出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35</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五、事业收入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五、教育支出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36</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六、经营收入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六、科学技术支出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37</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七、附属单位上缴收入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7</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七、文化旅游体育与传媒支出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38</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八、其他收入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8</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5.00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八、社会保障和就业支出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39</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60.08</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9</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九、卫生健康支出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40</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36.94</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十、节能环保支出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41</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11</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十一、城乡社区支出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42</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12</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十二、农林水支出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43</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5,061.80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13</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十三、交通运输支出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44</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14</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十四、资源勘探工业信息等支出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45</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15</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十五、商业服务业等支出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46</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16</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十六、金融支出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47</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17</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十七、援助其他地区支出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48</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18</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十八、自然资源海洋气象等支出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49</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19</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十九、住房保障支出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50</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56.19</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二十、粮油物资储备支出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51</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21</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二十一、国有资本经营预算支出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52</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22</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二十二、灾害防治及应急管理支出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53</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23</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二十三、其他支出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54</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b/>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24</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二十四、债务还本支出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55</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25</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二十五、债务付息支出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56</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26</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二十六、抗疫特别国债安排的支出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57</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本年收入合计</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27</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6,538.08</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本年支出合计</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58</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6,510.98</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使用非财政拨款结余</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28</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结余分配</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59</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年初结转和结余</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29</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54.68</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年末结转和结余</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60</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81.77</w:t>
            </w: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61</w:t>
            </w:r>
          </w:p>
        </w:tc>
        <w:tc>
          <w:tcPr>
            <w:tcW w:w="1604" w:type="dxa"/>
            <w:tcBorders>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r>
      <w:tr>
        <w:tblPrEx>
          <w:tblLayout w:type="fixed"/>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25" w:type="dxa"/>
            <w:gridSpan w:val="2"/>
            <w:tcBorders>
              <w:bottom w:val="single" w:color="000000" w:sz="18"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31</w:t>
            </w:r>
          </w:p>
        </w:tc>
        <w:tc>
          <w:tcPr>
            <w:tcW w:w="1417"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6,592.75</w:t>
            </w:r>
          </w:p>
        </w:tc>
        <w:tc>
          <w:tcPr>
            <w:tcW w:w="2665" w:type="dxa"/>
            <w:tcBorders>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62</w:t>
            </w:r>
          </w:p>
        </w:tc>
        <w:tc>
          <w:tcPr>
            <w:tcW w:w="1604" w:type="dxa"/>
            <w:tcBorders>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6,592.75</w:t>
            </w:r>
          </w:p>
        </w:tc>
      </w:tr>
      <w:tr>
        <w:tblPrEx>
          <w:tblLayout w:type="fixed"/>
          <w:tblCellMar>
            <w:top w:w="15" w:type="dxa"/>
            <w:left w:w="15" w:type="dxa"/>
            <w:bottom w:w="15" w:type="dxa"/>
            <w:right w:w="15" w:type="dxa"/>
          </w:tblCellMar>
        </w:tblPrEx>
        <w:trPr>
          <w:trHeight w:val="340" w:hRule="exact"/>
        </w:trPr>
        <w:tc>
          <w:tcPr>
            <w:tcW w:w="9252" w:type="dxa"/>
            <w:gridSpan w:val="8"/>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注：本表反映部门（或单位）本年度的总收支和年末结转结余情况。本套报表金额单位转换时可能存在尾数误差。</w:t>
            </w:r>
          </w:p>
        </w:tc>
      </w:tr>
    </w:tbl>
    <w:p>
      <w:pPr>
        <w:spacing w:line="400" w:lineRule="exact"/>
        <w:jc w:val="cente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p>
    <w:tbl>
      <w:tblPr>
        <w:tblStyle w:val="6"/>
        <w:tblW w:w="9582" w:type="dxa"/>
        <w:jc w:val="center"/>
        <w:tblInd w:w="0" w:type="dxa"/>
        <w:tblLayout w:type="fixed"/>
        <w:tblCellMar>
          <w:top w:w="0" w:type="dxa"/>
          <w:left w:w="0" w:type="dxa"/>
          <w:bottom w:w="0" w:type="dxa"/>
          <w:right w:w="0" w:type="dxa"/>
        </w:tblCellMar>
      </w:tblPr>
      <w:tblGrid>
        <w:gridCol w:w="1034"/>
        <w:gridCol w:w="59"/>
        <w:gridCol w:w="59"/>
        <w:gridCol w:w="1362"/>
        <w:gridCol w:w="1009"/>
        <w:gridCol w:w="1009"/>
        <w:gridCol w:w="1009"/>
        <w:gridCol w:w="1009"/>
        <w:gridCol w:w="1009"/>
        <w:gridCol w:w="1009"/>
        <w:gridCol w:w="1014"/>
      </w:tblGrid>
      <w:tr>
        <w:tblPrEx>
          <w:tblLayout w:type="fixed"/>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lang w:bidi="ar"/>
              </w:rPr>
              <w:t>收入决算表</w:t>
            </w:r>
          </w:p>
        </w:tc>
      </w:tr>
      <w:tr>
        <w:tblPrEx>
          <w:tblLayout w:type="fixed"/>
          <w:tblCellMar>
            <w:top w:w="0" w:type="dxa"/>
            <w:left w:w="0" w:type="dxa"/>
            <w:bottom w:w="0" w:type="dxa"/>
            <w:right w:w="0" w:type="dxa"/>
          </w:tblCellMar>
        </w:tblPrEx>
        <w:trPr>
          <w:trHeight w:val="357" w:hRule="atLeast"/>
          <w:jc w:val="center"/>
        </w:trPr>
        <w:tc>
          <w:tcPr>
            <w:tcW w:w="10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5541"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18"/>
                <w:szCs w:val="18"/>
                <w:lang w:eastAsia="zh-CN" w:bidi="ar"/>
              </w:rPr>
              <w:t>中共石家庄市鹿泉区委组织部</w:t>
            </w: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1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本年收入合计</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财政拨款收入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上级补助收入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事业收入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经营收入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附属单位上缴收入</w:t>
            </w:r>
          </w:p>
        </w:tc>
        <w:tc>
          <w:tcPr>
            <w:tcW w:w="10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其他收入</w:t>
            </w:r>
          </w:p>
        </w:tc>
      </w:tr>
      <w:tr>
        <w:tblPrEx>
          <w:tblLayout w:type="fixed"/>
          <w:tblCellMar>
            <w:top w:w="0" w:type="dxa"/>
            <w:left w:w="0" w:type="dxa"/>
            <w:bottom w:w="0" w:type="dxa"/>
            <w:right w:w="0" w:type="dxa"/>
          </w:tblCellMar>
        </w:tblPrEx>
        <w:trPr>
          <w:trHeight w:val="380" w:hRule="atLeast"/>
          <w:jc w:val="center"/>
        </w:trPr>
        <w:tc>
          <w:tcPr>
            <w:tcW w:w="115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3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r>
      <w:tr>
        <w:tblPrEx>
          <w:tblLayout w:type="fixed"/>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6,538.08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6,533.08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1,288.07</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1,283.07</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政协事务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组织事务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1,284.52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1,279.52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520.84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520.84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2013202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763.68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758.68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43.11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43.11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43.11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43.11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20808</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抚恤</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19.88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19.88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2080899</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其他优抚支出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19.88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19.88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39.99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5,090.80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5,090.80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农业农村</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2130152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39.08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21307</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农村综合改革</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5,051.72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5,051.72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2130705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5,051.72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5,051.72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56.22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公开03表</w:t>
            </w:r>
          </w:p>
        </w:tc>
      </w:tr>
      <w:tr>
        <w:tblPrEx>
          <w:tblLayout w:type="fixed"/>
          <w:tblCellMar>
            <w:top w:w="0" w:type="dxa"/>
            <w:left w:w="0" w:type="dxa"/>
            <w:bottom w:w="0" w:type="dxa"/>
            <w:right w:w="0" w:type="dxa"/>
          </w:tblCellMar>
        </w:tblPrEx>
        <w:trPr>
          <w:trHeight w:val="313" w:hRule="atLeast"/>
          <w:jc w:val="center"/>
        </w:trPr>
        <w:tc>
          <w:tcPr>
            <w:tcW w:w="4786"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中共石家庄市鹿泉区委组织部</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6,510.98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662.94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5,848.04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1,295.97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529.60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766.37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政协事务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2010202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组织事务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1,292.42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529.60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762.81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528.73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528.73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763.68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762.81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60.08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40.20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19.88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行政事业单位养老支出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40.20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40.20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40.20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40.20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抚恤</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19.88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19.88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2080899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其他优抚支出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19.88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19.88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36.94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农林水支出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5,061.80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5,061.80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农业农村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9.40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9.40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2130152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9.40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9.40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农村综合改革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5,052.40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5,052.40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2130705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5,052.40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5,052.40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住房保障支出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住房改革支出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住房公积金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56.19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注：本表反映部门本年度各项支出情况。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1859"/>
        <w:gridCol w:w="470"/>
      </w:tblGrid>
      <w:tr>
        <w:tblPrEx>
          <w:tblLayout w:type="fixed"/>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6"/>
              <w:tblW w:w="9736" w:type="dxa"/>
              <w:tblInd w:w="0" w:type="dxa"/>
              <w:tblLayout w:type="fixed"/>
              <w:tblCellMar>
                <w:top w:w="0" w:type="dxa"/>
                <w:left w:w="108" w:type="dxa"/>
                <w:bottom w:w="0" w:type="dxa"/>
                <w:right w:w="108" w:type="dxa"/>
              </w:tblCellMar>
            </w:tblPr>
            <w:tblGrid>
              <w:gridCol w:w="2317"/>
              <w:gridCol w:w="465"/>
              <w:gridCol w:w="748"/>
              <w:gridCol w:w="2456"/>
              <w:gridCol w:w="446"/>
              <w:gridCol w:w="498"/>
              <w:gridCol w:w="851"/>
              <w:gridCol w:w="850"/>
              <w:gridCol w:w="853"/>
              <w:gridCol w:w="252"/>
            </w:tblGrid>
            <w:tr>
              <w:tblPrEx>
                <w:tblLayout w:type="fixed"/>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pPr>
                    <w:widowControl/>
                    <w:spacing w:line="240" w:lineRule="exact"/>
                    <w:jc w:val="left"/>
                    <w:rPr>
                      <w:rFonts w:ascii="宋体" w:hAnsi="宋体" w:eastAsia="宋体" w:cs="宋体"/>
                      <w:kern w:val="0"/>
                      <w:sz w:val="15"/>
                      <w:szCs w:val="15"/>
                    </w:rPr>
                  </w:pPr>
                </w:p>
              </w:tc>
              <w:tc>
                <w:tcPr>
                  <w:tcW w:w="465"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4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9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554" w:type="dxa"/>
                  <w:gridSpan w:val="3"/>
                  <w:tcBorders>
                    <w:top w:val="nil"/>
                    <w:left w:val="nil"/>
                    <w:bottom w:val="nil"/>
                    <w:right w:val="nil"/>
                  </w:tcBorders>
                  <w:shd w:val="clear" w:color="auto" w:fill="auto"/>
                  <w:vAlign w:val="bottom"/>
                </w:tcPr>
                <w:p>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tblPrEx>
                <w:tblLayout w:type="fixed"/>
                <w:tblCellMar>
                  <w:top w:w="0" w:type="dxa"/>
                  <w:left w:w="108" w:type="dxa"/>
                  <w:bottom w:w="0" w:type="dxa"/>
                  <w:right w:w="108" w:type="dxa"/>
                </w:tblCellMar>
              </w:tblPrEx>
              <w:trPr>
                <w:gridAfter w:val="1"/>
                <w:wAfter w:w="252" w:type="dxa"/>
                <w:trHeight w:val="90" w:hRule="atLeast"/>
              </w:trPr>
              <w:tc>
                <w:tcPr>
                  <w:tcW w:w="5986" w:type="dxa"/>
                  <w:gridSpan w:val="4"/>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部门：</w:t>
                  </w:r>
                  <w:r>
                    <w:rPr>
                      <w:rFonts w:hint="eastAsia" w:ascii="宋体" w:hAnsi="宋体" w:eastAsia="宋体" w:cs="宋体"/>
                      <w:color w:val="000000"/>
                      <w:kern w:val="0"/>
                      <w:sz w:val="18"/>
                      <w:szCs w:val="18"/>
                      <w:lang w:eastAsia="zh-CN" w:bidi="ar"/>
                    </w:rPr>
                    <w:t>中共石家庄市鹿泉区委组织部</w:t>
                  </w: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9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85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1703" w:type="dxa"/>
                  <w:gridSpan w:val="2"/>
                  <w:tcBorders>
                    <w:top w:val="nil"/>
                    <w:left w:val="nil"/>
                    <w:bottom w:val="nil"/>
                    <w:right w:val="nil"/>
                  </w:tcBorders>
                  <w:shd w:val="clear" w:color="auto" w:fill="auto"/>
                  <w:vAlign w:val="bottom"/>
                </w:tcPr>
                <w:p>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tblPrEx>
                <w:tblLayout w:type="fixed"/>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     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     出</w:t>
                  </w:r>
                </w:p>
              </w:tc>
            </w:tr>
            <w:tr>
              <w:tblPrEx>
                <w:tblLayout w:type="fixed"/>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4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49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851"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850"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853"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tblPrEx>
                <w:tblLayout w:type="fixed"/>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6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4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45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4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9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1"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0"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3"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52" w:type="dxa"/>
                  <w:tcBorders>
                    <w:top w:val="nil"/>
                    <w:left w:val="nil"/>
                    <w:bottom w:val="nil"/>
                    <w:right w:val="nil"/>
                  </w:tcBorders>
                  <w:shd w:val="clear" w:color="auto" w:fill="auto"/>
                  <w:vAlign w:val="bottom"/>
                </w:tcPr>
                <w:p>
                  <w:pPr>
                    <w:widowControl/>
                    <w:jc w:val="center"/>
                    <w:rPr>
                      <w:rFonts w:ascii="宋体" w:hAnsi="宋体" w:eastAsia="宋体" w:cs="Arial"/>
                      <w:color w:val="000000"/>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6,533.08</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1,290.97</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1,290.97</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5,061.80</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5,061.80</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56.19</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56.19</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二十六、抗疫特别国债安排的支出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6,533.08</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6,505.98</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6,505.98</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50.27</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77.36</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77.36</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50.27</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宋体" w:hAnsi="宋体" w:eastAsia="宋体" w:cs="Arial"/>
                      <w:color w:val="000000"/>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498" w:type="dxa"/>
                  <w:tcBorders>
                    <w:top w:val="nil"/>
                    <w:left w:val="nil"/>
                    <w:bottom w:val="single" w:color="000000" w:sz="4" w:space="0"/>
                    <w:right w:val="single" w:color="000000" w:sz="4" w:space="0"/>
                  </w:tcBorders>
                  <w:shd w:val="clear" w:color="auto" w:fill="auto"/>
                  <w:vAlign w:val="center"/>
                </w:tcPr>
                <w:p>
                  <w:pPr>
                    <w:jc w:val="right"/>
                    <w:rPr>
                      <w:rFonts w:ascii="宋体" w:hAnsi="宋体" w:eastAsia="宋体" w:cs="Arial"/>
                      <w:color w:val="000000"/>
                      <w:kern w:val="0"/>
                      <w:sz w:val="16"/>
                      <w:szCs w:val="16"/>
                    </w:rPr>
                  </w:pPr>
                </w:p>
              </w:tc>
              <w:tc>
                <w:tcPr>
                  <w:tcW w:w="851"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0"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3"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498" w:type="dxa"/>
                  <w:tcBorders>
                    <w:top w:val="nil"/>
                    <w:left w:val="nil"/>
                    <w:bottom w:val="single" w:color="000000" w:sz="4" w:space="0"/>
                    <w:right w:val="single" w:color="000000" w:sz="4" w:space="0"/>
                  </w:tcBorders>
                  <w:shd w:val="clear" w:color="auto" w:fill="auto"/>
                  <w:vAlign w:val="center"/>
                </w:tcPr>
                <w:p>
                  <w:pPr>
                    <w:jc w:val="right"/>
                    <w:rPr>
                      <w:rFonts w:ascii="宋体" w:hAnsi="宋体" w:eastAsia="宋体" w:cs="Arial"/>
                      <w:color w:val="000000"/>
                      <w:kern w:val="0"/>
                      <w:sz w:val="16"/>
                      <w:szCs w:val="16"/>
                    </w:rPr>
                  </w:pPr>
                </w:p>
              </w:tc>
              <w:tc>
                <w:tcPr>
                  <w:tcW w:w="851"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0"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3"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国有资本经营预算财政拨款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498" w:type="dxa"/>
                  <w:tcBorders>
                    <w:top w:val="nil"/>
                    <w:left w:val="nil"/>
                    <w:bottom w:val="single" w:color="000000" w:sz="4" w:space="0"/>
                    <w:right w:val="single" w:color="000000" w:sz="4" w:space="0"/>
                  </w:tcBorders>
                  <w:shd w:val="clear" w:color="auto" w:fill="auto"/>
                  <w:vAlign w:val="center"/>
                </w:tcPr>
                <w:p>
                  <w:pPr>
                    <w:jc w:val="right"/>
                    <w:rPr>
                      <w:rFonts w:ascii="宋体" w:hAnsi="宋体" w:eastAsia="宋体" w:cs="Arial"/>
                      <w:color w:val="000000"/>
                      <w:kern w:val="0"/>
                      <w:sz w:val="16"/>
                      <w:szCs w:val="16"/>
                    </w:rPr>
                  </w:pPr>
                </w:p>
              </w:tc>
              <w:tc>
                <w:tcPr>
                  <w:tcW w:w="851"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0"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853" w:type="dxa"/>
                  <w:tcBorders>
                    <w:top w:val="nil"/>
                    <w:left w:val="nil"/>
                    <w:bottom w:val="single" w:color="000000" w:sz="4" w:space="0"/>
                    <w:right w:val="single" w:color="000000" w:sz="4" w:space="0"/>
                  </w:tcBorders>
                  <w:shd w:val="clear" w:color="auto" w:fill="auto"/>
                  <w:vAlign w:val="center"/>
                </w:tcPr>
                <w:p>
                  <w:pPr>
                    <w:jc w:val="right"/>
                    <w:rPr>
                      <w:rFonts w:ascii="Times New Roman" w:hAnsi="Times New Roman" w:eastAsia="Times New Roman" w:cs="Times New Roman"/>
                      <w:kern w:val="0"/>
                      <w:sz w:val="16"/>
                      <w:szCs w:val="16"/>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465" w:type="dxa"/>
                  <w:tcBorders>
                    <w:top w:val="nil"/>
                    <w:left w:val="nil"/>
                    <w:bottom w:val="single" w:color="000000" w:sz="8"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74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8"/>
                      <w:szCs w:val="18"/>
                    </w:rPr>
                  </w:pPr>
                  <w:r>
                    <w:rPr>
                      <w:rFonts w:hint="eastAsia" w:ascii="宋体" w:hAnsi="宋体" w:eastAsia="宋体" w:cs="宋体"/>
                      <w:i w:val="0"/>
                      <w:color w:val="000000"/>
                      <w:kern w:val="0"/>
                      <w:sz w:val="18"/>
                      <w:szCs w:val="18"/>
                      <w:u w:val="none"/>
                      <w:lang w:val="en-US" w:eastAsia="zh-CN" w:bidi="ar"/>
                    </w:rPr>
                    <w:t>6,583.35</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4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Arial"/>
                      <w:color w:val="000000"/>
                      <w:kern w:val="0"/>
                      <w:sz w:val="16"/>
                      <w:szCs w:val="16"/>
                    </w:rPr>
                  </w:pPr>
                  <w:r>
                    <w:rPr>
                      <w:rFonts w:hint="eastAsia" w:ascii="宋体" w:hAnsi="宋体" w:eastAsia="宋体" w:cs="宋体"/>
                      <w:i w:val="0"/>
                      <w:color w:val="000000"/>
                      <w:kern w:val="0"/>
                      <w:sz w:val="16"/>
                      <w:szCs w:val="16"/>
                      <w:u w:val="none"/>
                      <w:lang w:val="en-US" w:eastAsia="zh-CN" w:bidi="ar"/>
                    </w:rPr>
                    <w:t>6,583.35</w:t>
                  </w:r>
                </w:p>
              </w:tc>
              <w:tc>
                <w:tcPr>
                  <w:tcW w:w="85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6,583.35</w:t>
                  </w:r>
                </w:p>
              </w:tc>
              <w:tc>
                <w:tcPr>
                  <w:tcW w:w="8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Times New Roman" w:hAnsi="Times New Roman" w:eastAsia="Times New Roman" w:cs="Times New Roman"/>
                      <w:kern w:val="0"/>
                      <w:sz w:val="16"/>
                      <w:szCs w:val="16"/>
                    </w:rPr>
                  </w:pPr>
                  <w:r>
                    <w:rPr>
                      <w:rFonts w:hint="eastAsia" w:ascii="宋体" w:hAnsi="宋体" w:eastAsia="宋体" w:cs="宋体"/>
                      <w:i w:val="0"/>
                      <w:color w:val="000000"/>
                      <w:kern w:val="0"/>
                      <w:sz w:val="16"/>
                      <w:szCs w:val="16"/>
                      <w:u w:val="none"/>
                      <w:lang w:val="en-US" w:eastAsia="zh-CN" w:bidi="ar"/>
                    </w:rPr>
                    <w:t>0.00</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pPr>
                    <w:widowControl/>
                    <w:jc w:val="left"/>
                    <w:rPr>
                      <w:rFonts w:ascii="Times New Roman" w:hAnsi="Times New Roman" w:eastAsia="Times New Roman" w:cs="Times New Roman"/>
                      <w:kern w:val="0"/>
                      <w:sz w:val="15"/>
                      <w:szCs w:val="15"/>
                    </w:rPr>
                  </w:pPr>
                </w:p>
              </w:tc>
            </w:tr>
            <w:tr>
              <w:tblPrEx>
                <w:tblLayout w:type="fixed"/>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pPr>
                    <w:widowControl/>
                    <w:spacing w:line="240" w:lineRule="exact"/>
                    <w:jc w:val="left"/>
                    <w:rPr>
                      <w:rFonts w:ascii="宋体" w:hAnsi="宋体" w:eastAsia="宋体" w:cs="Arial"/>
                      <w:color w:val="000000"/>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bl>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公开05表</w:t>
            </w:r>
          </w:p>
        </w:tc>
      </w:tr>
      <w:tr>
        <w:tblPrEx>
          <w:tblLayout w:type="fixed"/>
          <w:tblCellMar>
            <w:top w:w="0" w:type="dxa"/>
            <w:left w:w="0" w:type="dxa"/>
            <w:bottom w:w="0" w:type="dxa"/>
            <w:right w:w="0" w:type="dxa"/>
          </w:tblCellMar>
        </w:tblPrEx>
        <w:trPr>
          <w:trHeight w:val="255" w:hRule="atLeast"/>
          <w:jc w:val="center"/>
        </w:trPr>
        <w:tc>
          <w:tcPr>
            <w:tcW w:w="5332"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中共石家庄市鹿泉区委组织部</w:t>
            </w: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6"/>
                <w:szCs w:val="16"/>
              </w:rPr>
            </w:pPr>
            <w:r>
              <w:rPr>
                <w:rFonts w:hint="eastAsia" w:ascii="宋体" w:hAnsi="宋体" w:eastAsia="宋体" w:cs="宋体"/>
                <w:b/>
                <w:i w:val="0"/>
                <w:color w:val="000000"/>
                <w:kern w:val="0"/>
                <w:sz w:val="16"/>
                <w:szCs w:val="16"/>
                <w:u w:val="none"/>
                <w:lang w:val="en-US" w:eastAsia="zh-CN" w:bidi="ar"/>
              </w:rPr>
              <w:t>6,505.98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6"/>
                <w:szCs w:val="16"/>
              </w:rPr>
            </w:pPr>
            <w:r>
              <w:rPr>
                <w:rFonts w:hint="eastAsia" w:ascii="宋体" w:hAnsi="宋体" w:eastAsia="宋体" w:cs="宋体"/>
                <w:b/>
                <w:i w:val="0"/>
                <w:color w:val="000000"/>
                <w:kern w:val="0"/>
                <w:sz w:val="16"/>
                <w:szCs w:val="16"/>
                <w:u w:val="none"/>
                <w:lang w:val="en-US" w:eastAsia="zh-CN" w:bidi="ar"/>
              </w:rPr>
              <w:t>662.94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6"/>
                <w:szCs w:val="16"/>
              </w:rPr>
            </w:pPr>
            <w:r>
              <w:rPr>
                <w:rFonts w:hint="eastAsia" w:ascii="宋体" w:hAnsi="宋体" w:eastAsia="宋体" w:cs="宋体"/>
                <w:b/>
                <w:i w:val="0"/>
                <w:color w:val="000000"/>
                <w:kern w:val="0"/>
                <w:sz w:val="16"/>
                <w:szCs w:val="16"/>
                <w:u w:val="none"/>
                <w:lang w:val="en-US" w:eastAsia="zh-CN" w:bidi="ar"/>
              </w:rPr>
              <w:t>5,843.04</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1,290.97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529.60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761.37</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政协事务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3.56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3.56</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2010202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3.56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3.56</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组织事务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1,287.42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529.60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757.81</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528.73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528.73</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2013202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758.68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0.87</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757.81</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60.08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40.20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19.88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行政事业单位养老支出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40.20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40.20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40.20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40.20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抚恤</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19.88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19.88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2080899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其他优抚支出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19.88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19.88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卫生健康支出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行政单位医疗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36.94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农林水支出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5,061.80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5,061.80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农业农村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9.40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9.40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2130152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9.40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9.40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21307</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农村综合改革</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5,052.40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5,052.40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2130705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5,052.40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5,052.40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住房保障支出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住房改革支出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住房公积金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56.19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16"/>
                <w:szCs w:val="16"/>
                <w:u w:val="none"/>
                <w:lang w:val="en-US" w:eastAsia="zh-CN" w:bidi="ar"/>
              </w:rPr>
              <w:t>0.00</w:t>
            </w:r>
          </w:p>
        </w:tc>
      </w:tr>
    </w:tbl>
    <w:p>
      <w:pP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p>
    <w:tbl>
      <w:tblPr>
        <w:tblStyle w:val="6"/>
        <w:tblW w:w="14076" w:type="dxa"/>
        <w:jc w:val="center"/>
        <w:tblInd w:w="0" w:type="dxa"/>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tblPrEx>
          <w:tblLayout w:type="fixed"/>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lang w:bidi="ar"/>
              </w:rPr>
              <w:t>一般公共预算财政拨款基本支出决算表</w:t>
            </w:r>
          </w:p>
        </w:tc>
      </w:tr>
      <w:tr>
        <w:tblPrEx>
          <w:tblLayout w:type="fixed"/>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公开06表</w:t>
            </w:r>
          </w:p>
        </w:tc>
      </w:tr>
      <w:tr>
        <w:tblPrEx>
          <w:tblLayout w:type="fixed"/>
          <w:tblCellMar>
            <w:top w:w="0" w:type="dxa"/>
            <w:left w:w="0" w:type="dxa"/>
            <w:bottom w:w="0" w:type="dxa"/>
            <w:right w:w="0" w:type="dxa"/>
          </w:tblCellMar>
        </w:tblPrEx>
        <w:trPr>
          <w:trHeight w:val="61" w:hRule="atLeast"/>
          <w:jc w:val="center"/>
        </w:trPr>
        <w:tc>
          <w:tcPr>
            <w:tcW w:w="5045"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r>
              <w:rPr>
                <w:rFonts w:hint="eastAsia" w:ascii="宋体" w:hAnsi="宋体" w:eastAsia="宋体" w:cs="宋体"/>
                <w:color w:val="000000"/>
                <w:kern w:val="0"/>
                <w:sz w:val="16"/>
                <w:szCs w:val="16"/>
                <w:lang w:bidi="ar"/>
              </w:rPr>
              <w:t>部门：</w:t>
            </w:r>
            <w:r>
              <w:rPr>
                <w:rFonts w:hint="eastAsia" w:ascii="宋体" w:hAnsi="宋体" w:eastAsia="宋体" w:cs="宋体"/>
                <w:color w:val="000000"/>
                <w:kern w:val="0"/>
                <w:sz w:val="18"/>
                <w:szCs w:val="18"/>
                <w:lang w:eastAsia="zh-CN" w:bidi="ar"/>
              </w:rPr>
              <w:t>中共石家庄市鹿泉区委组织部</w:t>
            </w: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金额单位：万元</w:t>
            </w:r>
          </w:p>
        </w:tc>
      </w:tr>
      <w:tr>
        <w:tblPrEx>
          <w:tblLayout w:type="fixed"/>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公用经费</w:t>
            </w:r>
          </w:p>
        </w:tc>
      </w:tr>
      <w:tr>
        <w:tblPrEx>
          <w:tblLayout w:type="fixed"/>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r>
      <w:tr>
        <w:tblPrEx>
          <w:tblLayout w:type="fixed"/>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555.16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96.59</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140.06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11.43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127.03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6.51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71.53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1.23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6.79</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15.69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6.79</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40.20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19.94</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36.94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1.31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56.19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2.31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66.21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4.40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1.09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r>
              <w:rPr>
                <w:rFonts w:hint="eastAsia" w:ascii="宋体" w:hAnsi="宋体" w:eastAsia="宋体" w:cs="宋体"/>
                <w:color w:val="00000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19.57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3.08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3.31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3.12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w:t>
            </w:r>
            <w:r>
              <w:rPr>
                <w:rFonts w:hint="eastAsia" w:ascii="宋体" w:hAnsi="宋体" w:eastAsia="宋体" w:cs="宋体"/>
                <w:color w:val="000000"/>
                <w:kern w:val="0"/>
                <w:sz w:val="15"/>
                <w:szCs w:val="15"/>
                <w:lang w:bidi="ar"/>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3.08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21.48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Layout w:type="fixed"/>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3.83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Layout w:type="fixed"/>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559.55</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color w:val="000000"/>
                <w:kern w:val="0"/>
                <w:sz w:val="15"/>
                <w:szCs w:val="15"/>
                <w:u w:val="none"/>
                <w:lang w:val="en-US" w:eastAsia="zh-CN" w:bidi="ar"/>
              </w:rPr>
              <w:t>103.38</w:t>
            </w:r>
          </w:p>
        </w:tc>
      </w:tr>
    </w:tbl>
    <w:p>
      <w:pPr>
        <w:widowControl/>
        <w:jc w:val="center"/>
        <w:textAlignment w:val="center"/>
        <w:sectPr>
          <w:pgSz w:w="16838" w:h="11906" w:orient="landscape"/>
          <w:pgMar w:top="1531" w:right="2098" w:bottom="1531" w:left="1984" w:header="851" w:footer="992" w:gutter="0"/>
          <w:cols w:space="425" w:num="1"/>
          <w:docGrid w:type="lines" w:linePitch="312" w:charSpace="0"/>
        </w:sectPr>
      </w:pP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公开07表</w:t>
            </w:r>
          </w:p>
        </w:tc>
      </w:tr>
      <w:tr>
        <w:tblPrEx>
          <w:tblLayout w:type="fixed"/>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中共石家庄市鹿泉区委组织部</w:t>
            </w: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7.4</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7.4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tabs>
                <w:tab w:val="left" w:pos="556"/>
              </w:tabs>
              <w:jc w:val="left"/>
              <w:rPr>
                <w:rFonts w:hint="eastAsia" w:ascii="宋体" w:hAnsi="宋体" w:eastAsia="宋体" w:cs="宋体"/>
                <w:color w:val="000000"/>
                <w:szCs w:val="22"/>
                <w:lang w:eastAsia="zh-CN"/>
              </w:rPr>
            </w:pPr>
            <w:r>
              <w:rPr>
                <w:rFonts w:hint="eastAsia" w:ascii="宋体" w:hAnsi="宋体" w:eastAsia="宋体" w:cs="宋体"/>
                <w:color w:val="000000"/>
                <w:szCs w:val="22"/>
                <w:lang w:eastAsia="zh-CN"/>
              </w:rPr>
              <w:tab/>
            </w:r>
            <w:r>
              <w:rPr>
                <w:rFonts w:hint="eastAsia" w:ascii="宋体" w:hAnsi="宋体" w:eastAsia="宋体" w:cs="宋体"/>
                <w:color w:val="000000"/>
                <w:szCs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5.4</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tabs>
                <w:tab w:val="left" w:pos="438"/>
              </w:tabs>
              <w:jc w:val="left"/>
              <w:rPr>
                <w:rFonts w:hint="eastAsia" w:ascii="宋体" w:hAnsi="宋体" w:eastAsia="宋体" w:cs="宋体"/>
                <w:color w:val="000000"/>
                <w:szCs w:val="22"/>
                <w:lang w:eastAsia="zh-CN"/>
              </w:rPr>
            </w:pPr>
            <w:r>
              <w:rPr>
                <w:rFonts w:hint="eastAsia" w:ascii="宋体" w:hAnsi="宋体" w:eastAsia="宋体" w:cs="宋体"/>
                <w:color w:val="000000"/>
                <w:szCs w:val="22"/>
                <w:lang w:eastAsia="zh-CN"/>
              </w:rPr>
              <w:tab/>
            </w:r>
            <w:r>
              <w:rPr>
                <w:rFonts w:hint="eastAsia" w:ascii="宋体" w:hAnsi="宋体" w:eastAsia="宋体" w:cs="宋体"/>
                <w:color w:val="000000"/>
                <w:szCs w:val="22"/>
                <w:lang w:val="en-US" w:eastAsia="zh-CN"/>
              </w:rPr>
              <w:t>2</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5.07</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5.07</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tabs>
                <w:tab w:val="left" w:pos="560"/>
              </w:tabs>
              <w:jc w:val="left"/>
              <w:rPr>
                <w:rFonts w:hint="eastAsia" w:ascii="宋体" w:hAnsi="宋体" w:eastAsia="宋体" w:cs="宋体"/>
                <w:color w:val="000000"/>
                <w:szCs w:val="22"/>
                <w:lang w:eastAsia="zh-CN"/>
              </w:rPr>
            </w:pPr>
            <w:r>
              <w:rPr>
                <w:rFonts w:hint="eastAsia" w:ascii="宋体" w:hAnsi="宋体" w:eastAsia="宋体" w:cs="宋体"/>
                <w:color w:val="000000"/>
                <w:szCs w:val="22"/>
                <w:lang w:eastAsia="zh-CN"/>
              </w:rPr>
              <w:tab/>
            </w:r>
            <w:r>
              <w:rPr>
                <w:rFonts w:hint="eastAsia" w:ascii="宋体" w:hAnsi="宋体" w:eastAsia="宋体" w:cs="宋体"/>
                <w:color w:val="000000"/>
                <w:szCs w:val="22"/>
                <w:lang w:val="en-US" w:eastAsia="zh-CN"/>
              </w:rPr>
              <w:t>3.08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Cs w:val="22"/>
                <w:lang w:val="en-US" w:eastAsia="zh-CN"/>
              </w:rPr>
            </w:pPr>
            <w:r>
              <w:rPr>
                <w:rFonts w:hint="eastAsia" w:ascii="宋体" w:hAnsi="宋体" w:eastAsia="宋体" w:cs="宋体"/>
                <w:color w:val="000000"/>
                <w:szCs w:val="22"/>
                <w:lang w:val="en-US" w:eastAsia="zh-CN"/>
              </w:rPr>
              <w:t>1.99</w:t>
            </w:r>
          </w:p>
        </w:tc>
      </w:tr>
    </w:tbl>
    <w:p>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公开08表</w:t>
            </w:r>
          </w:p>
        </w:tc>
      </w:tr>
      <w:tr>
        <w:tblPrEx>
          <w:tblLayout w:type="fixed"/>
          <w:tblCellMar>
            <w:top w:w="0" w:type="dxa"/>
            <w:left w:w="0" w:type="dxa"/>
            <w:bottom w:w="0" w:type="dxa"/>
            <w:right w:w="0" w:type="dxa"/>
          </w:tblCellMar>
        </w:tblPrEx>
        <w:trPr>
          <w:trHeight w:val="255" w:hRule="atLeast"/>
          <w:jc w:val="center"/>
        </w:trPr>
        <w:tc>
          <w:tcPr>
            <w:tcW w:w="6003" w:type="dxa"/>
            <w:gridSpan w:val="7"/>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中共石家庄市鹿泉区委组织部</w:t>
            </w: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tblPrEx>
          <w:tblLayout w:type="fixed"/>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Layout w:type="fixed"/>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bl>
    <w:p>
      <w:pPr>
        <w:rPr>
          <w:rFonts w:hint="eastAsia" w:ascii="宋体" w:hAnsi="宋体" w:eastAsia="宋体" w:cs="宋体"/>
        </w:rPr>
      </w:pPr>
      <w:r>
        <w:rPr>
          <w:rFonts w:hint="eastAsia" w:ascii="宋体" w:hAnsi="宋体" w:eastAsia="宋体" w:cs="宋体"/>
          <w:sz w:val="20"/>
          <w:szCs w:val="22"/>
        </w:rPr>
        <w:t>注</w:t>
      </w:r>
      <w:r>
        <w:rPr>
          <w:rFonts w:hint="eastAsia" w:ascii="宋体" w:hAnsi="宋体" w:eastAsia="宋体" w:cs="宋体"/>
          <w:sz w:val="20"/>
          <w:szCs w:val="22"/>
          <w:highlight w:val="none"/>
        </w:rPr>
        <w:t>：</w:t>
      </w:r>
      <w:r>
        <w:rPr>
          <w:rFonts w:hint="eastAsia" w:ascii="宋体" w:hAnsi="宋体" w:eastAsia="宋体" w:cs="宋体"/>
        </w:rPr>
        <w:t>本部门本年度无相关收入（或支出、收支及结转结余等）情况，按要求空表列示。</w:t>
      </w:r>
    </w:p>
    <w:p>
      <w:pPr>
        <w:rPr>
          <w:b/>
          <w:sz w:val="20"/>
          <w:szCs w:val="22"/>
          <w:highlight w:val="yellow"/>
        </w:rPr>
      </w:pPr>
      <w:r>
        <w:rPr>
          <w:b/>
          <w:color w:val="auto"/>
          <w:sz w:val="20"/>
          <w:szCs w:val="22"/>
          <w:highlight w:val="none"/>
        </w:rPr>
        <w:tab/>
      </w:r>
      <w:r>
        <w:rPr>
          <w:b/>
          <w:sz w:val="20"/>
          <w:szCs w:val="22"/>
          <w:highlight w:val="yellow"/>
        </w:rPr>
        <w:br w:type="page"/>
      </w: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tblPrEx>
          <w:tblLayout w:type="fixed"/>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国有资本经营预算财政拨款支出决算表</w:t>
            </w:r>
          </w:p>
        </w:tc>
      </w:tr>
      <w:tr>
        <w:tblPrEx>
          <w:tblLayout w:type="fixed"/>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p>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r>
      <w:tr>
        <w:tblPrEx>
          <w:tblLayout w:type="fixed"/>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eastAsia="宋体" w:cs="宋体"/>
        </w:rPr>
      </w:pPr>
      <w:r>
        <w:rPr>
          <w:rFonts w:hint="eastAsia" w:ascii="宋体" w:hAnsi="宋体" w:eastAsia="宋体" w:cs="宋体"/>
        </w:rPr>
        <w:t>注：本表反映部门本年度国有资本经营预算财政拨款支出情况。</w:t>
      </w:r>
    </w:p>
    <w:p>
      <w:pPr>
        <w:rPr>
          <w:rFonts w:hint="eastAsia" w:ascii="宋体" w:hAnsi="宋体" w:eastAsia="宋体" w:cs="宋体"/>
        </w:rPr>
      </w:pPr>
      <w:r>
        <w:rPr>
          <w:rFonts w:hint="eastAsia" w:ascii="宋体" w:hAnsi="宋体" w:eastAsia="宋体" w:cs="宋体"/>
          <w:lang w:val="en-US" w:eastAsia="zh-CN"/>
        </w:rPr>
        <w:t xml:space="preserve">    </w:t>
      </w:r>
      <w:r>
        <w:rPr>
          <w:rFonts w:hint="eastAsia" w:ascii="宋体" w:hAnsi="宋体" w:eastAsia="宋体" w:cs="宋体"/>
        </w:rPr>
        <w:t>本部门本年度无相关收入（或支出、收支及结转结余等）情况，按要求空表列示。</w: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6432;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panose1 w:val="02020500000000000000"/>
    <w:charset w:val="88"/>
    <w:family w:val="roman"/>
    <w:pitch w:val="default"/>
    <w:sig w:usb0="A00002FF" w:usb1="28CFFCFA" w:usb2="00000016" w:usb3="00000000" w:csb0="0010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2A94685"/>
    <w:rsid w:val="0457561C"/>
    <w:rsid w:val="0A45662D"/>
    <w:rsid w:val="0EA325C9"/>
    <w:rsid w:val="0EE17C1A"/>
    <w:rsid w:val="181800A9"/>
    <w:rsid w:val="22E46C89"/>
    <w:rsid w:val="234A0A22"/>
    <w:rsid w:val="2D251387"/>
    <w:rsid w:val="2F07554B"/>
    <w:rsid w:val="32520EF8"/>
    <w:rsid w:val="332203D6"/>
    <w:rsid w:val="34C45458"/>
    <w:rsid w:val="35C83C42"/>
    <w:rsid w:val="37445DC3"/>
    <w:rsid w:val="42156018"/>
    <w:rsid w:val="56752C5F"/>
    <w:rsid w:val="58713CB4"/>
    <w:rsid w:val="587774B3"/>
    <w:rsid w:val="59481078"/>
    <w:rsid w:val="5C8F6843"/>
    <w:rsid w:val="5FAD2BDF"/>
    <w:rsid w:val="60154311"/>
    <w:rsid w:val="673F77F3"/>
    <w:rsid w:val="67B95351"/>
    <w:rsid w:val="686C67DE"/>
    <w:rsid w:val="695B26FD"/>
    <w:rsid w:val="6AF77BA8"/>
    <w:rsid w:val="73D824BD"/>
    <w:rsid w:val="764B3663"/>
    <w:rsid w:val="7BA31121"/>
    <w:rsid w:val="7BE07FE3"/>
    <w:rsid w:val="7FBB3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paragraph" w:customStyle="1" w:styleId="11">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a:t>
            </a:r>
            <a:endPar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154551007941356"/>
          <c:y val="0.824022346368715"/>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5016.68</c:v>
                </c:pt>
                <c:pt idx="1">
                  <c:v>6592.76</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一般公共预算财政收入</c:v>
                </c:pt>
                <c:pt idx="1">
                  <c:v>其他收入</c:v>
                </c:pt>
              </c:strCache>
            </c:strRef>
          </c:cat>
          <c:val>
            <c:numRef>
              <c:f>Sheet1!$B$2:$B$3</c:f>
              <c:numCache>
                <c:formatCode>General</c:formatCode>
                <c:ptCount val="2"/>
                <c:pt idx="0">
                  <c:v>99.9</c:v>
                </c:pt>
                <c:pt idx="1">
                  <c:v>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支出决算构成情况</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0.102</c:v>
                </c:pt>
                <c:pt idx="1">
                  <c:v>0.898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40990315100259"/>
          <c:y val="0.192236598890943"/>
          <c:w val="0.921347701541399"/>
          <c:h val="0.606839186691312"/>
        </c:manualLayout>
      </c:layout>
      <c:barChart>
        <c:barDir val="col"/>
        <c:grouping val="clustered"/>
        <c:varyColors val="0"/>
        <c:ser>
          <c:idx val="0"/>
          <c:order val="0"/>
          <c:tx>
            <c:strRef>
              <c:f>Sheet1!$B$1</c:f>
              <c:strCache>
                <c:ptCount val="1"/>
                <c:pt idx="0">
                  <c:v>2020年财政收入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财政收支与上年决算数对比</c:v>
                </c:pt>
              </c:strCache>
            </c:strRef>
          </c:cat>
          <c:val>
            <c:numRef>
              <c:f>Sheet1!$B$2</c:f>
              <c:numCache>
                <c:formatCode>General</c:formatCode>
                <c:ptCount val="1"/>
                <c:pt idx="0">
                  <c:v>6533.08</c:v>
                </c:pt>
              </c:numCache>
            </c:numRef>
          </c:val>
        </c:ser>
        <c:ser>
          <c:idx val="1"/>
          <c:order val="1"/>
          <c:tx>
            <c:strRef>
              <c:f>Sheet1!$C$1</c:f>
              <c:strCache>
                <c:ptCount val="1"/>
                <c:pt idx="0">
                  <c:v>2019年财政收入决算数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财政收支与上年决算数对比</c:v>
                </c:pt>
              </c:strCache>
            </c:strRef>
          </c:cat>
          <c:val>
            <c:numRef>
              <c:f>Sheet1!$C$2</c:f>
              <c:numCache>
                <c:formatCode>General</c:formatCode>
                <c:ptCount val="1"/>
                <c:pt idx="0">
                  <c:v>4869.98</c:v>
                </c:pt>
              </c:numCache>
            </c:numRef>
          </c:val>
        </c:ser>
        <c:ser>
          <c:idx val="2"/>
          <c:order val="2"/>
          <c:tx>
            <c:strRef>
              <c:f>Sheet1!$D$1</c:f>
              <c:strCache>
                <c:ptCount val="1"/>
                <c:pt idx="0">
                  <c:v>2020年财政支出</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财政收支与上年决算数对比</c:v>
                </c:pt>
              </c:strCache>
            </c:strRef>
          </c:cat>
          <c:val>
            <c:numRef>
              <c:f>Sheet1!$D$2</c:f>
              <c:numCache>
                <c:formatCode>General</c:formatCode>
                <c:ptCount val="1"/>
                <c:pt idx="0">
                  <c:v>6505.98</c:v>
                </c:pt>
              </c:numCache>
            </c:numRef>
          </c:val>
        </c:ser>
        <c:ser>
          <c:idx val="3"/>
          <c:order val="3"/>
          <c:tx>
            <c:strRef>
              <c:f>Sheet1!$E$1</c:f>
              <c:strCache>
                <c:ptCount val="1"/>
                <c:pt idx="0">
                  <c:v>2019年财政支出决算数</c:v>
                </c:pt>
              </c:strCache>
            </c:strRef>
          </c:tx>
          <c:spPr>
            <a:solidFill>
              <a:schemeClr val="accent4"/>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财政收支与上年决算数对比</c:v>
                </c:pt>
              </c:strCache>
            </c:strRef>
          </c:cat>
          <c:val>
            <c:numRef>
              <c:f>Sheet1!$E$2</c:f>
              <c:numCache>
                <c:formatCode>General</c:formatCode>
                <c:ptCount val="1"/>
                <c:pt idx="0">
                  <c:v>4859.46</c:v>
                </c:pt>
              </c:numCache>
            </c:numRef>
          </c:val>
        </c:ser>
        <c:dLbls>
          <c:showLegendKey val="0"/>
          <c:showVal val="1"/>
          <c:showCatName val="0"/>
          <c:showSerName val="0"/>
          <c:showPercent val="0"/>
          <c:showBubbleSize val="0"/>
        </c:dLbls>
        <c:gapWidth val="219"/>
        <c:overlap val="-27"/>
        <c:axId val="164721351"/>
        <c:axId val="235535217"/>
      </c:barChart>
      <c:catAx>
        <c:axId val="16472135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5535217"/>
        <c:crosses val="autoZero"/>
        <c:auto val="1"/>
        <c:lblAlgn val="ctr"/>
        <c:lblOffset val="100"/>
        <c:noMultiLvlLbl val="0"/>
      </c:catAx>
      <c:valAx>
        <c:axId val="235535217"/>
        <c:scaling>
          <c:orientation val="minMax"/>
          <c:max val="7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4721351"/>
        <c:crosses val="autoZero"/>
        <c:crossBetween val="between"/>
      </c:valAx>
      <c:spPr>
        <a:noFill/>
        <a:ln>
          <a:noFill/>
        </a:ln>
        <a:effectLst/>
      </c:spPr>
    </c:plotArea>
    <c:legend>
      <c:legendPos val="b"/>
      <c:layout>
        <c:manualLayout>
          <c:xMode val="edge"/>
          <c:yMode val="edge"/>
          <c:x val="0.254399126994953"/>
          <c:y val="0.894639556377079"/>
          <c:w val="0.531987450552449"/>
          <c:h val="0.07763401109057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40990315100259"/>
          <c:y val="0.192236598890943"/>
          <c:w val="0.921347701541399"/>
          <c:h val="0.606839186691312"/>
        </c:manualLayout>
      </c:layout>
      <c:barChart>
        <c:barDir val="col"/>
        <c:grouping val="clustered"/>
        <c:varyColors val="0"/>
        <c:ser>
          <c:idx val="0"/>
          <c:order val="0"/>
          <c:tx>
            <c:strRef>
              <c:f>Sheet1!$B$1</c:f>
              <c:strCache>
                <c:ptCount val="1"/>
                <c:pt idx="0">
                  <c:v>2020年财政收入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财政收支与本年预算数对比</c:v>
                </c:pt>
              </c:strCache>
            </c:strRef>
          </c:cat>
          <c:val>
            <c:numRef>
              <c:f>Sheet1!$B$2</c:f>
              <c:numCache>
                <c:formatCode>General</c:formatCode>
                <c:ptCount val="1"/>
                <c:pt idx="0">
                  <c:v>6533.08</c:v>
                </c:pt>
              </c:numCache>
            </c:numRef>
          </c:val>
        </c:ser>
        <c:ser>
          <c:idx val="1"/>
          <c:order val="1"/>
          <c:tx>
            <c:strRef>
              <c:f>Sheet1!$C$1</c:f>
              <c:strCache>
                <c:ptCount val="1"/>
                <c:pt idx="0">
                  <c:v>2020年财政收入预算数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财政收支与本年预算数对比</c:v>
                </c:pt>
              </c:strCache>
            </c:strRef>
          </c:cat>
          <c:val>
            <c:numRef>
              <c:f>Sheet1!$C$2</c:f>
              <c:numCache>
                <c:formatCode>General</c:formatCode>
                <c:ptCount val="1"/>
                <c:pt idx="0">
                  <c:v>6034.67</c:v>
                </c:pt>
              </c:numCache>
            </c:numRef>
          </c:val>
        </c:ser>
        <c:ser>
          <c:idx val="2"/>
          <c:order val="2"/>
          <c:tx>
            <c:strRef>
              <c:f>Sheet1!$D$1</c:f>
              <c:strCache>
                <c:ptCount val="1"/>
                <c:pt idx="0">
                  <c:v>2020年财政支出</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财政收支与本年预算数对比</c:v>
                </c:pt>
              </c:strCache>
            </c:strRef>
          </c:cat>
          <c:val>
            <c:numRef>
              <c:f>Sheet1!$D$2</c:f>
              <c:numCache>
                <c:formatCode>General</c:formatCode>
                <c:ptCount val="1"/>
                <c:pt idx="0">
                  <c:v>6505.98</c:v>
                </c:pt>
              </c:numCache>
            </c:numRef>
          </c:val>
        </c:ser>
        <c:ser>
          <c:idx val="3"/>
          <c:order val="3"/>
          <c:tx>
            <c:strRef>
              <c:f>Sheet1!$E$1</c:f>
              <c:strCache>
                <c:ptCount val="1"/>
                <c:pt idx="0">
                  <c:v>2020年财政支出预算数</c:v>
                </c:pt>
              </c:strCache>
            </c:strRef>
          </c:tx>
          <c:spPr>
            <a:solidFill>
              <a:schemeClr val="accent4"/>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财政收支与本年预算数对比</c:v>
                </c:pt>
              </c:strCache>
            </c:strRef>
          </c:cat>
          <c:val>
            <c:numRef>
              <c:f>Sheet1!$E$2</c:f>
              <c:numCache>
                <c:formatCode>General</c:formatCode>
                <c:ptCount val="1"/>
                <c:pt idx="0">
                  <c:v>6034.67</c:v>
                </c:pt>
              </c:numCache>
            </c:numRef>
          </c:val>
        </c:ser>
        <c:dLbls>
          <c:showLegendKey val="0"/>
          <c:showVal val="1"/>
          <c:showCatName val="0"/>
          <c:showSerName val="0"/>
          <c:showPercent val="0"/>
          <c:showBubbleSize val="0"/>
        </c:dLbls>
        <c:gapWidth val="219"/>
        <c:overlap val="-27"/>
        <c:axId val="164721351"/>
        <c:axId val="235535217"/>
      </c:barChart>
      <c:catAx>
        <c:axId val="16472135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5535217"/>
        <c:crosses val="autoZero"/>
        <c:auto val="1"/>
        <c:lblAlgn val="ctr"/>
        <c:lblOffset val="100"/>
        <c:noMultiLvlLbl val="0"/>
      </c:catAx>
      <c:valAx>
        <c:axId val="235535217"/>
        <c:scaling>
          <c:orientation val="minMax"/>
          <c:max val="7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4721351"/>
        <c:crosses val="autoZero"/>
        <c:crossBetween val="between"/>
      </c:valAx>
      <c:spPr>
        <a:noFill/>
        <a:ln>
          <a:noFill/>
        </a:ln>
        <a:effectLst/>
      </c:spPr>
    </c:plotArea>
    <c:legend>
      <c:legendPos val="b"/>
      <c:layout>
        <c:manualLayout>
          <c:xMode val="edge"/>
          <c:yMode val="edge"/>
          <c:x val="0.254399126994953"/>
          <c:y val="0.894639556377079"/>
          <c:w val="0.531987450552449"/>
          <c:h val="0.07763401109057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一般公共服务（类）支出</c:v>
                </c:pt>
                <c:pt idx="1">
                  <c:v>社会保障和就业（类）支出</c:v>
                </c:pt>
                <c:pt idx="2">
                  <c:v>住房保障（类）支出</c:v>
                </c:pt>
                <c:pt idx="3">
                  <c:v>农林水（类）支出</c:v>
                </c:pt>
                <c:pt idx="4">
                  <c:v>卫生健康（类）支出</c:v>
                </c:pt>
              </c:strCache>
            </c:strRef>
          </c:cat>
          <c:val>
            <c:numRef>
              <c:f>Sheet1!$B$2:$B$6</c:f>
              <c:numCache>
                <c:formatCode>0.00%</c:formatCode>
                <c:ptCount val="5"/>
                <c:pt idx="0">
                  <c:v>0.198</c:v>
                </c:pt>
                <c:pt idx="1">
                  <c:v>0.009</c:v>
                </c:pt>
                <c:pt idx="2">
                  <c:v>0.009</c:v>
                </c:pt>
                <c:pt idx="3">
                  <c:v>0.778</c:v>
                </c:pt>
                <c:pt idx="4" c:formatCode="0%">
                  <c:v>0.006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2</TotalTime>
  <ScaleCrop>false</ScaleCrop>
  <LinksUpToDate>false</LinksUpToDate>
  <CharactersWithSpaces>11806</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苏~ </cp:lastModifiedBy>
  <cp:lastPrinted>2021-08-26T06:52:00Z</cp:lastPrinted>
  <dcterms:modified xsi:type="dcterms:W3CDTF">2024-09-05T01:21:20Z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65FA352BAB5146309CB066C800874C19</vt:lpwstr>
  </property>
</Properties>
</file>