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cs="Times New Roman"/>
        </w:rPr>
      </w:pPr>
      <w:r>
        <w:pict>
          <v:shape id="_x0000_s1026" o:spid="_x0000_s1026" o:spt="202" type="#_x0000_t202" style="position:absolute;left:0pt;margin-left:-48.3pt;margin-top:-81.4pt;height:126.35pt;width:62.8pt;z-index:251672576;mso-width-relative:page;mso-height-relative:page;" coordsize="21600,21600">
            <v:path/>
            <v:fill focussize="0,0"/>
            <v:stroke joinstyle="miter"/>
            <v:imagedata o:title=""/>
            <o:lock v:ext="edit"/>
            <v:textbox style="mso-fit-shape-to-text:t;">
              <w:txbxContent>
                <w:p>
                  <w:pPr>
                    <w:rPr>
                      <w:rFonts w:ascii="方正黑体_GBK" w:eastAsia="方正黑体_GBK" w:cs="Times New Roman"/>
                      <w:sz w:val="32"/>
                      <w:szCs w:val="32"/>
                    </w:rPr>
                  </w:pPr>
                  <w:r>
                    <w:rPr>
                      <w:rFonts w:hint="eastAsia" w:ascii="方正黑体_GBK" w:eastAsia="方正黑体_GBK" w:cs="方正黑体_GBK"/>
                      <w:sz w:val="32"/>
                      <w:szCs w:val="32"/>
                    </w:rPr>
                    <w:t>附件</w:t>
                  </w:r>
                  <w:r>
                    <w:rPr>
                      <w:rFonts w:ascii="Times New Roman" w:hAnsi="Times New Roman" w:eastAsia="方正黑体_GBK" w:cs="Times New Roman"/>
                      <w:sz w:val="32"/>
                      <w:szCs w:val="32"/>
                    </w:rPr>
                    <w:t>2</w:t>
                  </w:r>
                </w:p>
              </w:txbxContent>
            </v:textbox>
          </v:shape>
        </w:pict>
      </w:r>
      <w:r>
        <w:pict>
          <v:shape id="图片 9" o:spid="_x0000_s1027" o:spt="75" alt="32313539333330313b32313539333238393bb9abb8e6" type="#_x0000_t75" style="position:absolute;left:0pt;margin-left:-2.55pt;margin-top:-4.75pt;height:48.05pt;width:48.05pt;mso-position-vertical-relative:margin;z-index:251664384;mso-width-relative:page;mso-height-relative:page;" filled="f" o:preferrelative="t" stroked="f" coordsize="21600,21600">
            <v:path/>
            <v:fill on="f" focussize="0,0"/>
            <v:stroke on="f" joinstyle="miter"/>
            <v:imagedata r:id="rId9" o:title=""/>
            <o:lock v:ext="edit" aspectratio="t"/>
          </v:shape>
        </w:pict>
      </w:r>
      <w:r>
        <w:pict>
          <v:shape id="背景 耗崽" o:spid="_x0000_s1028" o:spt="75" type="#_x0000_t75" style="position:absolute;left:0pt;margin-left:-77.85pt;margin-top:-102.75pt;height:872.7pt;width:617.7pt;mso-position-horizontal-relative:margin;mso-position-vertical-relative:margin;z-index:251659264;mso-width-relative:page;mso-height-relative:page;" filled="f" o:preferrelative="t" stroked="f" coordsize="21600,21600">
            <v:path/>
            <v:fill on="f" focussize="0,0"/>
            <v:stroke on="f" joinstyle="miter"/>
            <v:imagedata r:id="rId10" o:title=""/>
            <o:lock v:ext="edit" aspectratio="t"/>
          </v:shape>
        </w:pict>
      </w:r>
      <w:r>
        <w:pict>
          <v:shape id="_x0000_s1029" o:spid="_x0000_s1029" o:spt="202" type="#_x0000_t202" style="position:absolute;left:0pt;margin-left:88.2pt;margin-top:625.4pt;height:41pt;width:256.7pt;z-index:251666432;mso-width-relative:page;mso-height-relative:page;" filled="f" stroked="f" coordsize="21600,21600">
            <v:path/>
            <v:fill on="f" focussize="0,0"/>
            <v:stroke on="f" joinstyle="miter"/>
            <v:imagedata o:title=""/>
            <o:lock v:ext="edit"/>
            <v:textbox>
              <w:txbxContent>
                <w:p>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txbxContent>
            </v:textbox>
          </v:shape>
        </w:pict>
      </w:r>
      <w:r>
        <w:pict>
          <v:shape id="_x0000_s1030" o:spid="_x0000_s1030" o:spt="202" type="#_x0000_t202" style="position:absolute;left:0pt;margin-left:23.2pt;margin-top:504.45pt;height:84pt;width:431.7pt;z-index:251662336;mso-width-relative:page;mso-height-relative:page;" filled="f" stroked="f" coordsize="21600,21600">
            <v:path/>
            <v:fill on="f" focussize="0,0"/>
            <v:stroke on="f" joinstyle="miter"/>
            <v:imagedata o:title=""/>
            <o:lock v:ext="edit"/>
            <v:textbo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241002</w:t>
                  </w:r>
                </w:p>
                <w:p>
                  <w:pPr>
                    <w:spacing w:line="600" w:lineRule="auto"/>
                    <w:jc w:val="left"/>
                    <w:rPr>
                      <w:rFonts w:hint="eastAsia" w:ascii="楷体_GB2312" w:hAnsi="楷体_GB2312" w:eastAsia="楷体_GB2312" w:cs="Times New Roman"/>
                      <w:color w:val="000000"/>
                      <w:sz w:val="40"/>
                      <w:szCs w:val="40"/>
                      <w:lang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石家庄市鹿泉区档案馆</w:t>
                  </w:r>
                </w:p>
              </w:txbxContent>
            </v:textbox>
          </v:shape>
        </w:pict>
      </w:r>
      <w:r>
        <w:pict>
          <v:group id="组合 11" o:spid="_x0000_s1031" o:spt="203" style="position:absolute;left:0pt;margin-left:-83pt;margin-top:196.75pt;height:274.95pt;width:613.65pt;z-index:251665408;mso-width-relative:page;mso-height-relative:page;" coordorigin="5240,6098" coordsize="12273,5499">
            <o:lock v:ext="edit"/>
            <v:rect id="矩形 3" o:spid="_x0000_s1032" o:spt="1" style="position:absolute;left:15245;top:6099;height:5499;width:2268;v-text-anchor:middle;" fillcolor="#2E74B5" filled="t" stroked="f" coordsize="21600,21600">
              <v:path/>
              <v:fill on="t" focussize="0,0"/>
              <v:stroke on="f" weight="1pt"/>
              <v:imagedata o:title=""/>
              <o:lock v:ext="edit"/>
              <v:textbox>
                <w:txbxContent>
                  <w:p>
                    <w:pPr>
                      <w:jc w:val="center"/>
                      <w:rPr>
                        <w:rFonts w:cs="Times New Roman"/>
                      </w:rPr>
                    </w:pPr>
                  </w:p>
                </w:txbxContent>
              </v:textbox>
            </v:rect>
            <v:shape id="https://photo-static-api.fotomore.com/creative/vcg/400/new/VCG211245312518.jpg" o:spid="_x0000_s1033" o:spt="75" alt="&amp;pky00123992966_sjzg_VCG211245312518&amp;2&amp;src_toppic_drop1&amp;" type="#_x0000_t75" style="position:absolute;left:5240;top:6098;height:5499;width:10027;" filled="f" o:preferrelative="t" stroked="f" coordsize="21600,21600">
              <v:path arrowok="t"/>
              <v:fill on="f" focussize="0,0"/>
              <v:stroke on="f" joinstyle="miter"/>
              <v:imagedata r:id="rId11" o:title=""/>
              <o:lock v:ext="edit" aspectratio="t"/>
            </v:shape>
          </v:group>
        </w:pict>
      </w:r>
      <w:r>
        <w:pict>
          <v:shape id="文本框 33" o:spid="_x0000_s1034" o:spt="202" type="#_x0000_t202" style="position:absolute;left:0pt;margin-left:-19.95pt;margin-top:126.9pt;height:44.9pt;width:432.6pt;z-index:251661312;mso-width-relative:page;mso-height-relative:page;" filled="f" stroked="f" coordsize="21600,21600">
            <v:path/>
            <v:fill on="f" focussize="0,0"/>
            <v:stroke on="f" joinstyle="miter"/>
            <v:imagedata o:title=""/>
            <o:lock v:ext="edit"/>
            <v:textbox>
              <w:txbxContent>
                <w:p>
                  <w:pPr>
                    <w:jc w:val="distribute"/>
                    <w:rPr>
                      <w:rFonts w:ascii="思源黑体 CN Heavy" w:hAnsi="思源黑体 CN Heavy" w:eastAsia="思源黑体 CN Heavy" w:cs="Times New Roman"/>
                      <w:color w:val="A6A6A6"/>
                      <w:kern w:val="0"/>
                      <w:sz w:val="40"/>
                      <w:szCs w:val="40"/>
                    </w:rPr>
                  </w:pPr>
                </w:p>
              </w:txbxContent>
            </v:textbox>
          </v:shape>
        </w:pict>
      </w:r>
      <w:r>
        <w:pict>
          <v:group id="组合 6" o:spid="_x0000_s1035" o:spt="203" style="position:absolute;left:0pt;margin-left:-22.1pt;margin-top:55.15pt;height:68.65pt;width:451.7pt;z-index:251663360;mso-width-relative:page;mso-height-relative:page;" coordorigin="6119,3077" coordsize="9034,1373">
            <o:lock v:ext="edit"/>
            <v:shape id="_x0000_s1036" o:spid="_x0000_s1036" o:spt="202" type="#_x0000_t202" style="position:absolute;left:6119;top:3077;height:1187;width:9034;" filled="f" stroked="f" coordsize="21600,21600">
              <v:path/>
              <v:fill on="f" focussize="0,0"/>
              <v:stroke on="f" joinstyle="miter"/>
              <v:imagedata o:title=""/>
              <o:lock v:ext="edit"/>
              <v:textbox>
                <w:txbxContent>
                  <w:p>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lang w:eastAsia="zh-CN"/>
                      </w:rPr>
                      <w:t>单位</w:t>
                    </w:r>
                    <w:r>
                      <w:rPr>
                        <w:rFonts w:hint="eastAsia" w:ascii="思源黑体 CN Bold" w:hAnsi="思源黑体 CN Bold" w:eastAsia="思源黑体 CN Bold" w:cs="思源黑体 CN Bold"/>
                        <w:b/>
                        <w:bCs/>
                        <w:color w:val="002060"/>
                        <w:spacing w:val="60"/>
                        <w:kern w:val="24"/>
                        <w:sz w:val="96"/>
                        <w:szCs w:val="96"/>
                      </w:rPr>
                      <w:t>决算公开文本</w:t>
                    </w:r>
                  </w:p>
                </w:txbxContent>
              </v:textbox>
            </v:shape>
            <v:line id="直接连接符 4" o:spid="_x0000_s1037" o:spt="20" style="position:absolute;left:6226;top:4450;height:0;width:8700;" o:connectortype="straight" stroked="t" coordsize="21600,21600">
              <v:path arrowok="t"/>
              <v:fill focussize="0,0"/>
              <v:stroke weight="2.25pt" color="#1F4D78" joinstyle="miter" dashstyle="1 1"/>
              <v:imagedata o:title=""/>
              <o:lock v:ext="edit"/>
            </v:line>
          </v:group>
        </w:pict>
      </w:r>
      <w:r>
        <w:pict>
          <v:shape id="文本框 32" o:spid="_x0000_s1038" o:spt="202" type="#_x0000_t202" style="position:absolute;left:0pt;margin-left:39.25pt;margin-top:-19.3pt;height:62.05pt;width:223.1pt;z-index:251660288;mso-width-relative:page;mso-height-relative:page;" filled="f" stroked="f" coordsize="21600,21600">
            <v:path/>
            <v:fill on="f" focussize="0,0"/>
            <v:stroke on="f" joinstyle="miter"/>
            <v:imagedata o:title=""/>
            <o:lock v:ext="edit"/>
            <v:textbox>
              <w:txbxContent>
                <w:p>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2022</w:t>
                  </w:r>
                  <w:r>
                    <w:rPr>
                      <w:rFonts w:hint="eastAsia" w:ascii="方正魏碑简体" w:hAnsi="Arial" w:eastAsia="方正魏碑简体" w:cs="方正魏碑简体"/>
                      <w:b/>
                      <w:bCs/>
                      <w:color w:val="002060"/>
                      <w:spacing w:val="60"/>
                      <w:kern w:val="24"/>
                      <w:sz w:val="72"/>
                      <w:szCs w:val="72"/>
                    </w:rPr>
                    <w:t>年度</w:t>
                  </w:r>
                </w:p>
              </w:txbxContent>
            </v:textbox>
          </v:shape>
        </w:pict>
      </w:r>
      <w:r>
        <w:t>1</w:t>
      </w:r>
      <w:r>
        <w:rPr>
          <w:rFonts w:cs="Times New Roman"/>
        </w:rPr>
        <w:br w:type="page"/>
      </w:r>
    </w:p>
    <w:p>
      <w:pPr>
        <w:rPr>
          <w:rFonts w:ascii="黑体" w:hAnsi="黑体" w:eastAsia="黑体" w:cs="Times New Roman"/>
          <w:b/>
          <w:bCs/>
          <w:sz w:val="72"/>
          <w:szCs w:val="72"/>
        </w:rPr>
      </w:pPr>
    </w:p>
    <w:p>
      <w:pPr>
        <w:rPr>
          <w:rFonts w:ascii="黑体" w:hAnsi="黑体" w:eastAsia="黑体" w:cs="Times New Roman"/>
          <w:b/>
          <w:bCs/>
          <w:sz w:val="72"/>
          <w:szCs w:val="72"/>
        </w:rPr>
      </w:pPr>
    </w:p>
    <w:p>
      <w:pPr>
        <w:rPr>
          <w:rFonts w:ascii="黑体" w:hAnsi="黑体" w:eastAsia="黑体" w:cs="Times New Roman"/>
          <w:b/>
          <w:bCs/>
          <w:sz w:val="72"/>
          <w:szCs w:val="72"/>
        </w:rPr>
      </w:pPr>
    </w:p>
    <w:p>
      <w:pPr>
        <w:rPr>
          <w:rFonts w:ascii="黑体" w:hAnsi="黑体" w:eastAsia="黑体" w:cs="Times New Roman"/>
          <w:b/>
          <w:bCs/>
          <w:sz w:val="72"/>
          <w:szCs w:val="72"/>
        </w:rPr>
      </w:pPr>
      <w:r>
        <w:rPr>
          <w:rFonts w:ascii="黑体" w:hAnsi="黑体" w:eastAsia="黑体" w:cs="黑体"/>
          <w:b/>
          <w:bCs/>
          <w:sz w:val="72"/>
          <w:szCs w:val="72"/>
        </w:rPr>
        <w:t>2022</w:t>
      </w:r>
      <w:r>
        <w:rPr>
          <w:rFonts w:hint="eastAsia" w:ascii="黑体" w:hAnsi="黑体" w:eastAsia="黑体" w:cs="黑体"/>
          <w:b/>
          <w:bCs/>
          <w:sz w:val="72"/>
          <w:szCs w:val="72"/>
        </w:rPr>
        <w:t>年度</w:t>
      </w:r>
      <w:r>
        <w:rPr>
          <w:rFonts w:hint="eastAsia" w:ascii="黑体" w:hAnsi="黑体" w:eastAsia="黑体" w:cs="黑体"/>
          <w:b/>
          <w:bCs/>
          <w:sz w:val="72"/>
          <w:szCs w:val="72"/>
          <w:lang w:eastAsia="zh-CN"/>
        </w:rPr>
        <w:t>单位</w:t>
      </w:r>
      <w:r>
        <w:rPr>
          <w:rFonts w:hint="eastAsia" w:ascii="黑体" w:hAnsi="黑体" w:eastAsia="黑体" w:cs="黑体"/>
          <w:b/>
          <w:bCs/>
          <w:sz w:val="72"/>
          <w:szCs w:val="72"/>
        </w:rPr>
        <w:t>决算公开文本</w:t>
      </w:r>
    </w:p>
    <w:p>
      <w:pPr>
        <w:spacing w:line="36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480" w:lineRule="auto"/>
        <w:jc w:val="center"/>
        <w:rPr>
          <w:rFonts w:ascii="黑体" w:hAnsi="黑体" w:eastAsia="黑体" w:cs="Times New Roman"/>
          <w:sz w:val="56"/>
          <w:szCs w:val="56"/>
        </w:rPr>
      </w:pPr>
    </w:p>
    <w:p>
      <w:pPr>
        <w:spacing w:line="480" w:lineRule="auto"/>
        <w:jc w:val="center"/>
        <w:rPr>
          <w:rFonts w:ascii="黑体" w:hAnsi="黑体" w:eastAsia="黑体" w:cs="Times New Roman"/>
          <w:sz w:val="56"/>
          <w:szCs w:val="56"/>
        </w:rPr>
      </w:pPr>
    </w:p>
    <w:p>
      <w:pPr>
        <w:spacing w:line="480" w:lineRule="auto"/>
        <w:jc w:val="center"/>
        <w:rPr>
          <w:rFonts w:ascii="黑体" w:hAnsi="黑体" w:eastAsia="黑体" w:cs="Times New Roman"/>
          <w:sz w:val="56"/>
          <w:szCs w:val="56"/>
        </w:rPr>
      </w:pPr>
    </w:p>
    <w:p>
      <w:pPr>
        <w:snapToGrid w:val="0"/>
        <w:jc w:val="center"/>
        <w:rPr>
          <w:rFonts w:hint="eastAsia" w:ascii="楷体_GB2312" w:hAnsi="楷体_GB2312" w:eastAsia="楷体_GB2312" w:cs="Times New Roman"/>
          <w:color w:val="000000"/>
          <w:kern w:val="0"/>
          <w:sz w:val="44"/>
          <w:szCs w:val="44"/>
          <w:lang w:eastAsia="zh-CN"/>
        </w:rPr>
      </w:pPr>
      <w:r>
        <w:rPr>
          <w:rFonts w:hint="eastAsia" w:ascii="楷体_GB2312" w:hAnsi="楷体_GB2312" w:eastAsia="楷体_GB2312" w:cs="楷体_GB2312"/>
          <w:color w:val="000000"/>
          <w:kern w:val="0"/>
          <w:sz w:val="44"/>
          <w:szCs w:val="44"/>
          <w:lang w:eastAsia="zh-CN"/>
        </w:rPr>
        <w:t>石家庄市鹿泉区档案馆</w:t>
      </w:r>
    </w:p>
    <w:p>
      <w:pPr>
        <w:snapToGrid w:val="0"/>
        <w:jc w:val="center"/>
        <w:rPr>
          <w:rFonts w:ascii="楷体_GB2312" w:hAnsi="楷体_GB2312" w:eastAsia="楷体_GB2312" w:cs="Times New Roman"/>
          <w:color w:val="000000"/>
          <w:kern w:val="0"/>
          <w:sz w:val="44"/>
          <w:szCs w:val="44"/>
        </w:rPr>
        <w:sectPr>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kern w:val="0"/>
          <w:sz w:val="44"/>
          <w:szCs w:val="44"/>
        </w:rPr>
        <w:t>二〇二三年</w:t>
      </w:r>
      <w:r>
        <w:rPr>
          <w:rFonts w:hint="eastAsia" w:ascii="楷体_GB2312" w:hAnsi="楷体_GB2312" w:eastAsia="楷体_GB2312" w:cs="楷体_GB2312"/>
          <w:color w:val="000000"/>
          <w:kern w:val="0"/>
          <w:sz w:val="44"/>
          <w:szCs w:val="44"/>
          <w:lang w:eastAsia="zh-CN"/>
        </w:rPr>
        <w:t>九</w:t>
      </w:r>
      <w:r>
        <w:rPr>
          <w:rFonts w:hint="eastAsia" w:ascii="楷体_GB2312" w:hAnsi="楷体_GB2312" w:eastAsia="楷体_GB2312" w:cs="楷体_GB2312"/>
          <w:color w:val="000000"/>
          <w:kern w:val="0"/>
          <w:sz w:val="44"/>
          <w:szCs w:val="44"/>
        </w:rPr>
        <w:t>月</w:t>
      </w:r>
    </w:p>
    <w:p>
      <w:pPr>
        <w:widowControl/>
        <w:spacing w:line="600" w:lineRule="exact"/>
        <w:jc w:val="left"/>
        <w:rPr>
          <w:rFonts w:ascii="黑体" w:hAnsi="黑体" w:eastAsia="黑体" w:cs="Times New Roman"/>
          <w:sz w:val="32"/>
          <w:szCs w:val="32"/>
        </w:rPr>
      </w:pPr>
    </w:p>
    <w:p>
      <w:pPr>
        <w:tabs>
          <w:tab w:val="left" w:pos="2728"/>
        </w:tabs>
        <w:jc w:val="center"/>
        <w:rPr>
          <w:rFonts w:ascii="黑体" w:hAnsi="Times New Roman" w:eastAsia="黑体" w:cs="Times New Roman"/>
          <w:sz w:val="44"/>
          <w:szCs w:val="44"/>
        </w:rPr>
      </w:pPr>
      <w:r>
        <w:pict>
          <v:shape id="图片 71" o:spid="_x0000_s1039" o:spt="75" alt="32313538393631303b32313538393632373bc4bfc2bc" type="#_x0000_t75" style="position:absolute;left:0pt;margin-left:101.05pt;margin-top:20.4pt;height:50.35pt;width:50.35pt;mso-position-vertical-relative:margin;z-index:251669504;mso-width-relative:page;mso-height-relative:page;" filled="f" o:preferrelative="t" stroked="f" coordsize="21600,21600">
            <v:path/>
            <v:fill on="f" focussize="0,0"/>
            <v:stroke on="f" joinstyle="miter"/>
            <v:imagedata r:id="rId12" o:title=""/>
            <o:lock v:ext="edit" aspectratio="t"/>
          </v:shape>
        </w:pict>
      </w:r>
      <w:r>
        <w:rPr>
          <w:rFonts w:hint="eastAsia" w:ascii="黑体" w:hAnsi="Times New Roman" w:eastAsia="黑体" w:cs="黑体"/>
          <w:sz w:val="44"/>
          <w:szCs w:val="44"/>
        </w:rPr>
        <w:t>目</w:t>
      </w:r>
      <w:r>
        <w:rPr>
          <w:rFonts w:ascii="黑体" w:hAnsi="Times New Roman" w:eastAsia="黑体" w:cs="黑体"/>
          <w:sz w:val="44"/>
          <w:szCs w:val="44"/>
        </w:rPr>
        <w:t xml:space="preserve">    </w:t>
      </w:r>
      <w:r>
        <w:rPr>
          <w:rFonts w:hint="eastAsia" w:ascii="黑体" w:hAnsi="Times New Roman" w:eastAsia="黑体" w:cs="黑体"/>
          <w:sz w:val="44"/>
          <w:szCs w:val="44"/>
        </w:rPr>
        <w:t>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lang w:eastAsia="zh-CN"/>
        </w:rPr>
        <w:t>单位</w:t>
      </w:r>
      <w:r>
        <w:rPr>
          <w:rFonts w:hint="eastAsia" w:ascii="Times New Roman" w:hAnsi="Times New Roman" w:eastAsia="黑体" w:cs="黑体"/>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一、部门职责</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w:t>
      </w:r>
      <w:r>
        <w:rPr>
          <w:rFonts w:hint="eastAsia" w:ascii="Times New Roman" w:hAnsi="Times New Roman" w:eastAsia="黑体" w:cs="黑体"/>
          <w:sz w:val="32"/>
          <w:szCs w:val="32"/>
          <w:lang w:eastAsia="zh-CN"/>
        </w:rPr>
        <w:t>单位</w:t>
      </w:r>
      <w:r>
        <w:rPr>
          <w:rFonts w:hint="eastAsia" w:ascii="Times New Roman" w:hAnsi="Times New Roman" w:eastAsia="黑体" w:cs="黑体"/>
          <w:sz w:val="32"/>
          <w:szCs w:val="32"/>
        </w:rPr>
        <w:t>决算报表</w:t>
      </w:r>
    </w:p>
    <w:p>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20"/>
        </w:rPr>
      </w:pPr>
      <w:r>
        <w:rPr>
          <w:rFonts w:hint="eastAsia" w:ascii="Times New Roman" w:hAnsi="Times New Roman" w:eastAsia="仿宋_GB2312" w:cs="仿宋_GB2312"/>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w:t>
      </w:r>
      <w:r>
        <w:rPr>
          <w:rFonts w:hint="eastAsia" w:ascii="Times New Roman" w:hAnsi="Times New Roman" w:eastAsia="黑体" w:cs="黑体"/>
          <w:sz w:val="32"/>
          <w:szCs w:val="32"/>
          <w:lang w:eastAsia="zh-CN"/>
        </w:rPr>
        <w:t>单位</w:t>
      </w:r>
      <w:r>
        <w:rPr>
          <w:rFonts w:hint="eastAsia" w:ascii="Times New Roman" w:hAnsi="Times New Roman" w:eastAsia="黑体" w:cs="黑体"/>
          <w:sz w:val="32"/>
          <w:szCs w:val="32"/>
        </w:rPr>
        <w:t>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五、财政拨款“三公”</w:t>
      </w:r>
      <w:r>
        <w:rPr>
          <w:rFonts w:ascii="Times New Roman" w:hAnsi="Times New Roman" w:eastAsia="仿宋_GB2312" w:cs="Times New Roman"/>
          <w:sz w:val="32"/>
          <w:szCs w:val="32"/>
        </w:rPr>
        <w:t xml:space="preserve"> </w:t>
      </w:r>
      <w:r>
        <w:rPr>
          <w:rFonts w:hint="eastAsia" w:ascii="Times New Roman" w:hAnsi="Times New Roman" w:eastAsia="仿宋_GB2312" w:cs="仿宋_GB2312"/>
          <w:sz w:val="32"/>
          <w:szCs w:val="32"/>
        </w:rPr>
        <w:t>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第四部分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r>
        <w:pict>
          <v:shape id="图片 67" o:spid="_x0000_s1040" o:spt="75" alt="32313535393135353b32313535393132353bd0b4d7d6c2a5" type="#_x0000_t75" style="position:absolute;left:0pt;margin-left:50.5pt;margin-top:139.6pt;height:58.25pt;width:58.25pt;mso-position-vertical-relative:margin;z-index:251667456;mso-width-relative:page;mso-height-relative:page;" filled="f" o:preferrelative="t" stroked="f" coordsize="21600,21600">
            <v:path/>
            <v:fill on="f" focussize="0,0"/>
            <v:stroke on="f" joinstyle="miter"/>
            <v:imagedata r:id="rId13" o:title=""/>
            <o:lock v:ext="edit" aspectratio="t"/>
          </v:shape>
        </w:pict>
      </w:r>
    </w:p>
    <w:p>
      <w:pPr>
        <w:widowControl/>
        <w:jc w:val="center"/>
        <w:rPr>
          <w:rFonts w:ascii="黑体" w:hAnsi="黑体" w:eastAsia="黑体" w:cs="Times New Roman"/>
          <w:color w:val="000000"/>
          <w:sz w:val="44"/>
          <w:szCs w:val="44"/>
        </w:r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第一部分</w:t>
      </w:r>
      <w:r>
        <w:rPr>
          <w:rFonts w:ascii="黑体" w:hAnsi="黑体" w:eastAsia="黑体" w:cs="黑体"/>
          <w:color w:val="000000"/>
          <w:sz w:val="44"/>
          <w:szCs w:val="44"/>
        </w:rPr>
        <w:t xml:space="preserve">  </w:t>
      </w:r>
      <w:r>
        <w:rPr>
          <w:rFonts w:hint="eastAsia" w:ascii="黑体" w:hAnsi="黑体" w:eastAsia="黑体" w:cs="黑体"/>
          <w:color w:val="000000"/>
          <w:sz w:val="44"/>
          <w:szCs w:val="44"/>
          <w:lang w:eastAsia="zh-CN"/>
        </w:rPr>
        <w:t>单位</w:t>
      </w:r>
      <w:r>
        <w:rPr>
          <w:rFonts w:hint="eastAsia" w:ascii="黑体" w:hAnsi="黑体" w:eastAsia="黑体" w:cs="黑体"/>
          <w:color w:val="000000"/>
          <w:sz w:val="44"/>
          <w:szCs w:val="44"/>
        </w:rPr>
        <w:t>概况</w:t>
      </w:r>
    </w:p>
    <w:p>
      <w:pPr>
        <w:widowControl/>
        <w:spacing w:line="580" w:lineRule="exact"/>
        <w:ind w:firstLine="640" w:firstLineChars="200"/>
        <w:rPr>
          <w:rFonts w:eastAsia="黑体" w:cs="Times New Roman"/>
          <w:sz w:val="32"/>
          <w:szCs w:val="32"/>
        </w:rPr>
      </w:pPr>
    </w:p>
    <w:p>
      <w:pPr>
        <w:rPr>
          <w:rFonts w:ascii="黑体" w:eastAsia="黑体" w:cs="Times New Roman"/>
          <w:b w:val="0"/>
          <w:bCs w:val="0"/>
          <w:kern w:val="0"/>
          <w:sz w:val="32"/>
          <w:szCs w:val="32"/>
        </w:rPr>
      </w:pPr>
      <w:r>
        <w:rPr>
          <w:rFonts w:ascii="黑体" w:eastAsia="黑体" w:cs="Times New Roman"/>
          <w:kern w:val="0"/>
          <w:sz w:val="32"/>
          <w:szCs w:val="32"/>
        </w:rPr>
        <w:br w:type="page"/>
      </w:r>
      <w:r>
        <w:rPr>
          <w:rFonts w:hint="eastAsia" w:ascii="黑体" w:eastAsia="黑体" w:cs="Times New Roman"/>
          <w:kern w:val="0"/>
          <w:sz w:val="32"/>
          <w:szCs w:val="32"/>
          <w:lang w:val="en-US" w:eastAsia="zh-CN"/>
        </w:rPr>
        <w:t xml:space="preserve">    </w:t>
      </w:r>
      <w:r>
        <w:rPr>
          <w:rFonts w:hint="eastAsia" w:ascii="黑体" w:eastAsia="黑体" w:cs="黑体"/>
          <w:b w:val="0"/>
          <w:bCs w:val="0"/>
          <w:kern w:val="0"/>
          <w:sz w:val="32"/>
          <w:szCs w:val="32"/>
        </w:rPr>
        <w:t>一、</w:t>
      </w:r>
      <w:r>
        <w:rPr>
          <w:rFonts w:hint="eastAsia" w:ascii="黑体" w:eastAsia="黑体" w:cs="黑体"/>
          <w:b w:val="0"/>
          <w:bCs w:val="0"/>
          <w:kern w:val="0"/>
          <w:sz w:val="32"/>
          <w:szCs w:val="32"/>
          <w:lang w:eastAsia="zh-CN"/>
        </w:rPr>
        <w:t>单位</w:t>
      </w:r>
      <w:r>
        <w:rPr>
          <w:rFonts w:hint="eastAsia" w:ascii="黑体" w:eastAsia="黑体" w:cs="黑体"/>
          <w:b w:val="0"/>
          <w:bCs w:val="0"/>
          <w:kern w:val="0"/>
          <w:sz w:val="32"/>
          <w:szCs w:val="32"/>
        </w:rPr>
        <w:t>职责</w:t>
      </w:r>
    </w:p>
    <w:p>
      <w:pPr>
        <w:keepNext w:val="0"/>
        <w:keepLines w:val="0"/>
        <w:widowControl/>
        <w:suppressLineNumbers w:val="0"/>
        <w:ind w:firstLine="640" w:firstLineChars="200"/>
        <w:jc w:val="left"/>
        <w:rPr>
          <w:sz w:val="32"/>
          <w:szCs w:val="32"/>
        </w:rPr>
      </w:pPr>
      <w:r>
        <w:rPr>
          <w:rFonts w:ascii="仿宋_GB2312" w:hAnsi="宋体" w:eastAsia="仿宋_GB2312" w:cs="仿宋_GB2312"/>
          <w:color w:val="000000"/>
          <w:kern w:val="0"/>
          <w:sz w:val="32"/>
          <w:szCs w:val="32"/>
          <w:lang w:val="en-US" w:eastAsia="zh-CN" w:bidi="ar"/>
        </w:rPr>
        <w:t xml:space="preserve">（一）贯彻落实有关法律、法规和国家有关方针政策，指导、 </w:t>
      </w:r>
    </w:p>
    <w:p>
      <w:pPr>
        <w:keepNext w:val="0"/>
        <w:keepLines w:val="0"/>
        <w:widowControl/>
        <w:suppressLineNumbers w:val="0"/>
        <w:jc w:val="left"/>
        <w:rPr>
          <w:sz w:val="32"/>
          <w:szCs w:val="32"/>
        </w:rPr>
      </w:pPr>
      <w:r>
        <w:rPr>
          <w:rFonts w:hint="eastAsia" w:ascii="仿宋_GB2312" w:hAnsi="宋体" w:eastAsia="仿宋_GB2312" w:cs="仿宋_GB2312"/>
          <w:color w:val="000000"/>
          <w:kern w:val="0"/>
          <w:sz w:val="32"/>
          <w:szCs w:val="32"/>
          <w:lang w:val="en-US" w:eastAsia="zh-CN" w:bidi="ar"/>
        </w:rPr>
        <w:t xml:space="preserve">协调区直部门及下属单位、乡镇及农村的档案业务工作。 </w:t>
      </w:r>
    </w:p>
    <w:p>
      <w:pPr>
        <w:keepNext w:val="0"/>
        <w:keepLines w:val="0"/>
        <w:widowControl/>
        <w:suppressLineNumbers w:val="0"/>
        <w:ind w:firstLine="640" w:firstLineChars="200"/>
        <w:jc w:val="left"/>
        <w:rPr>
          <w:sz w:val="32"/>
          <w:szCs w:val="32"/>
        </w:rPr>
      </w:pPr>
      <w:r>
        <w:rPr>
          <w:rFonts w:hint="eastAsia" w:ascii="仿宋_GB2312" w:hAnsi="宋体" w:eastAsia="仿宋_GB2312" w:cs="仿宋_GB2312"/>
          <w:color w:val="000000"/>
          <w:kern w:val="0"/>
          <w:sz w:val="32"/>
          <w:szCs w:val="32"/>
          <w:lang w:val="en-US" w:eastAsia="zh-CN" w:bidi="ar"/>
        </w:rPr>
        <w:t xml:space="preserve">（二）集中统一管理区直机关、乡镇的重要档案资料；保管 </w:t>
      </w:r>
    </w:p>
    <w:p>
      <w:pPr>
        <w:keepNext w:val="0"/>
        <w:keepLines w:val="0"/>
        <w:widowControl/>
        <w:suppressLineNumbers w:val="0"/>
        <w:jc w:val="left"/>
        <w:rPr>
          <w:sz w:val="32"/>
          <w:szCs w:val="32"/>
        </w:rPr>
      </w:pPr>
      <w:r>
        <w:rPr>
          <w:rFonts w:hint="eastAsia" w:ascii="仿宋_GB2312" w:hAnsi="宋体" w:eastAsia="仿宋_GB2312" w:cs="仿宋_GB2312"/>
          <w:color w:val="000000"/>
          <w:kern w:val="0"/>
          <w:sz w:val="32"/>
          <w:szCs w:val="32"/>
          <w:lang w:val="en-US" w:eastAsia="zh-CN" w:bidi="ar"/>
        </w:rPr>
        <w:t xml:space="preserve">具有地方特色的各种档案资料。 </w:t>
      </w:r>
    </w:p>
    <w:p>
      <w:pPr>
        <w:keepNext w:val="0"/>
        <w:keepLines w:val="0"/>
        <w:widowControl/>
        <w:suppressLineNumbers w:val="0"/>
        <w:ind w:firstLine="640" w:firstLineChars="200"/>
        <w:jc w:val="left"/>
        <w:rPr>
          <w:sz w:val="32"/>
          <w:szCs w:val="32"/>
        </w:rPr>
      </w:pPr>
      <w:r>
        <w:rPr>
          <w:rFonts w:hint="eastAsia" w:ascii="仿宋_GB2312" w:hAnsi="宋体" w:eastAsia="仿宋_GB2312" w:cs="仿宋_GB2312"/>
          <w:color w:val="000000"/>
          <w:kern w:val="0"/>
          <w:sz w:val="32"/>
          <w:szCs w:val="32"/>
          <w:lang w:val="en-US" w:eastAsia="zh-CN" w:bidi="ar"/>
        </w:rPr>
        <w:t xml:space="preserve">（三）开展档案接收、征集、整理、保管、鉴定等各项工作， </w:t>
      </w:r>
    </w:p>
    <w:p>
      <w:pPr>
        <w:keepNext w:val="0"/>
        <w:keepLines w:val="0"/>
        <w:widowControl/>
        <w:suppressLineNumbers w:val="0"/>
        <w:jc w:val="left"/>
        <w:rPr>
          <w:sz w:val="32"/>
          <w:szCs w:val="32"/>
        </w:rPr>
      </w:pPr>
      <w:r>
        <w:rPr>
          <w:rFonts w:hint="eastAsia" w:ascii="仿宋_GB2312" w:hAnsi="宋体" w:eastAsia="仿宋_GB2312" w:cs="仿宋_GB2312"/>
          <w:color w:val="000000"/>
          <w:kern w:val="0"/>
          <w:sz w:val="32"/>
          <w:szCs w:val="32"/>
          <w:lang w:val="en-US" w:eastAsia="zh-CN" w:bidi="ar"/>
        </w:rPr>
        <w:t xml:space="preserve">维护档案完整，确保档案安全。 </w:t>
      </w:r>
    </w:p>
    <w:p>
      <w:pPr>
        <w:keepNext w:val="0"/>
        <w:keepLines w:val="0"/>
        <w:widowControl/>
        <w:suppressLineNumbers w:val="0"/>
        <w:ind w:firstLine="640" w:firstLineChars="200"/>
        <w:jc w:val="left"/>
        <w:rPr>
          <w:sz w:val="32"/>
          <w:szCs w:val="32"/>
        </w:rPr>
      </w:pPr>
      <w:r>
        <w:rPr>
          <w:rFonts w:hint="eastAsia" w:ascii="仿宋_GB2312" w:hAnsi="宋体" w:eastAsia="仿宋_GB2312" w:cs="仿宋_GB2312"/>
          <w:color w:val="000000"/>
          <w:kern w:val="0"/>
          <w:sz w:val="32"/>
          <w:szCs w:val="32"/>
          <w:lang w:val="en-US" w:eastAsia="zh-CN" w:bidi="ar"/>
        </w:rPr>
        <w:t xml:space="preserve">（四）做好档案的开发利用工作，为社会需要提供服务。 </w:t>
      </w:r>
    </w:p>
    <w:p>
      <w:pPr>
        <w:keepNext w:val="0"/>
        <w:keepLines w:val="0"/>
        <w:widowControl/>
        <w:suppressLineNumbers w:val="0"/>
        <w:ind w:firstLine="640" w:firstLineChars="200"/>
        <w:jc w:val="left"/>
      </w:pPr>
      <w:r>
        <w:rPr>
          <w:rFonts w:hint="eastAsia" w:ascii="仿宋_GB2312" w:hAnsi="宋体" w:eastAsia="仿宋_GB2312" w:cs="仿宋_GB2312"/>
          <w:color w:val="000000"/>
          <w:kern w:val="0"/>
          <w:sz w:val="32"/>
          <w:szCs w:val="32"/>
          <w:lang w:val="en-US" w:eastAsia="zh-CN" w:bidi="ar"/>
        </w:rPr>
        <w:t>（五）承办区委、区政府交办的其它事项。</w:t>
      </w:r>
    </w:p>
    <w:p>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rPr>
        <w:t>二、机构设置</w:t>
      </w:r>
    </w:p>
    <w:tbl>
      <w:tblPr>
        <w:tblStyle w:val="6"/>
        <w:tblpPr w:leftFromText="180" w:rightFromText="180" w:vertAnchor="text" w:horzAnchor="page" w:tblpX="1474" w:tblpY="1196"/>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187"/>
        <w:gridCol w:w="2580"/>
        <w:gridCol w:w="28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187"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580"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828"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187" w:type="dxa"/>
            <w:vAlign w:val="center"/>
          </w:tcPr>
          <w:p>
            <w:pPr>
              <w:spacing w:line="560" w:lineRule="exact"/>
              <w:jc w:val="center"/>
              <w:rPr>
                <w:rFonts w:ascii="仿宋_GB2312" w:eastAsia="仿宋_GB2312" w:cs="仿宋_GB2312"/>
                <w:kern w:val="0"/>
                <w:sz w:val="28"/>
                <w:szCs w:val="28"/>
              </w:rPr>
            </w:pPr>
            <w:r>
              <w:rPr>
                <w:rFonts w:hint="eastAsia" w:ascii="仿宋_GB2312" w:eastAsia="仿宋_GB2312" w:cs="仿宋_GB2312"/>
                <w:kern w:val="0"/>
                <w:sz w:val="28"/>
                <w:szCs w:val="28"/>
                <w:lang w:eastAsia="zh-CN"/>
              </w:rPr>
              <w:t>石家庄市鹿泉区档案馆</w:t>
            </w:r>
          </w:p>
        </w:tc>
        <w:tc>
          <w:tcPr>
            <w:tcW w:w="2580" w:type="dxa"/>
            <w:vAlign w:val="center"/>
          </w:tcPr>
          <w:p>
            <w:pPr>
              <w:spacing w:line="560" w:lineRule="exact"/>
              <w:jc w:val="center"/>
              <w:rPr>
                <w:rFonts w:ascii="仿宋_GB2312" w:eastAsia="仿宋_GB2312" w:cs="Times New Roman"/>
                <w:kern w:val="0"/>
                <w:sz w:val="28"/>
                <w:szCs w:val="28"/>
              </w:rPr>
            </w:pPr>
            <w:r>
              <w:rPr>
                <w:rFonts w:hint="eastAsia" w:ascii="仿宋_GB2312" w:eastAsia="仿宋_GB2312" w:cs="Times New Roman"/>
                <w:kern w:val="0"/>
                <w:sz w:val="28"/>
                <w:szCs w:val="28"/>
                <w:lang w:eastAsia="zh-CN"/>
              </w:rPr>
              <w:t>财政补助事业单位</w:t>
            </w:r>
          </w:p>
        </w:tc>
        <w:tc>
          <w:tcPr>
            <w:tcW w:w="2828" w:type="dxa"/>
            <w:vAlign w:val="center"/>
          </w:tcPr>
          <w:p>
            <w:pPr>
              <w:spacing w:line="560" w:lineRule="exact"/>
              <w:jc w:val="both"/>
              <w:rPr>
                <w:rFonts w:ascii="仿宋_GB2312" w:eastAsia="仿宋_GB2312" w:cs="Times New Roman"/>
                <w:kern w:val="0"/>
                <w:sz w:val="28"/>
                <w:szCs w:val="28"/>
              </w:rPr>
            </w:pPr>
            <w:r>
              <w:rPr>
                <w:rFonts w:hint="eastAsia" w:ascii="仿宋_GB2312" w:eastAsia="仿宋_GB2312" w:cs="Times New Roman"/>
                <w:kern w:val="0"/>
                <w:sz w:val="28"/>
                <w:szCs w:val="28"/>
                <w:lang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pPr>
        <w:spacing w:line="580" w:lineRule="exact"/>
        <w:ind w:firstLine="640" w:firstLineChars="200"/>
        <w:jc w:val="left"/>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2022</w:t>
      </w:r>
      <w:r>
        <w:rPr>
          <w:rFonts w:hint="eastAsia" w:ascii="仿宋_GB2312" w:eastAsia="仿宋_GB2312" w:cs="仿宋_GB2312"/>
          <w:kern w:val="0"/>
          <w:sz w:val="32"/>
          <w:szCs w:val="32"/>
        </w:rPr>
        <w:t>年度本</w:t>
      </w:r>
      <w:r>
        <w:rPr>
          <w:rFonts w:hint="eastAsia" w:ascii="仿宋_GB2312" w:eastAsia="仿宋_GB2312" w:cs="仿宋_GB2312"/>
          <w:kern w:val="0"/>
          <w:sz w:val="32"/>
          <w:szCs w:val="32"/>
          <w:lang w:eastAsia="zh-CN"/>
        </w:rPr>
        <w:t>单位</w:t>
      </w:r>
      <w:r>
        <w:rPr>
          <w:rFonts w:hint="eastAsia" w:ascii="仿宋_GB2312" w:eastAsia="仿宋_GB2312" w:cs="仿宋_GB2312"/>
          <w:kern w:val="0"/>
          <w:sz w:val="32"/>
          <w:szCs w:val="32"/>
        </w:rPr>
        <w:t>决算汇编范围的独立核算单位（以下简称“单位”）共</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个，具体情况如下：</w:t>
      </w:r>
      <w:r>
        <w:rPr>
          <w:rFonts w:hint="eastAsia" w:ascii="仿宋_GB2312" w:eastAsia="仿宋_GB2312" w:cs="仿宋_GB2312"/>
          <w:kern w:val="0"/>
          <w:sz w:val="32"/>
          <w:szCs w:val="32"/>
          <w:lang w:val="en-US" w:eastAsia="zh-CN"/>
        </w:rPr>
        <w:t xml:space="preserve">    </w:t>
      </w:r>
    </w:p>
    <w:p>
      <w:pPr>
        <w:spacing w:line="580" w:lineRule="exact"/>
        <w:ind w:firstLine="640" w:firstLineChars="200"/>
        <w:jc w:val="left"/>
        <w:rPr>
          <w:rFonts w:ascii="仿宋_GB2312" w:eastAsia="仿宋_GB2312" w:cs="Times New Roman"/>
          <w:kern w:val="0"/>
          <w:sz w:val="32"/>
          <w:szCs w:val="32"/>
        </w:rPr>
      </w:pPr>
    </w:p>
    <w:p>
      <w:pPr>
        <w:spacing w:line="580" w:lineRule="exact"/>
        <w:ind w:firstLine="640" w:firstLineChars="200"/>
        <w:jc w:val="left"/>
        <w:rPr>
          <w:rFonts w:ascii="仿宋_GB2312" w:eastAsia="仿宋_GB2312" w:cs="Times New Roman"/>
          <w:kern w:val="0"/>
          <w:sz w:val="32"/>
          <w:szCs w:val="32"/>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420" w:firstLineChars="200"/>
        <w:rPr>
          <w:rFonts w:ascii="黑体" w:hAnsi="黑体" w:eastAsia="黑体" w:cs="Times New Roman"/>
          <w:color w:val="000000"/>
          <w:sz w:val="44"/>
          <w:szCs w:val="44"/>
        </w:rPr>
      </w:pPr>
      <w:r>
        <w:pict>
          <v:shape id="图片 70" o:spid="_x0000_s1041" o:spt="75" alt="32303235303832303b32303235353434303bcec4bcfeb1edb8f1" type="#_x0000_t75" style="position:absolute;left:0pt;margin-left:29.25pt;margin-top:214.9pt;height:45.6pt;width:45.6pt;mso-position-vertical-relative:margin;z-index:251668480;mso-width-relative:page;mso-height-relative:page;" filled="f" o:preferrelative="t" stroked="f" coordsize="21600,21600">
            <v:path/>
            <v:fill on="f" focussize="0,0"/>
            <v:stroke on="f" joinstyle="miter"/>
            <v:imagedata r:id="rId14" o:title=""/>
            <o:lock v:ext="edit" aspectratio="t"/>
          </v:shape>
        </w:pict>
      </w:r>
    </w:p>
    <w:p>
      <w:pPr>
        <w:widowControl/>
        <w:spacing w:after="160" w:line="580" w:lineRule="exact"/>
        <w:ind w:firstLine="1760" w:firstLineChars="400"/>
        <w:rPr>
          <w:rFonts w:ascii="黑体" w:hAnsi="黑体" w:eastAsia="黑体" w:cs="Times New Roman"/>
          <w:color w:val="000000"/>
          <w:sz w:val="44"/>
          <w:szCs w:val="44"/>
        </w:rPr>
      </w:pPr>
      <w:r>
        <w:rPr>
          <w:rFonts w:hint="eastAsia" w:ascii="黑体" w:hAnsi="黑体" w:eastAsia="黑体" w:cs="黑体"/>
          <w:color w:val="000000"/>
          <w:sz w:val="44"/>
          <w:szCs w:val="44"/>
        </w:rPr>
        <w:t>第二部分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w:t>
      </w:r>
      <w:r>
        <w:rPr>
          <w:rFonts w:hint="eastAsia" w:ascii="黑体" w:hAnsi="黑体" w:eastAsia="黑体" w:cs="黑体"/>
          <w:color w:val="000000"/>
          <w:sz w:val="44"/>
          <w:szCs w:val="44"/>
          <w:lang w:eastAsia="zh-CN"/>
        </w:rPr>
        <w:t>单位</w:t>
      </w:r>
      <w:r>
        <w:rPr>
          <w:rFonts w:hint="eastAsia" w:ascii="黑体" w:hAnsi="黑体" w:eastAsia="黑体" w:cs="黑体"/>
          <w:color w:val="000000"/>
          <w:sz w:val="44"/>
          <w:szCs w:val="44"/>
        </w:rPr>
        <w:t>决算表</w:t>
      </w: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sectPr>
          <w:headerReference r:id="rId7" w:type="default"/>
          <w:pgSz w:w="11906" w:h="16838"/>
          <w:pgMar w:top="2041" w:right="1531" w:bottom="1774" w:left="1531" w:header="851" w:footer="992" w:gutter="0"/>
          <w:pgNumType w:fmt="numberInDash"/>
          <w:cols w:space="0" w:num="1"/>
          <w:titlePg/>
          <w:docGrid w:type="lines" w:linePitch="312" w:charSpace="0"/>
        </w:sectPr>
      </w:pPr>
      <w:r>
        <w:rPr>
          <w:rFonts w:ascii="黑体" w:hAnsi="黑体" w:eastAsia="黑体" w:cs="黑体"/>
          <w:color w:val="000000"/>
          <w:sz w:val="44"/>
          <w:szCs w:val="44"/>
        </w:rPr>
        <w:t xml:space="preserve">    </w:t>
      </w:r>
    </w:p>
    <w:tbl>
      <w:tblPr>
        <w:tblStyle w:val="6"/>
        <w:tblW w:w="16797" w:type="dxa"/>
        <w:tblInd w:w="-13" w:type="dxa"/>
        <w:tblLayout w:type="fixed"/>
        <w:tblCellMar>
          <w:top w:w="15" w:type="dxa"/>
          <w:left w:w="15" w:type="dxa"/>
          <w:bottom w:w="15" w:type="dxa"/>
          <w:right w:w="15" w:type="dxa"/>
        </w:tblCellMar>
      </w:tblPr>
      <w:tblGrid>
        <w:gridCol w:w="3648"/>
        <w:gridCol w:w="381"/>
        <w:gridCol w:w="182"/>
        <w:gridCol w:w="214"/>
        <w:gridCol w:w="1192"/>
        <w:gridCol w:w="3431"/>
        <w:gridCol w:w="525"/>
        <w:gridCol w:w="61"/>
        <w:gridCol w:w="1083"/>
        <w:gridCol w:w="1708"/>
        <w:gridCol w:w="1891"/>
        <w:gridCol w:w="240"/>
        <w:gridCol w:w="2241"/>
      </w:tblGrid>
      <w:tr>
        <w:tblPrEx>
          <w:tblCellMar>
            <w:top w:w="15" w:type="dxa"/>
            <w:left w:w="15" w:type="dxa"/>
            <w:bottom w:w="15" w:type="dxa"/>
            <w:right w:w="15" w:type="dxa"/>
          </w:tblCellMar>
        </w:tblPrEx>
        <w:trPr>
          <w:gridAfter w:val="5"/>
          <w:wAfter w:w="7163" w:type="dxa"/>
          <w:trHeight w:val="360" w:hRule="atLeast"/>
        </w:trPr>
        <w:tc>
          <w:tcPr>
            <w:tcW w:w="9634" w:type="dxa"/>
            <w:gridSpan w:val="8"/>
            <w:vAlign w:val="center"/>
          </w:tcPr>
          <w:p>
            <w:pPr>
              <w:widowControl/>
              <w:jc w:val="center"/>
              <w:textAlignment w:val="center"/>
              <w:rPr>
                <w:rFonts w:ascii="华文中宋" w:hAnsi="华文中宋" w:eastAsia="华文中宋" w:cs="Times New Roman"/>
                <w:color w:val="000000"/>
                <w:sz w:val="32"/>
                <w:szCs w:val="32"/>
              </w:rPr>
            </w:pPr>
            <w:r>
              <w:rPr>
                <w:rFonts w:ascii="华文中宋" w:hAnsi="华文中宋" w:eastAsia="华文中宋" w:cs="华文中宋"/>
                <w:color w:val="000000"/>
                <w:kern w:val="0"/>
                <w:sz w:val="32"/>
                <w:szCs w:val="32"/>
              </w:rPr>
              <w:t xml:space="preserve">         </w:t>
            </w:r>
            <w:r>
              <w:rPr>
                <w:rFonts w:hint="eastAsia" w:ascii="华文中宋" w:hAnsi="华文中宋" w:eastAsia="华文中宋" w:cs="华文中宋"/>
                <w:color w:val="000000"/>
                <w:kern w:val="0"/>
                <w:sz w:val="32"/>
                <w:szCs w:val="32"/>
              </w:rPr>
              <w:t>收入支出决算总表</w:t>
            </w:r>
          </w:p>
        </w:tc>
      </w:tr>
      <w:tr>
        <w:tblPrEx>
          <w:tblCellMar>
            <w:top w:w="15" w:type="dxa"/>
            <w:left w:w="15" w:type="dxa"/>
            <w:bottom w:w="15" w:type="dxa"/>
            <w:right w:w="15" w:type="dxa"/>
          </w:tblCellMar>
        </w:tblPrEx>
        <w:trPr>
          <w:gridAfter w:val="1"/>
          <w:wAfter w:w="2241" w:type="dxa"/>
          <w:trHeight w:val="196" w:hRule="atLeast"/>
        </w:trPr>
        <w:tc>
          <w:tcPr>
            <w:tcW w:w="4029" w:type="dxa"/>
            <w:gridSpan w:val="2"/>
            <w:shd w:val="clear" w:color="auto" w:fill="FFFFFF"/>
            <w:vAlign w:val="center"/>
          </w:tcPr>
          <w:p>
            <w:pPr>
              <w:jc w:val="right"/>
              <w:rPr>
                <w:rFonts w:ascii="宋体" w:cs="Times New Roman"/>
                <w:color w:val="000000"/>
                <w:sz w:val="24"/>
                <w:szCs w:val="24"/>
              </w:rPr>
            </w:pPr>
          </w:p>
        </w:tc>
        <w:tc>
          <w:tcPr>
            <w:tcW w:w="396" w:type="dxa"/>
            <w:gridSpan w:val="2"/>
            <w:shd w:val="clear" w:color="auto" w:fill="FFFFFF"/>
            <w:vAlign w:val="center"/>
          </w:tcPr>
          <w:p>
            <w:pPr>
              <w:jc w:val="right"/>
              <w:rPr>
                <w:rFonts w:ascii="宋体" w:cs="Times New Roman"/>
                <w:color w:val="000000"/>
                <w:sz w:val="24"/>
                <w:szCs w:val="24"/>
              </w:rPr>
            </w:pPr>
          </w:p>
        </w:tc>
        <w:tc>
          <w:tcPr>
            <w:tcW w:w="1192" w:type="dxa"/>
            <w:shd w:val="clear" w:color="auto" w:fill="FFFFFF"/>
            <w:vAlign w:val="center"/>
          </w:tcPr>
          <w:p>
            <w:pPr>
              <w:jc w:val="right"/>
              <w:rPr>
                <w:rFonts w:ascii="宋体" w:cs="Times New Roman"/>
                <w:color w:val="000000"/>
                <w:sz w:val="24"/>
                <w:szCs w:val="24"/>
              </w:rPr>
            </w:pPr>
          </w:p>
        </w:tc>
        <w:tc>
          <w:tcPr>
            <w:tcW w:w="6808" w:type="dxa"/>
            <w:gridSpan w:val="5"/>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01</w:t>
            </w:r>
            <w:r>
              <w:rPr>
                <w:rFonts w:hint="eastAsia" w:ascii="宋体" w:hAnsi="宋体" w:cs="宋体"/>
                <w:color w:val="000000"/>
                <w:kern w:val="0"/>
                <w:sz w:val="20"/>
                <w:szCs w:val="20"/>
              </w:rPr>
              <w:t>表</w:t>
            </w:r>
          </w:p>
        </w:tc>
        <w:tc>
          <w:tcPr>
            <w:tcW w:w="1891" w:type="dxa"/>
            <w:shd w:val="clear" w:color="auto" w:fill="FFFFFF"/>
            <w:vAlign w:val="center"/>
          </w:tcPr>
          <w:p>
            <w:pPr>
              <w:jc w:val="right"/>
              <w:rPr>
                <w:rFonts w:ascii="宋体" w:cs="Times New Roman"/>
                <w:color w:val="000000"/>
                <w:sz w:val="24"/>
                <w:szCs w:val="24"/>
              </w:rPr>
            </w:pPr>
          </w:p>
        </w:tc>
        <w:tc>
          <w:tcPr>
            <w:tcW w:w="240"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2241" w:type="dxa"/>
          <w:trHeight w:val="301" w:hRule="atLeast"/>
        </w:trPr>
        <w:tc>
          <w:tcPr>
            <w:tcW w:w="4029" w:type="dxa"/>
            <w:gridSpan w:val="2"/>
            <w:shd w:val="clear" w:color="auto" w:fill="FFFFFF"/>
            <w:vAlign w:val="center"/>
          </w:tcPr>
          <w:p>
            <w:pPr>
              <w:widowControl/>
              <w:jc w:val="left"/>
              <w:textAlignment w:val="center"/>
              <w:rPr>
                <w:rFonts w:hint="eastAsia" w:ascii="宋体" w:eastAsia="宋体" w:cs="Times New Roman"/>
                <w:color w:val="000000"/>
                <w:sz w:val="20"/>
                <w:szCs w:val="20"/>
                <w:lang w:eastAsia="zh-CN"/>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r>
              <w:rPr>
                <w:rFonts w:hint="eastAsia" w:ascii="宋体" w:hAnsi="宋体" w:cs="宋体"/>
                <w:color w:val="000000"/>
                <w:kern w:val="0"/>
                <w:sz w:val="20"/>
                <w:szCs w:val="20"/>
                <w:lang w:eastAsia="zh-CN"/>
              </w:rPr>
              <w:t>石家庄市鹿泉区档案馆</w:t>
            </w:r>
          </w:p>
        </w:tc>
        <w:tc>
          <w:tcPr>
            <w:tcW w:w="396" w:type="dxa"/>
            <w:gridSpan w:val="2"/>
            <w:shd w:val="clear" w:color="auto" w:fill="FFFFFF"/>
            <w:vAlign w:val="center"/>
          </w:tcPr>
          <w:p>
            <w:pPr>
              <w:jc w:val="right"/>
              <w:rPr>
                <w:rFonts w:ascii="宋体" w:cs="Times New Roman"/>
                <w:color w:val="000000"/>
                <w:sz w:val="24"/>
                <w:szCs w:val="24"/>
              </w:rPr>
            </w:pPr>
          </w:p>
        </w:tc>
        <w:tc>
          <w:tcPr>
            <w:tcW w:w="1192" w:type="dxa"/>
            <w:shd w:val="clear" w:color="auto" w:fill="FFFFFF"/>
            <w:vAlign w:val="center"/>
          </w:tcPr>
          <w:p>
            <w:pPr>
              <w:jc w:val="right"/>
              <w:rPr>
                <w:rFonts w:ascii="宋体" w:cs="Times New Roman"/>
                <w:color w:val="000000"/>
                <w:sz w:val="24"/>
                <w:szCs w:val="24"/>
              </w:rPr>
            </w:pPr>
            <w:r>
              <w:rPr>
                <w:rFonts w:ascii="宋体" w:hAnsi="宋体" w:cs="宋体"/>
                <w:color w:val="000000"/>
                <w:sz w:val="24"/>
                <w:szCs w:val="24"/>
              </w:rPr>
              <w:t xml:space="preserve"> 2022</w:t>
            </w:r>
            <w:r>
              <w:rPr>
                <w:rFonts w:hint="eastAsia" w:ascii="宋体" w:hAnsi="宋体" w:cs="宋体"/>
                <w:color w:val="000000"/>
                <w:sz w:val="24"/>
                <w:szCs w:val="24"/>
              </w:rPr>
              <w:t>年度</w:t>
            </w:r>
          </w:p>
        </w:tc>
        <w:tc>
          <w:tcPr>
            <w:tcW w:w="6808" w:type="dxa"/>
            <w:gridSpan w:val="5"/>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单位：万元</w:t>
            </w:r>
          </w:p>
        </w:tc>
        <w:tc>
          <w:tcPr>
            <w:tcW w:w="1891" w:type="dxa"/>
            <w:shd w:val="clear" w:color="auto" w:fill="FFFFFF"/>
            <w:vAlign w:val="center"/>
          </w:tcPr>
          <w:p>
            <w:pPr>
              <w:jc w:val="right"/>
              <w:rPr>
                <w:rFonts w:ascii="宋体" w:cs="Times New Roman"/>
                <w:color w:val="000000"/>
                <w:sz w:val="24"/>
                <w:szCs w:val="24"/>
              </w:rPr>
            </w:pPr>
          </w:p>
        </w:tc>
        <w:tc>
          <w:tcPr>
            <w:tcW w:w="240"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4"/>
          <w:wAfter w:w="6080" w:type="dxa"/>
          <w:trHeight w:val="340" w:hRule="exact"/>
        </w:trPr>
        <w:tc>
          <w:tcPr>
            <w:tcW w:w="561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510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2"/>
                <w:szCs w:val="22"/>
              </w:rPr>
            </w:pPr>
            <w:r>
              <w:rPr>
                <w:rFonts w:hint="eastAsia" w:cs="宋体"/>
              </w:rPr>
              <w:t>一、一般公共预算财政拨款收入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273.08</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一、一般公共服务支出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199.03</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二、政府性基金预算财政拨款收入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二、外交支出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2"/>
                <w:szCs w:val="22"/>
              </w:rPr>
            </w:pPr>
            <w:r>
              <w:rPr>
                <w:rFonts w:hint="eastAsia" w:cs="宋体"/>
              </w:rPr>
              <w:t>三、国有资本经营预算财政拨款收入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三、国防支出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四、上级补助收入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四、公共安全支出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五、事业收入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五、教育支出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六、经营收入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六、科学技术支出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七、附属单位上缴收入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4"/>
                <w:szCs w:val="24"/>
              </w:rPr>
            </w:pPr>
            <w:r>
              <w:rPr>
                <w:rFonts w:hint="eastAsia" w:cs="宋体"/>
              </w:rPr>
              <w:t>七、文化旅游体育与传媒支出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八、其他收入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2"/>
                <w:szCs w:val="22"/>
              </w:rPr>
            </w:pPr>
            <w:r>
              <w:rPr>
                <w:rFonts w:hint="eastAsia" w:cs="宋体"/>
              </w:rPr>
              <w:t>八、社会保障和就业支出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53.76</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九、卫生健康支出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40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i w:val="0"/>
                <w:iCs w:val="0"/>
                <w:color w:val="000000"/>
                <w:kern w:val="0"/>
                <w:sz w:val="22"/>
                <w:szCs w:val="22"/>
                <w:u w:val="none"/>
                <w:lang w:val="en-US" w:eastAsia="zh-CN" w:bidi="ar"/>
              </w:rPr>
              <w:t>8.53</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十、节能环保支出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十一、城乡社区支出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十二、农林水支出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十三、交通运输支出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十四、资源勘探工业信息等支出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十五、商业服务业等支出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十六、金融支出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十七、援助其他地区支出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十八、自然资源海洋气象等支出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十九、住房保障支出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i w:val="0"/>
                <w:iCs w:val="0"/>
                <w:color w:val="000000"/>
                <w:kern w:val="0"/>
                <w:sz w:val="22"/>
                <w:szCs w:val="22"/>
                <w:u w:val="none"/>
                <w:lang w:val="en-US" w:eastAsia="zh-CN" w:bidi="ar"/>
              </w:rPr>
              <w:t>11.70</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二十、粮油物资储备支出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二十一、国有资本经营预算支出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二十二、灾害防治及应急管理支出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二十三、其他支出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二十四、债务还本支出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二十五、债务付息支出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二十六、抗疫特别国债安排的支出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r>
              <w:rPr>
                <w:rFonts w:hint="eastAsia" w:cs="宋体"/>
                <w:b/>
                <w:bCs/>
              </w:rPr>
              <w:t>本年收入合计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273.08</w:t>
            </w:r>
          </w:p>
        </w:tc>
        <w:tc>
          <w:tcPr>
            <w:tcW w:w="343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r>
              <w:rPr>
                <w:rFonts w:hint="eastAsia" w:cs="宋体"/>
                <w:b/>
                <w:bCs/>
              </w:rPr>
              <w:t>本年支出合计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i w:val="0"/>
                <w:iCs w:val="0"/>
                <w:color w:val="000000"/>
                <w:kern w:val="0"/>
                <w:sz w:val="22"/>
                <w:szCs w:val="22"/>
                <w:u w:val="none"/>
                <w:lang w:val="en-US" w:eastAsia="zh-CN" w:bidi="ar"/>
              </w:rPr>
              <w:t>273.03</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使用非财政拨款结余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结余分配</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年初结转和结余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年末结转和结余</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60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r>
              <w:rPr>
                <w:rFonts w:hint="eastAsia" w:ascii="宋体" w:hAnsi="宋体" w:eastAsia="宋体" w:cs="宋体"/>
                <w:i w:val="0"/>
                <w:iCs w:val="0"/>
                <w:color w:val="000000"/>
                <w:kern w:val="0"/>
                <w:sz w:val="22"/>
                <w:szCs w:val="22"/>
                <w:u w:val="none"/>
                <w:lang w:val="en-US" w:eastAsia="zh-CN" w:bidi="ar"/>
              </w:rPr>
              <w:t>0.05</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30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61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22"/>
                <w:szCs w:val="22"/>
              </w:rPr>
            </w:pPr>
            <w:r>
              <w:rPr>
                <w:rFonts w:hint="eastAsia" w:cs="宋体"/>
                <w:b/>
                <w:bCs/>
              </w:rPr>
              <w:t>总计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273.08</w:t>
            </w:r>
          </w:p>
        </w:tc>
        <w:tc>
          <w:tcPr>
            <w:tcW w:w="343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22"/>
                <w:szCs w:val="22"/>
              </w:rPr>
            </w:pPr>
            <w:r>
              <w:rPr>
                <w:rFonts w:hint="eastAsia" w:cs="宋体"/>
                <w:b/>
                <w:bCs/>
              </w:rPr>
              <w:t>总计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62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273.08</w:t>
            </w:r>
          </w:p>
        </w:tc>
      </w:tr>
      <w:tr>
        <w:tblPrEx>
          <w:tblCellMar>
            <w:top w:w="15" w:type="dxa"/>
            <w:left w:w="15" w:type="dxa"/>
            <w:bottom w:w="15" w:type="dxa"/>
            <w:right w:w="15" w:type="dxa"/>
          </w:tblCellMar>
        </w:tblPrEx>
        <w:trPr>
          <w:trHeight w:val="1020" w:hRule="atLeast"/>
        </w:trPr>
        <w:tc>
          <w:tcPr>
            <w:tcW w:w="16797" w:type="dxa"/>
            <w:gridSpan w:val="13"/>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w:t>
            </w:r>
            <w:r>
              <w:rPr>
                <w:rFonts w:ascii="宋体" w:hAnsi="宋体" w:cs="宋体"/>
                <w:color w:val="000000"/>
                <w:kern w:val="0"/>
                <w:sz w:val="24"/>
                <w:szCs w:val="24"/>
              </w:rPr>
              <w:t>1.</w:t>
            </w:r>
            <w:r>
              <w:rPr>
                <w:rFonts w:hint="eastAsia" w:ascii="宋体" w:hAnsi="宋体" w:cs="宋体"/>
                <w:color w:val="000000"/>
                <w:kern w:val="0"/>
                <w:sz w:val="24"/>
                <w:szCs w:val="24"/>
              </w:rPr>
              <w:t>本表反映部门本年度的总收支和年末结转结余情况。</w:t>
            </w:r>
            <w:r>
              <w:rPr>
                <w:rFonts w:ascii="宋体" w:cs="Times New Roman"/>
                <w:color w:val="000000"/>
                <w:kern w:val="0"/>
                <w:sz w:val="24"/>
                <w:szCs w:val="24"/>
              </w:rPr>
              <w:br w:type="textWrapping"/>
            </w:r>
            <w:r>
              <w:rPr>
                <w:rFonts w:ascii="宋体" w:hAnsi="宋体" w:cs="宋体"/>
                <w:color w:val="000000"/>
                <w:kern w:val="0"/>
                <w:sz w:val="24"/>
                <w:szCs w:val="24"/>
              </w:rPr>
              <w:t xml:space="preserve">    2.</w:t>
            </w:r>
            <w:r>
              <w:rPr>
                <w:rFonts w:hint="eastAsia" w:ascii="宋体" w:hAnsi="宋体" w:cs="宋体"/>
                <w:color w:val="000000"/>
                <w:kern w:val="0"/>
                <w:sz w:val="24"/>
                <w:szCs w:val="24"/>
              </w:rPr>
              <w:t>本套报表金额单位转换时可能存在尾数误差。</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1039" w:type="dxa"/>
        <w:tblInd w:w="-13" w:type="dxa"/>
        <w:tblLayout w:type="fixed"/>
        <w:tblCellMar>
          <w:top w:w="15" w:type="dxa"/>
          <w:left w:w="15" w:type="dxa"/>
          <w:bottom w:w="15" w:type="dxa"/>
          <w:right w:w="15" w:type="dxa"/>
        </w:tblCellMar>
      </w:tblPr>
      <w:tblGrid>
        <w:gridCol w:w="555"/>
        <w:gridCol w:w="1080"/>
        <w:gridCol w:w="1291"/>
        <w:gridCol w:w="1635"/>
        <w:gridCol w:w="1080"/>
        <w:gridCol w:w="1080"/>
        <w:gridCol w:w="1080"/>
        <w:gridCol w:w="1080"/>
        <w:gridCol w:w="1080"/>
        <w:gridCol w:w="1078"/>
      </w:tblGrid>
      <w:tr>
        <w:tblPrEx>
          <w:tblCellMar>
            <w:top w:w="15" w:type="dxa"/>
            <w:left w:w="15" w:type="dxa"/>
            <w:bottom w:w="15" w:type="dxa"/>
            <w:right w:w="15" w:type="dxa"/>
          </w:tblCellMar>
        </w:tblPrEx>
        <w:trPr>
          <w:trHeight w:val="435" w:hRule="atLeast"/>
        </w:trPr>
        <w:tc>
          <w:tcPr>
            <w:tcW w:w="11039" w:type="dxa"/>
            <w:gridSpan w:val="10"/>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收入决算表</w:t>
            </w:r>
          </w:p>
        </w:tc>
      </w:tr>
      <w:tr>
        <w:tblPrEx>
          <w:tblCellMar>
            <w:top w:w="15" w:type="dxa"/>
            <w:left w:w="15" w:type="dxa"/>
            <w:bottom w:w="15" w:type="dxa"/>
            <w:right w:w="15" w:type="dxa"/>
          </w:tblCellMar>
        </w:tblPrEx>
        <w:trPr>
          <w:trHeight w:val="286" w:hRule="atLeast"/>
        </w:trPr>
        <w:tc>
          <w:tcPr>
            <w:tcW w:w="555"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291" w:type="dxa"/>
            <w:shd w:val="clear" w:color="auto" w:fill="FFFFFF"/>
            <w:vAlign w:val="center"/>
          </w:tcPr>
          <w:p>
            <w:pPr>
              <w:jc w:val="right"/>
              <w:rPr>
                <w:rFonts w:ascii="宋体" w:cs="Times New Roman"/>
                <w:color w:val="000000"/>
                <w:sz w:val="24"/>
                <w:szCs w:val="24"/>
              </w:rPr>
            </w:pPr>
          </w:p>
        </w:tc>
        <w:tc>
          <w:tcPr>
            <w:tcW w:w="1635"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78"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02</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286" w:hRule="atLeast"/>
        </w:trPr>
        <w:tc>
          <w:tcPr>
            <w:tcW w:w="555" w:type="dxa"/>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p>
        </w:tc>
        <w:tc>
          <w:tcPr>
            <w:tcW w:w="4006" w:type="dxa"/>
            <w:gridSpan w:val="3"/>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lang w:eastAsia="zh-CN"/>
              </w:rPr>
              <w:t>石家庄市鹿泉区档案馆</w:t>
            </w:r>
          </w:p>
        </w:tc>
        <w:tc>
          <w:tcPr>
            <w:tcW w:w="1080" w:type="dxa"/>
            <w:shd w:val="clear" w:color="auto" w:fill="FFFFFF"/>
            <w:vAlign w:val="center"/>
          </w:tcPr>
          <w:p>
            <w:pPr>
              <w:jc w:val="right"/>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80"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78"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163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本年收入合计</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财政拨款收入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上级补助收入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事业收入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经营收入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附属单位上缴收入</w:t>
            </w:r>
          </w:p>
        </w:tc>
        <w:tc>
          <w:tcPr>
            <w:tcW w:w="107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其他收入</w:t>
            </w:r>
          </w:p>
        </w:tc>
      </w:tr>
      <w:tr>
        <w:tblPrEx>
          <w:tblCellMar>
            <w:top w:w="15" w:type="dxa"/>
            <w:left w:w="15" w:type="dxa"/>
            <w:bottom w:w="15" w:type="dxa"/>
            <w:right w:w="15" w:type="dxa"/>
          </w:tblCellMar>
        </w:tblPrEx>
        <w:trPr>
          <w:trHeight w:val="45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29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6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7</w:t>
            </w:r>
          </w:p>
        </w:tc>
      </w:tr>
      <w:tr>
        <w:tblPrEx>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273.08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273.08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一般公共服务支出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199.08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199.08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20126</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档案事务</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华文中宋" w:hAnsi="华文中宋" w:eastAsia="华文中宋"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199.08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199.08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2012601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194.23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194.23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2012604</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档案馆</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4.85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4.85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事业单位离退休</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45.39</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45.39</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2080505</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8.38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8.38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卫生健康支出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21011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行政事业单位医疗</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2101102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住房保障支出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住房改革支出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2210201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11.70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11.70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tblPrEx>
          <w:tblCellMar>
            <w:top w:w="15" w:type="dxa"/>
            <w:left w:w="15" w:type="dxa"/>
            <w:bottom w:w="15" w:type="dxa"/>
            <w:right w:w="15" w:type="dxa"/>
          </w:tblCellMar>
        </w:tblPrEx>
        <w:trPr>
          <w:trHeight w:val="615" w:hRule="atLeast"/>
        </w:trPr>
        <w:tc>
          <w:tcPr>
            <w:tcW w:w="11039" w:type="dxa"/>
            <w:gridSpan w:val="10"/>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注：本表反映部门本年度取得的各项收入情况。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0286" w:type="dxa"/>
        <w:tblInd w:w="-13" w:type="dxa"/>
        <w:tblLayout w:type="fixed"/>
        <w:tblCellMar>
          <w:top w:w="15" w:type="dxa"/>
          <w:left w:w="15" w:type="dxa"/>
          <w:bottom w:w="15" w:type="dxa"/>
          <w:right w:w="15" w:type="dxa"/>
        </w:tblCellMar>
      </w:tblPr>
      <w:tblGrid>
        <w:gridCol w:w="671"/>
        <w:gridCol w:w="667"/>
        <w:gridCol w:w="1231"/>
        <w:gridCol w:w="1706"/>
        <w:gridCol w:w="1739"/>
        <w:gridCol w:w="1069"/>
        <w:gridCol w:w="1069"/>
        <w:gridCol w:w="1069"/>
        <w:gridCol w:w="1065"/>
      </w:tblGrid>
      <w:tr>
        <w:tblPrEx>
          <w:tblCellMar>
            <w:top w:w="15" w:type="dxa"/>
            <w:left w:w="15" w:type="dxa"/>
            <w:bottom w:w="15" w:type="dxa"/>
            <w:right w:w="15" w:type="dxa"/>
          </w:tblCellMar>
        </w:tblPrEx>
        <w:trPr>
          <w:trHeight w:val="435" w:hRule="atLeast"/>
        </w:trPr>
        <w:tc>
          <w:tcPr>
            <w:tcW w:w="10286" w:type="dxa"/>
            <w:gridSpan w:val="9"/>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支出决算表</w:t>
            </w:r>
          </w:p>
        </w:tc>
      </w:tr>
      <w:tr>
        <w:tblPrEx>
          <w:tblCellMar>
            <w:top w:w="15" w:type="dxa"/>
            <w:left w:w="15" w:type="dxa"/>
            <w:bottom w:w="15" w:type="dxa"/>
            <w:right w:w="15" w:type="dxa"/>
          </w:tblCellMar>
        </w:tblPrEx>
        <w:trPr>
          <w:trHeight w:val="286" w:hRule="atLeast"/>
        </w:trPr>
        <w:tc>
          <w:tcPr>
            <w:tcW w:w="671" w:type="dxa"/>
            <w:shd w:val="clear" w:color="auto" w:fill="FFFFFF"/>
            <w:vAlign w:val="center"/>
          </w:tcPr>
          <w:p>
            <w:pPr>
              <w:jc w:val="right"/>
              <w:rPr>
                <w:rFonts w:ascii="宋体" w:cs="Times New Roman"/>
                <w:color w:val="000000"/>
                <w:sz w:val="24"/>
                <w:szCs w:val="24"/>
              </w:rPr>
            </w:pPr>
          </w:p>
        </w:tc>
        <w:tc>
          <w:tcPr>
            <w:tcW w:w="667" w:type="dxa"/>
            <w:shd w:val="clear" w:color="auto" w:fill="FFFFFF"/>
            <w:vAlign w:val="center"/>
          </w:tcPr>
          <w:p>
            <w:pPr>
              <w:jc w:val="right"/>
              <w:rPr>
                <w:rFonts w:ascii="宋体" w:cs="Times New Roman"/>
                <w:color w:val="000000"/>
                <w:sz w:val="24"/>
                <w:szCs w:val="24"/>
              </w:rPr>
            </w:pPr>
          </w:p>
        </w:tc>
        <w:tc>
          <w:tcPr>
            <w:tcW w:w="1231" w:type="dxa"/>
            <w:shd w:val="clear" w:color="auto" w:fill="FFFFFF"/>
            <w:vAlign w:val="center"/>
          </w:tcPr>
          <w:p>
            <w:pPr>
              <w:jc w:val="right"/>
              <w:rPr>
                <w:rFonts w:ascii="宋体" w:cs="Times New Roman"/>
                <w:color w:val="000000"/>
                <w:sz w:val="24"/>
                <w:szCs w:val="24"/>
              </w:rPr>
            </w:pPr>
          </w:p>
        </w:tc>
        <w:tc>
          <w:tcPr>
            <w:tcW w:w="1706" w:type="dxa"/>
            <w:shd w:val="clear" w:color="auto" w:fill="FFFFFF"/>
            <w:vAlign w:val="center"/>
          </w:tcPr>
          <w:p>
            <w:pPr>
              <w:jc w:val="right"/>
              <w:rPr>
                <w:rFonts w:ascii="宋体" w:cs="Times New Roman"/>
                <w:color w:val="000000"/>
                <w:sz w:val="24"/>
                <w:szCs w:val="24"/>
              </w:rPr>
            </w:pPr>
          </w:p>
        </w:tc>
        <w:tc>
          <w:tcPr>
            <w:tcW w:w="173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5"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03</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286" w:hRule="atLeast"/>
        </w:trPr>
        <w:tc>
          <w:tcPr>
            <w:tcW w:w="671" w:type="dxa"/>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p>
        </w:tc>
        <w:tc>
          <w:tcPr>
            <w:tcW w:w="3604" w:type="dxa"/>
            <w:gridSpan w:val="3"/>
            <w:shd w:val="clear" w:color="auto" w:fill="FFFFFF"/>
            <w:vAlign w:val="center"/>
          </w:tcPr>
          <w:p>
            <w:pPr>
              <w:wordWrap/>
              <w:jc w:val="left"/>
              <w:rPr>
                <w:rFonts w:ascii="宋体" w:cs="Times New Roman"/>
                <w:color w:val="000000"/>
                <w:sz w:val="24"/>
                <w:szCs w:val="24"/>
              </w:rPr>
            </w:pPr>
            <w:r>
              <w:rPr>
                <w:rFonts w:hint="eastAsia" w:ascii="宋体" w:hAnsi="宋体" w:cs="宋体"/>
                <w:color w:val="000000"/>
                <w:sz w:val="24"/>
                <w:szCs w:val="24"/>
                <w:lang w:eastAsia="zh-CN"/>
              </w:rPr>
              <w:t>石家庄市鹿泉区档案馆</w:t>
            </w:r>
            <w:r>
              <w:rPr>
                <w:rFonts w:ascii="宋体" w:hAnsi="宋体" w:cs="宋体"/>
                <w:color w:val="000000"/>
                <w:sz w:val="24"/>
                <w:szCs w:val="24"/>
              </w:rPr>
              <w:t xml:space="preserve"> </w:t>
            </w:r>
          </w:p>
        </w:tc>
        <w:tc>
          <w:tcPr>
            <w:tcW w:w="1739" w:type="dxa"/>
            <w:shd w:val="clear" w:color="auto" w:fill="FFFFFF"/>
            <w:vAlign w:val="center"/>
          </w:tcPr>
          <w:p>
            <w:pPr>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69" w:type="dxa"/>
            <w:shd w:val="clear" w:color="auto" w:fill="FFFFFF"/>
            <w:vAlign w:val="center"/>
          </w:tcPr>
          <w:p>
            <w:pPr>
              <w:jc w:val="center"/>
              <w:rPr>
                <w:rFonts w:ascii="宋体" w:cs="Times New Roman"/>
                <w:color w:val="000000"/>
                <w:sz w:val="20"/>
                <w:szCs w:val="20"/>
              </w:rPr>
            </w:pPr>
          </w:p>
        </w:tc>
        <w:tc>
          <w:tcPr>
            <w:tcW w:w="106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5"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170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本年支出合计</w:t>
            </w:r>
          </w:p>
        </w:tc>
        <w:tc>
          <w:tcPr>
            <w:tcW w:w="173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上缴上级支出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对附属单位补助支出</w:t>
            </w:r>
          </w:p>
        </w:tc>
      </w:tr>
      <w:tr>
        <w:tblPrEx>
          <w:tblCellMar>
            <w:top w:w="15" w:type="dxa"/>
            <w:left w:w="15" w:type="dxa"/>
            <w:bottom w:w="15" w:type="dxa"/>
            <w:right w:w="15" w:type="dxa"/>
          </w:tblCellMar>
        </w:tblPrEx>
        <w:trPr>
          <w:trHeight w:val="450" w:hRule="atLeast"/>
        </w:trPr>
        <w:tc>
          <w:tcPr>
            <w:tcW w:w="13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23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23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70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73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r>
      <w:tr>
        <w:tblPrEx>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273.03</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268.18</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4.85</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一般公共服务支出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199.03</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194.19</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4.85</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20126</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档案事务</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199.03</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194.19</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4.85</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2012601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194.19</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194.19</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2012604</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档案馆</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4.85</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4.85</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事业单位离退休</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45.39</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45.39</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2080505</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8.38</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8.38</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卫生健康支出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21011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行政事业单位医疗</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2101102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住房保障支出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住房改革支出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2210201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11.70</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11.70</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tblPrEx>
          <w:tblCellMar>
            <w:top w:w="15" w:type="dxa"/>
            <w:left w:w="15" w:type="dxa"/>
            <w:bottom w:w="15" w:type="dxa"/>
            <w:right w:w="15" w:type="dxa"/>
          </w:tblCellMar>
        </w:tblPrEx>
        <w:trPr>
          <w:trHeight w:val="630" w:hRule="atLeast"/>
        </w:trPr>
        <w:tc>
          <w:tcPr>
            <w:tcW w:w="10286" w:type="dxa"/>
            <w:gridSpan w:val="9"/>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注：本表反映部门本年度各项支出情况。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4186" w:type="dxa"/>
        <w:tblInd w:w="-13" w:type="dxa"/>
        <w:tblLayout w:type="fixed"/>
        <w:tblCellMar>
          <w:top w:w="15" w:type="dxa"/>
          <w:left w:w="15" w:type="dxa"/>
          <w:bottom w:w="15" w:type="dxa"/>
          <w:right w:w="15" w:type="dxa"/>
        </w:tblCellMar>
      </w:tblPr>
      <w:tblGrid>
        <w:gridCol w:w="600"/>
        <w:gridCol w:w="1080"/>
        <w:gridCol w:w="641"/>
        <w:gridCol w:w="371"/>
        <w:gridCol w:w="715"/>
        <w:gridCol w:w="599"/>
        <w:gridCol w:w="1741"/>
        <w:gridCol w:w="285"/>
        <w:gridCol w:w="360"/>
        <w:gridCol w:w="45"/>
        <w:gridCol w:w="1305"/>
        <w:gridCol w:w="826"/>
        <w:gridCol w:w="689"/>
        <w:gridCol w:w="1573"/>
        <w:gridCol w:w="18"/>
        <w:gridCol w:w="3338"/>
      </w:tblGrid>
      <w:tr>
        <w:tblPrEx>
          <w:tblCellMar>
            <w:top w:w="15" w:type="dxa"/>
            <w:left w:w="15" w:type="dxa"/>
            <w:bottom w:w="15" w:type="dxa"/>
            <w:right w:w="15" w:type="dxa"/>
          </w:tblCellMar>
        </w:tblPrEx>
        <w:trPr>
          <w:trHeight w:val="360" w:hRule="atLeast"/>
        </w:trPr>
        <w:tc>
          <w:tcPr>
            <w:tcW w:w="14186" w:type="dxa"/>
            <w:gridSpan w:val="16"/>
            <w:vAlign w:val="center"/>
          </w:tcPr>
          <w:p>
            <w:pPr>
              <w:widowControl/>
              <w:ind w:firstLine="3520" w:firstLineChars="1100"/>
              <w:textAlignment w:val="center"/>
              <w:rPr>
                <w:rFonts w:ascii="华文中宋" w:hAnsi="华文中宋" w:eastAsia="华文中宋" w:cs="Times New Roman"/>
                <w:color w:val="000000"/>
                <w:kern w:val="0"/>
                <w:sz w:val="32"/>
                <w:szCs w:val="32"/>
              </w:rPr>
            </w:pPr>
            <w:r>
              <w:rPr>
                <w:rFonts w:hint="eastAsia" w:ascii="华文中宋" w:hAnsi="华文中宋" w:eastAsia="华文中宋" w:cs="华文中宋"/>
                <w:color w:val="000000"/>
                <w:kern w:val="0"/>
                <w:sz w:val="32"/>
                <w:szCs w:val="32"/>
              </w:rPr>
              <w:t>财政拨款收入支出决算总表</w:t>
            </w:r>
          </w:p>
          <w:tbl>
            <w:tblPr>
              <w:tblStyle w:val="6"/>
              <w:tblW w:w="10815" w:type="dxa"/>
              <w:tblInd w:w="0" w:type="dxa"/>
              <w:tblLayout w:type="fixed"/>
              <w:tblCellMar>
                <w:top w:w="15" w:type="dxa"/>
                <w:left w:w="15" w:type="dxa"/>
                <w:bottom w:w="15" w:type="dxa"/>
                <w:right w:w="15" w:type="dxa"/>
              </w:tblCellMar>
            </w:tblPr>
            <w:tblGrid>
              <w:gridCol w:w="675"/>
              <w:gridCol w:w="570"/>
              <w:gridCol w:w="1245"/>
              <w:gridCol w:w="1727"/>
              <w:gridCol w:w="1757"/>
              <w:gridCol w:w="1080"/>
              <w:gridCol w:w="1080"/>
              <w:gridCol w:w="1080"/>
              <w:gridCol w:w="1601"/>
            </w:tblGrid>
            <w:tr>
              <w:tblPrEx>
                <w:tblCellMar>
                  <w:top w:w="15" w:type="dxa"/>
                  <w:left w:w="15" w:type="dxa"/>
                  <w:bottom w:w="15" w:type="dxa"/>
                  <w:right w:w="15" w:type="dxa"/>
                </w:tblCellMar>
              </w:tblPrEx>
              <w:trPr>
                <w:trHeight w:val="286" w:hRule="atLeast"/>
              </w:trPr>
              <w:tc>
                <w:tcPr>
                  <w:tcW w:w="675" w:type="dxa"/>
                  <w:shd w:val="clear" w:color="auto" w:fill="FFFFFF"/>
                  <w:vAlign w:val="center"/>
                </w:tcPr>
                <w:p>
                  <w:pPr>
                    <w:jc w:val="right"/>
                    <w:rPr>
                      <w:rFonts w:ascii="宋体" w:cs="Times New Roman"/>
                      <w:color w:val="000000"/>
                      <w:sz w:val="24"/>
                      <w:szCs w:val="24"/>
                    </w:rPr>
                  </w:pPr>
                </w:p>
              </w:tc>
              <w:tc>
                <w:tcPr>
                  <w:tcW w:w="570" w:type="dxa"/>
                  <w:shd w:val="clear" w:color="auto" w:fill="FFFFFF"/>
                  <w:vAlign w:val="center"/>
                </w:tcPr>
                <w:p>
                  <w:pPr>
                    <w:jc w:val="right"/>
                    <w:rPr>
                      <w:rFonts w:ascii="宋体" w:cs="Times New Roman"/>
                      <w:color w:val="000000"/>
                      <w:sz w:val="24"/>
                      <w:szCs w:val="24"/>
                    </w:rPr>
                  </w:pPr>
                </w:p>
              </w:tc>
              <w:tc>
                <w:tcPr>
                  <w:tcW w:w="1245" w:type="dxa"/>
                  <w:shd w:val="clear" w:color="auto" w:fill="FFFFFF"/>
                  <w:vAlign w:val="center"/>
                </w:tcPr>
                <w:p>
                  <w:pPr>
                    <w:jc w:val="right"/>
                    <w:rPr>
                      <w:rFonts w:ascii="宋体" w:cs="Times New Roman"/>
                      <w:color w:val="000000"/>
                      <w:sz w:val="24"/>
                      <w:szCs w:val="24"/>
                    </w:rPr>
                  </w:pPr>
                </w:p>
              </w:tc>
              <w:tc>
                <w:tcPr>
                  <w:tcW w:w="1727" w:type="dxa"/>
                  <w:shd w:val="clear" w:color="auto" w:fill="FFFFFF"/>
                  <w:vAlign w:val="center"/>
                </w:tcPr>
                <w:p>
                  <w:pPr>
                    <w:jc w:val="right"/>
                    <w:rPr>
                      <w:rFonts w:ascii="宋体" w:cs="Times New Roman"/>
                      <w:color w:val="000000"/>
                      <w:sz w:val="24"/>
                      <w:szCs w:val="24"/>
                    </w:rPr>
                  </w:pPr>
                </w:p>
              </w:tc>
              <w:tc>
                <w:tcPr>
                  <w:tcW w:w="1757"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601" w:type="dxa"/>
                  <w:shd w:val="clear" w:color="auto" w:fill="FFFFFF"/>
                  <w:vAlign w:val="center"/>
                </w:tcPr>
                <w:p>
                  <w:pPr>
                    <w:widowControl/>
                    <w:ind w:right="-439" w:rightChars="-209"/>
                    <w:jc w:val="center"/>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04</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286" w:hRule="atLeast"/>
              </w:trPr>
              <w:tc>
                <w:tcPr>
                  <w:tcW w:w="675" w:type="dxa"/>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p>
              </w:tc>
              <w:tc>
                <w:tcPr>
                  <w:tcW w:w="3542" w:type="dxa"/>
                  <w:gridSpan w:val="3"/>
                  <w:shd w:val="clear" w:color="auto" w:fill="FFFFFF"/>
                  <w:vAlign w:val="center"/>
                </w:tcPr>
                <w:p>
                  <w:pPr>
                    <w:wordWrap/>
                    <w:jc w:val="left"/>
                    <w:rPr>
                      <w:rFonts w:ascii="宋体" w:cs="Times New Roman"/>
                      <w:color w:val="000000"/>
                      <w:sz w:val="24"/>
                      <w:szCs w:val="24"/>
                    </w:rPr>
                  </w:pPr>
                  <w:r>
                    <w:rPr>
                      <w:rFonts w:hint="eastAsia" w:ascii="宋体" w:hAnsi="宋体" w:cs="宋体"/>
                      <w:color w:val="000000"/>
                      <w:sz w:val="24"/>
                      <w:szCs w:val="24"/>
                      <w:lang w:eastAsia="zh-CN"/>
                    </w:rPr>
                    <w:t>石家庄市鹿泉区档案馆</w:t>
                  </w:r>
                  <w:r>
                    <w:rPr>
                      <w:rFonts w:ascii="宋体" w:hAnsi="宋体" w:cs="宋体"/>
                      <w:color w:val="000000"/>
                      <w:sz w:val="24"/>
                      <w:szCs w:val="24"/>
                    </w:rPr>
                    <w:t xml:space="preserve">  </w:t>
                  </w:r>
                </w:p>
              </w:tc>
              <w:tc>
                <w:tcPr>
                  <w:tcW w:w="1757" w:type="dxa"/>
                  <w:shd w:val="clear" w:color="auto" w:fill="FFFFFF"/>
                  <w:vAlign w:val="center"/>
                </w:tcPr>
                <w:p>
                  <w:pPr>
                    <w:ind w:firstLine="720" w:firstLineChars="300"/>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80"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1601" w:type="dxa"/>
                  <w:shd w:val="clear" w:color="auto" w:fill="FFFFFF"/>
                  <w:vAlign w:val="center"/>
                </w:tcPr>
                <w:p>
                  <w:pPr>
                    <w:widowControl/>
                    <w:tabs>
                      <w:tab w:val="left" w:pos="1680"/>
                    </w:tabs>
                    <w:ind w:left="1476" w:right="-638" w:rightChars="-304" w:hanging="1476" w:hangingChars="738"/>
                    <w:jc w:val="center"/>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bl>
          <w:p>
            <w:pPr>
              <w:widowControl/>
              <w:jc w:val="center"/>
              <w:textAlignment w:val="center"/>
              <w:rPr>
                <w:rFonts w:ascii="华文中宋" w:hAnsi="华文中宋" w:eastAsia="华文中宋" w:cs="Times New Roman"/>
                <w:color w:val="000000"/>
                <w:kern w:val="0"/>
                <w:sz w:val="32"/>
                <w:szCs w:val="32"/>
              </w:rPr>
            </w:pPr>
          </w:p>
        </w:tc>
      </w:tr>
      <w:tr>
        <w:tblPrEx>
          <w:tblCellMar>
            <w:top w:w="15" w:type="dxa"/>
            <w:left w:w="15" w:type="dxa"/>
            <w:bottom w:w="15" w:type="dxa"/>
            <w:right w:w="15" w:type="dxa"/>
          </w:tblCellMar>
        </w:tblPrEx>
        <w:trPr>
          <w:gridAfter w:val="2"/>
          <w:wAfter w:w="3356" w:type="dxa"/>
          <w:trHeight w:val="221" w:hRule="atLeast"/>
        </w:trPr>
        <w:tc>
          <w:tcPr>
            <w:tcW w:w="340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7423" w:type="dxa"/>
            <w:gridSpan w:val="9"/>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tblPrEx>
          <w:tblCellMar>
            <w:top w:w="15" w:type="dxa"/>
            <w:left w:w="15" w:type="dxa"/>
            <w:bottom w:w="15" w:type="dxa"/>
            <w:right w:w="15" w:type="dxa"/>
          </w:tblCellMar>
        </w:tblPrEx>
        <w:trPr>
          <w:gridAfter w:val="2"/>
          <w:wAfter w:w="3356" w:type="dxa"/>
          <w:trHeight w:val="580" w:hRule="atLeas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71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金额</w:t>
            </w: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30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一般公共预算财政拨款</w:t>
            </w: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政府性基金预算财政拨款</w:t>
            </w:r>
          </w:p>
        </w:tc>
        <w:tc>
          <w:tcPr>
            <w:tcW w:w="157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国有资本经营预算财政拨款</w:t>
            </w:r>
          </w:p>
        </w:tc>
      </w:tr>
      <w:tr>
        <w:tblPrEx>
          <w:tblCellMar>
            <w:top w:w="15" w:type="dxa"/>
            <w:left w:w="15" w:type="dxa"/>
            <w:bottom w:w="15" w:type="dxa"/>
            <w:right w:w="15" w:type="dxa"/>
          </w:tblCellMar>
        </w:tblPrEx>
        <w:trPr>
          <w:gridAfter w:val="2"/>
          <w:wAfter w:w="3356" w:type="dxa"/>
          <w:trHeight w:val="295" w:hRule="atLeas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3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71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28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30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57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1"/>
                <w:szCs w:val="11"/>
              </w:rPr>
            </w:pPr>
            <w:r>
              <w:rPr>
                <w:rFonts w:hint="eastAsia" w:cs="宋体"/>
                <w:sz w:val="18"/>
                <w:szCs w:val="18"/>
              </w:rPr>
              <w:t>一、一般公共预算财政拨款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w:t>
            </w:r>
          </w:p>
        </w:tc>
        <w:tc>
          <w:tcPr>
            <w:tcW w:w="7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273.08</w:t>
            </w: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一、一般公共服务支出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33</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199.03</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199.03</w:t>
            </w: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1"/>
                <w:szCs w:val="11"/>
              </w:rPr>
            </w:pPr>
            <w:r>
              <w:rPr>
                <w:rFonts w:hint="eastAsia" w:cs="宋体"/>
                <w:sz w:val="18"/>
                <w:szCs w:val="18"/>
              </w:rPr>
              <w:t>二、政府性基金预算财政拨款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2</w:t>
            </w:r>
          </w:p>
        </w:tc>
        <w:tc>
          <w:tcPr>
            <w:tcW w:w="7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二、外交支出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34</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1"/>
                <w:szCs w:val="11"/>
              </w:rPr>
            </w:pPr>
            <w:r>
              <w:rPr>
                <w:rFonts w:hint="eastAsia" w:cs="宋体"/>
                <w:sz w:val="16"/>
                <w:szCs w:val="16"/>
              </w:rPr>
              <w:t>三、国有资本经营预算财政拨款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3</w:t>
            </w:r>
          </w:p>
        </w:tc>
        <w:tc>
          <w:tcPr>
            <w:tcW w:w="7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三、国防支出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35</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4</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四、公共安全支出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36</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5</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五、教育支出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37</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6</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六、科学技术支出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38</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7</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5"/>
                <w:szCs w:val="15"/>
              </w:rPr>
            </w:pPr>
            <w:r>
              <w:rPr>
                <w:rFonts w:hint="eastAsia" w:cs="宋体"/>
                <w:sz w:val="20"/>
                <w:szCs w:val="20"/>
              </w:rPr>
              <w:t>七、文化旅游体育与传媒支出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39</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8</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八、社会保障和就业支出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40</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53.76</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53.76</w:t>
            </w: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9</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b/>
                <w:bCs/>
                <w:color w:val="000000"/>
                <w:sz w:val="13"/>
                <w:szCs w:val="13"/>
              </w:rPr>
            </w:pPr>
            <w:r>
              <w:rPr>
                <w:rFonts w:hint="eastAsia" w:cs="宋体"/>
                <w:sz w:val="20"/>
                <w:szCs w:val="20"/>
              </w:rPr>
              <w:t>九、卫生健康支出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41</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8.53</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8.53</w:t>
            </w: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10</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十、节能环保支出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42</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11</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十一、城乡社区支出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43</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12</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十二、农林水支出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44</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13</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十三、交通运输支出</w:t>
            </w:r>
          </w:p>
        </w:tc>
        <w:tc>
          <w:tcPr>
            <w:tcW w:w="28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45</w:t>
            </w:r>
          </w:p>
        </w:tc>
        <w:tc>
          <w:tcPr>
            <w:tcW w:w="40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14</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sz w:val="13"/>
                <w:szCs w:val="13"/>
              </w:rPr>
            </w:pPr>
            <w:r>
              <w:rPr>
                <w:rFonts w:hint="eastAsia" w:cs="宋体"/>
                <w:sz w:val="18"/>
                <w:szCs w:val="18"/>
              </w:rPr>
              <w:t>十四、资源勘探工业信息等支出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rPr>
            </w:pPr>
            <w:r>
              <w:rPr>
                <w:sz w:val="20"/>
                <w:szCs w:val="20"/>
              </w:rPr>
              <w:t>46</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15</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十五、商业服务业等支出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47</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16</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十六、金融支出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48</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17</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十七、援助其他地区支出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49</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18</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8"/>
                <w:szCs w:val="18"/>
              </w:rPr>
              <w:t>十八、自然资源海洋气象等支出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50</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19</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十九、住房保障支出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51</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11.70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11.70</w:t>
            </w: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20</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二十、粮油物资储备支出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52</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21</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8"/>
                <w:szCs w:val="18"/>
              </w:rPr>
              <w:t>二十一、国有资本经营预算支出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53</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22</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6"/>
                <w:szCs w:val="16"/>
              </w:rPr>
              <w:t>二十二、灾害防治及应急管理支出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54</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23</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二十三、其他支出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55</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24</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二十四、债务还本支出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56</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25</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二十五、债务付息支出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57</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26</w:t>
            </w:r>
          </w:p>
        </w:tc>
        <w:tc>
          <w:tcPr>
            <w:tcW w:w="7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6"/>
                <w:szCs w:val="16"/>
              </w:rPr>
              <w:t>二十六、抗疫特别国债安排的支出</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58</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0.00</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r>
              <w:rPr>
                <w:rFonts w:hint="eastAsia" w:cs="宋体"/>
                <w:b/>
                <w:bCs/>
              </w:rPr>
              <w:t>本年收入合计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27</w:t>
            </w:r>
          </w:p>
        </w:tc>
        <w:tc>
          <w:tcPr>
            <w:tcW w:w="7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273.08</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rPr>
            </w:pPr>
            <w:r>
              <w:rPr>
                <w:rFonts w:hint="eastAsia" w:cs="宋体"/>
                <w:b/>
                <w:bCs/>
                <w:sz w:val="20"/>
                <w:szCs w:val="20"/>
              </w:rPr>
              <w:t>本年支出合计</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59</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273.03</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273.03</w:t>
            </w: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rFonts w:hint="eastAsia" w:cs="宋体"/>
                <w:sz w:val="18"/>
                <w:szCs w:val="18"/>
              </w:rPr>
              <w:t>年初财政拨款结转和结余</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28</w:t>
            </w:r>
          </w:p>
        </w:tc>
        <w:tc>
          <w:tcPr>
            <w:tcW w:w="7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年末财政拨款结转和结余</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60</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0.05</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0.05</w:t>
            </w: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sz w:val="18"/>
                <w:szCs w:val="18"/>
              </w:rPr>
              <w:t xml:space="preserve">  </w:t>
            </w:r>
            <w:r>
              <w:rPr>
                <w:rFonts w:hint="eastAsia" w:cs="宋体"/>
                <w:sz w:val="18"/>
                <w:szCs w:val="18"/>
              </w:rPr>
              <w:t>一般公共预算财政拨款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29</w:t>
            </w:r>
          </w:p>
        </w:tc>
        <w:tc>
          <w:tcPr>
            <w:tcW w:w="7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61</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sz w:val="18"/>
                <w:szCs w:val="18"/>
              </w:rPr>
              <w:t xml:space="preserve">  </w:t>
            </w:r>
            <w:r>
              <w:rPr>
                <w:rFonts w:hint="eastAsia" w:cs="宋体"/>
                <w:sz w:val="18"/>
                <w:szCs w:val="18"/>
              </w:rPr>
              <w:t>政府性基金预算财政拨款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30</w:t>
            </w:r>
          </w:p>
        </w:tc>
        <w:tc>
          <w:tcPr>
            <w:tcW w:w="7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62</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sz w:val="16"/>
                <w:szCs w:val="16"/>
              </w:rPr>
              <w:t xml:space="preserve">  </w:t>
            </w:r>
            <w:r>
              <w:rPr>
                <w:rFonts w:hint="eastAsia" w:cs="宋体"/>
                <w:sz w:val="16"/>
                <w:szCs w:val="16"/>
              </w:rPr>
              <w:t>国有资本经营预算财政拨款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31</w:t>
            </w:r>
          </w:p>
        </w:tc>
        <w:tc>
          <w:tcPr>
            <w:tcW w:w="7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63</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ascii="宋体" w:cs="Times New Roman"/>
                <w:color w:val="000000"/>
                <w:sz w:val="22"/>
                <w:szCs w:val="22"/>
              </w:rPr>
            </w:pP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r>
              <w:rPr>
                <w:rFonts w:hint="eastAsia" w:cs="宋体"/>
                <w:b/>
                <w:bCs/>
              </w:rPr>
              <w:t>总计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pPr>
            <w:r>
              <w:t>32</w:t>
            </w:r>
          </w:p>
        </w:tc>
        <w:tc>
          <w:tcPr>
            <w:tcW w:w="7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273.08</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rPr>
            </w:pPr>
            <w:r>
              <w:rPr>
                <w:rFonts w:hint="eastAsia" w:cs="宋体"/>
                <w:b/>
                <w:bCs/>
                <w:sz w:val="20"/>
                <w:szCs w:val="20"/>
              </w:rPr>
              <w:t>总计</w:t>
            </w:r>
          </w:p>
        </w:tc>
        <w:tc>
          <w:tcPr>
            <w:tcW w:w="28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64</w:t>
            </w:r>
          </w:p>
        </w:tc>
        <w:tc>
          <w:tcPr>
            <w:tcW w:w="40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273.08</w:t>
            </w:r>
          </w:p>
        </w:tc>
        <w:tc>
          <w:tcPr>
            <w:tcW w:w="13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273.08</w:t>
            </w:r>
          </w:p>
        </w:tc>
        <w:tc>
          <w:tcPr>
            <w:tcW w:w="15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c>
          <w:tcPr>
            <w:tcW w:w="157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585" w:hRule="atLeast"/>
        </w:trPr>
        <w:tc>
          <w:tcPr>
            <w:tcW w:w="10830" w:type="dxa"/>
            <w:gridSpan w:val="14"/>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注：本表反映部门本年度一般公共预算财政拨款、政府性基金预算财政拨款和国有资本经营预算财政拨款的总收支和年末结转结余情况。</w:t>
            </w:r>
          </w:p>
        </w:tc>
      </w:tr>
      <w:tr>
        <w:tblPrEx>
          <w:tblCellMar>
            <w:top w:w="15" w:type="dxa"/>
            <w:left w:w="15" w:type="dxa"/>
            <w:bottom w:w="15" w:type="dxa"/>
            <w:right w:w="15" w:type="dxa"/>
          </w:tblCellMar>
        </w:tblPrEx>
        <w:trPr>
          <w:gridAfter w:val="1"/>
          <w:wAfter w:w="3338" w:type="dxa"/>
          <w:trHeight w:val="720" w:hRule="atLeast"/>
        </w:trPr>
        <w:tc>
          <w:tcPr>
            <w:tcW w:w="10848" w:type="dxa"/>
            <w:gridSpan w:val="15"/>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一般公共预算财政拨款支出决算表</w:t>
            </w:r>
          </w:p>
        </w:tc>
      </w:tr>
      <w:tr>
        <w:tblPrEx>
          <w:tblCellMar>
            <w:top w:w="15" w:type="dxa"/>
            <w:left w:w="15" w:type="dxa"/>
            <w:bottom w:w="15" w:type="dxa"/>
            <w:right w:w="15" w:type="dxa"/>
          </w:tblCellMar>
        </w:tblPrEx>
        <w:trPr>
          <w:gridAfter w:val="1"/>
          <w:wAfter w:w="3338" w:type="dxa"/>
          <w:trHeight w:val="211" w:hRule="atLeast"/>
        </w:trPr>
        <w:tc>
          <w:tcPr>
            <w:tcW w:w="600"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center"/>
              <w:rPr>
                <w:rFonts w:ascii="宋体" w:cs="Times New Roman"/>
                <w:color w:val="000000"/>
                <w:sz w:val="20"/>
                <w:szCs w:val="20"/>
              </w:rPr>
            </w:pPr>
          </w:p>
        </w:tc>
        <w:tc>
          <w:tcPr>
            <w:tcW w:w="2326" w:type="dxa"/>
            <w:gridSpan w:val="4"/>
            <w:shd w:val="clear" w:color="auto" w:fill="FFFFFF"/>
            <w:vAlign w:val="center"/>
          </w:tcPr>
          <w:p>
            <w:pPr>
              <w:jc w:val="center"/>
              <w:rPr>
                <w:rFonts w:ascii="宋体" w:cs="Times New Roman"/>
                <w:color w:val="000000"/>
                <w:sz w:val="20"/>
                <w:szCs w:val="20"/>
              </w:rPr>
            </w:pPr>
          </w:p>
        </w:tc>
        <w:tc>
          <w:tcPr>
            <w:tcW w:w="2386" w:type="dxa"/>
            <w:gridSpan w:val="3"/>
            <w:shd w:val="clear" w:color="auto" w:fill="FFFFFF"/>
            <w:vAlign w:val="center"/>
          </w:tcPr>
          <w:p>
            <w:pPr>
              <w:rPr>
                <w:rFonts w:ascii="宋体" w:cs="Times New Roman"/>
                <w:color w:val="000000"/>
                <w:sz w:val="20"/>
                <w:szCs w:val="20"/>
              </w:rPr>
            </w:pPr>
          </w:p>
        </w:tc>
        <w:tc>
          <w:tcPr>
            <w:tcW w:w="2176" w:type="dxa"/>
            <w:gridSpan w:val="3"/>
            <w:shd w:val="clear" w:color="auto" w:fill="FFFFFF"/>
            <w:vAlign w:val="center"/>
          </w:tcPr>
          <w:p>
            <w:pPr>
              <w:rPr>
                <w:rFonts w:ascii="宋体" w:cs="Times New Roman"/>
                <w:color w:val="000000"/>
                <w:sz w:val="20"/>
                <w:szCs w:val="20"/>
              </w:rPr>
            </w:pPr>
          </w:p>
        </w:tc>
        <w:tc>
          <w:tcPr>
            <w:tcW w:w="2280" w:type="dxa"/>
            <w:gridSpan w:val="3"/>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cs="宋体"/>
                <w:color w:val="000000"/>
                <w:kern w:val="0"/>
                <w:sz w:val="20"/>
                <w:szCs w:val="20"/>
              </w:rPr>
              <w:t>0</w:t>
            </w:r>
            <w:r>
              <w:rPr>
                <w:rStyle w:val="13"/>
              </w:rPr>
              <w:t>5</w:t>
            </w:r>
            <w:r>
              <w:rPr>
                <w:rStyle w:val="13"/>
                <w:rFonts w:hint="eastAsia"/>
              </w:rPr>
              <w:t>表</w:t>
            </w:r>
          </w:p>
        </w:tc>
      </w:tr>
      <w:tr>
        <w:tblPrEx>
          <w:tblCellMar>
            <w:top w:w="15" w:type="dxa"/>
            <w:left w:w="15" w:type="dxa"/>
            <w:bottom w:w="15" w:type="dxa"/>
            <w:right w:w="15" w:type="dxa"/>
          </w:tblCellMar>
        </w:tblPrEx>
        <w:trPr>
          <w:gridAfter w:val="1"/>
          <w:wAfter w:w="3338" w:type="dxa"/>
          <w:trHeight w:val="360" w:hRule="atLeast"/>
        </w:trPr>
        <w:tc>
          <w:tcPr>
            <w:tcW w:w="600" w:type="dxa"/>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p>
        </w:tc>
        <w:tc>
          <w:tcPr>
            <w:tcW w:w="3406" w:type="dxa"/>
            <w:gridSpan w:val="5"/>
            <w:shd w:val="clear" w:color="auto" w:fill="FFFFFF"/>
            <w:vAlign w:val="center"/>
          </w:tcPr>
          <w:p>
            <w:pPr>
              <w:jc w:val="left"/>
              <w:rPr>
                <w:rFonts w:hint="eastAsia" w:ascii="宋体" w:eastAsia="宋体" w:cs="Times New Roman"/>
                <w:color w:val="000000"/>
                <w:sz w:val="20"/>
                <w:szCs w:val="20"/>
                <w:lang w:eastAsia="zh-CN"/>
              </w:rPr>
            </w:pPr>
            <w:r>
              <w:rPr>
                <w:rFonts w:hint="eastAsia" w:ascii="宋体" w:hAnsi="宋体" w:cs="宋体"/>
                <w:color w:val="000000"/>
                <w:sz w:val="20"/>
                <w:szCs w:val="20"/>
                <w:lang w:eastAsia="zh-CN"/>
              </w:rPr>
              <w:t>石家庄市鹿泉区档案馆</w:t>
            </w:r>
          </w:p>
        </w:tc>
        <w:tc>
          <w:tcPr>
            <w:tcW w:w="2386" w:type="dxa"/>
            <w:gridSpan w:val="3"/>
            <w:shd w:val="clear" w:color="auto" w:fill="FFFFFF"/>
            <w:vAlign w:val="center"/>
          </w:tcPr>
          <w:p>
            <w:pPr>
              <w:jc w:val="cente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2176" w:type="dxa"/>
            <w:gridSpan w:val="3"/>
            <w:shd w:val="clear" w:color="auto" w:fill="FFFFFF"/>
            <w:vAlign w:val="center"/>
          </w:tcPr>
          <w:p>
            <w:pPr>
              <w:rPr>
                <w:rFonts w:ascii="宋体" w:cs="Times New Roman"/>
                <w:color w:val="000000"/>
                <w:sz w:val="20"/>
                <w:szCs w:val="20"/>
              </w:rPr>
            </w:pPr>
          </w:p>
        </w:tc>
        <w:tc>
          <w:tcPr>
            <w:tcW w:w="2280" w:type="dxa"/>
            <w:gridSpan w:val="3"/>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gridAfter w:val="1"/>
          <w:wAfter w:w="3338" w:type="dxa"/>
          <w:trHeight w:val="675" w:hRule="atLeast"/>
        </w:trPr>
        <w:tc>
          <w:tcPr>
            <w:tcW w:w="4006"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Style w:val="14"/>
              </w:rPr>
              <w:t xml:space="preserve">   </w:t>
            </w:r>
            <w:r>
              <w:rPr>
                <w:rStyle w:val="15"/>
                <w:rFonts w:hint="eastAsia"/>
              </w:rPr>
              <w:t>目</w:t>
            </w:r>
          </w:p>
        </w:tc>
        <w:tc>
          <w:tcPr>
            <w:tcW w:w="6842" w:type="dxa"/>
            <w:gridSpan w:val="9"/>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r>
      <w:tr>
        <w:tblPrEx>
          <w:tblCellMar>
            <w:top w:w="15" w:type="dxa"/>
            <w:left w:w="15" w:type="dxa"/>
            <w:bottom w:w="15" w:type="dxa"/>
            <w:right w:w="15" w:type="dxa"/>
          </w:tblCellMar>
        </w:tblPrEx>
        <w:trPr>
          <w:gridAfter w:val="1"/>
          <w:wAfter w:w="3338" w:type="dxa"/>
          <w:trHeight w:val="390" w:hRule="atLeast"/>
        </w:trPr>
        <w:tc>
          <w:tcPr>
            <w:tcW w:w="1680"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2326" w:type="dxa"/>
            <w:gridSpan w:val="4"/>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2386"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小计</w:t>
            </w:r>
          </w:p>
        </w:tc>
        <w:tc>
          <w:tcPr>
            <w:tcW w:w="2176"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2280"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r>
      <w:tr>
        <w:tblPrEx>
          <w:tblCellMar>
            <w:top w:w="15" w:type="dxa"/>
            <w:left w:w="15" w:type="dxa"/>
            <w:bottom w:w="15" w:type="dxa"/>
            <w:right w:w="15" w:type="dxa"/>
          </w:tblCellMar>
        </w:tblPrEx>
        <w:trPr>
          <w:gridAfter w:val="1"/>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86"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76"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280"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86"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76"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280"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4006"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r>
      <w:tr>
        <w:tblPrEx>
          <w:tblCellMar>
            <w:top w:w="15" w:type="dxa"/>
            <w:left w:w="15" w:type="dxa"/>
            <w:bottom w:w="15" w:type="dxa"/>
            <w:right w:w="15" w:type="dxa"/>
          </w:tblCellMar>
        </w:tblPrEx>
        <w:trPr>
          <w:gridAfter w:val="1"/>
          <w:wAfter w:w="3338" w:type="dxa"/>
          <w:trHeight w:val="390" w:hRule="atLeast"/>
        </w:trPr>
        <w:tc>
          <w:tcPr>
            <w:tcW w:w="4006"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273.03</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268.18</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4.85</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一般公共服务支出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199.03</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194.19</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4.85</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20126</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档案事务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199.03</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194.19</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4.85</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2012601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194.19</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194.19</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2012604</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档案馆</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4.85</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4.85</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53.76</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事业单位离退休</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45.39</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45.39</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2080505</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8.38</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8.38</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卫生健康支出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21011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行政事业单位医疗</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2101102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8.53</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住房保障支出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住房改革支出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2210201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11.70</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930" w:hRule="atLeast"/>
        </w:trPr>
        <w:tc>
          <w:tcPr>
            <w:tcW w:w="10848" w:type="dxa"/>
            <w:gridSpan w:val="15"/>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注：本表反映部门本年度一般公共预算财政拨款支出情况。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5429" w:type="dxa"/>
        <w:tblInd w:w="-13" w:type="dxa"/>
        <w:tblLayout w:type="fixed"/>
        <w:tblCellMar>
          <w:top w:w="15" w:type="dxa"/>
          <w:left w:w="15" w:type="dxa"/>
          <w:bottom w:w="15" w:type="dxa"/>
          <w:right w:w="15" w:type="dxa"/>
        </w:tblCellMar>
      </w:tblPr>
      <w:tblGrid>
        <w:gridCol w:w="667"/>
        <w:gridCol w:w="2138"/>
        <w:gridCol w:w="862"/>
        <w:gridCol w:w="638"/>
        <w:gridCol w:w="1668"/>
        <w:gridCol w:w="938"/>
        <w:gridCol w:w="619"/>
        <w:gridCol w:w="2250"/>
        <w:gridCol w:w="1034"/>
        <w:gridCol w:w="4615"/>
      </w:tblGrid>
      <w:tr>
        <w:tblPrEx>
          <w:tblCellMar>
            <w:top w:w="15" w:type="dxa"/>
            <w:left w:w="15" w:type="dxa"/>
            <w:bottom w:w="15" w:type="dxa"/>
            <w:right w:w="15" w:type="dxa"/>
          </w:tblCellMar>
        </w:tblPrEx>
        <w:trPr>
          <w:trHeight w:val="435" w:hRule="atLeast"/>
        </w:trPr>
        <w:tc>
          <w:tcPr>
            <w:tcW w:w="15429" w:type="dxa"/>
            <w:gridSpan w:val="10"/>
            <w:vAlign w:val="center"/>
          </w:tcPr>
          <w:p>
            <w:pPr>
              <w:widowControl/>
              <w:ind w:firstLine="2240" w:firstLineChars="700"/>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一般公共预算财政拨款基本支出决算</w:t>
            </w:r>
            <w:r>
              <w:rPr>
                <w:rStyle w:val="16"/>
                <w:rFonts w:hint="eastAsia"/>
              </w:rPr>
              <w:t>明细</w:t>
            </w:r>
            <w:r>
              <w:rPr>
                <w:rStyle w:val="17"/>
                <w:rFonts w:hint="eastAsia"/>
              </w:rPr>
              <w:t>表</w:t>
            </w:r>
          </w:p>
        </w:tc>
      </w:tr>
      <w:tr>
        <w:tblPrEx>
          <w:tblCellMar>
            <w:top w:w="15" w:type="dxa"/>
            <w:left w:w="15" w:type="dxa"/>
            <w:bottom w:w="15" w:type="dxa"/>
            <w:right w:w="15" w:type="dxa"/>
          </w:tblCellMar>
        </w:tblPrEx>
        <w:trPr>
          <w:gridAfter w:val="1"/>
          <w:wAfter w:w="4615" w:type="dxa"/>
          <w:trHeight w:val="405" w:hRule="atLeast"/>
        </w:trPr>
        <w:tc>
          <w:tcPr>
            <w:tcW w:w="667" w:type="dxa"/>
            <w:shd w:val="clear" w:color="auto" w:fill="FFFFFF"/>
            <w:vAlign w:val="center"/>
          </w:tcPr>
          <w:p>
            <w:pPr>
              <w:jc w:val="center"/>
              <w:rPr>
                <w:rFonts w:ascii="宋体" w:cs="Times New Roman"/>
                <w:color w:val="000000"/>
                <w:sz w:val="20"/>
                <w:szCs w:val="20"/>
              </w:rPr>
            </w:pPr>
          </w:p>
        </w:tc>
        <w:tc>
          <w:tcPr>
            <w:tcW w:w="2138" w:type="dxa"/>
            <w:shd w:val="clear" w:color="auto" w:fill="FFFFFF"/>
            <w:vAlign w:val="center"/>
          </w:tcPr>
          <w:p>
            <w:pPr>
              <w:jc w:val="center"/>
              <w:rPr>
                <w:rFonts w:ascii="宋体" w:cs="Times New Roman"/>
                <w:color w:val="000000"/>
                <w:sz w:val="20"/>
                <w:szCs w:val="20"/>
              </w:rPr>
            </w:pPr>
          </w:p>
        </w:tc>
        <w:tc>
          <w:tcPr>
            <w:tcW w:w="862" w:type="dxa"/>
            <w:shd w:val="clear" w:color="auto" w:fill="FFFFFF"/>
            <w:vAlign w:val="center"/>
          </w:tcPr>
          <w:p>
            <w:pPr>
              <w:jc w:val="center"/>
              <w:rPr>
                <w:rFonts w:ascii="宋体" w:cs="Times New Roman"/>
                <w:color w:val="000000"/>
                <w:sz w:val="20"/>
                <w:szCs w:val="20"/>
              </w:rPr>
            </w:pPr>
          </w:p>
        </w:tc>
        <w:tc>
          <w:tcPr>
            <w:tcW w:w="638" w:type="dxa"/>
            <w:shd w:val="clear" w:color="auto" w:fill="FFFFFF"/>
            <w:vAlign w:val="center"/>
          </w:tcPr>
          <w:p>
            <w:pPr>
              <w:rPr>
                <w:rFonts w:ascii="宋体" w:cs="Times New Roman"/>
                <w:color w:val="000000"/>
                <w:sz w:val="20"/>
                <w:szCs w:val="20"/>
              </w:rPr>
            </w:pPr>
          </w:p>
        </w:tc>
        <w:tc>
          <w:tcPr>
            <w:tcW w:w="1668" w:type="dxa"/>
            <w:shd w:val="clear" w:color="auto" w:fill="FFFFFF"/>
            <w:vAlign w:val="center"/>
          </w:tcPr>
          <w:p>
            <w:pPr>
              <w:rPr>
                <w:rFonts w:ascii="宋体" w:cs="Times New Roman"/>
                <w:color w:val="000000"/>
                <w:sz w:val="20"/>
                <w:szCs w:val="20"/>
              </w:rPr>
            </w:pPr>
          </w:p>
        </w:tc>
        <w:tc>
          <w:tcPr>
            <w:tcW w:w="938" w:type="dxa"/>
            <w:shd w:val="clear" w:color="auto" w:fill="FFFFFF"/>
            <w:vAlign w:val="center"/>
          </w:tcPr>
          <w:p>
            <w:pPr>
              <w:rPr>
                <w:rFonts w:ascii="宋体" w:cs="Times New Roman"/>
                <w:color w:val="000000"/>
                <w:sz w:val="20"/>
                <w:szCs w:val="20"/>
              </w:rPr>
            </w:pPr>
          </w:p>
        </w:tc>
        <w:tc>
          <w:tcPr>
            <w:tcW w:w="619" w:type="dxa"/>
            <w:shd w:val="clear" w:color="auto" w:fill="FFFFFF"/>
            <w:vAlign w:val="center"/>
          </w:tcPr>
          <w:p>
            <w:pPr>
              <w:rPr>
                <w:rFonts w:ascii="宋体" w:cs="Times New Roman"/>
                <w:color w:val="000000"/>
                <w:sz w:val="20"/>
                <w:szCs w:val="20"/>
              </w:rPr>
            </w:pPr>
          </w:p>
        </w:tc>
        <w:tc>
          <w:tcPr>
            <w:tcW w:w="2250" w:type="dxa"/>
            <w:shd w:val="clear" w:color="auto" w:fill="FFFFFF"/>
            <w:vAlign w:val="center"/>
          </w:tcPr>
          <w:p>
            <w:pPr>
              <w:rPr>
                <w:rFonts w:ascii="宋体" w:cs="Times New Roman"/>
                <w:color w:val="000000"/>
                <w:sz w:val="20"/>
                <w:szCs w:val="20"/>
              </w:rPr>
            </w:pPr>
          </w:p>
        </w:tc>
        <w:tc>
          <w:tcPr>
            <w:tcW w:w="1034"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06</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gridAfter w:val="1"/>
          <w:wAfter w:w="4615" w:type="dxa"/>
          <w:trHeight w:val="301" w:hRule="atLeast"/>
        </w:trPr>
        <w:tc>
          <w:tcPr>
            <w:tcW w:w="667" w:type="dxa"/>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p>
        </w:tc>
        <w:tc>
          <w:tcPr>
            <w:tcW w:w="2138" w:type="dxa"/>
            <w:vAlign w:val="center"/>
          </w:tcPr>
          <w:p>
            <w:pPr>
              <w:rPr>
                <w:rFonts w:hint="eastAsia" w:ascii="宋体" w:eastAsia="宋体" w:cs="Times New Roman"/>
                <w:color w:val="000000"/>
                <w:sz w:val="20"/>
                <w:szCs w:val="20"/>
                <w:lang w:eastAsia="zh-CN"/>
              </w:rPr>
            </w:pPr>
            <w:r>
              <w:rPr>
                <w:rFonts w:hint="eastAsia" w:ascii="宋体" w:cs="Times New Roman"/>
                <w:color w:val="000000"/>
                <w:sz w:val="20"/>
                <w:szCs w:val="20"/>
                <w:lang w:eastAsia="zh-CN"/>
              </w:rPr>
              <w:t>石家庄市鹿泉区档案馆</w:t>
            </w:r>
          </w:p>
        </w:tc>
        <w:tc>
          <w:tcPr>
            <w:tcW w:w="862" w:type="dxa"/>
            <w:vAlign w:val="center"/>
          </w:tcPr>
          <w:p>
            <w:pPr>
              <w:rPr>
                <w:rFonts w:ascii="宋体" w:cs="Times New Roman"/>
                <w:color w:val="000000"/>
                <w:sz w:val="20"/>
                <w:szCs w:val="20"/>
              </w:rPr>
            </w:pPr>
          </w:p>
        </w:tc>
        <w:tc>
          <w:tcPr>
            <w:tcW w:w="638" w:type="dxa"/>
            <w:vAlign w:val="center"/>
          </w:tcPr>
          <w:p>
            <w:pPr>
              <w:rPr>
                <w:rFonts w:ascii="宋体" w:cs="Times New Roman"/>
                <w:color w:val="000000"/>
                <w:sz w:val="20"/>
                <w:szCs w:val="20"/>
              </w:rPr>
            </w:pPr>
          </w:p>
        </w:tc>
        <w:tc>
          <w:tcPr>
            <w:tcW w:w="1668" w:type="dxa"/>
            <w:vAlign w:val="center"/>
          </w:tcPr>
          <w:p>
            <w:pPr>
              <w:ind w:firstLine="600" w:firstLineChars="300"/>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938" w:type="dxa"/>
            <w:vAlign w:val="center"/>
          </w:tcPr>
          <w:p>
            <w:pPr>
              <w:rPr>
                <w:rFonts w:ascii="宋体" w:cs="Times New Roman"/>
                <w:color w:val="000000"/>
                <w:sz w:val="20"/>
                <w:szCs w:val="20"/>
              </w:rPr>
            </w:pPr>
          </w:p>
        </w:tc>
        <w:tc>
          <w:tcPr>
            <w:tcW w:w="619" w:type="dxa"/>
            <w:vAlign w:val="center"/>
          </w:tcPr>
          <w:p>
            <w:pPr>
              <w:rPr>
                <w:rFonts w:ascii="宋体" w:cs="Times New Roman"/>
                <w:color w:val="000000"/>
                <w:sz w:val="20"/>
                <w:szCs w:val="20"/>
              </w:rPr>
            </w:pPr>
          </w:p>
        </w:tc>
        <w:tc>
          <w:tcPr>
            <w:tcW w:w="2250" w:type="dxa"/>
            <w:vAlign w:val="center"/>
          </w:tcPr>
          <w:p>
            <w:pPr>
              <w:rPr>
                <w:rFonts w:ascii="宋体" w:cs="Times New Roman"/>
                <w:color w:val="000000"/>
                <w:sz w:val="20"/>
                <w:szCs w:val="20"/>
              </w:rPr>
            </w:pPr>
          </w:p>
        </w:tc>
        <w:tc>
          <w:tcPr>
            <w:tcW w:w="1034" w:type="dxa"/>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gridAfter w:val="1"/>
          <w:wAfter w:w="4615" w:type="dxa"/>
          <w:trHeight w:val="548"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93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103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工资福利支出</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168.52</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商品和服务支出</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55.34</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债务利息及费用支出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基本工资</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27.80</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30201</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7.63</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30701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国内债务付息</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30102</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津贴补贴</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28.57</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30202</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印刷费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30702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国外债务付息</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奖金</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27.00</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30203</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咨询费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资本性支出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30106</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伙食补助费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30204</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手续费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房屋建筑物购建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30107</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绩效工资</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52.82</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30205</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水费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办公设备购置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30108</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机关事业单位基本养老保险缴费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11.66</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30206</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电费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31003</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专用设备购置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职业年金缴费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30207</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邮电费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31005</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基础设施建设</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30110</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职工基本医疗保险缴费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4.70</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30208</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取暖费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31006</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大型修缮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公务员医疗补助缴费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3.64</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物业管理费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31007</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信息网络及软件购置更新</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30112</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其他社会保障缴费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0.63</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30211</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差旅费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0.12</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31008</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物资储备</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住房公积金</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11.70</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30212</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16"/>
                <w:szCs w:val="16"/>
              </w:rPr>
              <w:t xml:space="preserve">  </w:t>
            </w:r>
            <w:r>
              <w:rPr>
                <w:rFonts w:hint="eastAsia" w:ascii="宋体" w:hAnsi="宋体" w:cs="宋体"/>
                <w:color w:val="000000"/>
                <w:kern w:val="0"/>
                <w:sz w:val="16"/>
                <w:szCs w:val="16"/>
              </w:rPr>
              <w:t>因公出国（境）费用</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土地补偿</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30114</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30213</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维修（护）费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31010</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安置补助</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30199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其他工资福利支出</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30214</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租赁费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地上附着物和青苗补偿</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对个人和家庭的补助</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44.32</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30215</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会议费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拆迁补偿</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离休费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30216</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培训费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31013</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公务用车购置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30302</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退休费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44.32</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30217</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公务接待费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其他交通工具购置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退职（役）费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30218</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专用材料费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31021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文物和陈列品购置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30304</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抚恤金</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30224</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被装购置费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31022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无形资产购置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30305</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生活补助</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30225</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专用燃料费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31099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其他资本性支出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30306</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救济费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30226</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劳务费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ind w:left="214" w:leftChars="102"/>
              <w:jc w:val="left"/>
              <w:textAlignment w:val="center"/>
              <w:rPr>
                <w:rFonts w:ascii="宋体" w:cs="Times New Roman"/>
                <w:color w:val="000000"/>
                <w:sz w:val="20"/>
                <w:szCs w:val="20"/>
              </w:rPr>
            </w:pPr>
            <w:r>
              <w:rPr>
                <w:rFonts w:hint="eastAsia" w:ascii="宋体" w:hAnsi="宋体" w:cs="宋体"/>
                <w:color w:val="000000"/>
                <w:kern w:val="0"/>
                <w:sz w:val="20"/>
                <w:szCs w:val="20"/>
              </w:rPr>
              <w:t>其他支出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30307</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医疗费补助</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30227</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委托业务费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40.74</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39907</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国家赔偿费用支出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30308</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助学金</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30228</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工会经费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0.63</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39908</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对民间非营利组织和群众性自治组织补贴</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奖励金</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福利费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1.44</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39909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经常性赠与</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30310</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个人农业生产补贴</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30231</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color w:val="000000"/>
                <w:kern w:val="0"/>
                <w:sz w:val="16"/>
                <w:szCs w:val="16"/>
              </w:rPr>
              <w:t xml:space="preserve"> </w:t>
            </w:r>
            <w:r>
              <w:rPr>
                <w:rFonts w:hint="eastAsia" w:ascii="宋体" w:hAnsi="宋体" w:cs="宋体"/>
                <w:color w:val="000000"/>
                <w:kern w:val="0"/>
                <w:sz w:val="16"/>
                <w:szCs w:val="16"/>
              </w:rPr>
              <w:t>公务用车运行维护费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39910</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资本性赠与</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代缴社会保险费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30239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其他交通费用</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4.43</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39999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30399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其他对个人和家庭的补助</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30240</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税金及附加费用</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399"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21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30299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color w:val="000000"/>
                <w:kern w:val="0"/>
                <w:sz w:val="16"/>
                <w:szCs w:val="16"/>
              </w:rPr>
              <w:t xml:space="preserve"> </w:t>
            </w:r>
            <w:r>
              <w:rPr>
                <w:rFonts w:hint="eastAsia" w:ascii="宋体" w:hAnsi="宋体" w:cs="宋体"/>
                <w:color w:val="000000"/>
                <w:kern w:val="0"/>
                <w:sz w:val="16"/>
                <w:szCs w:val="16"/>
              </w:rPr>
              <w:t>其他商品和服务支出</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0.35</w:t>
            </w:r>
          </w:p>
        </w:tc>
        <w:tc>
          <w:tcPr>
            <w:tcW w:w="6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28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人员经费合计</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212.84</w:t>
            </w:r>
          </w:p>
        </w:tc>
        <w:tc>
          <w:tcPr>
            <w:tcW w:w="6113"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公用经费合计</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18"/>
                <w:szCs w:val="18"/>
              </w:rPr>
            </w:pPr>
            <w:r>
              <w:rPr>
                <w:rFonts w:hint="eastAsia" w:ascii="宋体" w:hAnsi="宋体" w:eastAsia="宋体" w:cs="宋体"/>
                <w:i w:val="0"/>
                <w:iCs w:val="0"/>
                <w:color w:val="000000"/>
                <w:kern w:val="0"/>
                <w:sz w:val="22"/>
                <w:szCs w:val="22"/>
                <w:u w:val="none"/>
                <w:lang w:val="en-US" w:eastAsia="zh-CN" w:bidi="ar"/>
              </w:rPr>
              <w:t>55.34</w:t>
            </w:r>
          </w:p>
        </w:tc>
      </w:tr>
      <w:tr>
        <w:tblPrEx>
          <w:tblCellMar>
            <w:top w:w="15" w:type="dxa"/>
            <w:left w:w="15" w:type="dxa"/>
            <w:bottom w:w="15" w:type="dxa"/>
            <w:right w:w="15" w:type="dxa"/>
          </w:tblCellMar>
        </w:tblPrEx>
        <w:trPr>
          <w:trHeight w:val="390" w:hRule="atLeast"/>
        </w:trPr>
        <w:tc>
          <w:tcPr>
            <w:tcW w:w="15429" w:type="dxa"/>
            <w:gridSpan w:val="10"/>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注：本表反映部门本年度一般公共预算财政拨款基本支出明细情况。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0350" w:type="dxa"/>
        <w:tblInd w:w="-13" w:type="dxa"/>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tblPrEx>
          <w:tblCellMar>
            <w:top w:w="15" w:type="dxa"/>
            <w:left w:w="15" w:type="dxa"/>
            <w:bottom w:w="15" w:type="dxa"/>
            <w:right w:w="15" w:type="dxa"/>
          </w:tblCellMar>
        </w:tblPrEx>
        <w:trPr>
          <w:trHeight w:val="600" w:hRule="atLeast"/>
        </w:trPr>
        <w:tc>
          <w:tcPr>
            <w:tcW w:w="10350" w:type="dxa"/>
            <w:gridSpan w:val="9"/>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政府性基金预算财政拨款收入支出决算表</w:t>
            </w:r>
          </w:p>
        </w:tc>
      </w:tr>
      <w:tr>
        <w:tblPrEx>
          <w:tblCellMar>
            <w:top w:w="15" w:type="dxa"/>
            <w:left w:w="15" w:type="dxa"/>
            <w:bottom w:w="15" w:type="dxa"/>
            <w:right w:w="15" w:type="dxa"/>
          </w:tblCellMar>
        </w:tblPrEx>
        <w:trPr>
          <w:trHeight w:val="211" w:hRule="atLeast"/>
        </w:trPr>
        <w:tc>
          <w:tcPr>
            <w:tcW w:w="555"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center"/>
              <w:rPr>
                <w:rFonts w:ascii="宋体" w:cs="Times New Roman"/>
                <w:color w:val="000000"/>
                <w:sz w:val="20"/>
                <w:szCs w:val="20"/>
              </w:rPr>
            </w:pPr>
          </w:p>
        </w:tc>
        <w:tc>
          <w:tcPr>
            <w:tcW w:w="1321" w:type="dxa"/>
            <w:shd w:val="clear" w:color="auto" w:fill="FFFFFF"/>
            <w:vAlign w:val="center"/>
          </w:tcPr>
          <w:p>
            <w:pPr>
              <w:jc w:val="center"/>
              <w:rPr>
                <w:rFonts w:ascii="宋体" w:cs="Times New Roman"/>
                <w:color w:val="000000"/>
                <w:sz w:val="20"/>
                <w:szCs w:val="20"/>
              </w:rPr>
            </w:pPr>
          </w:p>
        </w:tc>
        <w:tc>
          <w:tcPr>
            <w:tcW w:w="1996" w:type="dxa"/>
            <w:vAlign w:val="bottom"/>
          </w:tcPr>
          <w:p>
            <w:pPr>
              <w:rPr>
                <w:rFonts w:ascii="宋体" w:cs="Times New Roman"/>
                <w:color w:val="000000"/>
                <w:sz w:val="24"/>
                <w:szCs w:val="24"/>
              </w:rPr>
            </w:pPr>
          </w:p>
        </w:tc>
        <w:tc>
          <w:tcPr>
            <w:tcW w:w="1080" w:type="dxa"/>
            <w:vAlign w:val="bottom"/>
          </w:tcPr>
          <w:p>
            <w:pPr>
              <w:rPr>
                <w:rFonts w:ascii="宋体" w:cs="Times New Roman"/>
                <w:color w:val="000000"/>
                <w:sz w:val="24"/>
                <w:szCs w:val="24"/>
              </w:rPr>
            </w:pPr>
          </w:p>
        </w:tc>
        <w:tc>
          <w:tcPr>
            <w:tcW w:w="1080" w:type="dxa"/>
            <w:vAlign w:val="bottom"/>
          </w:tcPr>
          <w:p>
            <w:pPr>
              <w:rPr>
                <w:rFonts w:ascii="宋体" w:cs="Times New Roman"/>
                <w:color w:val="000000"/>
                <w:sz w:val="24"/>
                <w:szCs w:val="24"/>
              </w:rPr>
            </w:pPr>
          </w:p>
        </w:tc>
        <w:tc>
          <w:tcPr>
            <w:tcW w:w="1080" w:type="dxa"/>
            <w:vAlign w:val="bottom"/>
          </w:tcPr>
          <w:p>
            <w:pPr>
              <w:rPr>
                <w:rFonts w:ascii="宋体" w:cs="Times New Roman"/>
                <w:color w:val="000000"/>
                <w:sz w:val="24"/>
                <w:szCs w:val="24"/>
              </w:rPr>
            </w:pPr>
          </w:p>
        </w:tc>
        <w:tc>
          <w:tcPr>
            <w:tcW w:w="1081" w:type="dxa"/>
            <w:vAlign w:val="bottom"/>
          </w:tcPr>
          <w:p>
            <w:pPr>
              <w:rPr>
                <w:rFonts w:ascii="宋体" w:cs="Times New Roman"/>
                <w:color w:val="000000"/>
                <w:sz w:val="24"/>
                <w:szCs w:val="24"/>
              </w:rPr>
            </w:pPr>
          </w:p>
        </w:tc>
        <w:tc>
          <w:tcPr>
            <w:tcW w:w="1077"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07</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301" w:hRule="atLeast"/>
        </w:trPr>
        <w:tc>
          <w:tcPr>
            <w:tcW w:w="555" w:type="dxa"/>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p>
        </w:tc>
        <w:tc>
          <w:tcPr>
            <w:tcW w:w="2401" w:type="dxa"/>
            <w:gridSpan w:val="2"/>
            <w:shd w:val="clear" w:color="auto" w:fill="FFFFFF"/>
            <w:vAlign w:val="center"/>
          </w:tcPr>
          <w:p>
            <w:pPr>
              <w:jc w:val="left"/>
              <w:rPr>
                <w:rFonts w:hint="eastAsia" w:ascii="宋体" w:eastAsia="宋体" w:cs="Times New Roman"/>
                <w:color w:val="000000"/>
                <w:sz w:val="20"/>
                <w:szCs w:val="20"/>
                <w:lang w:eastAsia="zh-CN"/>
              </w:rPr>
            </w:pPr>
            <w:r>
              <w:rPr>
                <w:rFonts w:hint="eastAsia" w:ascii="宋体" w:cs="Times New Roman"/>
                <w:color w:val="000000"/>
                <w:sz w:val="20"/>
                <w:szCs w:val="20"/>
                <w:lang w:eastAsia="zh-CN"/>
              </w:rPr>
              <w:t>石家庄市鹿泉区档案馆</w:t>
            </w:r>
          </w:p>
        </w:tc>
        <w:tc>
          <w:tcPr>
            <w:tcW w:w="1996" w:type="dxa"/>
            <w:shd w:val="clear" w:color="auto" w:fill="FFFFFF"/>
            <w:vAlign w:val="center"/>
          </w:tcPr>
          <w:p>
            <w:pPr>
              <w:rPr>
                <w:rFonts w:ascii="宋体" w:cs="Times New Roman"/>
                <w:color w:val="000000"/>
                <w:sz w:val="20"/>
                <w:szCs w:val="20"/>
              </w:rPr>
            </w:pPr>
          </w:p>
        </w:tc>
        <w:tc>
          <w:tcPr>
            <w:tcW w:w="1080" w:type="dxa"/>
            <w:shd w:val="clear" w:color="auto" w:fill="FFFFFF"/>
            <w:vAlign w:val="center"/>
          </w:tcPr>
          <w:p>
            <w:pP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1080" w:type="dxa"/>
            <w:shd w:val="clear" w:color="auto" w:fill="FFFFFF"/>
            <w:vAlign w:val="center"/>
          </w:tcPr>
          <w:p>
            <w:pPr>
              <w:rPr>
                <w:rFonts w:ascii="宋体" w:cs="Times New Roman"/>
                <w:color w:val="000000"/>
                <w:sz w:val="20"/>
                <w:szCs w:val="20"/>
              </w:rPr>
            </w:pPr>
          </w:p>
        </w:tc>
        <w:tc>
          <w:tcPr>
            <w:tcW w:w="1080" w:type="dxa"/>
            <w:shd w:val="clear" w:color="auto" w:fill="FFFFFF"/>
            <w:vAlign w:val="center"/>
          </w:tcPr>
          <w:p>
            <w:pPr>
              <w:rPr>
                <w:rFonts w:ascii="宋体" w:cs="Times New Roman"/>
                <w:color w:val="000000"/>
                <w:sz w:val="20"/>
                <w:szCs w:val="20"/>
              </w:rPr>
            </w:pPr>
          </w:p>
        </w:tc>
        <w:tc>
          <w:tcPr>
            <w:tcW w:w="1081" w:type="dxa"/>
            <w:shd w:val="clear" w:color="auto" w:fill="FFFFFF"/>
            <w:vAlign w:val="center"/>
          </w:tcPr>
          <w:p>
            <w:pPr>
              <w:rPr>
                <w:rFonts w:ascii="宋体" w:cs="Times New Roman"/>
                <w:color w:val="000000"/>
                <w:sz w:val="20"/>
                <w:szCs w:val="20"/>
              </w:rPr>
            </w:pPr>
          </w:p>
        </w:tc>
        <w:tc>
          <w:tcPr>
            <w:tcW w:w="1077"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405"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ascii="宋体" w:hAnsi="宋体" w:cs="宋体"/>
                <w:color w:val="000000"/>
                <w:kern w:val="0"/>
                <w:sz w:val="22"/>
                <w:szCs w:val="22"/>
              </w:rPr>
              <w:t xml:space="preserve">   </w:t>
            </w:r>
            <w:r>
              <w:rPr>
                <w:rStyle w:val="18"/>
                <w:rFonts w:hint="eastAsia"/>
              </w:rPr>
              <w:t>目</w:t>
            </w:r>
          </w:p>
        </w:tc>
        <w:tc>
          <w:tcPr>
            <w:tcW w:w="1996"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本年收入</w:t>
            </w:r>
          </w:p>
        </w:tc>
        <w:tc>
          <w:tcPr>
            <w:tcW w:w="324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年末结转和结余</w:t>
            </w:r>
          </w:p>
        </w:tc>
      </w:tr>
      <w:tr>
        <w:tblPrEx>
          <w:tblCellMar>
            <w:top w:w="15" w:type="dxa"/>
            <w:left w:w="15" w:type="dxa"/>
            <w:bottom w:w="15" w:type="dxa"/>
            <w:right w:w="15" w:type="dxa"/>
          </w:tblCellMar>
        </w:tblPrEx>
        <w:trPr>
          <w:trHeight w:val="54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小计</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108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6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99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8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7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r>
      <w:tr>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99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645" w:hRule="atLeast"/>
        </w:trPr>
        <w:tc>
          <w:tcPr>
            <w:tcW w:w="10350" w:type="dxa"/>
            <w:gridSpan w:val="9"/>
            <w:vAlign w:val="center"/>
          </w:tcPr>
          <w:p>
            <w:pPr>
              <w:rPr>
                <w:rFonts w:hint="eastAsia" w:ascii="宋体" w:hAnsi="宋体" w:cs="宋体"/>
                <w:color w:val="000000"/>
                <w:kern w:val="0"/>
                <w:sz w:val="24"/>
                <w:szCs w:val="24"/>
              </w:rPr>
            </w:pPr>
            <w:r>
              <w:rPr>
                <w:rFonts w:hint="eastAsia" w:ascii="宋体" w:hAnsi="宋体" w:cs="宋体"/>
                <w:color w:val="000000"/>
                <w:kern w:val="0"/>
                <w:sz w:val="24"/>
                <w:szCs w:val="24"/>
              </w:rPr>
              <w:t>注：本表反映部门本年度政府性基金预算财政拨款收入、支出及结转和结余情况。本部门本年度无相关收入（或支出、收支及结转结余等）情况，按要求空表列示。</w:t>
            </w:r>
          </w:p>
          <w:p>
            <w:pPr>
              <w:rPr>
                <w:rFonts w:hint="eastAsia" w:ascii="宋体" w:hAnsi="宋体" w:cs="宋体"/>
                <w:color w:val="000000"/>
                <w:kern w:val="0"/>
                <w:sz w:val="24"/>
                <w:szCs w:val="24"/>
              </w:rPr>
            </w:pP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0422" w:type="dxa"/>
        <w:tblInd w:w="-13" w:type="dxa"/>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tblPrEx>
          <w:tblCellMar>
            <w:top w:w="15" w:type="dxa"/>
            <w:left w:w="15" w:type="dxa"/>
            <w:bottom w:w="15" w:type="dxa"/>
            <w:right w:w="15" w:type="dxa"/>
          </w:tblCellMar>
        </w:tblPrEx>
        <w:trPr>
          <w:trHeight w:val="720" w:hRule="atLeast"/>
        </w:trPr>
        <w:tc>
          <w:tcPr>
            <w:tcW w:w="10422" w:type="dxa"/>
            <w:gridSpan w:val="9"/>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国有资本经营预算财政拨款支出决算表</w:t>
            </w:r>
          </w:p>
        </w:tc>
      </w:tr>
      <w:tr>
        <w:tblPrEx>
          <w:tblCellMar>
            <w:top w:w="15" w:type="dxa"/>
            <w:left w:w="15" w:type="dxa"/>
            <w:bottom w:w="15" w:type="dxa"/>
            <w:right w:w="15" w:type="dxa"/>
          </w:tblCellMar>
        </w:tblPrEx>
        <w:trPr>
          <w:trHeight w:val="286" w:hRule="atLeast"/>
        </w:trPr>
        <w:tc>
          <w:tcPr>
            <w:tcW w:w="1016" w:type="dxa"/>
            <w:shd w:val="clear" w:color="auto" w:fill="FFFFFF"/>
            <w:vAlign w:val="center"/>
          </w:tcPr>
          <w:p>
            <w:pPr>
              <w:jc w:val="center"/>
              <w:rPr>
                <w:rFonts w:ascii="宋体" w:cs="Times New Roman"/>
                <w:color w:val="000000"/>
                <w:sz w:val="20"/>
                <w:szCs w:val="20"/>
              </w:rPr>
            </w:pPr>
          </w:p>
        </w:tc>
        <w:tc>
          <w:tcPr>
            <w:tcW w:w="995" w:type="dxa"/>
            <w:gridSpan w:val="2"/>
            <w:shd w:val="clear" w:color="auto" w:fill="FFFFFF"/>
            <w:vAlign w:val="center"/>
          </w:tcPr>
          <w:p>
            <w:pPr>
              <w:jc w:val="center"/>
              <w:rPr>
                <w:rFonts w:ascii="宋体" w:cs="Times New Roman"/>
                <w:color w:val="000000"/>
                <w:sz w:val="20"/>
                <w:szCs w:val="20"/>
              </w:rPr>
            </w:pPr>
          </w:p>
        </w:tc>
        <w:tc>
          <w:tcPr>
            <w:tcW w:w="1056" w:type="dxa"/>
            <w:shd w:val="clear" w:color="auto" w:fill="FFFFFF"/>
            <w:vAlign w:val="center"/>
          </w:tcPr>
          <w:p>
            <w:pPr>
              <w:jc w:val="center"/>
              <w:rPr>
                <w:rFonts w:ascii="宋体" w:cs="Times New Roman"/>
                <w:color w:val="000000"/>
                <w:sz w:val="20"/>
                <w:szCs w:val="20"/>
              </w:rPr>
            </w:pPr>
          </w:p>
        </w:tc>
        <w:tc>
          <w:tcPr>
            <w:tcW w:w="3181" w:type="dxa"/>
            <w:gridSpan w:val="2"/>
            <w:shd w:val="clear" w:color="auto" w:fill="FFFFFF"/>
            <w:vAlign w:val="center"/>
          </w:tcPr>
          <w:p>
            <w:pPr>
              <w:rPr>
                <w:rFonts w:ascii="宋体" w:cs="Times New Roman"/>
                <w:color w:val="000000"/>
                <w:sz w:val="20"/>
                <w:szCs w:val="20"/>
              </w:rPr>
            </w:pPr>
          </w:p>
        </w:tc>
        <w:tc>
          <w:tcPr>
            <w:tcW w:w="1036" w:type="dxa"/>
            <w:shd w:val="clear" w:color="auto" w:fill="FFFFFF"/>
            <w:vAlign w:val="center"/>
          </w:tcPr>
          <w:p>
            <w:pPr>
              <w:rPr>
                <w:rFonts w:ascii="宋体" w:cs="Times New Roman"/>
                <w:color w:val="000000"/>
                <w:sz w:val="20"/>
                <w:szCs w:val="20"/>
              </w:rPr>
            </w:pPr>
          </w:p>
        </w:tc>
        <w:tc>
          <w:tcPr>
            <w:tcW w:w="3138" w:type="dxa"/>
            <w:gridSpan w:val="2"/>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08</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286" w:hRule="atLeast"/>
        </w:trPr>
        <w:tc>
          <w:tcPr>
            <w:tcW w:w="3067" w:type="dxa"/>
            <w:gridSpan w:val="4"/>
            <w:shd w:val="clear" w:color="auto" w:fill="FFFFFF"/>
            <w:vAlign w:val="center"/>
          </w:tcPr>
          <w:p>
            <w:pPr>
              <w:jc w:val="left"/>
              <w:rPr>
                <w:rFonts w:hint="eastAsia" w:ascii="宋体" w:eastAsia="宋体" w:cs="Times New Roman"/>
                <w:color w:val="000000"/>
                <w:sz w:val="20"/>
                <w:szCs w:val="20"/>
                <w:lang w:eastAsia="zh-CN"/>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r>
              <w:rPr>
                <w:rFonts w:hint="eastAsia" w:ascii="宋体" w:hAnsi="宋体" w:cs="宋体"/>
                <w:color w:val="000000"/>
                <w:kern w:val="0"/>
                <w:sz w:val="20"/>
                <w:szCs w:val="20"/>
                <w:lang w:eastAsia="zh-CN"/>
              </w:rPr>
              <w:t>石家庄市鹿泉区档案馆</w:t>
            </w:r>
          </w:p>
        </w:tc>
        <w:tc>
          <w:tcPr>
            <w:tcW w:w="3181" w:type="dxa"/>
            <w:gridSpan w:val="2"/>
            <w:shd w:val="clear" w:color="auto" w:fill="FFFFFF"/>
            <w:vAlign w:val="center"/>
          </w:tcPr>
          <w:p>
            <w:pPr>
              <w:ind w:firstLine="1800" w:firstLineChars="900"/>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1036" w:type="dxa"/>
            <w:shd w:val="clear" w:color="auto" w:fill="FFFFFF"/>
            <w:vAlign w:val="center"/>
          </w:tcPr>
          <w:p>
            <w:pPr>
              <w:rPr>
                <w:rFonts w:ascii="宋体" w:cs="Times New Roman"/>
                <w:color w:val="000000"/>
                <w:sz w:val="20"/>
                <w:szCs w:val="20"/>
              </w:rPr>
            </w:pPr>
          </w:p>
        </w:tc>
        <w:tc>
          <w:tcPr>
            <w:tcW w:w="3138" w:type="dxa"/>
            <w:gridSpan w:val="2"/>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ascii="宋体" w:hAnsi="宋体" w:cs="宋体"/>
                <w:color w:val="000000"/>
                <w:kern w:val="0"/>
                <w:sz w:val="22"/>
                <w:szCs w:val="22"/>
              </w:rPr>
              <w:t xml:space="preserve">   </w:t>
            </w:r>
            <w:r>
              <w:rPr>
                <w:rFonts w:hint="eastAsia" w:ascii="宋体" w:hAnsi="宋体" w:cs="宋体"/>
                <w:color w:val="000000"/>
                <w:kern w:val="0"/>
                <w:sz w:val="24"/>
                <w:szCs w:val="24"/>
              </w:rPr>
              <w:t>目</w:t>
            </w:r>
          </w:p>
        </w:tc>
        <w:tc>
          <w:tcPr>
            <w:tcW w:w="7355"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r>
      <w:tr>
        <w:tblPrEx>
          <w:tblCellMar>
            <w:top w:w="15" w:type="dxa"/>
            <w:left w:w="15" w:type="dxa"/>
            <w:bottom w:w="15" w:type="dxa"/>
            <w:right w:w="15" w:type="dxa"/>
          </w:tblCellMar>
        </w:tblPrEx>
        <w:trPr>
          <w:trHeight w:val="390" w:hRule="atLeast"/>
        </w:trPr>
        <w:tc>
          <w:tcPr>
            <w:tcW w:w="1192"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216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r>
      <w:tr>
        <w:tblPrEx>
          <w:tblCellMar>
            <w:top w:w="15" w:type="dxa"/>
            <w:left w:w="15" w:type="dxa"/>
            <w:bottom w:w="15" w:type="dxa"/>
            <w:right w:w="15" w:type="dxa"/>
          </w:tblCellMar>
        </w:tblPrEx>
        <w:trPr>
          <w:trHeight w:val="390"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41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12"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41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24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216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4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720" w:hRule="atLeast"/>
        </w:trPr>
        <w:tc>
          <w:tcPr>
            <w:tcW w:w="10422" w:type="dxa"/>
            <w:gridSpan w:val="9"/>
            <w:vAlign w:val="center"/>
          </w:tcPr>
          <w:p>
            <w:pPr>
              <w:rPr>
                <w:rFonts w:hint="eastAsia" w:ascii="宋体" w:hAnsi="宋体" w:cs="宋体"/>
                <w:color w:val="000000"/>
                <w:kern w:val="0"/>
                <w:sz w:val="24"/>
                <w:szCs w:val="24"/>
              </w:rPr>
            </w:pPr>
            <w:r>
              <w:rPr>
                <w:rFonts w:hint="eastAsia" w:ascii="宋体" w:hAnsi="宋体" w:cs="宋体"/>
                <w:color w:val="000000"/>
                <w:kern w:val="0"/>
                <w:sz w:val="24"/>
                <w:szCs w:val="24"/>
              </w:rPr>
              <w:t>注：本表反映部门本年度国有资本经营预算财政拨款支出情况。本部门本年度无相关收入（或支出、收支及结转结余等）情况，按要求空表列示。</w:t>
            </w:r>
            <w:r>
              <w:rPr>
                <w:rFonts w:hint="eastAsia" w:ascii="宋体" w:hAnsi="宋体" w:cs="宋体"/>
                <w:color w:val="000000"/>
                <w:kern w:val="0"/>
                <w:sz w:val="24"/>
                <w:szCs w:val="24"/>
              </w:rPr>
              <w:br w:type="page"/>
            </w:r>
          </w:p>
          <w:p>
            <w:pPr>
              <w:widowControl/>
              <w:jc w:val="left"/>
              <w:textAlignment w:val="center"/>
              <w:rPr>
                <w:rFonts w:ascii="宋体" w:cs="Times New Roman"/>
                <w:color w:val="000000"/>
                <w:sz w:val="24"/>
                <w:szCs w:val="24"/>
              </w:rPr>
            </w:pP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3090" w:type="dxa"/>
        <w:tblInd w:w="-13" w:type="dxa"/>
        <w:tblLayout w:type="fixed"/>
        <w:tblCellMar>
          <w:top w:w="15" w:type="dxa"/>
          <w:left w:w="15" w:type="dxa"/>
          <w:bottom w:w="15" w:type="dxa"/>
          <w:right w:w="15" w:type="dxa"/>
        </w:tblCellMar>
      </w:tblPr>
      <w:tblGrid>
        <w:gridCol w:w="723"/>
        <w:gridCol w:w="468"/>
        <w:gridCol w:w="357"/>
        <w:gridCol w:w="711"/>
        <w:gridCol w:w="77"/>
        <w:gridCol w:w="881"/>
        <w:gridCol w:w="97"/>
        <w:gridCol w:w="803"/>
        <w:gridCol w:w="252"/>
        <w:gridCol w:w="1056"/>
        <w:gridCol w:w="240"/>
        <w:gridCol w:w="740"/>
        <w:gridCol w:w="768"/>
        <w:gridCol w:w="492"/>
        <w:gridCol w:w="165"/>
        <w:gridCol w:w="731"/>
        <w:gridCol w:w="172"/>
        <w:gridCol w:w="803"/>
        <w:gridCol w:w="252"/>
        <w:gridCol w:w="939"/>
        <w:gridCol w:w="116"/>
        <w:gridCol w:w="240"/>
        <w:gridCol w:w="240"/>
        <w:gridCol w:w="1767"/>
      </w:tblGrid>
      <w:tr>
        <w:tblPrEx>
          <w:tblCellMar>
            <w:top w:w="15" w:type="dxa"/>
            <w:left w:w="15" w:type="dxa"/>
            <w:bottom w:w="15" w:type="dxa"/>
            <w:right w:w="15" w:type="dxa"/>
          </w:tblCellMar>
        </w:tblPrEx>
        <w:trPr>
          <w:gridAfter w:val="4"/>
          <w:wAfter w:w="2363" w:type="dxa"/>
          <w:trHeight w:val="600" w:hRule="atLeast"/>
        </w:trPr>
        <w:tc>
          <w:tcPr>
            <w:tcW w:w="10727" w:type="dxa"/>
            <w:gridSpan w:val="20"/>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财政拨款“三公”经费支出决算表</w:t>
            </w:r>
          </w:p>
        </w:tc>
      </w:tr>
      <w:tr>
        <w:tblPrEx>
          <w:tblCellMar>
            <w:top w:w="15" w:type="dxa"/>
            <w:left w:w="15" w:type="dxa"/>
            <w:bottom w:w="15" w:type="dxa"/>
            <w:right w:w="15" w:type="dxa"/>
          </w:tblCellMar>
        </w:tblPrEx>
        <w:trPr>
          <w:gridAfter w:val="1"/>
          <w:wAfter w:w="1767" w:type="dxa"/>
          <w:trHeight w:val="211" w:hRule="atLeast"/>
        </w:trPr>
        <w:tc>
          <w:tcPr>
            <w:tcW w:w="1191" w:type="dxa"/>
            <w:gridSpan w:val="2"/>
            <w:vAlign w:val="center"/>
          </w:tcPr>
          <w:p>
            <w:pPr>
              <w:jc w:val="center"/>
              <w:rPr>
                <w:rFonts w:ascii="宋体" w:cs="Times New Roman"/>
                <w:color w:val="000000"/>
                <w:sz w:val="24"/>
                <w:szCs w:val="24"/>
              </w:rPr>
            </w:pPr>
          </w:p>
        </w:tc>
        <w:tc>
          <w:tcPr>
            <w:tcW w:w="1068" w:type="dxa"/>
            <w:gridSpan w:val="2"/>
            <w:vAlign w:val="center"/>
          </w:tcPr>
          <w:p>
            <w:pPr>
              <w:jc w:val="center"/>
              <w:rPr>
                <w:rFonts w:ascii="宋体" w:cs="Times New Roman"/>
                <w:color w:val="000000"/>
                <w:sz w:val="24"/>
                <w:szCs w:val="24"/>
              </w:rPr>
            </w:pPr>
          </w:p>
        </w:tc>
        <w:tc>
          <w:tcPr>
            <w:tcW w:w="1055" w:type="dxa"/>
            <w:gridSpan w:val="3"/>
            <w:vAlign w:val="center"/>
          </w:tcPr>
          <w:p>
            <w:pPr>
              <w:jc w:val="center"/>
              <w:rPr>
                <w:rFonts w:ascii="宋体" w:cs="Times New Roman"/>
                <w:color w:val="000000"/>
                <w:sz w:val="24"/>
                <w:szCs w:val="24"/>
              </w:rPr>
            </w:pPr>
          </w:p>
        </w:tc>
        <w:tc>
          <w:tcPr>
            <w:tcW w:w="1055" w:type="dxa"/>
            <w:gridSpan w:val="2"/>
            <w:vAlign w:val="center"/>
          </w:tcPr>
          <w:p>
            <w:pPr>
              <w:rPr>
                <w:rFonts w:ascii="宋体" w:cs="Times New Roman"/>
                <w:color w:val="000000"/>
                <w:sz w:val="24"/>
                <w:szCs w:val="24"/>
              </w:rPr>
            </w:pPr>
          </w:p>
        </w:tc>
        <w:tc>
          <w:tcPr>
            <w:tcW w:w="1056" w:type="dxa"/>
            <w:vAlign w:val="center"/>
          </w:tcPr>
          <w:p>
            <w:pPr>
              <w:rPr>
                <w:rFonts w:ascii="宋体" w:cs="Times New Roman"/>
                <w:color w:val="000000"/>
                <w:sz w:val="24"/>
                <w:szCs w:val="24"/>
              </w:rPr>
            </w:pPr>
          </w:p>
        </w:tc>
        <w:tc>
          <w:tcPr>
            <w:tcW w:w="240" w:type="dxa"/>
            <w:vAlign w:val="center"/>
          </w:tcPr>
          <w:p>
            <w:pPr>
              <w:widowControl/>
              <w:jc w:val="right"/>
              <w:textAlignment w:val="center"/>
              <w:rPr>
                <w:rFonts w:ascii="宋体" w:cs="Times New Roman"/>
                <w:color w:val="000000"/>
                <w:sz w:val="24"/>
                <w:szCs w:val="24"/>
              </w:rPr>
            </w:pPr>
          </w:p>
        </w:tc>
        <w:tc>
          <w:tcPr>
            <w:tcW w:w="2000" w:type="dxa"/>
            <w:gridSpan w:val="3"/>
            <w:vAlign w:val="bottom"/>
          </w:tcPr>
          <w:p>
            <w:pPr>
              <w:jc w:val="right"/>
              <w:rPr>
                <w:rFonts w:ascii="宋体" w:cs="Times New Roman"/>
                <w:color w:val="000000"/>
                <w:sz w:val="24"/>
                <w:szCs w:val="24"/>
              </w:rPr>
            </w:pPr>
          </w:p>
        </w:tc>
        <w:tc>
          <w:tcPr>
            <w:tcW w:w="1068" w:type="dxa"/>
            <w:gridSpan w:val="3"/>
            <w:vAlign w:val="bottom"/>
          </w:tcPr>
          <w:p>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1055" w:type="dxa"/>
            <w:gridSpan w:val="2"/>
            <w:vAlign w:val="bottom"/>
          </w:tcPr>
          <w:p>
            <w:pPr>
              <w:jc w:val="right"/>
              <w:rPr>
                <w:rFonts w:ascii="宋体" w:cs="Times New Roman"/>
                <w:color w:val="000000"/>
                <w:sz w:val="24"/>
                <w:szCs w:val="24"/>
              </w:rPr>
            </w:pPr>
          </w:p>
        </w:tc>
        <w:tc>
          <w:tcPr>
            <w:tcW w:w="1055" w:type="dxa"/>
            <w:gridSpan w:val="2"/>
            <w:vAlign w:val="bottom"/>
          </w:tcPr>
          <w:p>
            <w:pPr>
              <w:jc w:val="left"/>
              <w:rPr>
                <w:rFonts w:ascii="宋体" w:cs="Times New Roman"/>
                <w:color w:val="000000"/>
                <w:sz w:val="24"/>
                <w:szCs w:val="24"/>
              </w:rPr>
            </w:pPr>
            <w:r>
              <w:rPr>
                <w:rFonts w:hint="eastAsia" w:ascii="宋体" w:hAnsi="宋体" w:cs="宋体"/>
                <w:color w:val="000000"/>
              </w:rPr>
              <w:t>公开</w:t>
            </w:r>
            <w:r>
              <w:rPr>
                <w:rFonts w:ascii="宋体" w:hAnsi="宋体" w:cs="宋体"/>
                <w:color w:val="000000"/>
              </w:rPr>
              <w:t>09</w:t>
            </w:r>
            <w:r>
              <w:rPr>
                <w:rFonts w:hint="eastAsia" w:ascii="宋体" w:hAnsi="宋体" w:cs="宋体"/>
                <w:color w:val="000000"/>
              </w:rPr>
              <w:t>表</w:t>
            </w:r>
          </w:p>
        </w:tc>
        <w:tc>
          <w:tcPr>
            <w:tcW w:w="240" w:type="dxa"/>
            <w:vAlign w:val="bottom"/>
          </w:tcPr>
          <w:p>
            <w:pPr>
              <w:rPr>
                <w:rFonts w:ascii="宋体" w:cs="Times New Roman"/>
                <w:color w:val="000000"/>
                <w:sz w:val="24"/>
                <w:szCs w:val="24"/>
              </w:rPr>
            </w:pPr>
          </w:p>
        </w:tc>
        <w:tc>
          <w:tcPr>
            <w:tcW w:w="240"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1767" w:type="dxa"/>
          <w:trHeight w:val="301" w:hRule="atLeast"/>
        </w:trPr>
        <w:tc>
          <w:tcPr>
            <w:tcW w:w="3314" w:type="dxa"/>
            <w:gridSpan w:val="7"/>
            <w:shd w:val="clear" w:color="auto" w:fill="FFFFFF"/>
            <w:vAlign w:val="center"/>
          </w:tcPr>
          <w:p>
            <w:pPr>
              <w:jc w:val="left"/>
              <w:rPr>
                <w:rFonts w:hint="eastAsia" w:ascii="宋体" w:eastAsia="宋体" w:cs="Times New Roman"/>
                <w:color w:val="000000"/>
                <w:sz w:val="20"/>
                <w:szCs w:val="20"/>
                <w:lang w:eastAsia="zh-CN"/>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r>
              <w:rPr>
                <w:rFonts w:hint="eastAsia" w:ascii="宋体" w:hAnsi="宋体" w:cs="宋体"/>
                <w:color w:val="000000"/>
                <w:kern w:val="0"/>
                <w:sz w:val="20"/>
                <w:szCs w:val="20"/>
                <w:lang w:eastAsia="zh-CN"/>
              </w:rPr>
              <w:t>石家庄市鹿泉区档案馆</w:t>
            </w:r>
          </w:p>
        </w:tc>
        <w:tc>
          <w:tcPr>
            <w:tcW w:w="1055" w:type="dxa"/>
            <w:gridSpan w:val="2"/>
            <w:shd w:val="clear" w:color="auto" w:fill="FFFFFF"/>
            <w:vAlign w:val="center"/>
          </w:tcPr>
          <w:p>
            <w:pPr>
              <w:jc w:val="right"/>
              <w:rPr>
                <w:rFonts w:ascii="宋体" w:cs="Times New Roman"/>
                <w:color w:val="000000"/>
                <w:sz w:val="20"/>
                <w:szCs w:val="20"/>
              </w:rPr>
            </w:pPr>
          </w:p>
        </w:tc>
        <w:tc>
          <w:tcPr>
            <w:tcW w:w="1056" w:type="dxa"/>
            <w:shd w:val="clear" w:color="auto" w:fill="FFFFFF"/>
            <w:vAlign w:val="center"/>
          </w:tcPr>
          <w:p>
            <w:pP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240" w:type="dxa"/>
            <w:shd w:val="clear" w:color="auto" w:fill="FFFFFF"/>
            <w:vAlign w:val="center"/>
          </w:tcPr>
          <w:p>
            <w:pPr>
              <w:widowControl/>
              <w:ind w:right="-5048" w:rightChars="-2404"/>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c>
          <w:tcPr>
            <w:tcW w:w="5418" w:type="dxa"/>
            <w:gridSpan w:val="11"/>
            <w:shd w:val="clear" w:color="auto" w:fill="FFFFFF"/>
            <w:vAlign w:val="center"/>
          </w:tcPr>
          <w:p>
            <w:pPr>
              <w:widowControl/>
              <w:tabs>
                <w:tab w:val="left" w:pos="630"/>
                <w:tab w:val="left" w:pos="5250"/>
              </w:tabs>
              <w:ind w:right="346" w:rightChars="165"/>
              <w:jc w:val="left"/>
              <w:rPr>
                <w:rFonts w:ascii="宋体" w:cs="Times New Roman"/>
                <w:color w:val="000000"/>
                <w:sz w:val="20"/>
                <w:szCs w:val="20"/>
              </w:rPr>
            </w:pPr>
            <w:r>
              <w:rPr>
                <w:rFonts w:ascii="宋体" w:hAnsi="宋体" w:cs="宋体"/>
                <w:color w:val="000000"/>
                <w:sz w:val="20"/>
                <w:szCs w:val="20"/>
              </w:rPr>
              <w:t xml:space="preserve">                                        </w:t>
            </w:r>
            <w:r>
              <w:rPr>
                <w:rFonts w:hint="eastAsia" w:ascii="宋体" w:hAnsi="宋体" w:cs="宋体"/>
                <w:color w:val="000000"/>
                <w:kern w:val="0"/>
                <w:sz w:val="20"/>
                <w:szCs w:val="20"/>
              </w:rPr>
              <w:t>单位：万元</w:t>
            </w:r>
          </w:p>
        </w:tc>
        <w:tc>
          <w:tcPr>
            <w:tcW w:w="240"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4"/>
          <w:wAfter w:w="2363" w:type="dxa"/>
          <w:trHeight w:val="555" w:hRule="atLeast"/>
        </w:trPr>
        <w:tc>
          <w:tcPr>
            <w:tcW w:w="5665" w:type="dxa"/>
            <w:gridSpan w:val="11"/>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预算数</w:t>
            </w:r>
          </w:p>
        </w:tc>
        <w:tc>
          <w:tcPr>
            <w:tcW w:w="5062" w:type="dxa"/>
            <w:gridSpan w:val="9"/>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r>
      <w:tr>
        <w:tblPrEx>
          <w:tblCellMar>
            <w:top w:w="15" w:type="dxa"/>
            <w:left w:w="15" w:type="dxa"/>
            <w:bottom w:w="15" w:type="dxa"/>
            <w:right w:w="15" w:type="dxa"/>
          </w:tblCellMar>
        </w:tblPrEx>
        <w:trPr>
          <w:gridAfter w:val="4"/>
          <w:wAfter w:w="2363" w:type="dxa"/>
          <w:trHeight w:val="600" w:hRule="atLeast"/>
        </w:trPr>
        <w:tc>
          <w:tcPr>
            <w:tcW w:w="723"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825"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2569"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公务用车购置及运行维护费</w:t>
            </w:r>
          </w:p>
        </w:tc>
        <w:tc>
          <w:tcPr>
            <w:tcW w:w="1548"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c>
          <w:tcPr>
            <w:tcW w:w="74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76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2363"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公务用车购置及运行维护费</w:t>
            </w:r>
          </w:p>
        </w:tc>
        <w:tc>
          <w:tcPr>
            <w:tcW w:w="1191"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tblPrEx>
          <w:tblCellMar>
            <w:top w:w="15" w:type="dxa"/>
            <w:left w:w="15" w:type="dxa"/>
            <w:bottom w:w="15" w:type="dxa"/>
            <w:right w:w="15" w:type="dxa"/>
          </w:tblCellMar>
        </w:tblPrEx>
        <w:trPr>
          <w:gridAfter w:val="4"/>
          <w:wAfter w:w="2363" w:type="dxa"/>
          <w:trHeight w:val="600" w:hRule="atLeast"/>
        </w:trPr>
        <w:tc>
          <w:tcPr>
            <w:tcW w:w="723"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82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78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88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90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公务用车运行维护费</w:t>
            </w:r>
          </w:p>
        </w:tc>
        <w:tc>
          <w:tcPr>
            <w:tcW w:w="1548"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74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76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657"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73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97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w:t>
            </w:r>
            <w:r>
              <w:rPr>
                <w:rFonts w:ascii="宋体" w:cs="Times New Roman"/>
                <w:color w:val="000000"/>
                <w:kern w:val="0"/>
                <w:sz w:val="22"/>
                <w:szCs w:val="22"/>
              </w:rPr>
              <w:br w:type="textWrapping"/>
            </w:r>
            <w:r>
              <w:rPr>
                <w:rFonts w:hint="eastAsia" w:ascii="宋体" w:hAnsi="宋体" w:cs="宋体"/>
                <w:color w:val="000000"/>
                <w:kern w:val="0"/>
                <w:sz w:val="22"/>
                <w:szCs w:val="22"/>
              </w:rPr>
              <w:t>运行维护费</w:t>
            </w:r>
          </w:p>
        </w:tc>
        <w:tc>
          <w:tcPr>
            <w:tcW w:w="1191"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r>
      <w:tr>
        <w:tblPrEx>
          <w:tblCellMar>
            <w:top w:w="15" w:type="dxa"/>
            <w:left w:w="15" w:type="dxa"/>
            <w:bottom w:w="15" w:type="dxa"/>
            <w:right w:w="15" w:type="dxa"/>
          </w:tblCellMar>
        </w:tblPrEx>
        <w:trPr>
          <w:gridAfter w:val="4"/>
          <w:wAfter w:w="2363" w:type="dxa"/>
          <w:trHeight w:val="555" w:hRule="atLeast"/>
        </w:trPr>
        <w:tc>
          <w:tcPr>
            <w:tcW w:w="72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82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78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88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90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1548"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c>
          <w:tcPr>
            <w:tcW w:w="74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c>
          <w:tcPr>
            <w:tcW w:w="76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8</w:t>
            </w:r>
          </w:p>
        </w:tc>
        <w:tc>
          <w:tcPr>
            <w:tcW w:w="657"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9</w:t>
            </w:r>
          </w:p>
        </w:tc>
        <w:tc>
          <w:tcPr>
            <w:tcW w:w="73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10</w:t>
            </w:r>
          </w:p>
        </w:tc>
        <w:tc>
          <w:tcPr>
            <w:tcW w:w="97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11</w:t>
            </w:r>
          </w:p>
        </w:tc>
        <w:tc>
          <w:tcPr>
            <w:tcW w:w="119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12</w:t>
            </w:r>
          </w:p>
        </w:tc>
      </w:tr>
      <w:tr>
        <w:tblPrEx>
          <w:tblCellMar>
            <w:top w:w="15" w:type="dxa"/>
            <w:left w:w="15" w:type="dxa"/>
            <w:bottom w:w="15" w:type="dxa"/>
            <w:right w:w="15" w:type="dxa"/>
          </w:tblCellMar>
        </w:tblPrEx>
        <w:trPr>
          <w:gridAfter w:val="4"/>
          <w:wAfter w:w="2363" w:type="dxa"/>
          <w:trHeight w:val="427" w:hRule="atLeast"/>
        </w:trPr>
        <w:tc>
          <w:tcPr>
            <w:tcW w:w="723"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c>
          <w:tcPr>
            <w:tcW w:w="82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c>
          <w:tcPr>
            <w:tcW w:w="788"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c>
          <w:tcPr>
            <w:tcW w:w="8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c>
          <w:tcPr>
            <w:tcW w:w="900"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c>
          <w:tcPr>
            <w:tcW w:w="1548"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c>
          <w:tcPr>
            <w:tcW w:w="74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c>
          <w:tcPr>
            <w:tcW w:w="76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c>
          <w:tcPr>
            <w:tcW w:w="657"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c>
          <w:tcPr>
            <w:tcW w:w="73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c>
          <w:tcPr>
            <w:tcW w:w="9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c>
          <w:tcPr>
            <w:tcW w:w="1191"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r>
      <w:tr>
        <w:tblPrEx>
          <w:tblCellMar>
            <w:top w:w="15" w:type="dxa"/>
            <w:left w:w="15" w:type="dxa"/>
            <w:bottom w:w="15" w:type="dxa"/>
            <w:right w:w="15" w:type="dxa"/>
          </w:tblCellMar>
        </w:tblPrEx>
        <w:trPr>
          <w:trHeight w:val="900" w:hRule="atLeast"/>
        </w:trPr>
        <w:tc>
          <w:tcPr>
            <w:tcW w:w="13090" w:type="dxa"/>
            <w:gridSpan w:val="24"/>
            <w:vAlign w:val="center"/>
          </w:tcPr>
          <w:p>
            <w:pPr>
              <w:widowControl/>
              <w:ind w:right="2339" w:rightChars="1114"/>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注：本表反映部门本年度财政拨款“三公”经费支出预决算情况。本部门本年度无相关收入（或支出、收支及结转结余等）情况，按要求空表列示。</w:t>
            </w:r>
          </w:p>
        </w:tc>
      </w:tr>
    </w:tbl>
    <w:p>
      <w:pPr>
        <w:widowControl/>
        <w:spacing w:after="160" w:line="580" w:lineRule="exact"/>
        <w:ind w:firstLine="663" w:firstLineChars="316"/>
        <w:rPr>
          <w:rFonts w:eastAsia="黑体" w:cs="Times New Roman"/>
          <w:sz w:val="32"/>
          <w:szCs w:val="32"/>
        </w:rPr>
      </w:pPr>
      <w:r>
        <w:pict>
          <v:shape id="文本框 151" o:spid="_x0000_s1042" o:spt="202" type="#_x0000_t202" style="position:absolute;left:0pt;margin-left:-85.7pt;margin-top:238.15pt;height:173.25pt;width:613.65pt;z-index:251666432;mso-width-relative:page;mso-height-relative:page;" filled="f" stroked="f" coordsize="21600,21600">
            <v:path/>
            <v:fill on="f" focussize="0,0"/>
            <v:stroke on="f" weight="0.5pt" joinstyle="miter"/>
            <v:imagedata o:title=""/>
            <o:lock v:ext="edit"/>
            <v:textbo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shape>
        </w:pict>
      </w:r>
    </w:p>
    <w:p>
      <w:pPr>
        <w:widowControl/>
        <w:spacing w:after="160" w:line="580" w:lineRule="exact"/>
        <w:ind w:left="-283" w:leftChars="-135" w:firstLine="1292" w:firstLineChars="404"/>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sz w:val="32"/>
          <w:szCs w:val="32"/>
        </w:rPr>
      </w:pPr>
      <w:r>
        <w:rPr>
          <w:rFonts w:eastAsia="黑体"/>
          <w:sz w:val="32"/>
          <w:szCs w:val="32"/>
        </w:rPr>
        <w:t xml:space="preserve">     </w:t>
      </w:r>
    </w:p>
    <w:p>
      <w:pPr>
        <w:widowControl/>
        <w:jc w:val="center"/>
        <w:rPr>
          <w:rFonts w:eastAsia="黑体" w:cs="Times New Roman"/>
          <w:sz w:val="32"/>
          <w:szCs w:val="32"/>
        </w:rPr>
      </w:pPr>
    </w:p>
    <w:p>
      <w:pPr>
        <w:widowControl/>
        <w:jc w:val="center"/>
        <w:rPr>
          <w:rFonts w:eastAsia="黑体" w:cs="Times New Roman"/>
          <w:sz w:val="32"/>
          <w:szCs w:val="32"/>
        </w:rPr>
      </w:pPr>
    </w:p>
    <w:p>
      <w:pPr>
        <w:widowControl/>
        <w:jc w:val="center"/>
        <w:rPr>
          <w:rFonts w:eastAsia="黑体" w:cs="Times New Roman"/>
          <w:sz w:val="32"/>
          <w:szCs w:val="32"/>
        </w:rPr>
      </w:pPr>
    </w:p>
    <w:p>
      <w:pPr>
        <w:widowControl/>
        <w:jc w:val="center"/>
        <w:rPr>
          <w:rFonts w:eastAsia="黑体" w:cs="Times New Roman"/>
          <w:sz w:val="32"/>
          <w:szCs w:val="32"/>
        </w:rPr>
      </w:pPr>
    </w:p>
    <w:p>
      <w:pPr>
        <w:widowControl/>
        <w:jc w:val="center"/>
        <w:rPr>
          <w:rFonts w:eastAsia="黑体" w:cs="Times New Roman"/>
          <w:sz w:val="32"/>
          <w:szCs w:val="32"/>
        </w:rPr>
      </w:pPr>
    </w:p>
    <w:p>
      <w:pPr>
        <w:widowControl/>
        <w:jc w:val="both"/>
        <w:rPr>
          <w:rFonts w:eastAsia="黑体" w:cs="Times New Roman"/>
          <w:sz w:val="32"/>
          <w:szCs w:val="32"/>
        </w:rPr>
        <w:sectPr>
          <w:pgSz w:w="11906" w:h="16838"/>
          <w:pgMar w:top="567" w:right="567" w:bottom="567" w:left="567" w:header="851" w:footer="992" w:gutter="0"/>
          <w:cols w:space="0" w:num="1"/>
          <w:rtlGutter w:val="0"/>
          <w:docGrid w:type="lines" w:linePitch="312" w:charSpace="0"/>
        </w:sectPr>
      </w:pPr>
    </w:p>
    <w:p>
      <w:pPr>
        <w:widowControl/>
        <w:jc w:val="center"/>
        <w:rPr>
          <w:rFonts w:eastAsia="黑体" w:cs="Times New Roman"/>
          <w:sz w:val="32"/>
          <w:szCs w:val="32"/>
        </w:rPr>
      </w:pPr>
    </w:p>
    <w:p>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Times New Roman"/>
          <w:color w:val="000000"/>
          <w:sz w:val="44"/>
          <w:szCs w:val="44"/>
        </w:rPr>
      </w:pPr>
      <w:r>
        <w:pict>
          <v:shape id="图片 74" o:spid="_x0000_s1043" o:spt="75" alt="32303036343138343b32303038313639313bcafdbeddb7d6cef6" type="#_x0000_t75" style="position:absolute;left:0pt;margin-left:-19.1pt;margin-top:186.75pt;height:52pt;width:52pt;mso-position-vertical-relative:margin;z-index:251670528;mso-width-relative:page;mso-height-relative:page;" filled="f" o:preferrelative="t" stroked="f" coordsize="21600,21600">
            <v:path/>
            <v:fill on="f" focussize="0,0"/>
            <v:stroke on="f" joinstyle="miter"/>
            <v:imagedata r:id="rId15" o:title=""/>
            <o:lock v:ext="edit" aspectratio="t"/>
          </v:shape>
        </w:pict>
      </w:r>
    </w:p>
    <w:p>
      <w:pPr>
        <w:widowControl/>
        <w:jc w:val="center"/>
        <w:rPr>
          <w:rFonts w:ascii="黑体" w:hAnsi="黑体" w:eastAsia="黑体" w:cs="Times New Roman"/>
          <w:color w:val="000000"/>
          <w:sz w:val="44"/>
          <w:szCs w:val="44"/>
        </w:rPr>
      </w:pPr>
      <w:r>
        <w:rPr>
          <w:rFonts w:hint="eastAsia" w:ascii="黑体" w:hAnsi="黑体" w:eastAsia="黑体" w:cs="黑体"/>
          <w:color w:val="000000"/>
          <w:sz w:val="44"/>
          <w:szCs w:val="44"/>
        </w:rPr>
        <w:t>第三部分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w:t>
      </w:r>
      <w:r>
        <w:rPr>
          <w:rFonts w:hint="eastAsia" w:ascii="黑体" w:hAnsi="黑体" w:eastAsia="黑体" w:cs="黑体"/>
          <w:color w:val="000000"/>
          <w:sz w:val="44"/>
          <w:szCs w:val="44"/>
          <w:lang w:eastAsia="zh-CN"/>
        </w:rPr>
        <w:t>单位</w:t>
      </w:r>
      <w:r>
        <w:rPr>
          <w:rFonts w:hint="eastAsia" w:ascii="黑体" w:hAnsi="黑体" w:eastAsia="黑体" w:cs="黑体"/>
          <w:color w:val="000000"/>
          <w:sz w:val="44"/>
          <w:szCs w:val="44"/>
        </w:rPr>
        <w:t>决算情况说明</w:t>
      </w: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rPr>
          <w:rFonts w:ascii="黑体" w:eastAsia="黑体" w:cs="Times New Roman"/>
          <w:sz w:val="32"/>
          <w:szCs w:val="32"/>
        </w:rPr>
      </w:pP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一、收入</w:t>
      </w:r>
      <w:r>
        <w:rPr>
          <w:rFonts w:hint="eastAsia" w:ascii="黑体" w:hAnsi="Cambria" w:eastAsia="黑体" w:cs="黑体"/>
          <w:kern w:val="0"/>
          <w:sz w:val="32"/>
          <w:szCs w:val="32"/>
        </w:rPr>
        <w:t>支出</w:t>
      </w:r>
      <w:r>
        <w:rPr>
          <w:rFonts w:hint="eastAsia" w:ascii="黑体" w:eastAsia="黑体" w:cs="黑体"/>
          <w:sz w:val="32"/>
          <w:szCs w:val="32"/>
        </w:rPr>
        <w:t>决算总体情况说明</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年度收、支总计（含结转和结余）</w:t>
      </w:r>
      <w:r>
        <w:rPr>
          <w:rFonts w:hint="eastAsia" w:ascii="仿宋_GB2312" w:hAnsi="Times New Roman" w:eastAsia="仿宋_GB2312" w:cs="仿宋_GB2312"/>
          <w:sz w:val="32"/>
          <w:szCs w:val="32"/>
          <w:lang w:val="en-US" w:eastAsia="zh-CN"/>
        </w:rPr>
        <w:t>273.08</w:t>
      </w:r>
      <w:r>
        <w:rPr>
          <w:rFonts w:hint="eastAsia" w:ascii="仿宋_GB2312" w:hAnsi="Times New Roman" w:eastAsia="仿宋_GB2312" w:cs="仿宋_GB2312"/>
          <w:sz w:val="32"/>
          <w:szCs w:val="32"/>
        </w:rPr>
        <w:t>万元。与</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年度决算相比，</w:t>
      </w:r>
      <w:r>
        <w:rPr>
          <w:rFonts w:hint="eastAsia" w:ascii="仿宋_GB2312" w:hAnsi="Times New Roman" w:eastAsia="仿宋_GB2312" w:cs="仿宋_GB2312"/>
          <w:sz w:val="32"/>
          <w:szCs w:val="32"/>
          <w:lang w:eastAsia="zh-CN"/>
        </w:rPr>
        <w:t>收入增加</w:t>
      </w:r>
      <w:r>
        <w:rPr>
          <w:rFonts w:hint="eastAsia" w:ascii="仿宋_GB2312" w:hAnsi="Times New Roman" w:eastAsia="仿宋_GB2312" w:cs="仿宋_GB2312"/>
          <w:sz w:val="32"/>
          <w:szCs w:val="32"/>
          <w:lang w:val="en-US" w:eastAsia="zh-CN"/>
        </w:rPr>
        <w:t>75.42万元，增长38.2%，主要原因是</w:t>
      </w:r>
      <w:r>
        <w:rPr>
          <w:rFonts w:hint="eastAsia" w:ascii="仿宋_GB2312" w:hAnsi="Times New Roman" w:eastAsia="仿宋_GB2312" w:cs="仿宋_GB2312"/>
          <w:sz w:val="32"/>
          <w:szCs w:val="32"/>
          <w:lang w:eastAsia="zh-CN"/>
        </w:rPr>
        <w:t>住房公积金和养老保险基数调整、奖金补发、新增劳务派遣人员</w:t>
      </w:r>
      <w:r>
        <w:rPr>
          <w:rFonts w:hint="eastAsia" w:ascii="仿宋_GB2312" w:hAnsi="Times New Roman" w:eastAsia="仿宋_GB2312" w:cs="仿宋_GB2312"/>
          <w:sz w:val="32"/>
          <w:szCs w:val="32"/>
          <w:lang w:val="en-US" w:eastAsia="zh-CN"/>
        </w:rPr>
        <w:t>，支出增加74.74万元，增长37.7%，</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eastAsia="zh-CN"/>
        </w:rPr>
        <w:t>住房公积金和养老保险基数调整、奖金补发、新增劳务派遣人员</w:t>
      </w:r>
      <w:r>
        <w:rPr>
          <w:rFonts w:hint="eastAsia" w:ascii="仿宋_GB2312"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eastAsia="宋体"/>
          <w:lang w:eastAsia="zh-CN"/>
        </w:rPr>
      </w:pPr>
      <w:r>
        <w:pict>
          <v:shape id="_x0000_i1025" o:spt="75" type="#_x0000_t75" style="height:198pt;width:255pt;" filled="f" stroked="f" coordsize="21600,21600" o:gfxdata="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">
            <v:path/>
            <v:fill on="f" focussize="0,0"/>
            <v:stroke on="f"/>
            <v:imagedata r:id="rId16" o:title=""/>
            <o:lock v:ext="edit" aspectratio="t"/>
            <w10:wrap type="none"/>
            <w10:anchorlock/>
          </v:shape>
        </w:pic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lang w:val="en-US" w:eastAsia="zh-CN"/>
        </w:rPr>
      </w:pPr>
      <w:r>
        <w:rPr>
          <w:rFonts w:hint="eastAsia"/>
          <w:lang w:eastAsia="zh-CN"/>
        </w:rPr>
        <w:t>图</w:t>
      </w:r>
      <w:r>
        <w:rPr>
          <w:rFonts w:hint="eastAsia"/>
          <w:lang w:val="en-US" w:eastAsia="zh-CN"/>
        </w:rPr>
        <w:t>1:2021-2022年收入支出对比情况</w:t>
      </w: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二、收入决算情况说明</w:t>
      </w:r>
    </w:p>
    <w:p>
      <w:pPr>
        <w:autoSpaceDE w:val="0"/>
        <w:autoSpaceDN w:val="0"/>
        <w:adjustRightInd w:val="0"/>
        <w:ind w:left="200" w:firstLine="640" w:firstLineChars="200"/>
        <w:jc w:val="left"/>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年度收入合计</w:t>
      </w:r>
      <w:r>
        <w:rPr>
          <w:rFonts w:hint="eastAsia" w:ascii="仿宋_GB2312" w:hAnsi="Times New Roman" w:eastAsia="仿宋_GB2312" w:cs="仿宋_GB2312"/>
          <w:sz w:val="32"/>
          <w:szCs w:val="32"/>
          <w:lang w:val="en-US" w:eastAsia="zh-CN"/>
        </w:rPr>
        <w:t>273.08</w:t>
      </w:r>
      <w:r>
        <w:rPr>
          <w:rFonts w:hint="eastAsia" w:ascii="仿宋_GB2312" w:hAnsi="Times New Roman" w:eastAsia="仿宋_GB2312" w:cs="仿宋_GB2312"/>
          <w:sz w:val="32"/>
          <w:szCs w:val="32"/>
        </w:rPr>
        <w:t>万元，其中：财政拨款收入</w:t>
      </w:r>
      <w:r>
        <w:rPr>
          <w:rFonts w:hint="eastAsia" w:ascii="仿宋_GB2312" w:hAnsi="Times New Roman" w:eastAsia="仿宋_GB2312" w:cs="仿宋_GB2312"/>
          <w:sz w:val="32"/>
          <w:szCs w:val="32"/>
          <w:lang w:val="en-US" w:eastAsia="zh-CN"/>
        </w:rPr>
        <w:t>273.08</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100.0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w:t>
      </w:r>
      <w:r>
        <w:rPr>
          <w:rFonts w:hint="eastAsia" w:ascii="仿宋_GB2312" w:eastAsia="仿宋_GB2312" w:cs="仿宋_GB2312"/>
          <w:kern w:val="0"/>
          <w:sz w:val="32"/>
          <w:szCs w:val="32"/>
          <w:lang w:eastAsia="zh-CN"/>
        </w:rPr>
        <w:t>上级补助收入</w:t>
      </w:r>
      <w:r>
        <w:rPr>
          <w:rFonts w:hint="eastAsia" w:ascii="仿宋_GB2312" w:eastAsia="仿宋_GB2312" w:cs="仿宋_GB2312"/>
          <w:kern w:val="0"/>
          <w:sz w:val="32"/>
          <w:szCs w:val="32"/>
          <w:lang w:val="en-US" w:eastAsia="zh-CN"/>
        </w:rPr>
        <w:t>0万元，占0%；</w:t>
      </w:r>
      <w:r>
        <w:rPr>
          <w:rFonts w:hint="eastAsia" w:ascii="仿宋_GB2312" w:eastAsia="仿宋_GB2312" w:cs="仿宋_GB2312"/>
          <w:kern w:val="0"/>
          <w:sz w:val="32"/>
          <w:szCs w:val="32"/>
          <w:lang w:eastAsia="zh-CN"/>
        </w:rPr>
        <w:t>事业收入</w:t>
      </w:r>
      <w:r>
        <w:rPr>
          <w:rFonts w:hint="eastAsia" w:ascii="仿宋_GB2312" w:eastAsia="仿宋_GB2312" w:cs="仿宋_GB2312"/>
          <w:kern w:val="0"/>
          <w:sz w:val="32"/>
          <w:szCs w:val="32"/>
          <w:lang w:val="en-US" w:eastAsia="zh-CN"/>
        </w:rPr>
        <w:t>0万元，占0%；经营收入0万元，占0%；附属单位上缴收入0万元，占0%；</w:t>
      </w:r>
      <w:r>
        <w:rPr>
          <w:rFonts w:hint="eastAsia" w:ascii="仿宋_GB2312" w:eastAsia="仿宋_GB2312" w:cs="仿宋_GB2312"/>
          <w:kern w:val="0"/>
          <w:sz w:val="32"/>
          <w:szCs w:val="32"/>
        </w:rPr>
        <w:t>其他收入</w:t>
      </w:r>
      <w:r>
        <w:rPr>
          <w:rFonts w:hint="eastAsia" w:ascii="仿宋_GB2312" w:eastAsia="仿宋_GB2312" w:cs="仿宋_GB2312"/>
          <w:kern w:val="0"/>
          <w:sz w:val="32"/>
          <w:szCs w:val="32"/>
          <w:lang w:val="en-US" w:eastAsia="zh-CN"/>
        </w:rPr>
        <w:t>0</w:t>
      </w:r>
      <w:r>
        <w:rPr>
          <w:rFonts w:hint="eastAsia" w:ascii="仿宋_GB2312" w:eastAsia="仿宋_GB2312" w:cs="仿宋_GB2312"/>
          <w:kern w:val="0"/>
          <w:sz w:val="32"/>
          <w:szCs w:val="32"/>
        </w:rPr>
        <w:t>万元，占</w:t>
      </w:r>
      <w:r>
        <w:rPr>
          <w:rFonts w:hint="eastAsia" w:ascii="仿宋_GB2312" w:eastAsia="仿宋_GB2312" w:cs="仿宋_GB2312"/>
          <w:kern w:val="0"/>
          <w:sz w:val="32"/>
          <w:szCs w:val="32"/>
          <w:lang w:val="en-US" w:eastAsia="zh-CN"/>
        </w:rPr>
        <w:t>0</w:t>
      </w:r>
      <w:r>
        <w:rPr>
          <w:rFonts w:hint="eastAsia" w:ascii="仿宋_GB2312" w:eastAsia="仿宋_GB2312" w:cs="仿宋_GB2312"/>
          <w:kern w:val="0"/>
          <w:sz w:val="32"/>
          <w:szCs w:val="32"/>
        </w:rPr>
        <w:t>%</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三、支出决算情况说明</w:t>
      </w:r>
    </w:p>
    <w:p>
      <w:pPr>
        <w:autoSpaceDE w:val="0"/>
        <w:autoSpaceDN w:val="0"/>
        <w:adjustRightInd w:val="0"/>
        <w:ind w:left="200" w:firstLine="640" w:firstLineChars="200"/>
        <w:jc w:val="left"/>
        <w:rPr>
          <w:rFonts w:hint="eastAsia" w:ascii="仿宋_GB2312" w:hAnsi="Times New Roman" w:eastAsia="仿宋_GB2312" w:cs="仿宋_GB2312"/>
          <w:sz w:val="32"/>
          <w:szCs w:val="32"/>
          <w:highlight w:val="yellow"/>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年度支出合计</w:t>
      </w:r>
      <w:r>
        <w:rPr>
          <w:rFonts w:hint="eastAsia" w:ascii="仿宋_GB2312" w:hAnsi="Times New Roman" w:eastAsia="仿宋_GB2312" w:cs="仿宋_GB2312"/>
          <w:sz w:val="32"/>
          <w:szCs w:val="32"/>
          <w:lang w:val="en-US" w:eastAsia="zh-CN"/>
        </w:rPr>
        <w:t>273.03</w:t>
      </w:r>
      <w:r>
        <w:rPr>
          <w:rFonts w:hint="eastAsia" w:ascii="仿宋_GB2312" w:hAnsi="Times New Roman" w:eastAsia="仿宋_GB2312" w:cs="仿宋_GB2312"/>
          <w:sz w:val="32"/>
          <w:szCs w:val="32"/>
        </w:rPr>
        <w:t>万元，其中：基本支出</w:t>
      </w:r>
      <w:r>
        <w:rPr>
          <w:rFonts w:hint="eastAsia" w:ascii="仿宋_GB2312" w:hAnsi="Times New Roman" w:eastAsia="仿宋_GB2312" w:cs="仿宋_GB2312"/>
          <w:sz w:val="32"/>
          <w:szCs w:val="32"/>
          <w:lang w:val="en-US" w:eastAsia="zh-CN"/>
        </w:rPr>
        <w:t>268.18</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98.2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；项目支出</w:t>
      </w:r>
      <w:r>
        <w:rPr>
          <w:rFonts w:hint="eastAsia" w:ascii="仿宋_GB2312" w:hAnsi="Times New Roman" w:eastAsia="仿宋_GB2312" w:cs="仿宋_GB2312"/>
          <w:sz w:val="32"/>
          <w:szCs w:val="32"/>
          <w:lang w:val="en-US" w:eastAsia="zh-CN"/>
        </w:rPr>
        <w:t>4.85</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pPr>
        <w:autoSpaceDE w:val="0"/>
        <w:autoSpaceDN w:val="0"/>
        <w:adjustRightInd w:val="0"/>
        <w:jc w:val="center"/>
      </w:pPr>
      <w:r>
        <w:pict>
          <v:shape id="_x0000_i1026" o:spt="75" type="#_x0000_t75" style="height:220.5pt;width:300pt;" filled="f" stroked="f" coordsize="21600,21600" o:gfxdata="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">
            <v:path/>
            <v:fill on="f" focussize="0,0"/>
            <v:stroke on="f"/>
            <v:imagedata r:id="rId17" o:title=""/>
            <o:lock v:ext="edit" aspectratio="t"/>
            <w10:wrap type="none"/>
            <w10:anchorlock/>
          </v:shape>
        </w:pict>
      </w:r>
    </w:p>
    <w:p>
      <w:pPr>
        <w:autoSpaceDE w:val="0"/>
        <w:autoSpaceDN w:val="0"/>
        <w:adjustRightInd w:val="0"/>
        <w:jc w:val="center"/>
        <w:rPr>
          <w:rFonts w:hint="default"/>
          <w:lang w:val="en-US" w:eastAsia="zh-CN"/>
        </w:rPr>
      </w:pPr>
      <w:r>
        <w:rPr>
          <w:rFonts w:hint="eastAsia"/>
          <w:lang w:eastAsia="zh-CN"/>
        </w:rPr>
        <w:t>图</w:t>
      </w:r>
      <w:r>
        <w:rPr>
          <w:rFonts w:hint="eastAsia"/>
          <w:lang w:val="en-US" w:eastAsia="zh-CN"/>
        </w:rPr>
        <w:t>2：支出</w:t>
      </w:r>
      <w:r>
        <w:rPr>
          <w:rFonts w:hint="eastAsia"/>
          <w:lang w:eastAsia="zh-CN"/>
        </w:rPr>
        <w:t>决算构成情况（按支出性质）</w:t>
      </w:r>
    </w:p>
    <w:p>
      <w:pPr>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四、</w:t>
      </w:r>
      <w:r>
        <w:rPr>
          <w:rFonts w:hint="eastAsia" w:ascii="黑体" w:hAnsi="Cambria" w:eastAsia="黑体" w:cs="黑体"/>
          <w:kern w:val="0"/>
          <w:sz w:val="32"/>
          <w:szCs w:val="32"/>
        </w:rPr>
        <w:t>财政</w:t>
      </w:r>
      <w:r>
        <w:rPr>
          <w:rFonts w:hint="eastAsia" w:ascii="黑体" w:eastAsia="黑体" w:cs="黑体"/>
          <w:sz w:val="32"/>
          <w:szCs w:val="32"/>
        </w:rPr>
        <w:t>拨款收入支出决算总体情况说明</w:t>
      </w:r>
    </w:p>
    <w:p>
      <w:pPr>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2021</w:t>
      </w:r>
      <w:r>
        <w:rPr>
          <w:rFonts w:hint="eastAsia" w:ascii="楷体_GB2312" w:hAnsi="Times New Roman" w:eastAsia="楷体_GB2312" w:cs="楷体_GB2312"/>
          <w:b/>
          <w:bCs/>
          <w:sz w:val="32"/>
          <w:szCs w:val="32"/>
        </w:rPr>
        <w:t>年度决算对比情况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273.08</w:t>
      </w:r>
      <w:r>
        <w:rPr>
          <w:rFonts w:hint="eastAsia" w:ascii="仿宋_GB2312" w:hAnsi="Times New Roman" w:eastAsia="仿宋_GB2312" w:cs="仿宋_GB2312"/>
          <w:sz w:val="32"/>
          <w:szCs w:val="32"/>
        </w:rPr>
        <w:t>万元</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年度增加</w:t>
      </w:r>
      <w:r>
        <w:rPr>
          <w:rFonts w:hint="eastAsia" w:ascii="仿宋_GB2312" w:hAnsi="Times New Roman" w:eastAsia="仿宋_GB2312" w:cs="仿宋_GB2312"/>
          <w:sz w:val="32"/>
          <w:szCs w:val="32"/>
          <w:lang w:val="en-US" w:eastAsia="zh-CN"/>
        </w:rPr>
        <w:t>75.42</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38.2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住房公积金和养老保险基数调整、奖金补发、新增劳务派遣人员使人员经费和公用经费增加</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273.03</w:t>
      </w:r>
      <w:r>
        <w:rPr>
          <w:rFonts w:hint="eastAsia" w:ascii="仿宋_GB2312" w:hAnsi="Times New Roman" w:eastAsia="仿宋_GB2312" w:cs="仿宋_GB2312"/>
          <w:sz w:val="32"/>
          <w:szCs w:val="32"/>
        </w:rPr>
        <w:t>万元，增加</w:t>
      </w:r>
      <w:r>
        <w:rPr>
          <w:rFonts w:hint="eastAsia" w:ascii="仿宋_GB2312" w:hAnsi="Times New Roman" w:eastAsia="仿宋_GB2312" w:cs="仿宋_GB2312"/>
          <w:sz w:val="32"/>
          <w:szCs w:val="32"/>
          <w:lang w:val="en-US" w:eastAsia="zh-CN"/>
        </w:rPr>
        <w:t>74.74</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37.7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住房公积金和养老保险基数调整、奖金补发、新增劳务派遣人员使人员经费和公用经费支出增加</w:t>
      </w:r>
      <w:r>
        <w:rPr>
          <w:rFonts w:hint="eastAsia" w:ascii="仿宋_GB2312" w:hAnsi="Times New Roman" w:eastAsia="仿宋_GB2312" w:cs="仿宋_GB2312"/>
          <w:sz w:val="32"/>
          <w:szCs w:val="32"/>
        </w:rPr>
        <w:t>。具体情况如下：</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一般公共预算财政拨款本年收入</w:t>
      </w:r>
      <w:r>
        <w:rPr>
          <w:rFonts w:hint="eastAsia" w:ascii="仿宋_GB2312" w:hAnsi="Times New Roman" w:eastAsia="仿宋_GB2312" w:cs="仿宋_GB2312"/>
          <w:sz w:val="32"/>
          <w:szCs w:val="32"/>
          <w:lang w:val="en-US" w:eastAsia="zh-CN"/>
        </w:rPr>
        <w:t>273.08</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75.42</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住房公积金和养老保险基数调整、奖金补发、新增劳务派遣人员</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273.03</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74.74</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37.7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住房公积金和养老保险基数调整、奖金补发、新增劳务派遣人员</w:t>
      </w:r>
      <w:r>
        <w:rPr>
          <w:rFonts w:hint="eastAsia" w:ascii="仿宋_GB2312" w:hAnsi="Times New Roman" w:eastAsia="仿宋_GB2312" w:cs="仿宋_GB2312"/>
          <w:sz w:val="32"/>
          <w:szCs w:val="32"/>
        </w:rPr>
        <w:t>。</w:t>
      </w:r>
    </w:p>
    <w:p>
      <w:pPr>
        <w:snapToGrid w:val="0"/>
        <w:spacing w:line="580" w:lineRule="exact"/>
        <w:ind w:firstLine="643" w:firstLineChars="200"/>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273.08</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116.0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37.56</w:t>
      </w:r>
      <w:r>
        <w:rPr>
          <w:rFonts w:hint="eastAsia" w:ascii="仿宋_GB2312" w:hAnsi="Times New Roman" w:eastAsia="仿宋_GB2312" w:cs="仿宋_GB2312"/>
          <w:sz w:val="32"/>
          <w:szCs w:val="32"/>
        </w:rPr>
        <w:t>万元，决算数大于预算数主要原因是</w:t>
      </w:r>
      <w:r>
        <w:rPr>
          <w:rFonts w:hint="eastAsia" w:ascii="仿宋_GB2312" w:hAnsi="Times New Roman" w:eastAsia="仿宋_GB2312" w:cs="仿宋_GB2312"/>
          <w:sz w:val="32"/>
          <w:szCs w:val="32"/>
          <w:lang w:eastAsia="zh-CN"/>
        </w:rPr>
        <w:t>住房公积金和养老保险基数调整、奖金补发、新增劳务派遣人员</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273.03</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116.0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37.51</w:t>
      </w:r>
      <w:r>
        <w:rPr>
          <w:rFonts w:hint="eastAsia" w:ascii="仿宋_GB2312" w:hAnsi="Times New Roman" w:eastAsia="仿宋_GB2312" w:cs="仿宋_GB2312"/>
          <w:sz w:val="32"/>
          <w:szCs w:val="32"/>
        </w:rPr>
        <w:t>万元，决算数大于预算数主要原因是</w:t>
      </w:r>
      <w:r>
        <w:rPr>
          <w:rFonts w:hint="eastAsia" w:ascii="仿宋_GB2312" w:hAnsi="Times New Roman" w:eastAsia="仿宋_GB2312" w:cs="仿宋_GB2312"/>
          <w:sz w:val="32"/>
          <w:szCs w:val="32"/>
          <w:lang w:eastAsia="zh-CN"/>
        </w:rPr>
        <w:t>住房公积金和养老保险基数调整、奖金补发、新增劳务派遣人员</w:t>
      </w:r>
      <w:r>
        <w:rPr>
          <w:rFonts w:hint="eastAsia" w:ascii="仿宋_GB2312" w:hAnsi="Times New Roman" w:eastAsia="仿宋_GB2312" w:cs="仿宋_GB2312"/>
          <w:sz w:val="32"/>
          <w:szCs w:val="32"/>
        </w:rPr>
        <w:t>。具体情况如下：</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一般公共预算财政拨款本年收入完成年初预算</w:t>
      </w:r>
      <w:r>
        <w:rPr>
          <w:rFonts w:hint="eastAsia" w:ascii="仿宋_GB2312" w:hAnsi="Times New Roman" w:eastAsia="仿宋_GB2312" w:cs="仿宋_GB2312"/>
          <w:sz w:val="32"/>
          <w:szCs w:val="32"/>
          <w:lang w:val="en-US" w:eastAsia="zh-CN"/>
        </w:rPr>
        <w:t>116.0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37.56</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住房公积金和养老保险基数调整、奖金补发、新增劳务派遣人员</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116.0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37.51</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住房公积金和养老保险基数调整、奖金补发、新增劳务派遣人员</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政府性基金预算财政拨款。</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国有资本经营预算财政拨款。</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pPr>
      <w:r>
        <w:pict>
          <v:shape id="_x0000_i1027" o:spt="75" type="#_x0000_t75" style="height:161pt;width:300.6pt;" filled="f" o:preferrelative="t" stroked="f" coordsize="21600,21600" o:gfxdata="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">
            <v:path/>
            <v:fill on="f" focussize="0,0"/>
            <v:stroke on="f"/>
            <v:imagedata r:id="rId18" o:title=""/>
            <o:lock v:ext="edit" aspectratio="f"/>
            <w10:wrap type="none"/>
            <w10:anchorlock/>
          </v:shape>
        </w:pic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lang w:val="en-US" w:eastAsia="zh-CN"/>
        </w:rPr>
      </w:pPr>
      <w:r>
        <w:rPr>
          <w:rFonts w:hint="eastAsia"/>
          <w:lang w:eastAsia="zh-CN"/>
        </w:rPr>
        <w:t>图</w:t>
      </w:r>
      <w:r>
        <w:rPr>
          <w:rFonts w:hint="eastAsia"/>
          <w:lang w:val="en-US" w:eastAsia="zh-CN"/>
        </w:rPr>
        <w:t>3：</w:t>
      </w:r>
      <w:r>
        <w:rPr>
          <w:rFonts w:hint="eastAsia" w:ascii="仿宋_GB2312" w:hAnsi="Times New Roman" w:eastAsia="仿宋_GB2312" w:cs="仿宋_GB2312"/>
          <w:sz w:val="24"/>
          <w:szCs w:val="24"/>
          <w:highlight w:val="none"/>
          <w:lang w:val="en-US" w:eastAsia="zh-CN"/>
        </w:rPr>
        <w:t>2022年预决算财政拨款收入支出对比情况</w:t>
      </w:r>
    </w:p>
    <w:p>
      <w:pPr>
        <w:numPr>
          <w:ilvl w:val="0"/>
          <w:numId w:val="1"/>
        </w:num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Times New Roman"/>
          <w:sz w:val="32"/>
          <w:szCs w:val="32"/>
          <w:highlight w:val="yellow"/>
          <w:lang w:eastAsia="zh-CN"/>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年度财政拨款支出</w:t>
      </w:r>
      <w:r>
        <w:rPr>
          <w:rFonts w:hint="eastAsia" w:ascii="仿宋_GB2312" w:hAnsi="Times New Roman" w:eastAsia="仿宋_GB2312" w:cs="仿宋_GB2312"/>
          <w:sz w:val="32"/>
          <w:szCs w:val="32"/>
          <w:lang w:val="en-US" w:eastAsia="zh-CN"/>
        </w:rPr>
        <w:t>273.03</w:t>
      </w:r>
      <w:r>
        <w:rPr>
          <w:rFonts w:hint="eastAsia" w:ascii="仿宋_GB2312" w:hAnsi="Times New Roman" w:eastAsia="仿宋_GB2312" w:cs="仿宋_GB2312"/>
          <w:sz w:val="32"/>
          <w:szCs w:val="32"/>
        </w:rPr>
        <w:t>万元，主要用于以下方面</w:t>
      </w:r>
      <w:r>
        <w:rPr>
          <w:rFonts w:hint="eastAsia" w:ascii="仿宋_GB2312" w:hAnsi="Times New Roman" w:eastAsia="仿宋_GB2312" w:cs="仿宋_GB2312"/>
          <w:sz w:val="32"/>
          <w:szCs w:val="32"/>
          <w:lang w:eastAsia="zh-CN"/>
        </w:rPr>
        <w:t>：</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一般公共服务（类）支出</w:t>
      </w:r>
      <w:r>
        <w:rPr>
          <w:rFonts w:hint="eastAsia" w:ascii="仿宋_GB2312" w:hAnsi="Times New Roman" w:eastAsia="仿宋_GB2312" w:cs="仿宋_GB2312"/>
          <w:sz w:val="32"/>
          <w:szCs w:val="32"/>
          <w:lang w:val="en-US" w:eastAsia="zh-CN"/>
        </w:rPr>
        <w:t>199.03</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72.9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eastAsia="zh-CN"/>
        </w:rPr>
        <w:t>基本支出、项目</w:t>
      </w:r>
      <w:r>
        <w:rPr>
          <w:rFonts w:hint="eastAsia" w:ascii="仿宋_GB2312" w:hAnsi="Times New Roman" w:eastAsia="仿宋_GB2312" w:cs="仿宋_GB2312"/>
          <w:sz w:val="32"/>
          <w:szCs w:val="32"/>
        </w:rPr>
        <w:t>支出；社会保障和就业（类）支出</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53.76</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19.7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卫生健康（类）支出</w:t>
      </w:r>
      <w:r>
        <w:rPr>
          <w:rFonts w:hint="eastAsia" w:ascii="仿宋_GB2312" w:hAnsi="Times New Roman" w:eastAsia="仿宋_GB2312" w:cs="仿宋_GB2312"/>
          <w:sz w:val="32"/>
          <w:szCs w:val="32"/>
          <w:lang w:val="en-US" w:eastAsia="zh-CN"/>
        </w:rPr>
        <w:t>8.53万元，占3.1%；</w:t>
      </w:r>
      <w:r>
        <w:rPr>
          <w:rFonts w:hint="eastAsia" w:ascii="仿宋_GB2312" w:hAnsi="Times New Roman" w:eastAsia="仿宋_GB2312" w:cs="仿宋_GB2312"/>
          <w:sz w:val="32"/>
          <w:szCs w:val="32"/>
        </w:rPr>
        <w:t>住房保障（类）支出</w:t>
      </w:r>
      <w:r>
        <w:rPr>
          <w:rFonts w:hint="eastAsia" w:ascii="仿宋_GB2312" w:hAnsi="Times New Roman" w:eastAsia="仿宋_GB2312" w:cs="仿宋_GB2312"/>
          <w:sz w:val="32"/>
          <w:szCs w:val="32"/>
          <w:lang w:val="en-US" w:eastAsia="zh-CN"/>
        </w:rPr>
        <w:t>11.71</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4.3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pPr>
      <w:r>
        <w:pict>
          <v:shape id="_x0000_i1028" o:spt="75" type="#_x0000_t75" style="height:164.1pt;width:273.2pt;" filled="f" o:preferrelative="t" stroked="f" coordsize="21600,21600" o:gfxdata="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">
            <v:path/>
            <v:fill on="f" focussize="0,0"/>
            <v:stroke on="f"/>
            <v:imagedata r:id="rId19" o:title=""/>
            <o:lock v:ext="edit" aspectratio="f"/>
            <w10:wrap type="none"/>
            <w10:anchorlock/>
          </v:shape>
        </w:pic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lang w:val="en-US" w:eastAsia="zh-CN"/>
        </w:rPr>
      </w:pPr>
      <w:r>
        <w:rPr>
          <w:rFonts w:hint="eastAsia"/>
          <w:lang w:eastAsia="zh-CN"/>
        </w:rPr>
        <w:t>图</w:t>
      </w:r>
      <w:r>
        <w:rPr>
          <w:rFonts w:hint="eastAsia"/>
          <w:lang w:val="en-US" w:eastAsia="zh-CN"/>
        </w:rPr>
        <w:t>4：2022年度财政拨款支出决算结构情况</w:t>
      </w:r>
    </w:p>
    <w:p>
      <w:p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年度财政拨款基本支出</w:t>
      </w:r>
      <w:r>
        <w:rPr>
          <w:rFonts w:hint="eastAsia" w:ascii="仿宋_GB2312" w:hAnsi="Times New Roman" w:eastAsia="仿宋_GB2312" w:cs="仿宋_GB2312"/>
          <w:sz w:val="32"/>
          <w:szCs w:val="32"/>
          <w:lang w:val="en-US" w:eastAsia="zh-CN"/>
        </w:rPr>
        <w:t>268.18</w:t>
      </w:r>
      <w:r>
        <w:rPr>
          <w:rFonts w:hint="eastAsia" w:ascii="仿宋_GB2312" w:hAnsi="Times New Roman" w:eastAsia="仿宋_GB2312" w:cs="仿宋_GB2312"/>
          <w:sz w:val="32"/>
          <w:szCs w:val="32"/>
        </w:rPr>
        <w:t>万元，其中：</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人员经费</w:t>
      </w:r>
      <w:r>
        <w:rPr>
          <w:rFonts w:hint="eastAsia" w:ascii="仿宋_GB2312" w:hAnsi="Times New Roman" w:eastAsia="仿宋_GB2312" w:cs="仿宋_GB2312"/>
          <w:sz w:val="32"/>
          <w:szCs w:val="32"/>
          <w:lang w:val="en-US" w:eastAsia="zh-CN"/>
        </w:rPr>
        <w:t>212.84</w:t>
      </w:r>
      <w:r>
        <w:rPr>
          <w:rFonts w:hint="eastAsia" w:ascii="仿宋_GB2312" w:hAnsi="Times New Roman" w:eastAsia="仿宋_GB2312" w:cs="仿宋_GB2312"/>
          <w:sz w:val="32"/>
          <w:szCs w:val="32"/>
        </w:rPr>
        <w:t>万元，主要包括基本工资、津贴补贴、奖金、绩效工资、机关事业单位基本养老保险缴费、职业年金缴费、职工基本医疗保险缴费、公务员医疗补助缴费、住房公积金、其他社会保障缴费、其他工资福利支出、生活补助、其他对个人和家庭的补助支出。</w:t>
      </w:r>
    </w:p>
    <w:p>
      <w:pPr>
        <w:adjustRightInd w:val="0"/>
        <w:snapToGrid w:val="0"/>
        <w:spacing w:line="580" w:lineRule="exact"/>
        <w:ind w:firstLine="640" w:firstLineChars="200"/>
        <w:rPr>
          <w:rFonts w:hint="eastAsia" w:ascii="仿宋_GB2312" w:hAnsi="Times New Roman" w:eastAsia="仿宋_GB2312" w:cs="Times New Roman"/>
          <w:sz w:val="32"/>
          <w:szCs w:val="32"/>
          <w:lang w:eastAsia="zh-CN"/>
        </w:rPr>
      </w:pPr>
      <w:r>
        <w:rPr>
          <w:rFonts w:hint="eastAsia" w:ascii="仿宋_GB2312" w:hAnsi="Times New Roman" w:eastAsia="仿宋_GB2312" w:cs="仿宋_GB2312"/>
          <w:sz w:val="32"/>
          <w:szCs w:val="32"/>
        </w:rPr>
        <w:t>公用经费</w:t>
      </w:r>
      <w:r>
        <w:rPr>
          <w:rFonts w:hint="eastAsia" w:ascii="仿宋_GB2312" w:hAnsi="Times New Roman" w:eastAsia="仿宋_GB2312" w:cs="仿宋_GB2312"/>
          <w:sz w:val="32"/>
          <w:szCs w:val="32"/>
          <w:lang w:val="en-US" w:eastAsia="zh-CN"/>
        </w:rPr>
        <w:t>55.34</w:t>
      </w:r>
      <w:r>
        <w:rPr>
          <w:rFonts w:hint="eastAsia" w:ascii="仿宋_GB2312" w:hAnsi="Times New Roman" w:eastAsia="仿宋_GB2312" w:cs="仿宋_GB2312"/>
          <w:sz w:val="32"/>
          <w:szCs w:val="32"/>
        </w:rPr>
        <w:t>万元，主要包括办公费、差旅费、委托业务费、工会经费、福利费、其他交通费用、其他商品和服务支出</w:t>
      </w:r>
      <w:r>
        <w:rPr>
          <w:rFonts w:hint="eastAsia" w:ascii="仿宋_GB2312" w:hAnsi="Times New Roman" w:eastAsia="仿宋_GB2312" w:cs="仿宋_GB2312"/>
          <w:sz w:val="32"/>
          <w:szCs w:val="32"/>
          <w:lang w:eastAsia="zh-CN"/>
        </w:rPr>
        <w:t>。</w:t>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五、财政拨款“三公”</w:t>
      </w:r>
      <w:r>
        <w:rPr>
          <w:rFonts w:ascii="黑体" w:eastAsia="黑体" w:cs="黑体"/>
          <w:sz w:val="32"/>
          <w:szCs w:val="32"/>
        </w:rPr>
        <w:t xml:space="preserve"> </w:t>
      </w:r>
      <w:r>
        <w:rPr>
          <w:rFonts w:hint="eastAsia" w:ascii="黑体" w:eastAsia="黑体" w:cs="黑体"/>
          <w:sz w:val="32"/>
          <w:szCs w:val="32"/>
        </w:rPr>
        <w:t>经费支出决算情况说明</w:t>
      </w: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（一）“三公”经费财政拨款支出决算总体情况说明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年度“三公”经费财政拨款支出预算为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万元，支出决算为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与</w:t>
      </w:r>
      <w:r>
        <w:rPr>
          <w:rFonts w:hint="eastAsia" w:ascii="仿宋_GB2312" w:hAnsi="Times New Roman" w:eastAsia="仿宋_GB2312" w:cs="仿宋_GB2312"/>
          <w:sz w:val="32"/>
          <w:szCs w:val="32"/>
        </w:rPr>
        <w:t>预算</w:t>
      </w:r>
      <w:r>
        <w:rPr>
          <w:rFonts w:hint="eastAsia" w:ascii="仿宋_GB2312" w:hAnsi="Times New Roman" w:eastAsia="仿宋_GB2312" w:cs="仿宋_GB2312"/>
          <w:sz w:val="32"/>
          <w:szCs w:val="32"/>
          <w:lang w:eastAsia="zh-CN"/>
        </w:rPr>
        <w:t>持平，与</w:t>
      </w:r>
      <w:r>
        <w:rPr>
          <w:rFonts w:hint="eastAsia" w:ascii="仿宋_GB2312" w:hAnsi="Times New Roman" w:eastAsia="仿宋_GB2312" w:cs="仿宋_GB2312"/>
          <w:sz w:val="32"/>
          <w:szCs w:val="32"/>
          <w:lang w:val="en-US" w:eastAsia="zh-CN"/>
        </w:rPr>
        <w:t>2021年度决算支出持平</w:t>
      </w:r>
      <w:r>
        <w:rPr>
          <w:rFonts w:hint="eastAsia" w:ascii="仿宋_GB2312" w:hAnsi="Times New Roman" w:eastAsia="仿宋_GB2312" w:cs="仿宋_GB2312"/>
          <w:sz w:val="32"/>
          <w:szCs w:val="32"/>
        </w:rPr>
        <w:t>。</w:t>
      </w: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（二）“三公”经费财政拨款支出决算具体情况说明</w:t>
      </w:r>
    </w:p>
    <w:p>
      <w:pPr>
        <w:adjustRightInd w:val="0"/>
        <w:snapToGrid w:val="0"/>
        <w:spacing w:line="580" w:lineRule="exact"/>
        <w:ind w:firstLine="643" w:firstLineChars="200"/>
        <w:rPr>
          <w:rFonts w:hint="eastAsia" w:ascii="仿宋_GB2312" w:hAnsi="Times New Roman" w:eastAsia="仿宋_GB2312" w:cs="仿宋_GB2312"/>
          <w:sz w:val="32"/>
          <w:szCs w:val="32"/>
          <w:lang w:val="en-US" w:eastAsia="zh-CN"/>
        </w:rPr>
      </w:pPr>
      <w:r>
        <w:rPr>
          <w:rFonts w:ascii="楷体_GB2312" w:hAnsi="Times New Roman" w:eastAsia="楷体_GB2312" w:cs="楷体_GB2312"/>
          <w:b/>
          <w:bCs/>
          <w:sz w:val="32"/>
          <w:szCs w:val="32"/>
        </w:rPr>
        <w:t>1.</w:t>
      </w:r>
      <w:r>
        <w:rPr>
          <w:rFonts w:hint="eastAsia" w:ascii="楷体_GB2312" w:hAnsi="Times New Roman" w:eastAsia="楷体_GB2312" w:cs="楷体_GB2312"/>
          <w:b/>
          <w:bCs/>
          <w:sz w:val="32"/>
          <w:szCs w:val="32"/>
        </w:rPr>
        <w:t>因公出国（境）费支出情况。</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未发生</w:t>
      </w:r>
      <w:r>
        <w:rPr>
          <w:rFonts w:hint="eastAsia" w:ascii="仿宋_GB2312" w:hAnsi="Times New Roman" w:eastAsia="仿宋_GB2312" w:cs="仿宋_GB2312"/>
          <w:sz w:val="32"/>
          <w:szCs w:val="32"/>
        </w:rPr>
        <w:t>因公出国（境）费支出</w:t>
      </w:r>
      <w:r>
        <w:rPr>
          <w:rFonts w:hint="eastAsia" w:ascii="仿宋_GB2312" w:hAnsi="Times New Roman" w:eastAsia="仿宋_GB2312" w:cs="仿宋_GB2312"/>
          <w:sz w:val="32"/>
          <w:szCs w:val="32"/>
          <w:lang w:eastAsia="zh-CN"/>
        </w:rPr>
        <w:t>，与</w:t>
      </w:r>
      <w:r>
        <w:rPr>
          <w:rFonts w:hint="eastAsia" w:ascii="仿宋_GB2312" w:hAnsi="Times New Roman" w:eastAsia="仿宋_GB2312" w:cs="仿宋_GB2312"/>
          <w:sz w:val="32"/>
          <w:szCs w:val="32"/>
        </w:rPr>
        <w:t>预算</w:t>
      </w:r>
      <w:r>
        <w:rPr>
          <w:rFonts w:hint="eastAsia" w:ascii="仿宋_GB2312" w:hAnsi="Times New Roman" w:eastAsia="仿宋_GB2312" w:cs="仿宋_GB2312"/>
          <w:sz w:val="32"/>
          <w:szCs w:val="32"/>
          <w:lang w:eastAsia="zh-CN"/>
        </w:rPr>
        <w:t>持平，与</w:t>
      </w:r>
      <w:r>
        <w:rPr>
          <w:rFonts w:hint="eastAsia" w:ascii="仿宋_GB2312" w:hAnsi="Times New Roman" w:eastAsia="仿宋_GB2312" w:cs="仿宋_GB2312"/>
          <w:sz w:val="32"/>
          <w:szCs w:val="32"/>
          <w:lang w:val="en-US" w:eastAsia="zh-CN"/>
        </w:rPr>
        <w:t>2021年度决算支出持平。</w:t>
      </w:r>
    </w:p>
    <w:p>
      <w:pPr>
        <w:adjustRightInd w:val="0"/>
        <w:snapToGrid w:val="0"/>
        <w:spacing w:line="580" w:lineRule="exact"/>
        <w:ind w:firstLine="643" w:firstLineChars="200"/>
        <w:rPr>
          <w:rFonts w:ascii="仿宋_GB2312" w:hAnsi="Times New Roman" w:eastAsia="仿宋_GB2312" w:cs="Times New Roman"/>
          <w:b/>
          <w:bCs/>
          <w:sz w:val="32"/>
          <w:szCs w:val="32"/>
        </w:rPr>
      </w:pPr>
      <w:r>
        <w:rPr>
          <w:rFonts w:ascii="楷体_GB2312" w:hAnsi="Times New Roman" w:eastAsia="楷体_GB2312" w:cs="楷体_GB2312"/>
          <w:b/>
          <w:bCs/>
          <w:sz w:val="32"/>
          <w:szCs w:val="32"/>
        </w:rPr>
        <w:t>2.</w:t>
      </w:r>
      <w:r>
        <w:rPr>
          <w:rFonts w:hint="eastAsia" w:ascii="楷体_GB2312" w:hAnsi="Times New Roman" w:eastAsia="楷体_GB2312" w:cs="楷体_GB2312"/>
          <w:b/>
          <w:bCs/>
          <w:sz w:val="32"/>
          <w:szCs w:val="32"/>
        </w:rPr>
        <w:t>公务用车购置及运行维护费支出情况。</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未发生</w:t>
      </w:r>
      <w:r>
        <w:rPr>
          <w:rFonts w:hint="eastAsia" w:ascii="仿宋_GB2312" w:hAnsi="Times New Roman" w:eastAsia="仿宋_GB2312" w:cs="仿宋_GB2312"/>
          <w:sz w:val="32"/>
          <w:szCs w:val="32"/>
        </w:rPr>
        <w:t>公务用车购置及运行维护费</w:t>
      </w:r>
      <w:r>
        <w:rPr>
          <w:rFonts w:hint="eastAsia" w:ascii="仿宋_GB2312" w:hAnsi="Times New Roman" w:eastAsia="仿宋_GB2312" w:cs="仿宋_GB2312"/>
          <w:sz w:val="32"/>
          <w:szCs w:val="32"/>
          <w:lang w:eastAsia="zh-CN"/>
        </w:rPr>
        <w:t>支出</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与</w:t>
      </w:r>
      <w:r>
        <w:rPr>
          <w:rFonts w:hint="eastAsia" w:ascii="仿宋_GB2312" w:hAnsi="Times New Roman" w:eastAsia="仿宋_GB2312" w:cs="仿宋_GB2312"/>
          <w:sz w:val="32"/>
          <w:szCs w:val="32"/>
        </w:rPr>
        <w:t>预算</w:t>
      </w:r>
      <w:r>
        <w:rPr>
          <w:rFonts w:hint="eastAsia" w:ascii="仿宋_GB2312" w:hAnsi="Times New Roman" w:eastAsia="仿宋_GB2312" w:cs="仿宋_GB2312"/>
          <w:sz w:val="32"/>
          <w:szCs w:val="32"/>
          <w:lang w:eastAsia="zh-CN"/>
        </w:rPr>
        <w:t>持平，与</w:t>
      </w:r>
      <w:r>
        <w:rPr>
          <w:rFonts w:hint="eastAsia" w:ascii="仿宋_GB2312" w:hAnsi="Times New Roman" w:eastAsia="仿宋_GB2312" w:cs="仿宋_GB2312"/>
          <w:sz w:val="32"/>
          <w:szCs w:val="32"/>
          <w:lang w:val="en-US" w:eastAsia="zh-CN"/>
        </w:rPr>
        <w:t>2021年度决算支出持平</w:t>
      </w:r>
      <w:r>
        <w:rPr>
          <w:rFonts w:hint="eastAsia" w:ascii="仿宋_GB2312" w:hAnsi="Times New Roman" w:eastAsia="仿宋_GB2312" w:cs="仿宋_GB2312"/>
          <w:sz w:val="32"/>
          <w:szCs w:val="32"/>
        </w:rPr>
        <w:t>。其中：</w:t>
      </w:r>
    </w:p>
    <w:p>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公务用车购置费支出</w:t>
      </w:r>
      <w:r>
        <w:rPr>
          <w:rFonts w:hint="eastAsia" w:ascii="楷体_GB2312" w:hAnsi="Times New Roman" w:eastAsia="楷体_GB2312" w:cs="楷体_GB2312"/>
          <w:b/>
          <w:bCs/>
          <w:sz w:val="32"/>
          <w:szCs w:val="32"/>
          <w:lang w:val="en-US" w:eastAsia="zh-CN"/>
        </w:rPr>
        <w:t>0</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未发生</w:t>
      </w:r>
      <w:r>
        <w:rPr>
          <w:rFonts w:hint="eastAsia" w:ascii="仿宋_GB2312" w:hAnsi="Times New Roman" w:eastAsia="仿宋_GB2312" w:cs="仿宋_GB2312"/>
          <w:sz w:val="32"/>
          <w:szCs w:val="32"/>
        </w:rPr>
        <w:t>公务用车购置经费支出</w:t>
      </w:r>
      <w:r>
        <w:rPr>
          <w:rFonts w:hint="eastAsia" w:ascii="仿宋_GB2312" w:hAnsi="Times New Roman" w:eastAsia="仿宋_GB2312" w:cs="仿宋_GB2312"/>
          <w:sz w:val="32"/>
          <w:szCs w:val="32"/>
          <w:lang w:eastAsia="zh-CN"/>
        </w:rPr>
        <w:t>，与</w:t>
      </w:r>
      <w:r>
        <w:rPr>
          <w:rFonts w:hint="eastAsia" w:ascii="仿宋_GB2312" w:hAnsi="Times New Roman" w:eastAsia="仿宋_GB2312" w:cs="仿宋_GB2312"/>
          <w:sz w:val="32"/>
          <w:szCs w:val="32"/>
        </w:rPr>
        <w:t>预算</w:t>
      </w:r>
      <w:r>
        <w:rPr>
          <w:rFonts w:hint="eastAsia" w:ascii="仿宋_GB2312" w:hAnsi="Times New Roman" w:eastAsia="仿宋_GB2312" w:cs="仿宋_GB2312"/>
          <w:sz w:val="32"/>
          <w:szCs w:val="32"/>
          <w:lang w:eastAsia="zh-CN"/>
        </w:rPr>
        <w:t>持平，与</w:t>
      </w:r>
      <w:r>
        <w:rPr>
          <w:rFonts w:hint="eastAsia" w:ascii="仿宋_GB2312" w:hAnsi="Times New Roman" w:eastAsia="仿宋_GB2312" w:cs="仿宋_GB2312"/>
          <w:sz w:val="32"/>
          <w:szCs w:val="32"/>
          <w:lang w:val="en-US" w:eastAsia="zh-CN"/>
        </w:rPr>
        <w:t>2021年度决算支出持平</w:t>
      </w:r>
      <w:r>
        <w:rPr>
          <w:rFonts w:hint="eastAsia" w:ascii="仿宋_GB2312" w:hAnsi="Times New Roman" w:eastAsia="仿宋_GB2312" w:cs="仿宋_GB2312"/>
          <w:sz w:val="32"/>
          <w:szCs w:val="32"/>
        </w:rPr>
        <w:t>。</w:t>
      </w:r>
    </w:p>
    <w:p>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公务用车运行维护费支出</w:t>
      </w:r>
      <w:r>
        <w:rPr>
          <w:rFonts w:hint="eastAsia" w:ascii="仿宋_GB2312" w:hAnsi="Times New Roman" w:eastAsia="仿宋_GB2312" w:cs="仿宋_GB2312"/>
          <w:b/>
          <w:bCs/>
          <w:sz w:val="32"/>
          <w:szCs w:val="32"/>
          <w:lang w:val="en-US" w:eastAsia="zh-CN"/>
        </w:rPr>
        <w:t>0</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未发生</w:t>
      </w:r>
      <w:r>
        <w:rPr>
          <w:rFonts w:hint="eastAsia" w:ascii="仿宋_GB2312" w:hAnsi="Times New Roman" w:eastAsia="仿宋_GB2312" w:cs="仿宋_GB2312"/>
          <w:sz w:val="32"/>
          <w:szCs w:val="32"/>
        </w:rPr>
        <w:t>公务用车运行维护费支出。</w:t>
      </w:r>
      <w:r>
        <w:rPr>
          <w:rFonts w:hint="eastAsia" w:ascii="仿宋_GB2312" w:hAnsi="Times New Roman" w:eastAsia="仿宋_GB2312" w:cs="仿宋_GB2312"/>
          <w:sz w:val="32"/>
          <w:szCs w:val="32"/>
          <w:lang w:eastAsia="zh-CN"/>
        </w:rPr>
        <w:t>与</w:t>
      </w:r>
      <w:r>
        <w:rPr>
          <w:rFonts w:hint="eastAsia" w:ascii="仿宋_GB2312" w:hAnsi="Times New Roman" w:eastAsia="仿宋_GB2312" w:cs="仿宋_GB2312"/>
          <w:sz w:val="32"/>
          <w:szCs w:val="32"/>
        </w:rPr>
        <w:t>预算</w:t>
      </w:r>
      <w:r>
        <w:rPr>
          <w:rFonts w:hint="eastAsia" w:ascii="仿宋_GB2312" w:hAnsi="Times New Roman" w:eastAsia="仿宋_GB2312" w:cs="仿宋_GB2312"/>
          <w:sz w:val="32"/>
          <w:szCs w:val="32"/>
          <w:lang w:eastAsia="zh-CN"/>
        </w:rPr>
        <w:t>持平，与</w:t>
      </w:r>
      <w:r>
        <w:rPr>
          <w:rFonts w:hint="eastAsia" w:ascii="仿宋_GB2312" w:hAnsi="Times New Roman" w:eastAsia="仿宋_GB2312" w:cs="仿宋_GB2312"/>
          <w:sz w:val="32"/>
          <w:szCs w:val="32"/>
          <w:lang w:val="en-US" w:eastAsia="zh-CN"/>
        </w:rPr>
        <w:t>2021年度决算支出持平</w:t>
      </w:r>
      <w:r>
        <w:rPr>
          <w:rFonts w:hint="eastAsia" w:ascii="仿宋_GB2312" w:hAnsi="Times New Roman" w:eastAsia="仿宋_GB2312" w:cs="仿宋_GB2312"/>
          <w:sz w:val="32"/>
          <w:szCs w:val="32"/>
        </w:rPr>
        <w:t>。</w:t>
      </w:r>
    </w:p>
    <w:p>
      <w:pPr>
        <w:adjustRightInd w:val="0"/>
        <w:snapToGrid w:val="0"/>
        <w:spacing w:line="580" w:lineRule="exact"/>
        <w:ind w:firstLine="643" w:firstLineChars="200"/>
        <w:rPr>
          <w:rFonts w:ascii="仿宋_GB2312" w:hAnsi="Times New Roman" w:eastAsia="仿宋_GB2312" w:cs="Times New Roman"/>
          <w:sz w:val="32"/>
          <w:szCs w:val="32"/>
        </w:rPr>
      </w:pPr>
      <w:r>
        <w:rPr>
          <w:rFonts w:ascii="楷体_GB2312" w:hAnsi="Times New Roman" w:eastAsia="楷体_GB2312" w:cs="楷体_GB2312"/>
          <w:b/>
          <w:bCs/>
          <w:sz w:val="32"/>
          <w:szCs w:val="32"/>
        </w:rPr>
        <w:t>3.</w:t>
      </w:r>
      <w:r>
        <w:rPr>
          <w:rFonts w:hint="eastAsia" w:ascii="楷体_GB2312" w:hAnsi="Times New Roman" w:eastAsia="楷体_GB2312" w:cs="楷体_GB2312"/>
          <w:b/>
          <w:bCs/>
          <w:sz w:val="32"/>
          <w:szCs w:val="32"/>
        </w:rPr>
        <w:t>公务接待费支出情况。</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未发生</w:t>
      </w:r>
      <w:r>
        <w:rPr>
          <w:rFonts w:hint="eastAsia" w:ascii="仿宋_GB2312" w:hAnsi="Times New Roman" w:eastAsia="仿宋_GB2312" w:cs="仿宋_GB2312"/>
          <w:sz w:val="32"/>
          <w:szCs w:val="32"/>
        </w:rPr>
        <w:t>公务接待费支出</w:t>
      </w:r>
      <w:r>
        <w:rPr>
          <w:rFonts w:hint="eastAsia" w:ascii="仿宋_GB2312" w:hAnsi="Times New Roman" w:eastAsia="仿宋_GB2312" w:cs="仿宋_GB2312"/>
          <w:sz w:val="32"/>
          <w:szCs w:val="32"/>
          <w:lang w:eastAsia="zh-CN"/>
        </w:rPr>
        <w:t>，与</w:t>
      </w:r>
      <w:r>
        <w:rPr>
          <w:rFonts w:hint="eastAsia" w:ascii="仿宋_GB2312" w:hAnsi="Times New Roman" w:eastAsia="仿宋_GB2312" w:cs="仿宋_GB2312"/>
          <w:sz w:val="32"/>
          <w:szCs w:val="32"/>
        </w:rPr>
        <w:t>预算</w:t>
      </w:r>
      <w:r>
        <w:rPr>
          <w:rFonts w:hint="eastAsia" w:ascii="仿宋_GB2312" w:hAnsi="Times New Roman" w:eastAsia="仿宋_GB2312" w:cs="仿宋_GB2312"/>
          <w:sz w:val="32"/>
          <w:szCs w:val="32"/>
          <w:lang w:eastAsia="zh-CN"/>
        </w:rPr>
        <w:t>持平，与</w:t>
      </w:r>
      <w:r>
        <w:rPr>
          <w:rFonts w:hint="eastAsia" w:ascii="仿宋_GB2312" w:hAnsi="Times New Roman" w:eastAsia="仿宋_GB2312" w:cs="仿宋_GB2312"/>
          <w:sz w:val="32"/>
          <w:szCs w:val="32"/>
          <w:lang w:val="en-US" w:eastAsia="zh-CN"/>
        </w:rPr>
        <w:t>2021年度决算支出持平</w:t>
      </w:r>
      <w:r>
        <w:rPr>
          <w:rFonts w:hint="eastAsia" w:ascii="仿宋_GB2312" w:hAnsi="Times New Roman" w:eastAsia="仿宋_GB2312" w:cs="仿宋_GB2312"/>
          <w:sz w:val="32"/>
          <w:szCs w:val="32"/>
        </w:rPr>
        <w:t>。</w:t>
      </w:r>
    </w:p>
    <w:p>
      <w:pPr>
        <w:adjustRightInd w:val="0"/>
        <w:snapToGrid w:val="0"/>
        <w:spacing w:line="580" w:lineRule="exact"/>
        <w:ind w:left="420" w:leftChars="200" w:firstLine="320" w:firstLineChars="100"/>
        <w:rPr>
          <w:rFonts w:ascii="仿宋_GB2312" w:hAnsi="仿宋_GB2312" w:eastAsia="仿宋_GB2312" w:cs="Times New Roman"/>
          <w:sz w:val="32"/>
          <w:szCs w:val="32"/>
        </w:rPr>
      </w:pPr>
      <w:r>
        <w:rPr>
          <w:rFonts w:hint="eastAsia" w:ascii="黑体" w:eastAsia="黑体" w:cs="黑体"/>
          <w:sz w:val="32"/>
          <w:szCs w:val="32"/>
        </w:rPr>
        <w:t>六、机关运行经费支出说明</w:t>
      </w:r>
    </w:p>
    <w:p>
      <w:pPr>
        <w:adjustRightInd w:val="0"/>
        <w:snapToGrid w:val="0"/>
        <w:spacing w:line="580" w:lineRule="exact"/>
        <w:ind w:firstLine="640" w:firstLineChars="200"/>
        <w:rPr>
          <w:rFonts w:hint="eastAsia" w:ascii="仿宋_GB2312" w:hAnsi="Times New Roman" w:eastAsia="仿宋_GB2312" w:cs="Times New Roman"/>
          <w:sz w:val="32"/>
          <w:szCs w:val="32"/>
          <w:lang w:eastAsia="zh-CN"/>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机关运行经费支出</w:t>
      </w:r>
      <w:r>
        <w:rPr>
          <w:rFonts w:hint="eastAsia" w:ascii="仿宋_GB2312" w:hAnsi="Times New Roman" w:eastAsia="仿宋_GB2312" w:cs="仿宋_GB2312"/>
          <w:sz w:val="32"/>
          <w:szCs w:val="32"/>
          <w:lang w:eastAsia="zh-CN"/>
        </w:rPr>
        <w:t>。</w:t>
      </w: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七、政府采购支出说明</w:t>
      </w:r>
    </w:p>
    <w:p>
      <w:pPr>
        <w:snapToGrid w:val="0"/>
        <w:spacing w:line="580" w:lineRule="exact"/>
        <w:ind w:firstLine="640" w:firstLineChars="200"/>
        <w:jc w:val="left"/>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年度政府采购支出总额</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w:t>
      </w:r>
    </w:p>
    <w:p>
      <w:pPr>
        <w:snapToGrid w:val="0"/>
        <w:spacing w:line="580" w:lineRule="exact"/>
        <w:ind w:firstLine="640" w:firstLineChars="200"/>
        <w:jc w:val="left"/>
        <w:rPr>
          <w:rFonts w:ascii="仿宋_GB2312" w:hAnsi="Times New Roman" w:eastAsia="仿宋_GB2312" w:cs="Times New Roman"/>
          <w:sz w:val="32"/>
          <w:szCs w:val="32"/>
          <w:highlight w:val="yellow"/>
        </w:rPr>
      </w:pPr>
      <w:r>
        <w:rPr>
          <w:rFonts w:hint="eastAsia" w:ascii="黑体" w:eastAsia="黑体" w:cs="黑体"/>
          <w:sz w:val="32"/>
          <w:szCs w:val="32"/>
        </w:rPr>
        <w:t>八、国有资产占用情况说明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截至</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w:t>
      </w:r>
      <w:r>
        <w:rPr>
          <w:rFonts w:ascii="仿宋_GB2312" w:hAnsi="Times New Roman" w:eastAsia="仿宋_GB2312" w:cs="仿宋_GB2312"/>
          <w:sz w:val="32"/>
          <w:szCs w:val="32"/>
        </w:rPr>
        <w:t>12</w:t>
      </w:r>
      <w:r>
        <w:rPr>
          <w:rFonts w:hint="eastAsia" w:ascii="仿宋_GB2312" w:hAnsi="Times New Roman" w:eastAsia="仿宋_GB2312" w:cs="仿宋_GB2312"/>
          <w:sz w:val="32"/>
          <w:szCs w:val="32"/>
        </w:rPr>
        <w:t>月</w:t>
      </w:r>
      <w:r>
        <w:rPr>
          <w:rFonts w:ascii="仿宋_GB2312" w:hAnsi="Times New Roman" w:eastAsia="仿宋_GB2312" w:cs="仿宋_GB2312"/>
          <w:sz w:val="32"/>
          <w:szCs w:val="32"/>
        </w:rPr>
        <w:t>31</w:t>
      </w:r>
      <w:r>
        <w:rPr>
          <w:rFonts w:hint="eastAsia" w:ascii="仿宋_GB2312" w:hAnsi="Times New Roman" w:eastAsia="仿宋_GB2312" w:cs="仿宋_GB2312"/>
          <w:sz w:val="32"/>
          <w:szCs w:val="32"/>
        </w:rPr>
        <w:t>日，本</w:t>
      </w:r>
      <w:r>
        <w:rPr>
          <w:rFonts w:hint="eastAsia" w:ascii="仿宋_GB2312" w:hAnsi="Times New Roman" w:eastAsia="仿宋_GB2312" w:cs="仿宋_GB2312"/>
          <w:sz w:val="32"/>
          <w:szCs w:val="32"/>
          <w:lang w:eastAsia="zh-CN"/>
        </w:rPr>
        <w:t>单位</w:t>
      </w:r>
      <w:r>
        <w:rPr>
          <w:rFonts w:hint="eastAsia" w:ascii="仿宋_GB2312" w:hAnsi="Times New Roman" w:eastAsia="仿宋_GB2312" w:cs="仿宋_GB2312"/>
          <w:sz w:val="32"/>
          <w:szCs w:val="32"/>
        </w:rPr>
        <w:t>共有车辆</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w:t>
      </w:r>
      <w:r>
        <w:rPr>
          <w:rFonts w:hint="eastAsia" w:ascii="仿宋_GB2312" w:hAnsi="Times New Roman" w:eastAsia="仿宋_GB2312" w:cs="仿宋_GB2312"/>
          <w:sz w:val="32"/>
          <w:szCs w:val="32"/>
          <w:lang w:eastAsia="zh-CN"/>
        </w:rPr>
        <w:t>与上年持平。</w:t>
      </w:r>
      <w:r>
        <w:rPr>
          <w:rFonts w:hint="eastAsia" w:ascii="仿宋_GB2312" w:hAnsi="Times New Roman" w:eastAsia="仿宋_GB2312" w:cs="仿宋_GB2312"/>
          <w:sz w:val="32"/>
          <w:szCs w:val="32"/>
        </w:rPr>
        <w:t>单位</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价值</w:t>
      </w:r>
      <w:r>
        <w:rPr>
          <w:rFonts w:ascii="仿宋_GB2312" w:hAnsi="Times New Roman" w:eastAsia="仿宋_GB2312" w:cs="仿宋_GB2312"/>
          <w:sz w:val="32"/>
          <w:szCs w:val="32"/>
        </w:rPr>
        <w:t>100</w:t>
      </w:r>
      <w:r>
        <w:rPr>
          <w:rFonts w:hint="eastAsia" w:ascii="仿宋_GB2312" w:hAnsi="Times New Roman" w:eastAsia="仿宋_GB2312" w:cs="仿宋_GB2312"/>
          <w:sz w:val="32"/>
          <w:szCs w:val="32"/>
        </w:rPr>
        <w:t>万元以上设备</w:t>
      </w:r>
      <w:r>
        <w:rPr>
          <w:rFonts w:hint="eastAsia" w:ascii="仿宋_GB2312" w:hAnsi="Times New Roman" w:eastAsia="仿宋_GB2312" w:cs="仿宋_GB2312"/>
          <w:sz w:val="32"/>
          <w:szCs w:val="32"/>
          <w:lang w:eastAsia="zh-CN"/>
        </w:rPr>
        <w:t>，与上年持平</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黑体" w:hAnsi="Times New Roman" w:eastAsia="黑体" w:cs="Times New Roman"/>
          <w:sz w:val="32"/>
          <w:szCs w:val="32"/>
        </w:rPr>
      </w:pPr>
      <w:r>
        <w:rPr>
          <w:rFonts w:hint="eastAsia" w:ascii="黑体" w:hAnsi="Times New Roman" w:eastAsia="黑体" w:cs="黑体"/>
          <w:sz w:val="32"/>
          <w:szCs w:val="32"/>
        </w:rPr>
        <w:t>九、预算绩效情况说明</w:t>
      </w:r>
    </w:p>
    <w:p>
      <w:pPr>
        <w:adjustRightInd w:val="0"/>
        <w:snapToGrid w:val="0"/>
        <w:spacing w:line="580" w:lineRule="exact"/>
        <w:ind w:firstLine="643" w:firstLineChars="2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根据预算绩效管理要求，本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年度一般公共预算项目支出全面开展绩效自评，其中，一级项目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4.85</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w:t>
      </w:r>
    </w:p>
    <w:p>
      <w:pPr>
        <w:adjustRightInd w:val="0"/>
        <w:snapToGrid w:val="0"/>
        <w:spacing w:line="580" w:lineRule="exact"/>
        <w:ind w:firstLine="640" w:firstLineChars="200"/>
        <w:rPr>
          <w:rFonts w:ascii="仿宋_GB2312" w:hAnsi="仿宋_GB2312" w:eastAsia="仿宋_GB2312" w:cs="Times New Roman"/>
          <w:sz w:val="32"/>
          <w:szCs w:val="32"/>
          <w:highlight w:val="yellow"/>
        </w:rPr>
      </w:pP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档案日常维护费</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个一级项目开展了重点评价，涉及一般公共预算支出</w:t>
      </w:r>
      <w:r>
        <w:rPr>
          <w:rFonts w:hint="eastAsia" w:ascii="仿宋_GB2312" w:hAnsi="仿宋_GB2312" w:eastAsia="仿宋_GB2312" w:cs="仿宋_GB2312"/>
          <w:sz w:val="32"/>
          <w:szCs w:val="32"/>
          <w:lang w:val="en-US" w:eastAsia="zh-CN"/>
        </w:rPr>
        <w:t>4.85</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由单位</w:t>
      </w:r>
      <w:r>
        <w:rPr>
          <w:rFonts w:hint="eastAsia" w:ascii="仿宋_GB2312" w:hAnsi="仿宋_GB2312" w:eastAsia="仿宋_GB2312" w:cs="仿宋_GB2312"/>
          <w:sz w:val="32"/>
          <w:szCs w:val="32"/>
        </w:rPr>
        <w:t>内评审机构开展绩效评价。从评价情况来看，</w:t>
      </w:r>
      <w:r>
        <w:rPr>
          <w:rFonts w:hint="eastAsia" w:ascii="仿宋_GB2312" w:hAnsi="仿宋_GB2312" w:eastAsia="仿宋_GB2312" w:cs="仿宋_GB2312"/>
          <w:sz w:val="32"/>
          <w:szCs w:val="32"/>
          <w:lang w:eastAsia="zh-CN"/>
        </w:rPr>
        <w:t>评价等级为良好。</w:t>
      </w:r>
    </w:p>
    <w:p>
      <w:pPr>
        <w:adjustRightInd w:val="0"/>
        <w:snapToGrid w:val="0"/>
        <w:spacing w:line="580" w:lineRule="exact"/>
        <w:ind w:left="420" w:leftChars="200" w:firstLine="321" w:firstLineChars="1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（二）</w:t>
      </w:r>
      <w:r>
        <w:rPr>
          <w:rFonts w:hint="eastAsia" w:ascii="仿宋_GB2312" w:hAnsi="仿宋_GB2312" w:eastAsia="仿宋_GB2312" w:cs="仿宋_GB2312"/>
          <w:b/>
          <w:bCs/>
          <w:sz w:val="32"/>
          <w:szCs w:val="32"/>
          <w:lang w:eastAsia="zh-CN"/>
        </w:rPr>
        <w:t>单位</w:t>
      </w:r>
      <w:r>
        <w:rPr>
          <w:rFonts w:hint="eastAsia" w:ascii="仿宋_GB2312" w:hAnsi="仿宋_GB2312" w:eastAsia="仿宋_GB2312" w:cs="仿宋_GB2312"/>
          <w:b/>
          <w:bCs/>
          <w:sz w:val="32"/>
          <w:szCs w:val="32"/>
        </w:rPr>
        <w:t>决算中项目绩效自评结果</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在今年</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决算公开中反映</w:t>
      </w:r>
      <w:r>
        <w:rPr>
          <w:rFonts w:hint="eastAsia" w:ascii="仿宋_GB2312" w:hAnsi="仿宋_GB2312" w:eastAsia="仿宋_GB2312" w:cs="仿宋_GB2312"/>
          <w:sz w:val="32"/>
          <w:szCs w:val="32"/>
          <w:lang w:eastAsia="zh-CN"/>
        </w:rPr>
        <w:t>档案日常维护费</w:t>
      </w:r>
      <w:r>
        <w:rPr>
          <w:rFonts w:hint="eastAsia" w:ascii="仿宋_GB2312" w:hAnsi="仿宋_GB2312" w:eastAsia="仿宋_GB2312" w:cs="仿宋_GB2312"/>
          <w:sz w:val="32"/>
          <w:szCs w:val="32"/>
        </w:rPr>
        <w:t>项目绩效自评结果。</w:t>
      </w:r>
    </w:p>
    <w:p>
      <w:pPr>
        <w:numPr>
          <w:ilvl w:val="0"/>
          <w:numId w:val="0"/>
        </w:num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lang w:eastAsia="zh-CN"/>
        </w:rPr>
        <w:t>档案日常维护费</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92</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4.85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4.85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bookmarkStart w:id="0" w:name="_GoBack"/>
      <w:bookmarkEnd w:id="0"/>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。项目绩效目标完成情况：</w:t>
      </w:r>
      <w:r>
        <w:rPr>
          <w:rFonts w:hint="eastAsia" w:ascii="仿宋_GB2312" w:hAnsi="Times New Roman" w:eastAsia="仿宋_GB2312" w:cs="仿宋_GB2312"/>
          <w:sz w:val="32"/>
          <w:szCs w:val="32"/>
          <w:lang w:val="en-US" w:eastAsia="zh-CN"/>
        </w:rPr>
        <w:t>对馆藏档案定时清理灰尘，按时投放鼠药，</w:t>
      </w:r>
      <w:r>
        <w:rPr>
          <w:rFonts w:hint="eastAsia" w:ascii="仿宋_GB2312" w:hAnsi="仿宋_GB2312" w:eastAsia="仿宋_GB2312" w:cs="仿宋_GB2312"/>
          <w:color w:val="auto"/>
          <w:sz w:val="32"/>
          <w:szCs w:val="32"/>
          <w:lang w:val="en-US" w:eastAsia="zh-CN"/>
        </w:rPr>
        <w:t>共接待现场查阅利用者3000余人次，调阅档案7000余卷，出具证明1000余份、4000余页。</w:t>
      </w:r>
    </w:p>
    <w:tbl>
      <w:tblPr>
        <w:tblStyle w:val="6"/>
        <w:tblW w:w="102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15"/>
        <w:gridCol w:w="1080"/>
        <w:gridCol w:w="1080"/>
        <w:gridCol w:w="1245"/>
        <w:gridCol w:w="1410"/>
        <w:gridCol w:w="1080"/>
        <w:gridCol w:w="1080"/>
        <w:gridCol w:w="20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10260"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0" w:type="auto"/>
            <w:gridSpan w:val="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石家庄市鹿泉区档案馆</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档案日常维护费（非专项资金）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23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石家庄市鹿泉区档案馆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4.85</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4.85</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4.85</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4.85</w:t>
            </w: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5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1.对档案的定期检查、日常维护、查阅利用贯彻全年，并做好档案库房“八防”工作</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2.完成年度档案数字化工作。</w:t>
            </w:r>
          </w:p>
        </w:tc>
        <w:tc>
          <w:tcPr>
            <w:tcW w:w="35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对档案的定期检查、日常维护、查阅利用贯彻全年，并做好档案库房“八防”工作</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宋体" w:hAnsi="宋体" w:eastAsia="宋体" w:cs="宋体"/>
                <w:i w:val="0"/>
                <w:iCs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宋体" w:hAnsi="宋体" w:eastAsia="宋体" w:cs="宋体"/>
                <w:i w:val="0"/>
                <w:iCs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宋体" w:hAnsi="宋体" w:eastAsia="宋体" w:cs="宋体"/>
                <w:i w:val="0"/>
                <w:iCs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宋体" w:hAnsi="宋体" w:eastAsia="宋体" w:cs="宋体"/>
                <w:i w:val="0"/>
                <w:iCs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655"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文件级目录数据化工作完成率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方正书宋_GBK" w:hAnsi="方正书宋_GBK" w:eastAsia="方正书宋_GBK" w:cs="方正书宋_GBK"/>
                <w:i w:val="0"/>
                <w:iCs w:val="0"/>
                <w:color w:val="000000"/>
                <w:sz w:val="16"/>
                <w:szCs w:val="16"/>
                <w:u w:val="none"/>
              </w:rPr>
            </w:pPr>
            <w:r>
              <w:rPr>
                <w:rFonts w:hint="default" w:ascii="方正书宋_GBK" w:hAnsi="方正书宋_GBK" w:eastAsia="方正书宋_GBK" w:cs="方正书宋_GBK"/>
                <w:i w:val="0"/>
                <w:iCs w:val="0"/>
                <w:color w:val="000000"/>
                <w:kern w:val="0"/>
                <w:sz w:val="16"/>
                <w:szCs w:val="16"/>
                <w:u w:val="none"/>
                <w:lang w:val="en-US" w:eastAsia="zh-CN" w:bidi="ar"/>
              </w:rPr>
              <w:t>≥85%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207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档案资料完好率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i w:val="0"/>
                <w:iCs w:val="0"/>
                <w:color w:val="000000"/>
                <w:sz w:val="16"/>
                <w:szCs w:val="16"/>
                <w:u w:val="none"/>
              </w:rPr>
            </w:pPr>
            <w:r>
              <w:rPr>
                <w:rFonts w:hint="default" w:ascii="方正书宋_GBK" w:hAnsi="方正书宋_GBK" w:eastAsia="方正书宋_GBK" w:cs="方正书宋_GBK"/>
                <w:i w:val="0"/>
                <w:iCs w:val="0"/>
                <w:color w:val="000000"/>
                <w:kern w:val="0"/>
                <w:sz w:val="16"/>
                <w:szCs w:val="16"/>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207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按时做好库房“八防”</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i w:val="0"/>
                <w:iCs w:val="0"/>
                <w:color w:val="000000"/>
                <w:sz w:val="16"/>
                <w:szCs w:val="16"/>
                <w:u w:val="none"/>
              </w:rPr>
            </w:pPr>
            <w:r>
              <w:rPr>
                <w:rFonts w:hint="default" w:ascii="方正书宋_GBK" w:hAnsi="方正书宋_GBK" w:eastAsia="方正书宋_GBK" w:cs="方正书宋_GBK"/>
                <w:i w:val="0"/>
                <w:iCs w:val="0"/>
                <w:color w:val="000000"/>
                <w:kern w:val="0"/>
                <w:sz w:val="16"/>
                <w:szCs w:val="16"/>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207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每卷（件）档案日常维护费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i w:val="0"/>
                <w:iCs w:val="0"/>
                <w:color w:val="000000"/>
                <w:sz w:val="16"/>
                <w:szCs w:val="16"/>
                <w:u w:val="none"/>
              </w:rPr>
            </w:pPr>
            <w:r>
              <w:rPr>
                <w:rFonts w:hint="default" w:ascii="方正书宋_GBK" w:hAnsi="方正书宋_GBK" w:eastAsia="方正书宋_GBK" w:cs="方正书宋_GBK"/>
                <w:i w:val="0"/>
                <w:iCs w:val="0"/>
                <w:color w:val="000000"/>
                <w:kern w:val="0"/>
                <w:sz w:val="16"/>
                <w:szCs w:val="16"/>
                <w:u w:val="none"/>
                <w:lang w:val="en-US" w:eastAsia="zh-CN" w:bidi="ar"/>
              </w:rPr>
              <w:t>≥2元</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&lt;2</w:t>
            </w:r>
            <w:r>
              <w:rPr>
                <w:rFonts w:hint="eastAsia" w:ascii="宋体" w:hAnsi="宋体" w:eastAsia="宋体" w:cs="宋体"/>
                <w:i w:val="0"/>
                <w:iCs w:val="0"/>
                <w:color w:val="000000"/>
                <w:kern w:val="0"/>
                <w:sz w:val="16"/>
                <w:szCs w:val="16"/>
                <w:u w:val="none"/>
                <w:lang w:val="en-US" w:eastAsia="zh-CN" w:bidi="ar"/>
              </w:rPr>
              <w:t>元</w:t>
            </w:r>
          </w:p>
        </w:tc>
        <w:tc>
          <w:tcPr>
            <w:tcW w:w="207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207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项目持续发挥作用</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i w:val="0"/>
                <w:iCs w:val="0"/>
                <w:color w:val="000000"/>
                <w:sz w:val="16"/>
                <w:szCs w:val="16"/>
                <w:u w:val="none"/>
              </w:rPr>
            </w:pPr>
            <w:r>
              <w:rPr>
                <w:rFonts w:hint="default" w:ascii="方正书宋_GBK" w:hAnsi="方正书宋_GBK" w:eastAsia="方正书宋_GBK" w:cs="方正书宋_GBK"/>
                <w:i w:val="0"/>
                <w:iCs w:val="0"/>
                <w:color w:val="000000"/>
                <w:kern w:val="0"/>
                <w:sz w:val="16"/>
                <w:szCs w:val="16"/>
                <w:u w:val="none"/>
                <w:lang w:val="en-US" w:eastAsia="zh-CN" w:bidi="ar"/>
              </w:rPr>
              <w:t>项目支出能够保障档案安全及查阅利用等事宜</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基本保障</w:t>
            </w:r>
          </w:p>
        </w:tc>
        <w:tc>
          <w:tcPr>
            <w:tcW w:w="207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满意度指标（10）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i w:val="0"/>
                <w:iCs w:val="0"/>
                <w:color w:val="000000"/>
                <w:sz w:val="16"/>
                <w:szCs w:val="16"/>
                <w:u w:val="none"/>
              </w:rPr>
            </w:pPr>
            <w:r>
              <w:rPr>
                <w:rFonts w:hint="default" w:ascii="方正书宋_GBK" w:hAnsi="方正书宋_GBK" w:eastAsia="方正书宋_GBK" w:cs="方正书宋_GBK"/>
                <w:i w:val="0"/>
                <w:iCs w:val="0"/>
                <w:color w:val="000000"/>
                <w:kern w:val="0"/>
                <w:sz w:val="16"/>
                <w:szCs w:val="16"/>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97%</w:t>
            </w:r>
          </w:p>
        </w:tc>
        <w:tc>
          <w:tcPr>
            <w:tcW w:w="207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07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904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因疫情原因，导致档案业务工作进度滞后，档案数字化进度停滞，部分工作未按计划完成年度目标。下步工作将加快档案数字化步伐，提高档案服务质量。</w:t>
            </w:r>
          </w:p>
        </w:tc>
      </w:tr>
    </w:tbl>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（三）</w:t>
      </w:r>
      <w:r>
        <w:rPr>
          <w:rFonts w:hint="eastAsia" w:ascii="仿宋_GB2312" w:hAnsi="仿宋_GB2312" w:eastAsia="仿宋_GB2312" w:cs="仿宋_GB2312"/>
          <w:b/>
          <w:bCs/>
          <w:sz w:val="32"/>
          <w:szCs w:val="32"/>
          <w:lang w:eastAsia="zh-CN"/>
        </w:rPr>
        <w:t>单位</w:t>
      </w:r>
      <w:r>
        <w:rPr>
          <w:rFonts w:hint="eastAsia" w:ascii="仿宋_GB2312" w:hAnsi="仿宋_GB2312" w:eastAsia="仿宋_GB2312" w:cs="仿宋_GB2312"/>
          <w:b/>
          <w:bCs/>
          <w:sz w:val="32"/>
          <w:szCs w:val="32"/>
        </w:rPr>
        <w:t>评价项目绩效评价结果</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hint="eastAsia" w:ascii="仿宋_GB2312" w:hAnsi="Times New Roman" w:eastAsia="仿宋_GB2312" w:cs="仿宋_GB2312"/>
          <w:sz w:val="32"/>
          <w:szCs w:val="32"/>
          <w:lang w:eastAsia="zh-CN"/>
        </w:rPr>
        <w:t>自评效果优秀，同类项目予以支持。</w:t>
      </w:r>
    </w:p>
    <w:p>
      <w:pPr>
        <w:adjustRightInd w:val="0"/>
        <w:snapToGrid w:val="0"/>
        <w:spacing w:line="580" w:lineRule="exact"/>
        <w:ind w:firstLine="640" w:firstLineChars="200"/>
        <w:rPr>
          <w:rFonts w:ascii="楷体_GB2312" w:hAnsi="Times New Roman" w:eastAsia="楷体_GB2312" w:cs="Times New Roman"/>
          <w:b/>
          <w:bCs/>
          <w:sz w:val="32"/>
          <w:szCs w:val="32"/>
        </w:rPr>
      </w:pPr>
      <w:r>
        <w:rPr>
          <w:rFonts w:hint="eastAsia" w:ascii="黑体" w:eastAsia="黑体" w:cs="黑体"/>
          <w:sz w:val="32"/>
          <w:szCs w:val="32"/>
        </w:rPr>
        <w:t>十、其他需要说明的情况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1. </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政府性基金预算财政拨款收入支出决算表、国有资本经营预算财政拨款支出决算表、</w:t>
      </w:r>
      <w:r>
        <w:rPr>
          <w:rFonts w:hint="eastAsia" w:ascii="仿宋_GB2312" w:hAnsi="Times New Roman" w:eastAsia="仿宋_GB2312" w:cs="仿宋_GB2312"/>
          <w:sz w:val="32"/>
          <w:szCs w:val="32"/>
        </w:rPr>
        <w:t>一般公共预算财政拨款“三公”经费支出决算表无收支及结转结余情况，故</w:t>
      </w:r>
      <w:r>
        <w:rPr>
          <w:rFonts w:hint="eastAsia" w:ascii="仿宋_GB2312" w:hAnsi="Times New Roman" w:eastAsia="仿宋_GB2312" w:cs="仿宋_GB2312"/>
          <w:sz w:val="32"/>
          <w:szCs w:val="32"/>
          <w:lang w:val="en-US" w:eastAsia="zh-CN"/>
        </w:rPr>
        <w:t>07、08、09</w:t>
      </w:r>
      <w:r>
        <w:rPr>
          <w:rFonts w:hint="eastAsia" w:ascii="仿宋_GB2312" w:hAnsi="Times New Roman" w:eastAsia="仿宋_GB2312" w:cs="仿宋_GB2312"/>
          <w:sz w:val="32"/>
          <w:szCs w:val="32"/>
        </w:rPr>
        <w:t>表以空表列示。</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2. </w:t>
      </w:r>
      <w:r>
        <w:rPr>
          <w:rFonts w:hint="eastAsia" w:ascii="仿宋_GB2312" w:hAnsi="Times New Roman" w:eastAsia="仿宋_GB2312" w:cs="仿宋_GB2312"/>
          <w:sz w:val="32"/>
          <w:szCs w:val="32"/>
        </w:rPr>
        <w:t>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cs="Times New Roman"/>
          <w:b/>
          <w:bCs/>
          <w:kern w:val="0"/>
          <w:sz w:val="44"/>
          <w:szCs w:val="44"/>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hint="eastAsia" w:ascii="黑体" w:hAnsi="黑体" w:eastAsia="黑体" w:cs="黑体"/>
          <w:color w:val="000000"/>
          <w:sz w:val="44"/>
          <w:szCs w:val="44"/>
        </w:rPr>
      </w:pPr>
    </w:p>
    <w:p>
      <w:pPr>
        <w:widowControl/>
        <w:jc w:val="center"/>
        <w:rPr>
          <w:rFonts w:hint="eastAsia" w:ascii="黑体" w:hAnsi="黑体" w:eastAsia="黑体" w:cs="黑体"/>
          <w:color w:val="000000"/>
          <w:sz w:val="44"/>
          <w:szCs w:val="44"/>
        </w:rPr>
      </w:pPr>
    </w:p>
    <w:p>
      <w:pPr>
        <w:widowControl/>
        <w:jc w:val="center"/>
        <w:rPr>
          <w:rFonts w:hint="eastAsia" w:ascii="黑体" w:hAnsi="黑体" w:eastAsia="黑体" w:cs="黑体"/>
          <w:color w:val="000000"/>
          <w:sz w:val="44"/>
          <w:szCs w:val="44"/>
        </w:rPr>
      </w:pPr>
    </w:p>
    <w:p>
      <w:pPr>
        <w:widowControl/>
        <w:jc w:val="center"/>
        <w:rPr>
          <w:rFonts w:hint="eastAsia" w:ascii="黑体" w:hAnsi="黑体" w:eastAsia="黑体" w:cs="黑体"/>
          <w:color w:val="000000"/>
          <w:sz w:val="44"/>
          <w:szCs w:val="44"/>
        </w:rPr>
      </w:pPr>
      <w:r>
        <w:pict>
          <v:shape id="图片 76" o:spid="_x0000_s1044" o:spt="75" alt="32313535383135393b32313535383230393bcbb5c3f7cae9" type="#_x0000_t75" style="position:absolute;left:0pt;margin-left:38.7pt;margin-top:155.1pt;height:50.4pt;width:50.4pt;mso-position-vertical-relative:margin;z-index:251671552;mso-width-relative:page;mso-height-relative:page;" filled="f" o:preferrelative="t" stroked="f" coordsize="21600,21600">
            <v:path/>
            <v:fill on="f" focussize="0,0"/>
            <v:stroke on="f" joinstyle="miter"/>
            <v:imagedata r:id="rId20" o:title=""/>
            <o:lock v:ext="edit" aspectratio="t"/>
          </v:shape>
        </w:pict>
      </w:r>
    </w:p>
    <w:p>
      <w:pPr>
        <w:widowControl/>
        <w:jc w:val="center"/>
        <w:rPr>
          <w:rFonts w:cs="Times New Roman"/>
          <w:sz w:val="44"/>
          <w:szCs w:val="44"/>
        </w:rPr>
      </w:pPr>
      <w:r>
        <w:rPr>
          <w:rFonts w:hint="eastAsia" w:ascii="黑体" w:hAnsi="黑体" w:eastAsia="黑体" w:cs="黑体"/>
          <w:color w:val="000000"/>
          <w:sz w:val="44"/>
          <w:szCs w:val="44"/>
        </w:rPr>
        <w:t>第四部分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名词解释</w:t>
      </w: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jc w:val="center"/>
        <w:rPr>
          <w:rFonts w:ascii="黑体" w:hAnsi="黑体" w:eastAsia="黑体" w:cs="黑体"/>
          <w:color w:val="000000"/>
          <w:sz w:val="44"/>
          <w:szCs w:val="44"/>
        </w:rPr>
      </w:pPr>
    </w:p>
    <w:p>
      <w:pPr>
        <w:widowControl/>
        <w:jc w:val="center"/>
        <w:rPr>
          <w:rFonts w:ascii="黑体" w:hAnsi="黑体" w:eastAsia="黑体" w:cs="Times New Roman"/>
          <w:color w:val="000000"/>
          <w:sz w:val="44"/>
          <w:szCs w:val="44"/>
        </w:rPr>
      </w:pPr>
    </w:p>
    <w:p>
      <w:pPr>
        <w:rPr>
          <w:rFonts w:ascii="仿宋_GB2312" w:hAnsi="宋体" w:eastAsia="仿宋_GB2312" w:cs="Times New Roman"/>
          <w:sz w:val="32"/>
          <w:szCs w:val="32"/>
        </w:rPr>
      </w:pPr>
    </w:p>
    <w:p>
      <w:pPr>
        <w:rPr>
          <w:rFonts w:ascii="仿宋_GB2312" w:hAnsi="宋体" w:eastAsia="仿宋_GB2312" w:cs="Times New Roman"/>
          <w:sz w:val="32"/>
          <w:szCs w:val="32"/>
          <w:highlight w:val="yellow"/>
        </w:rPr>
      </w:pPr>
    </w:p>
    <w:p>
      <w:pPr>
        <w:rPr>
          <w:rFonts w:ascii="仿宋_GB2312" w:hAnsi="宋体" w:eastAsia="仿宋_GB2312" w:cs="Times New Roman"/>
          <w:sz w:val="32"/>
          <w:szCs w:val="32"/>
          <w:highlight w:val="yellow"/>
        </w:rPr>
      </w:pPr>
    </w:p>
    <w:p>
      <w:pPr>
        <w:rPr>
          <w:rFonts w:ascii="仿宋_GB2312" w:hAnsi="宋体" w:eastAsia="仿宋_GB2312" w:cs="Times New Roman"/>
          <w:sz w:val="32"/>
          <w:szCs w:val="32"/>
          <w:highlight w:val="yellow"/>
        </w:rPr>
      </w:pPr>
    </w:p>
    <w:p>
      <w:pPr>
        <w:rPr>
          <w:rFonts w:ascii="仿宋_GB2312" w:hAnsi="宋体" w:eastAsia="仿宋_GB2312" w:cs="Times New Roman"/>
          <w:sz w:val="32"/>
          <w:szCs w:val="32"/>
          <w:highlight w:val="yellow"/>
        </w:rPr>
      </w:pPr>
    </w:p>
    <w:p>
      <w:pPr>
        <w:rPr>
          <w:rFonts w:ascii="仿宋_GB2312" w:hAnsi="宋体" w:eastAsia="仿宋_GB2312" w:cs="Times New Roman"/>
          <w:sz w:val="32"/>
          <w:szCs w:val="32"/>
          <w:highlight w:val="yellow"/>
        </w:rPr>
      </w:pPr>
    </w:p>
    <w:p>
      <w:pPr>
        <w:rPr>
          <w:rFonts w:ascii="仿宋_GB2312" w:hAnsi="宋体" w:eastAsia="仿宋_GB2312" w:cs="Times New Roman"/>
          <w:sz w:val="32"/>
          <w:szCs w:val="32"/>
          <w:highlight w:val="yellow"/>
        </w:rPr>
      </w:pPr>
    </w:p>
    <w:p>
      <w:pPr>
        <w:rPr>
          <w:rFonts w:ascii="仿宋_GB2312" w:hAnsi="宋体" w:eastAsia="仿宋_GB2312" w:cs="Times New Roman"/>
          <w:sz w:val="32"/>
          <w:szCs w:val="32"/>
          <w:highlight w:val="yellow"/>
        </w:rPr>
      </w:pPr>
    </w:p>
    <w:p>
      <w:pPr>
        <w:rPr>
          <w:rFonts w:ascii="仿宋_GB2312" w:hAnsi="宋体" w:eastAsia="仿宋_GB2312" w:cs="Times New Roman"/>
          <w:sz w:val="32"/>
          <w:szCs w:val="32"/>
          <w:highlight w:val="yellow"/>
        </w:rPr>
      </w:pPr>
    </w:p>
    <w:p>
      <w:pPr>
        <w:numPr>
          <w:ilvl w:val="0"/>
          <w:numId w:val="2"/>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财政拨款收入：</w:t>
      </w:r>
      <w:r>
        <w:rPr>
          <w:rFonts w:hint="eastAsia" w:ascii="仿宋_GB2312" w:hAnsi="宋体" w:eastAsia="仿宋_GB2312" w:cs="仿宋_GB2312"/>
          <w:color w:val="000000"/>
          <w:kern w:val="0"/>
          <w:sz w:val="32"/>
          <w:szCs w:val="32"/>
        </w:rPr>
        <w:t>指单位从同级财政部门取得的财政预</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算资金。</w:t>
      </w:r>
    </w:p>
    <w:p>
      <w:pPr>
        <w:numPr>
          <w:ilvl w:val="0"/>
          <w:numId w:val="2"/>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事业收入：</w:t>
      </w:r>
      <w:r>
        <w:rPr>
          <w:rFonts w:hint="eastAsia" w:ascii="仿宋_GB2312" w:hAnsi="宋体" w:eastAsia="仿宋_GB2312" w:cs="仿宋_GB2312"/>
          <w:color w:val="000000"/>
          <w:kern w:val="0"/>
          <w:sz w:val="32"/>
          <w:szCs w:val="32"/>
        </w:rPr>
        <w:t>指事业单位开展专业业务活动及辅助活动</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取得的收入。</w:t>
      </w:r>
    </w:p>
    <w:p>
      <w:pPr>
        <w:numPr>
          <w:ilvl w:val="0"/>
          <w:numId w:val="2"/>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经营收入：</w:t>
      </w:r>
      <w:r>
        <w:rPr>
          <w:rFonts w:hint="eastAsia" w:ascii="仿宋_GB2312" w:hAnsi="宋体" w:eastAsia="仿宋_GB2312" w:cs="仿宋_GB2312"/>
          <w:color w:val="000000"/>
          <w:kern w:val="0"/>
          <w:sz w:val="32"/>
          <w:szCs w:val="32"/>
        </w:rPr>
        <w:t>指事业单位在专业业务活动及其辅助活动</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之外开展非独立核算经营活动取得的收入。</w:t>
      </w:r>
    </w:p>
    <w:p>
      <w:pPr>
        <w:numPr>
          <w:ilvl w:val="0"/>
          <w:numId w:val="2"/>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其他收入：</w:t>
      </w:r>
      <w:r>
        <w:rPr>
          <w:rFonts w:hint="eastAsia" w:ascii="仿宋_GB2312" w:hAnsi="宋体" w:eastAsia="仿宋_GB2312" w:cs="仿宋_GB2312"/>
          <w:color w:val="000000"/>
          <w:kern w:val="0"/>
          <w:sz w:val="32"/>
          <w:szCs w:val="32"/>
        </w:rPr>
        <w:t>指单位取得的除上述收入以外的各项收</w:t>
      </w:r>
    </w:p>
    <w:p>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仿宋_GB2312"/>
          <w:color w:val="000000"/>
          <w:kern w:val="0"/>
          <w:sz w:val="32"/>
          <w:szCs w:val="32"/>
        </w:rPr>
        <w:t>入。主要是事业单位固定资产出租收入、存款利息收入等。</w:t>
      </w:r>
    </w:p>
    <w:p>
      <w:pPr>
        <w:spacing w:line="580" w:lineRule="exact"/>
        <w:rPr>
          <w:rFonts w:ascii="仿宋_GB2312" w:hAnsi="宋体" w:eastAsia="仿宋_GB2312" w:cs="Times New Roman"/>
          <w:color w:val="000000"/>
          <w:kern w:val="0"/>
          <w:sz w:val="32"/>
          <w:szCs w:val="32"/>
        </w:rPr>
      </w:pPr>
      <w:r>
        <w:rPr>
          <w:rFonts w:ascii="仿宋_GB2312" w:hAnsi="宋体" w:eastAsia="仿宋_GB2312" w:cs="仿宋_GB2312"/>
          <w:b/>
          <w:bCs/>
          <w:color w:val="000000"/>
          <w:kern w:val="0"/>
          <w:sz w:val="32"/>
          <w:szCs w:val="32"/>
        </w:rPr>
        <w:t xml:space="preserve">   </w:t>
      </w:r>
      <w:r>
        <w:rPr>
          <w:rFonts w:hint="eastAsia" w:ascii="仿宋_GB2312" w:hAnsi="宋体" w:eastAsia="仿宋_GB2312" w:cs="仿宋_GB2312"/>
          <w:b/>
          <w:bCs/>
          <w:color w:val="000000"/>
          <w:kern w:val="0"/>
          <w:sz w:val="32"/>
          <w:szCs w:val="32"/>
        </w:rPr>
        <w:t>五、使用非财政拨款结余：</w:t>
      </w:r>
      <w:r>
        <w:rPr>
          <w:rFonts w:hint="eastAsia" w:ascii="仿宋_GB2312" w:hAnsi="宋体" w:eastAsia="仿宋_GB2312" w:cs="仿宋_GB2312"/>
          <w:color w:val="000000"/>
          <w:kern w:val="0"/>
          <w:sz w:val="32"/>
          <w:szCs w:val="32"/>
        </w:rPr>
        <w:t>指事业单位使用以前年度积累的非财政拨款结余弥补当年收支差额的金额。</w:t>
      </w:r>
    </w:p>
    <w:p>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年初结转和结余：</w:t>
      </w:r>
      <w:r>
        <w:rPr>
          <w:rFonts w:hint="eastAsia" w:ascii="仿宋_GB2312" w:hAnsi="宋体" w:eastAsia="仿宋_GB2312" w:cs="仿宋_GB2312"/>
          <w:color w:val="000000"/>
          <w:kern w:val="0"/>
          <w:sz w:val="32"/>
          <w:szCs w:val="32"/>
        </w:rPr>
        <w:t>指单位以前年度尚未完成、结转到</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本年仍按原规定用途继续使用的资金，或项目已完成等产生的结余资金。</w:t>
      </w:r>
    </w:p>
    <w:p>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结余分配：</w:t>
      </w:r>
      <w:r>
        <w:rPr>
          <w:rFonts w:hint="eastAsia" w:ascii="仿宋_GB2312" w:hAnsi="宋体" w:eastAsia="仿宋_GB2312" w:cs="仿宋_GB2312"/>
          <w:color w:val="000000"/>
          <w:kern w:val="0"/>
          <w:sz w:val="32"/>
          <w:szCs w:val="32"/>
        </w:rPr>
        <w:t>指事业单位按照会计制度规定缴纳的所得</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税、提取的专用结余以及转入非财政拨款结余的金额等。</w:t>
      </w:r>
    </w:p>
    <w:p>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年末结转和结余：</w:t>
      </w:r>
      <w:r>
        <w:rPr>
          <w:rFonts w:hint="eastAsia" w:ascii="仿宋_GB2312" w:hAnsi="宋体" w:eastAsia="仿宋_GB2312" w:cs="仿宋_GB2312"/>
          <w:color w:val="000000"/>
          <w:kern w:val="0"/>
          <w:sz w:val="32"/>
          <w:szCs w:val="32"/>
        </w:rPr>
        <w:t>指单位按有关规定结转到下年或以</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后年度继续使用的资金，或项目已完成等产生的结余资金。</w:t>
      </w:r>
    </w:p>
    <w:p>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基本支出：</w:t>
      </w:r>
      <w:r>
        <w:rPr>
          <w:rFonts w:hint="eastAsia" w:ascii="仿宋_GB2312" w:hAnsi="宋体" w:eastAsia="仿宋_GB2312" w:cs="仿宋_GB2312"/>
          <w:color w:val="000000"/>
          <w:kern w:val="0"/>
          <w:sz w:val="32"/>
          <w:szCs w:val="32"/>
        </w:rPr>
        <w:t>指为保障机构正常运转、完成日常工作任</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务而发生的人员支出和公用支出。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十、项目支出：</w:t>
      </w:r>
      <w:r>
        <w:rPr>
          <w:rFonts w:hint="eastAsia" w:ascii="仿宋_GB2312" w:hAnsi="宋体" w:eastAsia="仿宋_GB2312" w:cs="仿宋_GB2312"/>
          <w:color w:val="000000"/>
          <w:kern w:val="0"/>
          <w:sz w:val="32"/>
          <w:szCs w:val="32"/>
        </w:rPr>
        <w:t>指在基本支出之外为完成特定行政任务和事业发展目标所发生的支出。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十一、基本建设支出：</w:t>
      </w:r>
      <w:r>
        <w:rPr>
          <w:rFonts w:hint="eastAsia" w:ascii="仿宋_GB2312" w:hAnsi="宋体" w:eastAsia="仿宋_GB2312" w:cs="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仿宋_GB2312"/>
          <w:b/>
          <w:bCs/>
          <w:color w:val="000000"/>
          <w:kern w:val="0"/>
          <w:sz w:val="32"/>
          <w:szCs w:val="32"/>
        </w:rPr>
        <w:t>十二、其他资本性支出：</w:t>
      </w:r>
      <w:r>
        <w:rPr>
          <w:rFonts w:hint="eastAsia" w:ascii="仿宋_GB2312" w:hAnsi="宋体" w:eastAsia="仿宋_GB2312" w:cs="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十三、“三公”经费：</w:t>
      </w:r>
      <w:r>
        <w:rPr>
          <w:rFonts w:hint="eastAsia" w:ascii="仿宋_GB2312" w:hAnsi="宋体" w:eastAsia="仿宋_GB2312" w:cs="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十四、其他交通费用：</w:t>
      </w:r>
      <w:r>
        <w:rPr>
          <w:rFonts w:hint="eastAsia" w:ascii="仿宋_GB2312" w:hAnsi="宋体" w:eastAsia="仿宋_GB2312" w:cs="仿宋_GB2312"/>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十五、公务用车购置：</w:t>
      </w:r>
      <w:r>
        <w:rPr>
          <w:rFonts w:hint="eastAsia" w:ascii="仿宋_GB2312" w:hAnsi="宋体" w:eastAsia="仿宋_GB2312" w:cs="仿宋_GB2312"/>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十六、其他交通工具购置：</w:t>
      </w:r>
      <w:r>
        <w:rPr>
          <w:rFonts w:hint="eastAsia" w:ascii="仿宋_GB2312" w:hAnsi="宋体" w:eastAsia="仿宋_GB2312" w:cs="仿宋_GB2312"/>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十七、机关运行经费：</w:t>
      </w:r>
      <w:r>
        <w:rPr>
          <w:rFonts w:hint="eastAsia" w:ascii="仿宋_GB2312" w:hAnsi="宋体"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Times New Roman"/>
          <w:kern w:val="0"/>
          <w:sz w:val="32"/>
          <w:szCs w:val="32"/>
        </w:rPr>
      </w:pPr>
      <w:r>
        <w:rPr>
          <w:rFonts w:hint="eastAsia" w:ascii="仿宋_GB2312" w:hAnsi="宋体" w:eastAsia="仿宋_GB2312" w:cs="仿宋_GB2312"/>
          <w:b/>
          <w:bCs/>
          <w:color w:val="000000"/>
          <w:kern w:val="0"/>
          <w:sz w:val="32"/>
          <w:szCs w:val="32"/>
        </w:rPr>
        <w:t>十八、经费形式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p>
    <w:p>
      <w:pPr>
        <w:rPr>
          <w:rFonts w:cs="Times New Roman"/>
        </w:rPr>
      </w:pPr>
    </w:p>
    <w:sectPr>
      <w:pgSz w:w="11906" w:h="16838"/>
      <w:pgMar w:top="2041" w:right="1531" w:bottom="2041" w:left="153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中宋">
    <w:altName w:val="宋体"/>
    <w:panose1 w:val="02010600040101010101"/>
    <w:charset w:val="86"/>
    <w:family w:val="auto"/>
    <w:pitch w:val="default"/>
    <w:sig w:usb0="00000000" w:usb1="00000000" w:usb2="00000010" w:usb3="00000000" w:csb0="0004009F" w:csb1="00000000"/>
  </w:font>
  <w:font w:name="方正黑体_GBK">
    <w:panose1 w:val="02000000000000000000"/>
    <w:charset w:val="86"/>
    <w:family w:val="script"/>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0" w:usb3="00000000" w:csb0="00040000" w:csb1="00000000"/>
  </w:font>
  <w:font w:name="思源黑体 CN Bold">
    <w:altName w:val="黑体"/>
    <w:panose1 w:val="00000000000000000000"/>
    <w:charset w:val="86"/>
    <w:family w:val="swiss"/>
    <w:pitch w:val="default"/>
    <w:sig w:usb0="00000000" w:usb1="00000000" w:usb2="00000010" w:usb3="00000000" w:csb0="00040000" w:csb1="00000000"/>
  </w:font>
  <w:font w:name="方正魏碑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486A544E"/>
    <w:multiLevelType w:val="multilevel"/>
    <w:tmpl w:val="486A544E"/>
    <w:lvl w:ilvl="0" w:tentative="0">
      <w:start w:val="6"/>
      <w:numFmt w:val="japaneseCounting"/>
      <w:lvlText w:val="%1、"/>
      <w:lvlJc w:val="left"/>
      <w:pPr>
        <w:ind w:left="1360" w:hanging="720"/>
      </w:pPr>
      <w:rPr>
        <w:rFonts w:hint="default"/>
        <w:b/>
        <w:bCs/>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2">
    <w:nsid w:val="53D25D65"/>
    <w:multiLevelType w:val="multilevel"/>
    <w:tmpl w:val="53D25D65"/>
    <w:lvl w:ilvl="0" w:tentative="0">
      <w:start w:val="1"/>
      <w:numFmt w:val="japaneseCounting"/>
      <w:lvlText w:val="%1、"/>
      <w:lvlJc w:val="left"/>
      <w:pPr>
        <w:tabs>
          <w:tab w:val="left" w:pos="1395"/>
        </w:tabs>
        <w:ind w:left="1395" w:hanging="720"/>
      </w:pPr>
      <w:rPr>
        <w:rFonts w:hint="default"/>
        <w:b/>
        <w:bCs/>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jb3VudCI6NTYsImhkaWQiOiJkZjViYTRjMjBkZTE4YmQ4NGFlYTFhMmIxNTk5MDk4NyIsInVzZXJDb3VudCI6NTR9"/>
  </w:docVars>
  <w:rsids>
    <w:rsidRoot w:val="00172A27"/>
    <w:rsid w:val="000031F7"/>
    <w:rsid w:val="00014862"/>
    <w:rsid w:val="00144CC5"/>
    <w:rsid w:val="00172A27"/>
    <w:rsid w:val="00182CC9"/>
    <w:rsid w:val="00203288"/>
    <w:rsid w:val="00262CE0"/>
    <w:rsid w:val="002C2C3F"/>
    <w:rsid w:val="00310221"/>
    <w:rsid w:val="00327C85"/>
    <w:rsid w:val="0034600F"/>
    <w:rsid w:val="00366EA1"/>
    <w:rsid w:val="004550B9"/>
    <w:rsid w:val="004662B9"/>
    <w:rsid w:val="00473A26"/>
    <w:rsid w:val="004A7D4C"/>
    <w:rsid w:val="004D1145"/>
    <w:rsid w:val="004E274E"/>
    <w:rsid w:val="004F23D0"/>
    <w:rsid w:val="004F5E71"/>
    <w:rsid w:val="0051575E"/>
    <w:rsid w:val="00522C51"/>
    <w:rsid w:val="00550130"/>
    <w:rsid w:val="005B2633"/>
    <w:rsid w:val="006240D8"/>
    <w:rsid w:val="00657113"/>
    <w:rsid w:val="00663586"/>
    <w:rsid w:val="0068420C"/>
    <w:rsid w:val="006C5D6E"/>
    <w:rsid w:val="007042CC"/>
    <w:rsid w:val="00757732"/>
    <w:rsid w:val="00786182"/>
    <w:rsid w:val="007B2183"/>
    <w:rsid w:val="007B4464"/>
    <w:rsid w:val="00855E47"/>
    <w:rsid w:val="00896712"/>
    <w:rsid w:val="008E5668"/>
    <w:rsid w:val="0093782E"/>
    <w:rsid w:val="009718A8"/>
    <w:rsid w:val="009C4D2B"/>
    <w:rsid w:val="009D7927"/>
    <w:rsid w:val="009E6461"/>
    <w:rsid w:val="00A66109"/>
    <w:rsid w:val="00AE11AF"/>
    <w:rsid w:val="00B15320"/>
    <w:rsid w:val="00B86E38"/>
    <w:rsid w:val="00BE7649"/>
    <w:rsid w:val="00C21492"/>
    <w:rsid w:val="00C418F5"/>
    <w:rsid w:val="00CE4C2D"/>
    <w:rsid w:val="00CE755E"/>
    <w:rsid w:val="00D264B9"/>
    <w:rsid w:val="00D71400"/>
    <w:rsid w:val="00DA0719"/>
    <w:rsid w:val="00DA0B17"/>
    <w:rsid w:val="00DE4245"/>
    <w:rsid w:val="00DF42C4"/>
    <w:rsid w:val="00DF688D"/>
    <w:rsid w:val="00E35F22"/>
    <w:rsid w:val="00E40650"/>
    <w:rsid w:val="00E44B04"/>
    <w:rsid w:val="00E45243"/>
    <w:rsid w:val="00E57285"/>
    <w:rsid w:val="00E669B9"/>
    <w:rsid w:val="00E818B1"/>
    <w:rsid w:val="00E86E79"/>
    <w:rsid w:val="00EB184E"/>
    <w:rsid w:val="00F07F81"/>
    <w:rsid w:val="00F242CA"/>
    <w:rsid w:val="00FC3F68"/>
    <w:rsid w:val="00FF453A"/>
    <w:rsid w:val="018E53BB"/>
    <w:rsid w:val="01B752BF"/>
    <w:rsid w:val="01D60F52"/>
    <w:rsid w:val="02C26A47"/>
    <w:rsid w:val="02F2691F"/>
    <w:rsid w:val="04AA46B8"/>
    <w:rsid w:val="05273E55"/>
    <w:rsid w:val="0643610A"/>
    <w:rsid w:val="06EB1AB6"/>
    <w:rsid w:val="095977A4"/>
    <w:rsid w:val="099D6B31"/>
    <w:rsid w:val="09FD66D9"/>
    <w:rsid w:val="0CDA7253"/>
    <w:rsid w:val="0F4145E7"/>
    <w:rsid w:val="0F8A33EC"/>
    <w:rsid w:val="10B242CF"/>
    <w:rsid w:val="11E13ACD"/>
    <w:rsid w:val="11F4604E"/>
    <w:rsid w:val="1261521C"/>
    <w:rsid w:val="136D16FB"/>
    <w:rsid w:val="13AA21BF"/>
    <w:rsid w:val="16B14898"/>
    <w:rsid w:val="181F029C"/>
    <w:rsid w:val="183E201B"/>
    <w:rsid w:val="19B602A0"/>
    <w:rsid w:val="1A1B2FC3"/>
    <w:rsid w:val="1A3D2C72"/>
    <w:rsid w:val="1C157661"/>
    <w:rsid w:val="1DF533D6"/>
    <w:rsid w:val="1E760394"/>
    <w:rsid w:val="1F0014C8"/>
    <w:rsid w:val="216937C4"/>
    <w:rsid w:val="23D46F2C"/>
    <w:rsid w:val="249355A1"/>
    <w:rsid w:val="27CC639D"/>
    <w:rsid w:val="298605CB"/>
    <w:rsid w:val="2C5F0021"/>
    <w:rsid w:val="2CEF036C"/>
    <w:rsid w:val="2DD6571E"/>
    <w:rsid w:val="2F490FD0"/>
    <w:rsid w:val="303845B1"/>
    <w:rsid w:val="32A31C4C"/>
    <w:rsid w:val="32B53CA7"/>
    <w:rsid w:val="33CD2241"/>
    <w:rsid w:val="34967CFD"/>
    <w:rsid w:val="36EA4105"/>
    <w:rsid w:val="39C2416B"/>
    <w:rsid w:val="3A7F430E"/>
    <w:rsid w:val="3ABC372B"/>
    <w:rsid w:val="3B744E3E"/>
    <w:rsid w:val="3D882357"/>
    <w:rsid w:val="3DC91A1B"/>
    <w:rsid w:val="3E614DE2"/>
    <w:rsid w:val="3E917597"/>
    <w:rsid w:val="3E9821E4"/>
    <w:rsid w:val="3F235BB1"/>
    <w:rsid w:val="3F663581"/>
    <w:rsid w:val="42A44BF6"/>
    <w:rsid w:val="4571549B"/>
    <w:rsid w:val="471274FD"/>
    <w:rsid w:val="47614E63"/>
    <w:rsid w:val="48BE3EA2"/>
    <w:rsid w:val="49717ADD"/>
    <w:rsid w:val="4A51609B"/>
    <w:rsid w:val="4C194D3B"/>
    <w:rsid w:val="4D304C6C"/>
    <w:rsid w:val="4E9702A1"/>
    <w:rsid w:val="4F2A6A41"/>
    <w:rsid w:val="500373A2"/>
    <w:rsid w:val="507C6383"/>
    <w:rsid w:val="515F0333"/>
    <w:rsid w:val="51E1485F"/>
    <w:rsid w:val="53AD746D"/>
    <w:rsid w:val="55E140E2"/>
    <w:rsid w:val="561769D4"/>
    <w:rsid w:val="57495FFD"/>
    <w:rsid w:val="58D844B0"/>
    <w:rsid w:val="59F90AAA"/>
    <w:rsid w:val="5BCF66D7"/>
    <w:rsid w:val="5E286560"/>
    <w:rsid w:val="5F4A1A8C"/>
    <w:rsid w:val="60075621"/>
    <w:rsid w:val="602001C2"/>
    <w:rsid w:val="60CE32E1"/>
    <w:rsid w:val="641F3232"/>
    <w:rsid w:val="64C00985"/>
    <w:rsid w:val="65225D26"/>
    <w:rsid w:val="6532440A"/>
    <w:rsid w:val="65DB5CBA"/>
    <w:rsid w:val="674E6C15"/>
    <w:rsid w:val="67636EEB"/>
    <w:rsid w:val="679708FA"/>
    <w:rsid w:val="68441947"/>
    <w:rsid w:val="68C423F7"/>
    <w:rsid w:val="697609B2"/>
    <w:rsid w:val="69F4671F"/>
    <w:rsid w:val="6A5B7A0C"/>
    <w:rsid w:val="6BA53F12"/>
    <w:rsid w:val="6BD7168C"/>
    <w:rsid w:val="6C844B35"/>
    <w:rsid w:val="6CBF282C"/>
    <w:rsid w:val="6EB81CCC"/>
    <w:rsid w:val="6FB569E3"/>
    <w:rsid w:val="73335BEE"/>
    <w:rsid w:val="734B3BFA"/>
    <w:rsid w:val="73753308"/>
    <w:rsid w:val="77737823"/>
    <w:rsid w:val="78B3201A"/>
    <w:rsid w:val="79442C5B"/>
    <w:rsid w:val="7BB011B5"/>
    <w:rsid w:val="7BDE64CE"/>
    <w:rsid w:val="7C2A2F43"/>
    <w:rsid w:val="7D3B3DB1"/>
    <w:rsid w:val="7EAD450C"/>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9"/>
    <w:qFormat/>
    <w:uiPriority w:val="99"/>
    <w:pPr>
      <w:keepNext/>
      <w:keepLines/>
      <w:spacing w:before="340" w:after="330" w:line="578" w:lineRule="auto"/>
      <w:outlineLvl w:val="0"/>
    </w:pPr>
    <w:rPr>
      <w:b/>
      <w:bCs/>
      <w:kern w:val="44"/>
      <w:sz w:val="44"/>
      <w:szCs w:val="44"/>
    </w:rPr>
  </w:style>
  <w:style w:type="character" w:default="1" w:styleId="8">
    <w:name w:val="Default Paragraph Font"/>
    <w:semiHidden/>
    <w:qFormat/>
    <w:uiPriority w:val="99"/>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semiHidden/>
    <w:qFormat/>
    <w:uiPriority w:val="99"/>
    <w:rPr>
      <w:sz w:val="18"/>
      <w:szCs w:val="18"/>
    </w:rPr>
  </w:style>
  <w:style w:type="paragraph" w:styleId="4">
    <w:name w:val="footer"/>
    <w:basedOn w:val="1"/>
    <w:link w:val="11"/>
    <w:qFormat/>
    <w:uiPriority w:val="99"/>
    <w:pPr>
      <w:tabs>
        <w:tab w:val="center" w:pos="4153"/>
        <w:tab w:val="right" w:pos="8306"/>
      </w:tabs>
      <w:snapToGrid w:val="0"/>
      <w:jc w:val="left"/>
    </w:pPr>
    <w:rPr>
      <w:sz w:val="18"/>
      <w:szCs w:val="18"/>
    </w:rPr>
  </w:style>
  <w:style w:type="paragraph" w:styleId="5">
    <w:name w:val="header"/>
    <w:basedOn w:val="1"/>
    <w:link w:val="12"/>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basedOn w:val="6"/>
    <w:qFormat/>
    <w:uiPriority w:val="99"/>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Heading 1 Char"/>
    <w:basedOn w:val="8"/>
    <w:link w:val="2"/>
    <w:qFormat/>
    <w:uiPriority w:val="9"/>
    <w:rPr>
      <w:rFonts w:cs="Calibri"/>
      <w:b/>
      <w:bCs/>
      <w:kern w:val="44"/>
      <w:sz w:val="44"/>
      <w:szCs w:val="44"/>
    </w:rPr>
  </w:style>
  <w:style w:type="character" w:customStyle="1" w:styleId="10">
    <w:name w:val="Balloon Text Char"/>
    <w:basedOn w:val="8"/>
    <w:link w:val="3"/>
    <w:semiHidden/>
    <w:qFormat/>
    <w:locked/>
    <w:uiPriority w:val="99"/>
    <w:rPr>
      <w:kern w:val="2"/>
      <w:sz w:val="18"/>
      <w:szCs w:val="18"/>
    </w:rPr>
  </w:style>
  <w:style w:type="character" w:customStyle="1" w:styleId="11">
    <w:name w:val="Footer Char"/>
    <w:basedOn w:val="8"/>
    <w:link w:val="4"/>
    <w:qFormat/>
    <w:locked/>
    <w:uiPriority w:val="99"/>
    <w:rPr>
      <w:kern w:val="2"/>
      <w:sz w:val="18"/>
      <w:szCs w:val="18"/>
    </w:rPr>
  </w:style>
  <w:style w:type="character" w:customStyle="1" w:styleId="12">
    <w:name w:val="Header Char"/>
    <w:basedOn w:val="8"/>
    <w:link w:val="5"/>
    <w:qFormat/>
    <w:locked/>
    <w:uiPriority w:val="99"/>
    <w:rPr>
      <w:kern w:val="2"/>
      <w:sz w:val="18"/>
      <w:szCs w:val="18"/>
    </w:rPr>
  </w:style>
  <w:style w:type="character" w:customStyle="1" w:styleId="13">
    <w:name w:val="font11"/>
    <w:basedOn w:val="8"/>
    <w:qFormat/>
    <w:uiPriority w:val="99"/>
    <w:rPr>
      <w:rFonts w:ascii="宋体" w:hAnsi="宋体" w:eastAsia="宋体" w:cs="宋体"/>
      <w:color w:val="000000"/>
      <w:sz w:val="20"/>
      <w:szCs w:val="20"/>
      <w:u w:val="none"/>
    </w:rPr>
  </w:style>
  <w:style w:type="character" w:customStyle="1" w:styleId="14">
    <w:name w:val="font01"/>
    <w:basedOn w:val="8"/>
    <w:qFormat/>
    <w:uiPriority w:val="99"/>
    <w:rPr>
      <w:rFonts w:ascii="宋体" w:hAnsi="宋体" w:eastAsia="宋体" w:cs="宋体"/>
      <w:color w:val="000000"/>
      <w:sz w:val="22"/>
      <w:szCs w:val="22"/>
      <w:u w:val="none"/>
    </w:rPr>
  </w:style>
  <w:style w:type="character" w:customStyle="1" w:styleId="15">
    <w:name w:val="font41"/>
    <w:basedOn w:val="8"/>
    <w:qFormat/>
    <w:uiPriority w:val="99"/>
    <w:rPr>
      <w:rFonts w:ascii="宋体" w:hAnsi="宋体" w:eastAsia="宋体" w:cs="宋体"/>
      <w:color w:val="000000"/>
      <w:sz w:val="24"/>
      <w:szCs w:val="24"/>
      <w:u w:val="none"/>
    </w:rPr>
  </w:style>
  <w:style w:type="character" w:customStyle="1" w:styleId="16">
    <w:name w:val="font31"/>
    <w:basedOn w:val="8"/>
    <w:qFormat/>
    <w:uiPriority w:val="99"/>
    <w:rPr>
      <w:rFonts w:ascii="华文中宋" w:hAnsi="华文中宋" w:eastAsia="华文中宋" w:cs="华文中宋"/>
      <w:color w:val="000000"/>
      <w:sz w:val="32"/>
      <w:szCs w:val="32"/>
      <w:u w:val="none"/>
    </w:rPr>
  </w:style>
  <w:style w:type="character" w:customStyle="1" w:styleId="17">
    <w:name w:val="font91"/>
    <w:basedOn w:val="8"/>
    <w:qFormat/>
    <w:uiPriority w:val="99"/>
    <w:rPr>
      <w:rFonts w:ascii="华文中宋" w:hAnsi="华文中宋" w:eastAsia="华文中宋" w:cs="华文中宋"/>
      <w:color w:val="000000"/>
      <w:sz w:val="32"/>
      <w:szCs w:val="32"/>
      <w:u w:val="none"/>
    </w:rPr>
  </w:style>
  <w:style w:type="character" w:customStyle="1" w:styleId="18">
    <w:name w:val="font51"/>
    <w:basedOn w:val="8"/>
    <w:qFormat/>
    <w:uiPriority w:val="99"/>
    <w:rPr>
      <w:rFonts w:ascii="宋体" w:hAnsi="宋体" w:eastAsia="宋体" w:cs="宋体"/>
      <w:color w:val="000000"/>
      <w:sz w:val="24"/>
      <w:szCs w:val="24"/>
      <w:u w:val="none"/>
    </w:rPr>
  </w:style>
  <w:style w:type="character" w:customStyle="1" w:styleId="19">
    <w:name w:val="font21"/>
    <w:basedOn w:val="8"/>
    <w:qFormat/>
    <w:uiPriority w:val="0"/>
    <w:rPr>
      <w:rFonts w:hint="eastAsia" w:ascii="宋体" w:hAnsi="宋体" w:eastAsia="宋体" w:cs="宋体"/>
      <w:color w:val="000000"/>
      <w:sz w:val="16"/>
      <w:szCs w:val="16"/>
      <w:u w:val="none"/>
    </w:rPr>
  </w:style>
  <w:style w:type="character" w:customStyle="1" w:styleId="20">
    <w:name w:val="font71"/>
    <w:basedOn w:val="8"/>
    <w:qFormat/>
    <w:uiPriority w:val="0"/>
    <w:rPr>
      <w:rFonts w:hint="eastAsia" w:ascii="宋体" w:hAnsi="宋体" w:eastAsia="宋体" w:cs="宋体"/>
      <w:color w:val="000000"/>
      <w:sz w:val="16"/>
      <w:szCs w:val="16"/>
      <w:u w:val="none"/>
    </w:rPr>
  </w:style>
  <w:style w:type="character" w:customStyle="1" w:styleId="21">
    <w:name w:val="font101"/>
    <w:basedOn w:val="8"/>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customShpInfo spid="_x0000_s1027"/>
    <customShpInfo spid="_x0000_s1028"/>
    <customShpInfo spid="_x0000_s1029"/>
    <customShpInfo spid="_x0000_s1030"/>
    <customShpInfo spid="_x0000_s1032"/>
    <customShpInfo spid="_x0000_s1033"/>
    <customShpInfo spid="_x0000_s1031"/>
    <customShpInfo spid="_x0000_s1034"/>
    <customShpInfo spid="_x0000_s1036"/>
    <customShpInfo spid="_x0000_s1037"/>
    <customShpInfo spid="_x0000_s1035"/>
    <customShpInfo spid="_x0000_s1038"/>
    <customShpInfo spid="_x0000_s1039"/>
    <customShpInfo spid="_x0000_s1040"/>
    <customShpInfo spid="_x0000_s1041"/>
    <customShpInfo spid="_x0000_s1042"/>
    <customShpInfo spid="_x0000_s1043"/>
    <customShpInfo spid="_x0000_s104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神州网信技术有限公司</Company>
  <Pages>29</Pages>
  <Words>8080</Words>
  <Characters>9794</Characters>
  <Lines>0</Lines>
  <Paragraphs>0</Paragraphs>
  <TotalTime>2</TotalTime>
  <ScaleCrop>false</ScaleCrop>
  <LinksUpToDate>false</LinksUpToDate>
  <CharactersWithSpaces>10225</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2023-09-07T03:46:00Z</dcterms:created>
  <dc:creator>王明新TIAD</dc:creator>
  <cp:lastModifiedBy>Administrator</cp:lastModifiedBy>
  <cp:lastPrinted>2023-08-04T01:00:00Z</cp:lastPrinted>
  <dcterms:modified xsi:type="dcterms:W3CDTF">2024-09-03T05:57:04Z</dcterms:modified>
  <dc:title>1 </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KSOTemplateUUID">
    <vt:lpwstr>v1.0_mb_S7ajbG3IpAnL1wSthNCxfw==</vt:lpwstr>
  </property>
  <property fmtid="{D5CDD505-2E9C-101B-9397-08002B2CF9AE}" pid="4" name="ICV">
    <vt:lpwstr>1515CEFC20754C3380B382230295B456</vt:lpwstr>
  </property>
</Properties>
</file>