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中共石家庄市鹿泉区委办公室</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tabs>
          <w:tab w:val="left" w:pos="2728"/>
        </w:tabs>
        <w:jc w:val="both"/>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580" w:lineRule="exact"/>
        <w:ind w:firstLine="640" w:firstLineChars="200"/>
        <w:rPr>
          <w:rFonts w:hint="eastAsia" w:ascii="仿宋_GB2312" w:hAnsi="Calibri" w:eastAsia="仿宋_GB2312" w:cs="ArialUnicodeMS"/>
          <w:kern w:val="0"/>
          <w:sz w:val="32"/>
          <w:szCs w:val="32"/>
          <w:lang w:eastAsia="zh-CN"/>
        </w:rPr>
      </w:pPr>
      <w:r>
        <w:rPr>
          <w:rFonts w:hint="eastAsia" w:ascii="仿宋_GB2312" w:hAnsi="Calibri" w:eastAsia="仿宋_GB2312" w:cs="ArialUnicodeMS"/>
          <w:kern w:val="0"/>
          <w:sz w:val="32"/>
          <w:szCs w:val="32"/>
          <w:lang w:eastAsia="zh-CN"/>
        </w:rPr>
        <w:t>（一）负责推动党中央和省、市、区委决策部署的落实，按照区委要求协调有关方面开展工作，承担区委运行保障具体事务。</w:t>
      </w:r>
    </w:p>
    <w:p>
      <w:pPr>
        <w:widowControl/>
        <w:spacing w:line="580" w:lineRule="exact"/>
        <w:ind w:firstLine="640" w:firstLineChars="200"/>
        <w:rPr>
          <w:rFonts w:hint="eastAsia" w:ascii="仿宋_GB2312" w:hAnsi="Calibri" w:eastAsia="仿宋_GB2312" w:cs="ArialUnicodeMS"/>
          <w:kern w:val="0"/>
          <w:sz w:val="32"/>
          <w:szCs w:val="32"/>
          <w:lang w:eastAsia="zh-CN"/>
        </w:rPr>
      </w:pPr>
      <w:r>
        <w:rPr>
          <w:rFonts w:hint="eastAsia" w:ascii="仿宋_GB2312" w:hAnsi="Calibri" w:eastAsia="仿宋_GB2312" w:cs="ArialUnicodeMS"/>
          <w:kern w:val="0"/>
          <w:sz w:val="32"/>
          <w:szCs w:val="32"/>
          <w:lang w:eastAsia="zh-CN"/>
        </w:rPr>
        <w:t>（二）负责区委和区委办公室文件、区委领导讲话的起草、修改等工作；负责对全区文秘干部职工的教育培训工作。</w:t>
      </w:r>
    </w:p>
    <w:p>
      <w:pPr>
        <w:widowControl/>
        <w:spacing w:line="580" w:lineRule="exact"/>
        <w:ind w:firstLine="640" w:firstLineChars="200"/>
        <w:rPr>
          <w:rFonts w:hint="eastAsia" w:ascii="仿宋_GB2312" w:hAnsi="Calibri" w:eastAsia="仿宋_GB2312" w:cs="ArialUnicodeMS"/>
          <w:kern w:val="0"/>
          <w:sz w:val="32"/>
          <w:szCs w:val="32"/>
          <w:lang w:eastAsia="zh-CN"/>
        </w:rPr>
      </w:pPr>
      <w:r>
        <w:rPr>
          <w:rFonts w:hint="eastAsia" w:ascii="仿宋_GB2312" w:hAnsi="Calibri" w:eastAsia="仿宋_GB2312" w:cs="ArialUnicodeMS"/>
          <w:kern w:val="0"/>
          <w:sz w:val="32"/>
          <w:szCs w:val="32"/>
          <w:lang w:eastAsia="zh-CN"/>
        </w:rPr>
        <w:t>（三）围绕党中央和省、市、区委总体工作部署开展调查研究，收集和处理信息、反映动态；负责社情民意的搜集、整理和编报工作。</w:t>
      </w:r>
    </w:p>
    <w:p>
      <w:pPr>
        <w:widowControl/>
        <w:spacing w:line="580" w:lineRule="exact"/>
        <w:ind w:firstLine="640" w:firstLineChars="200"/>
        <w:rPr>
          <w:rFonts w:hint="eastAsia" w:ascii="仿宋_GB2312" w:hAnsi="Calibri" w:eastAsia="仿宋_GB2312" w:cs="ArialUnicodeMS"/>
          <w:kern w:val="0"/>
          <w:sz w:val="32"/>
          <w:szCs w:val="32"/>
          <w:lang w:eastAsia="zh-CN"/>
        </w:rPr>
      </w:pPr>
      <w:r>
        <w:rPr>
          <w:rFonts w:hint="eastAsia" w:ascii="仿宋_GB2312" w:hAnsi="Calibri" w:eastAsia="仿宋_GB2312" w:cs="ArialUnicodeMS"/>
          <w:kern w:val="0"/>
          <w:sz w:val="32"/>
          <w:szCs w:val="32"/>
          <w:lang w:eastAsia="zh-CN"/>
        </w:rPr>
        <w:t>（四）负责区委全会、区委常委会会议和区委其他重要会议的会务工作；负责区委领导重大活动和日常工作活动的组织安排；承担区委值班工作；负责编写区委大事记。</w:t>
      </w:r>
    </w:p>
    <w:p>
      <w:pPr>
        <w:widowControl/>
        <w:spacing w:line="580" w:lineRule="exact"/>
        <w:ind w:firstLine="640" w:firstLineChars="200"/>
        <w:rPr>
          <w:rFonts w:hint="eastAsia" w:ascii="仿宋_GB2312" w:hAnsi="Calibri" w:eastAsia="仿宋_GB2312" w:cs="ArialUnicodeMS"/>
          <w:kern w:val="0"/>
          <w:sz w:val="32"/>
          <w:szCs w:val="32"/>
          <w:lang w:eastAsia="zh-CN"/>
        </w:rPr>
      </w:pPr>
      <w:r>
        <w:rPr>
          <w:rFonts w:hint="eastAsia" w:ascii="仿宋_GB2312" w:hAnsi="Calibri" w:eastAsia="仿宋_GB2312" w:cs="ArialUnicodeMS"/>
          <w:kern w:val="0"/>
          <w:sz w:val="32"/>
          <w:szCs w:val="32"/>
          <w:lang w:eastAsia="zh-CN"/>
        </w:rPr>
        <w:t>（五）承担区委履行全面从严治党责任相关工作的谋划、部署、督导、推动和落实：负责统筹协调和督促指导全区党务公开工作。</w:t>
      </w:r>
    </w:p>
    <w:p>
      <w:pPr>
        <w:widowControl/>
        <w:spacing w:line="580" w:lineRule="exact"/>
        <w:ind w:firstLine="640" w:firstLineChars="200"/>
        <w:rPr>
          <w:rFonts w:hint="eastAsia" w:ascii="仿宋_GB2312" w:hAnsi="Calibri" w:eastAsia="仿宋_GB2312" w:cs="ArialUnicodeMS"/>
          <w:kern w:val="0"/>
          <w:sz w:val="32"/>
          <w:szCs w:val="32"/>
          <w:lang w:val="en-US" w:eastAsia="zh-CN"/>
        </w:rPr>
      </w:pPr>
      <w:r>
        <w:rPr>
          <w:rFonts w:hint="eastAsia" w:ascii="仿宋_GB2312" w:hAnsi="Calibri" w:eastAsia="仿宋_GB2312" w:cs="ArialUnicodeMS"/>
          <w:kern w:val="0"/>
          <w:sz w:val="32"/>
          <w:szCs w:val="32"/>
          <w:lang w:eastAsia="zh-CN"/>
        </w:rPr>
        <w:t>（六）负责区委日常文书处理</w:t>
      </w:r>
      <w:r>
        <w:rPr>
          <w:rFonts w:hint="eastAsia" w:ascii="仿宋_GB2312" w:hAnsi="Calibri" w:eastAsia="仿宋_GB2312" w:cs="ArialUnicodeMS"/>
          <w:kern w:val="0"/>
          <w:sz w:val="32"/>
          <w:szCs w:val="32"/>
          <w:lang w:val="en-US" w:eastAsia="zh-CN"/>
        </w:rPr>
        <w:t>;负责区委文件和区委办公室</w:t>
      </w:r>
      <w:bookmarkStart w:id="0" w:name="_GoBack"/>
      <w:bookmarkEnd w:id="0"/>
      <w:r>
        <w:rPr>
          <w:rFonts w:hint="eastAsia" w:ascii="仿宋_GB2312" w:hAnsi="Calibri" w:eastAsia="仿宋_GB2312" w:cs="ArialUnicodeMS"/>
          <w:kern w:val="0"/>
          <w:sz w:val="32"/>
          <w:szCs w:val="32"/>
          <w:lang w:val="en-US" w:eastAsia="zh-CN"/>
        </w:rPr>
        <w:t>代区委行文的审核工作；负责区委制定规范性文件的服务工作；负责为区委领导提供法律方面的服务工作。</w:t>
      </w:r>
    </w:p>
    <w:p>
      <w:pPr>
        <w:widowControl/>
        <w:spacing w:line="580" w:lineRule="exact"/>
        <w:ind w:firstLine="640" w:firstLineChars="200"/>
        <w:rPr>
          <w:rFonts w:hint="eastAsia" w:ascii="仿宋_GB2312" w:hAnsi="Calibri" w:eastAsia="仿宋_GB2312" w:cs="ArialUnicodeMS"/>
          <w:kern w:val="0"/>
          <w:sz w:val="32"/>
          <w:szCs w:val="32"/>
          <w:lang w:val="en-US" w:eastAsia="zh-CN"/>
        </w:rPr>
      </w:pPr>
      <w:r>
        <w:rPr>
          <w:rFonts w:hint="eastAsia" w:ascii="仿宋_GB2312" w:hAnsi="Calibri" w:eastAsia="仿宋_GB2312" w:cs="ArialUnicodeMS"/>
          <w:kern w:val="0"/>
          <w:sz w:val="32"/>
          <w:szCs w:val="32"/>
          <w:lang w:val="en-US" w:eastAsia="zh-CN"/>
        </w:rPr>
        <w:t>（七）围绕区委中心工作，组织力量对经济建设、政治建设、文化建设、社会建设、生态文明建设和党的建设等方面的重大问题进行调查研究，提出意见和建议，供区委决策参考；负责组织、协调、指导全区的调查研究工作。</w:t>
      </w:r>
    </w:p>
    <w:p>
      <w:pPr>
        <w:widowControl/>
        <w:spacing w:line="580" w:lineRule="exact"/>
        <w:ind w:firstLine="640" w:firstLineChars="200"/>
        <w:rPr>
          <w:rFonts w:hint="eastAsia" w:ascii="仿宋_GB2312" w:hAnsi="Calibri" w:eastAsia="仿宋_GB2312" w:cs="ArialUnicodeMS"/>
          <w:kern w:val="0"/>
          <w:sz w:val="32"/>
          <w:szCs w:val="32"/>
          <w:lang w:val="en-US" w:eastAsia="zh-CN"/>
        </w:rPr>
      </w:pPr>
      <w:r>
        <w:rPr>
          <w:rFonts w:hint="eastAsia" w:ascii="仿宋_GB2312" w:hAnsi="Calibri" w:eastAsia="仿宋_GB2312" w:cs="ArialUnicodeMS"/>
          <w:kern w:val="0"/>
          <w:sz w:val="32"/>
          <w:szCs w:val="32"/>
          <w:lang w:val="en-US" w:eastAsia="zh-CN"/>
        </w:rPr>
        <w:t>（八）负责协调提出全区中长期改革规划建议和年度工作要点，对拟出台的涉及重大改革事项的政策性文件进行审核；负责区委全面深化改革委员会决策部署的推动落实；负责全区改革工作的统筹、协调、督促、检查、推动、考核；承担区委全面深化改革委员会的日常工作。</w:t>
      </w:r>
    </w:p>
    <w:p>
      <w:pPr>
        <w:widowControl/>
        <w:spacing w:line="580" w:lineRule="exact"/>
        <w:ind w:firstLine="640" w:firstLineChars="200"/>
        <w:rPr>
          <w:rFonts w:hint="eastAsia" w:ascii="仿宋_GB2312" w:hAnsi="Calibri" w:eastAsia="仿宋_GB2312" w:cs="ArialUnicodeMS"/>
          <w:kern w:val="0"/>
          <w:sz w:val="32"/>
          <w:szCs w:val="32"/>
          <w:lang w:val="en-US" w:eastAsia="zh-CN"/>
        </w:rPr>
      </w:pPr>
      <w:r>
        <w:rPr>
          <w:rFonts w:hint="eastAsia" w:ascii="仿宋_GB2312" w:hAnsi="Calibri" w:eastAsia="仿宋_GB2312" w:cs="ArialUnicodeMS"/>
          <w:kern w:val="0"/>
          <w:sz w:val="32"/>
          <w:szCs w:val="32"/>
          <w:lang w:val="en-US" w:eastAsia="zh-CN"/>
        </w:rPr>
        <w:t>（九）贯彻落实党中央和省、市、区委关于国家安全工作的各项决策部署，负责研究提出区委国家安全委员会重点工作安排，收集汇总、整理分析并上报涉及国家安全的情报信息，指导协调有关方面开展国家安全风险排查，组织全区国家安全工作督查检查、考评考核工作；承担区委国家安全委员会日常工作。</w:t>
      </w:r>
    </w:p>
    <w:p>
      <w:pPr>
        <w:widowControl/>
        <w:spacing w:line="580" w:lineRule="exact"/>
        <w:ind w:firstLine="640" w:firstLineChars="200"/>
        <w:rPr>
          <w:rFonts w:hint="eastAsia" w:ascii="仿宋_GB2312" w:hAnsi="Calibri" w:eastAsia="仿宋_GB2312" w:cs="ArialUnicodeMS"/>
          <w:kern w:val="0"/>
          <w:sz w:val="32"/>
          <w:szCs w:val="32"/>
          <w:lang w:val="en-US" w:eastAsia="zh-CN"/>
        </w:rPr>
      </w:pPr>
      <w:r>
        <w:rPr>
          <w:rFonts w:hint="eastAsia" w:ascii="仿宋_GB2312" w:hAnsi="Calibri" w:eastAsia="仿宋_GB2312" w:cs="ArialUnicodeMS"/>
          <w:kern w:val="0"/>
          <w:sz w:val="32"/>
          <w:szCs w:val="32"/>
          <w:lang w:val="en-US" w:eastAsia="zh-CN"/>
        </w:rPr>
        <w:t>（十）负责上级和全区党政军领导机关及要害部门核心机密的传递工作；拟定全区保密、密码工作发展规划并组织实施；对全区保密机要工作实施业务领导；负责全区机关事业单位及经济、科学等领域保密管理，通信和计算机网络的保密管理，全区核心密码、普通密码的装备、使用和管理工作；负责失泄密事件的查处工作。</w:t>
      </w:r>
    </w:p>
    <w:p>
      <w:pPr>
        <w:widowControl/>
        <w:spacing w:line="580" w:lineRule="exact"/>
        <w:ind w:firstLine="640" w:firstLineChars="200"/>
        <w:rPr>
          <w:rFonts w:hint="eastAsia" w:ascii="仿宋_GB2312" w:hAnsi="Calibri" w:eastAsia="仿宋_GB2312" w:cs="ArialUnicodeMS"/>
          <w:kern w:val="0"/>
          <w:sz w:val="32"/>
          <w:szCs w:val="32"/>
          <w:lang w:val="en-US" w:eastAsia="zh-CN"/>
        </w:rPr>
      </w:pPr>
      <w:r>
        <w:rPr>
          <w:rFonts w:hint="eastAsia" w:ascii="仿宋_GB2312" w:hAnsi="Calibri" w:eastAsia="仿宋_GB2312" w:cs="ArialUnicodeMS"/>
          <w:kern w:val="0"/>
          <w:sz w:val="32"/>
          <w:szCs w:val="32"/>
          <w:lang w:val="en-US" w:eastAsia="zh-CN"/>
        </w:rPr>
        <w:t>（十一）负责全区机关事业单位和驻区有关单位的密码电报、内部明电和密传件的传输管理工作；负责全区电子政务内网、党委系统信息化等建设和管理工作；负责全区密码通信网络的管理工作；负责全区党政专用通信二级网的管理、维护工作；承担区委保密委员会和区密码工作领导小组的日常工作。</w:t>
      </w:r>
    </w:p>
    <w:p>
      <w:pPr>
        <w:widowControl/>
        <w:spacing w:line="580" w:lineRule="exact"/>
        <w:ind w:firstLine="640" w:firstLineChars="200"/>
        <w:rPr>
          <w:rFonts w:hint="eastAsia" w:ascii="仿宋_GB2312" w:hAnsi="Calibri" w:eastAsia="仿宋_GB2312" w:cs="ArialUnicodeMS"/>
          <w:kern w:val="0"/>
          <w:sz w:val="32"/>
          <w:szCs w:val="32"/>
          <w:lang w:val="en-US" w:eastAsia="zh-CN"/>
        </w:rPr>
      </w:pPr>
      <w:r>
        <w:rPr>
          <w:rFonts w:hint="eastAsia" w:ascii="仿宋_GB2312" w:hAnsi="Calibri" w:eastAsia="仿宋_GB2312" w:cs="ArialUnicodeMS"/>
          <w:kern w:val="0"/>
          <w:sz w:val="32"/>
          <w:szCs w:val="32"/>
          <w:lang w:val="en-US" w:eastAsia="zh-CN"/>
        </w:rPr>
        <w:t>（十二）负责党中央和省、市、区委重大决策、重要工作部署和市委、区委重要会议议定事宜以及党委领导批示指示交办事项的督办落实及反馈工作；负责统筹协调全区督查检查考核工作；负责区委重点工作落实情况的跟踪督办考评工作。</w:t>
      </w:r>
    </w:p>
    <w:p>
      <w:pPr>
        <w:widowControl/>
        <w:spacing w:line="580" w:lineRule="exact"/>
        <w:ind w:firstLine="640" w:firstLineChars="200"/>
        <w:rPr>
          <w:rFonts w:hint="eastAsia" w:ascii="仿宋_GB2312" w:hAnsi="Calibri" w:eastAsia="仿宋_GB2312" w:cs="ArialUnicodeMS"/>
          <w:kern w:val="0"/>
          <w:sz w:val="32"/>
          <w:szCs w:val="32"/>
          <w:lang w:val="en-US" w:eastAsia="zh-CN"/>
        </w:rPr>
      </w:pPr>
      <w:r>
        <w:rPr>
          <w:rFonts w:hint="eastAsia" w:ascii="仿宋_GB2312" w:hAnsi="Calibri" w:eastAsia="仿宋_GB2312" w:cs="ArialUnicodeMS"/>
          <w:kern w:val="0"/>
          <w:sz w:val="32"/>
          <w:szCs w:val="32"/>
          <w:lang w:val="en-US" w:eastAsia="zh-CN"/>
        </w:rPr>
        <w:t>（十三）负责全区机关事业单位机关事务的管理工作；负责研究拟订机关事务管理制度，推动机关后勤服务的改革与发展；行业务指导；对全区机关事业单位办公用房、公务用车、公共机构节能降耗等进行管理、指导、协调、监督；负责全区政务接待业务指导工作。</w:t>
      </w:r>
    </w:p>
    <w:p>
      <w:pPr>
        <w:widowControl/>
        <w:spacing w:line="580" w:lineRule="exact"/>
        <w:ind w:firstLine="640" w:firstLineChars="200"/>
        <w:rPr>
          <w:rFonts w:hint="eastAsia" w:ascii="仿宋_GB2312" w:hAnsi="Calibri" w:eastAsia="仿宋_GB2312" w:cs="ArialUnicodeMS"/>
          <w:kern w:val="0"/>
          <w:sz w:val="32"/>
          <w:szCs w:val="32"/>
          <w:lang w:val="en-US" w:eastAsia="zh-CN"/>
        </w:rPr>
      </w:pPr>
      <w:r>
        <w:rPr>
          <w:rFonts w:hint="eastAsia" w:ascii="仿宋_GB2312" w:hAnsi="Calibri" w:eastAsia="仿宋_GB2312" w:cs="ArialUnicodeMS"/>
          <w:kern w:val="0"/>
          <w:sz w:val="32"/>
          <w:szCs w:val="32"/>
          <w:lang w:val="en-US" w:eastAsia="zh-CN"/>
        </w:rPr>
        <w:t>（十四）负责全区档案事业宏观管理和监督指导等工作。</w:t>
      </w:r>
    </w:p>
    <w:p>
      <w:pPr>
        <w:widowControl/>
        <w:spacing w:line="580" w:lineRule="exact"/>
        <w:ind w:firstLine="640" w:firstLineChars="200"/>
        <w:rPr>
          <w:rFonts w:hint="eastAsia" w:ascii="仿宋_GB2312" w:hAnsi="Calibri" w:eastAsia="仿宋_GB2312" w:cs="ArialUnicodeMS"/>
          <w:kern w:val="0"/>
          <w:sz w:val="32"/>
          <w:szCs w:val="32"/>
          <w:lang w:val="en-US" w:eastAsia="zh-CN"/>
        </w:rPr>
      </w:pPr>
      <w:r>
        <w:rPr>
          <w:rFonts w:hint="eastAsia" w:ascii="仿宋_GB2312" w:hAnsi="Calibri" w:eastAsia="仿宋_GB2312" w:cs="ArialUnicodeMS"/>
          <w:kern w:val="0"/>
          <w:sz w:val="32"/>
          <w:szCs w:val="32"/>
          <w:lang w:val="en-US" w:eastAsia="zh-CN"/>
        </w:rPr>
        <w:t>（十五）负责组织指导、督促检查全区地方志工作。</w:t>
      </w:r>
    </w:p>
    <w:p>
      <w:pPr>
        <w:widowControl/>
        <w:spacing w:line="580" w:lineRule="exact"/>
        <w:ind w:firstLine="640" w:firstLineChars="200"/>
        <w:rPr>
          <w:rFonts w:hint="default" w:ascii="仿宋_GB2312" w:hAnsi="Calibri" w:eastAsia="仿宋_GB2312" w:cs="ArialUnicodeMS"/>
          <w:kern w:val="0"/>
          <w:sz w:val="32"/>
          <w:szCs w:val="32"/>
          <w:lang w:val="en-US" w:eastAsia="zh-CN"/>
        </w:rPr>
      </w:pPr>
      <w:r>
        <w:rPr>
          <w:rFonts w:hint="eastAsia" w:ascii="仿宋_GB2312" w:hAnsi="Calibri" w:eastAsia="仿宋_GB2312" w:cs="ArialUnicodeMS"/>
          <w:kern w:val="0"/>
          <w:sz w:val="32"/>
          <w:szCs w:val="32"/>
          <w:lang w:val="en-US" w:eastAsia="zh-CN"/>
        </w:rPr>
        <w:t>（十六）完成区委交办的其他任务。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 xml:space="preserve"> 个，具体情况如下：</w:t>
      </w:r>
    </w:p>
    <w:p>
      <w:pPr>
        <w:spacing w:line="580" w:lineRule="exact"/>
        <w:ind w:firstLine="640" w:firstLineChars="200"/>
        <w:rPr>
          <w:rFonts w:hint="eastAsia" w:ascii="仿宋_GB2312" w:hAnsi="Calibri" w:eastAsia="仿宋_GB2312" w:cs="ArialUnicodeMS"/>
          <w:kern w:val="0"/>
          <w:sz w:val="32"/>
          <w:szCs w:val="32"/>
        </w:rPr>
      </w:pPr>
    </w:p>
    <w:p>
      <w:pPr>
        <w:spacing w:line="580" w:lineRule="exact"/>
        <w:ind w:firstLine="640" w:firstLineChars="200"/>
        <w:rPr>
          <w:rFonts w:hint="eastAsia" w:ascii="仿宋_GB2312" w:hAnsi="Calibri" w:eastAsia="仿宋_GB2312" w:cs="ArialUnicodeMS"/>
          <w:kern w:val="0"/>
          <w:sz w:val="32"/>
          <w:szCs w:val="32"/>
        </w:rPr>
      </w:pP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中共石家庄市鹿泉区委办公室</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ind w:firstLine="280" w:firstLineChars="100"/>
              <w:jc w:val="both"/>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2</w:t>
            </w:r>
          </w:p>
        </w:tc>
        <w:tc>
          <w:tcPr>
            <w:tcW w:w="3485" w:type="dxa"/>
            <w:tcBorders>
              <w:bottom w:val="single" w:color="auto" w:sz="4" w:space="0"/>
            </w:tcBorders>
          </w:tcPr>
          <w:p>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信息中心</w:t>
            </w:r>
          </w:p>
        </w:tc>
        <w:tc>
          <w:tcPr>
            <w:tcW w:w="2445" w:type="dxa"/>
            <w:tcBorders>
              <w:bottom w:val="single" w:color="auto" w:sz="4" w:space="0"/>
            </w:tcBorders>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事业</w:t>
            </w:r>
          </w:p>
        </w:tc>
        <w:tc>
          <w:tcPr>
            <w:tcW w:w="2665" w:type="dxa"/>
            <w:tcBorders>
              <w:bottom w:val="single" w:color="auto" w:sz="4" w:space="0"/>
            </w:tcBorders>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w:t>
      </w:r>
      <w:r>
        <w:rPr>
          <w:rFonts w:hint="eastAsia" w:ascii="仿宋_GB2312" w:hAnsi="Times New Roman" w:eastAsia="仿宋_GB2312" w:cs="DengXian-Regular"/>
          <w:sz w:val="32"/>
          <w:szCs w:val="32"/>
          <w:lang w:eastAsia="zh-CN"/>
        </w:rPr>
        <w:t>支入</w:t>
      </w:r>
      <w:r>
        <w:rPr>
          <w:rFonts w:hint="eastAsia" w:ascii="仿宋_GB2312" w:hAnsi="Times New Roman" w:eastAsia="仿宋_GB2312" w:cs="DengXian-Regular"/>
          <w:sz w:val="32"/>
          <w:szCs w:val="32"/>
        </w:rPr>
        <w:t>总计（含结转和结余）</w:t>
      </w:r>
      <w:r>
        <w:rPr>
          <w:rFonts w:hint="eastAsia" w:ascii="仿宋_GB2312" w:hAnsi="Times New Roman" w:eastAsia="仿宋_GB2312" w:cs="DengXian-Regular"/>
          <w:sz w:val="32"/>
          <w:szCs w:val="32"/>
          <w:lang w:val="en-US" w:eastAsia="zh-CN"/>
        </w:rPr>
        <w:t>851.62</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113.26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15.34</w:t>
      </w:r>
      <w:r>
        <w:rPr>
          <w:rFonts w:hint="eastAsia" w:ascii="仿宋_GB2312" w:hAnsi="Times New Roman" w:eastAsia="仿宋_GB2312" w:cs="DengXian-Regular"/>
          <w:sz w:val="32"/>
          <w:szCs w:val="32"/>
        </w:rPr>
        <w:t>%，主要原因是</w:t>
      </w:r>
      <w:r>
        <w:rPr>
          <w:rFonts w:hint="eastAsia" w:ascii="仿宋_GB2312" w:hAnsi="仿宋_GB2312" w:eastAsia="仿宋_GB2312" w:cs="仿宋_GB2312"/>
          <w:color w:val="000000"/>
          <w:sz w:val="32"/>
          <w:szCs w:val="32"/>
        </w:rPr>
        <w:t>调入人员增加</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黑体" w:hAnsi="Calibri" w:eastAsia="仿宋_GB2312" w:cs="Times New Roman"/>
          <w:b/>
          <w:bCs/>
          <w:sz w:val="32"/>
          <w:szCs w:val="32"/>
          <w:lang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821.62</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681.61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82.96</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170.01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17.04</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eastAsia="zh-CN"/>
        </w:rPr>
        <w:t>：</w:t>
      </w:r>
    </w:p>
    <w:p>
      <w:pPr>
        <w:keepNext/>
        <w:keepLines/>
        <w:snapToGrid w:val="0"/>
        <w:spacing w:line="240" w:lineRule="auto"/>
        <w:ind w:firstLine="643" w:firstLineChars="200"/>
        <w:outlineLvl w:val="1"/>
        <w:rPr>
          <w:rFonts w:hint="eastAsia" w:ascii="黑体" w:hAnsi="Calibri" w:eastAsia="黑体" w:cs="Times New Roman"/>
          <w:b/>
          <w:bCs/>
          <w:sz w:val="32"/>
          <w:szCs w:val="32"/>
          <w:lang w:eastAsia="zh-CN"/>
        </w:rPr>
      </w:pPr>
      <w:r>
        <w:rPr>
          <w:rFonts w:hint="eastAsia" w:ascii="黑体" w:hAnsi="Calibri" w:eastAsia="黑体" w:cs="Times New Roman"/>
          <w:b/>
          <w:bCs/>
          <w:sz w:val="32"/>
          <w:szCs w:val="32"/>
          <w:lang w:eastAsia="zh-CN"/>
        </w:rPr>
        <w:drawing>
          <wp:inline distT="0" distB="0" distL="114300" distR="114300">
            <wp:extent cx="4584065" cy="2834640"/>
            <wp:effectExtent l="0" t="0" r="6985" b="0"/>
            <wp:docPr id="35" name="图片 35"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图片3"/>
                    <pic:cNvPicPr>
                      <a:picLocks noChangeAspect="1"/>
                    </pic:cNvPicPr>
                  </pic:nvPicPr>
                  <pic:blipFill>
                    <a:blip r:embed="rId29"/>
                    <a:stretch>
                      <a:fillRect/>
                    </a:stretch>
                  </pic:blipFill>
                  <pic:spPr>
                    <a:xfrm>
                      <a:off x="0" y="0"/>
                      <a:ext cx="4584065" cy="2834640"/>
                    </a:xfrm>
                    <a:prstGeom prst="rect">
                      <a:avLst/>
                    </a:prstGeom>
                  </pic:spPr>
                </pic:pic>
              </a:graphicData>
            </a:graphic>
          </wp:inline>
        </w:drawing>
      </w: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754.48</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433.62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57.47</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311.86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42.53</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pPr>
        <w:adjustRightInd w:val="0"/>
        <w:snapToGrid w:val="0"/>
        <w:spacing w:line="240" w:lineRule="auto"/>
        <w:ind w:firstLine="1920" w:firstLineChars="6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inline distT="0" distB="0" distL="114300" distR="114300">
            <wp:extent cx="4584065" cy="2834640"/>
            <wp:effectExtent l="0" t="0" r="6985" b="0"/>
            <wp:docPr id="34" name="图片 34"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descr="图片2"/>
                    <pic:cNvPicPr>
                      <a:picLocks noChangeAspect="1"/>
                    </pic:cNvPicPr>
                  </pic:nvPicPr>
                  <pic:blipFill>
                    <a:blip r:embed="rId30"/>
                    <a:stretch>
                      <a:fillRect/>
                    </a:stretch>
                  </pic:blipFill>
                  <pic:spPr>
                    <a:xfrm>
                      <a:off x="0" y="0"/>
                      <a:ext cx="4584065" cy="2834640"/>
                    </a:xfrm>
                    <a:prstGeom prst="rect">
                      <a:avLst/>
                    </a:prstGeom>
                  </pic:spPr>
                </pic:pic>
              </a:graphicData>
            </a:graphic>
          </wp:inline>
        </w:drawing>
      </w: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851.62</w:t>
      </w:r>
      <w:r>
        <w:rPr>
          <w:rFonts w:hint="eastAsia" w:ascii="仿宋_GB2312" w:hAnsi="Times New Roman" w:eastAsia="仿宋_GB2312" w:cs="DengXian-Regular"/>
          <w:sz w:val="32"/>
          <w:szCs w:val="32"/>
        </w:rPr>
        <w:t>万元,比2018年度</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113.26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15.34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我区金山湖事件增加专项资金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745.48</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33.51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4.71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我区金山湖事件增加专项资金</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240" w:lineRule="auto"/>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highlight w:val="yellow"/>
          <w:lang w:eastAsia="zh-CN"/>
        </w:rPr>
        <w:drawing>
          <wp:inline distT="0" distB="0" distL="114300" distR="114300">
            <wp:extent cx="4584065" cy="2834640"/>
            <wp:effectExtent l="0" t="0" r="6985" b="0"/>
            <wp:docPr id="36" name="图片 36"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图片4"/>
                    <pic:cNvPicPr>
                      <a:picLocks noChangeAspect="1"/>
                    </pic:cNvPicPr>
                  </pic:nvPicPr>
                  <pic:blipFill>
                    <a:blip r:embed="rId31"/>
                    <a:stretch>
                      <a:fillRect/>
                    </a:stretch>
                  </pic:blipFill>
                  <pic:spPr>
                    <a:xfrm>
                      <a:off x="0" y="0"/>
                      <a:ext cx="4584065" cy="2834640"/>
                    </a:xfrm>
                    <a:prstGeom prst="rect">
                      <a:avLst/>
                    </a:prstGeom>
                  </pic:spPr>
                </pic:pic>
              </a:graphicData>
            </a:graphic>
          </wp:inline>
        </w:drawing>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681.61</w:t>
      </w:r>
      <w:r>
        <w:rPr>
          <w:rFonts w:hint="eastAsia" w:ascii="仿宋_GB2312" w:hAnsi="Times New Roman" w:eastAsia="仿宋_GB2312" w:cs="DengXian-Regular"/>
          <w:sz w:val="32"/>
          <w:szCs w:val="32"/>
          <w:lang w:eastAsia="zh-CN"/>
        </w:rPr>
        <w:t>万</w:t>
      </w:r>
      <w:r>
        <w:rPr>
          <w:rFonts w:hint="eastAsia" w:ascii="仿宋_GB2312" w:hAnsi="Times New Roman" w:eastAsia="仿宋_GB2312" w:cs="DengXian-Regular"/>
          <w:sz w:val="32"/>
          <w:szCs w:val="32"/>
        </w:rPr>
        <w:t>元，完成年初预算的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%（如图4）,比年初预算减少</w:t>
      </w:r>
      <w:r>
        <w:rPr>
          <w:rFonts w:hint="eastAsia" w:ascii="仿宋_GB2312" w:hAnsi="Times New Roman" w:eastAsia="仿宋_GB2312" w:cs="DengXian-Regular"/>
          <w:sz w:val="32"/>
          <w:szCs w:val="32"/>
          <w:lang w:val="en-US" w:eastAsia="zh-CN"/>
        </w:rPr>
        <w:t>56.75</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控制财务内部成本</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745.48</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109.81</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33.51</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大于</w:t>
      </w:r>
      <w:r>
        <w:rPr>
          <w:rFonts w:hint="eastAsia" w:ascii="仿宋_GB2312" w:hAnsi="Times New Roman" w:eastAsia="仿宋_GB2312" w:cs="DengXian-Regular"/>
          <w:sz w:val="32"/>
          <w:szCs w:val="32"/>
        </w:rPr>
        <w:t>预算数主要是</w:t>
      </w:r>
      <w:r>
        <w:rPr>
          <w:rFonts w:hint="eastAsia" w:ascii="仿宋_GB2312" w:hAnsi="Times New Roman" w:eastAsia="仿宋_GB2312" w:cs="DengXian-Regular"/>
          <w:sz w:val="32"/>
          <w:szCs w:val="32"/>
          <w:lang w:val="en-US" w:eastAsia="zh-CN"/>
        </w:rPr>
        <w:t>我区金山湖事件增加专项资金</w:t>
      </w:r>
      <w:r>
        <w:rPr>
          <w:rFonts w:hint="eastAsia" w:ascii="仿宋_GB2312" w:hAnsi="Times New Roman" w:eastAsia="仿宋_GB2312" w:cs="DengXian-Regular"/>
          <w:sz w:val="32"/>
          <w:szCs w:val="32"/>
        </w:rPr>
        <w:t>。</w:t>
      </w:r>
    </w:p>
    <w:p>
      <w:pPr>
        <w:adjustRightInd w:val="0"/>
        <w:snapToGrid w:val="0"/>
        <w:spacing w:line="240" w:lineRule="auto"/>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highlight w:val="yellow"/>
          <w:lang w:eastAsia="zh-CN"/>
        </w:rPr>
        <w:drawing>
          <wp:inline distT="0" distB="0" distL="114300" distR="114300">
            <wp:extent cx="4584065" cy="2834640"/>
            <wp:effectExtent l="0" t="0" r="6985" b="0"/>
            <wp:docPr id="37" name="图片 37" descr="图片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descr="图片5"/>
                    <pic:cNvPicPr>
                      <a:picLocks noChangeAspect="1"/>
                    </pic:cNvPicPr>
                  </pic:nvPicPr>
                  <pic:blipFill>
                    <a:blip r:embed="rId32"/>
                    <a:stretch>
                      <a:fillRect/>
                    </a:stretch>
                  </pic:blipFill>
                  <pic:spPr>
                    <a:xfrm>
                      <a:off x="0" y="0"/>
                      <a:ext cx="4584065" cy="2834640"/>
                    </a:xfrm>
                    <a:prstGeom prst="rect">
                      <a:avLst/>
                    </a:prstGeom>
                  </pic:spPr>
                </pic:pic>
              </a:graphicData>
            </a:graphic>
          </wp:inline>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851.62</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650.73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87.29</w:t>
      </w:r>
      <w:r>
        <w:rPr>
          <w:rFonts w:hint="eastAsia" w:ascii="仿宋_GB2312" w:hAnsi="Times New Roman" w:eastAsia="仿宋_GB2312" w:cs="DengXian-Regular"/>
          <w:sz w:val="32"/>
          <w:szCs w:val="32"/>
        </w:rPr>
        <w:t>%，；公共安全类（类）支出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%；教育（类）支出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%；科学技术（类）支出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%；社会保障和就业（类）支出</w:t>
      </w:r>
      <w:r>
        <w:rPr>
          <w:rFonts w:hint="eastAsia" w:ascii="仿宋_GB2312" w:hAnsi="Times New Roman" w:eastAsia="仿宋_GB2312" w:cs="DengXian-Regular"/>
          <w:sz w:val="32"/>
          <w:szCs w:val="32"/>
          <w:lang w:val="en-US" w:eastAsia="zh-CN"/>
        </w:rPr>
        <w:t>43.08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5.78</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23.09</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3.1</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;卫生健康支出28.58万元，占3.83%</w:t>
      </w:r>
      <w:r>
        <w:rPr>
          <w:rFonts w:hint="eastAsia" w:ascii="仿宋_GB2312" w:hAnsi="Times New Roman" w:eastAsia="仿宋_GB2312" w:cs="DengXian-Regular"/>
          <w:sz w:val="32"/>
          <w:szCs w:val="32"/>
        </w:rPr>
        <w:t>。</w:t>
      </w:r>
    </w:p>
    <w:p>
      <w:pPr>
        <w:adjustRightInd w:val="0"/>
        <w:snapToGrid w:val="0"/>
        <w:spacing w:line="240" w:lineRule="auto"/>
        <w:rPr>
          <w:rFonts w:hint="eastAsia" w:ascii="楷体_GB2312" w:hAnsi="Times New Roman" w:eastAsia="楷体_GB2312" w:cs="DengXian-Bold"/>
          <w:b/>
          <w:bCs/>
          <w:sz w:val="32"/>
          <w:szCs w:val="32"/>
          <w:lang w:eastAsia="zh-CN"/>
        </w:rPr>
      </w:pPr>
      <w:r>
        <w:rPr>
          <w:rFonts w:hint="eastAsia" w:ascii="楷体_GB2312" w:hAnsi="Times New Roman" w:eastAsia="楷体_GB2312" w:cs="DengXian-Bold"/>
          <w:b/>
          <w:bCs/>
          <w:sz w:val="32"/>
          <w:szCs w:val="32"/>
          <w:lang w:eastAsia="zh-CN"/>
        </w:rPr>
        <w:drawing>
          <wp:inline distT="0" distB="0" distL="114300" distR="114300">
            <wp:extent cx="4584065" cy="2834640"/>
            <wp:effectExtent l="0" t="0" r="6985" b="0"/>
            <wp:docPr id="38" name="图片 38" descr="图片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图片6"/>
                    <pic:cNvPicPr>
                      <a:picLocks noChangeAspect="1"/>
                    </pic:cNvPicPr>
                  </pic:nvPicPr>
                  <pic:blipFill>
                    <a:blip r:embed="rId33"/>
                    <a:stretch>
                      <a:fillRect/>
                    </a:stretch>
                  </pic:blipFill>
                  <pic:spPr>
                    <a:xfrm>
                      <a:off x="0" y="0"/>
                      <a:ext cx="4584065" cy="2834640"/>
                    </a:xfrm>
                    <a:prstGeom prst="rect">
                      <a:avLst/>
                    </a:prstGeom>
                  </pic:spPr>
                </pic:pic>
              </a:graphicData>
            </a:graphic>
          </wp:inline>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433.62</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356.41</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77.21</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18.81</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47.86</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20.49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52.14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因公出国费用未使用</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13.93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42.52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去年有新车购置</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w:t>
      </w:r>
      <w:r>
        <w:rPr>
          <w:rFonts w:hint="eastAsia" w:ascii="仿宋_GB2312" w:hAnsi="Times New Roman" w:eastAsia="仿宋_GB2312" w:cs="DengXian-Regular"/>
          <w:sz w:val="32"/>
          <w:szCs w:val="32"/>
          <w:lang w:eastAsia="zh-CN"/>
        </w:rPr>
        <w:t>无因公出国费用。</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18.81</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5.49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22.59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控制公车费用减少支出</w:t>
      </w:r>
      <w:r>
        <w:rPr>
          <w:rFonts w:hint="eastAsia" w:ascii="仿宋_GB2312" w:hAnsi="Times New Roman" w:eastAsia="仿宋_GB2312" w:cs="DengXian-Regular"/>
          <w:sz w:val="32"/>
          <w:szCs w:val="32"/>
        </w:rPr>
        <w:t>；较</w:t>
      </w:r>
      <w:r>
        <w:rPr>
          <w:rFonts w:hint="eastAsia" w:ascii="仿宋_GB2312" w:hAnsi="Times New Roman" w:eastAsia="仿宋_GB2312" w:cs="DengXian-Regular"/>
          <w:sz w:val="32"/>
          <w:szCs w:val="32"/>
          <w:lang w:val="en-US" w:eastAsia="zh-CN"/>
        </w:rPr>
        <w:t>2018年</w:t>
      </w:r>
      <w:r>
        <w:rPr>
          <w:rFonts w:hint="eastAsia" w:ascii="仿宋_GB2312" w:hAnsi="Times New Roman" w:eastAsia="仿宋_GB2312" w:cs="DengXian-Regular"/>
          <w:sz w:val="32"/>
          <w:szCs w:val="32"/>
        </w:rPr>
        <w:t>减少</w:t>
      </w:r>
      <w:r>
        <w:rPr>
          <w:rFonts w:hint="eastAsia" w:ascii="仿宋_GB2312" w:hAnsi="Times New Roman" w:eastAsia="仿宋_GB2312" w:cs="DengXian-Regular"/>
          <w:sz w:val="32"/>
          <w:szCs w:val="32"/>
          <w:lang w:val="en-US" w:eastAsia="zh-CN"/>
        </w:rPr>
        <w:t>13.95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42.58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去年有新车购置本年无</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hint="eastAsia" w:ascii="仿宋_GB2312" w:hAnsi="Times New Roman" w:eastAsia="仿宋_GB2312" w:cs="DengXian-Regular"/>
          <w:color w:val="000000"/>
          <w:sz w:val="32"/>
          <w:szCs w:val="32"/>
          <w:lang w:eastAsia="zh-CN"/>
        </w:rPr>
      </w:pPr>
      <w:r>
        <w:rPr>
          <w:rFonts w:hint="eastAsia" w:ascii="仿宋_GB2312" w:hAnsi="Times New Roman" w:eastAsia="仿宋_GB2312" w:cs="DengXian-Regular"/>
          <w:b w:val="0"/>
          <w:bCs w:val="0"/>
          <w:color w:val="000000"/>
          <w:sz w:val="32"/>
          <w:szCs w:val="32"/>
          <w:highlight w:val="none"/>
        </w:rPr>
        <w:t>本部门金额（数量）为0未发生此类支出、</w:t>
      </w:r>
      <w:r>
        <w:rPr>
          <w:rFonts w:hint="eastAsia" w:ascii="仿宋_GB2312" w:hAnsi="Times New Roman" w:eastAsia="仿宋_GB2312" w:cs="DengXian-Regular"/>
          <w:b w:val="0"/>
          <w:bCs w:val="0"/>
          <w:color w:val="000000"/>
          <w:sz w:val="32"/>
          <w:szCs w:val="32"/>
          <w:highlight w:val="none"/>
          <w:lang w:eastAsia="zh-CN"/>
        </w:rPr>
        <w:t>较</w:t>
      </w:r>
      <w:r>
        <w:rPr>
          <w:rFonts w:hint="eastAsia" w:ascii="仿宋_GB2312" w:hAnsi="Times New Roman" w:eastAsia="仿宋_GB2312" w:cs="DengXian-Regular"/>
          <w:b w:val="0"/>
          <w:bCs w:val="0"/>
          <w:color w:val="000000"/>
          <w:sz w:val="32"/>
          <w:szCs w:val="32"/>
          <w:highlight w:val="none"/>
          <w:lang w:val="en-US" w:eastAsia="zh-CN"/>
        </w:rPr>
        <w:t>2018年较少了11.68万元，较少率为100%</w:t>
      </w:r>
      <w:r>
        <w:rPr>
          <w:rFonts w:hint="eastAsia" w:ascii="仿宋_GB2312" w:hAnsi="Times New Roman" w:eastAsia="仿宋_GB2312" w:cs="DengXian-Regular"/>
          <w:b w:val="0"/>
          <w:bCs w:val="0"/>
          <w:color w:val="000000"/>
          <w:sz w:val="32"/>
          <w:szCs w:val="32"/>
          <w:highlight w:val="none"/>
          <w:lang w:eastAsia="zh-CN"/>
        </w:rPr>
        <w:t>。</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去年有新车购置本年无新车购置费。</w:t>
      </w:r>
    </w:p>
    <w:p>
      <w:pPr>
        <w:adjustRightInd w:val="0"/>
        <w:snapToGrid w:val="0"/>
        <w:spacing w:line="580" w:lineRule="exact"/>
        <w:ind w:firstLine="643" w:firstLineChars="200"/>
        <w:rPr>
          <w:rFonts w:hint="eastAsia" w:ascii="仿宋_GB2312" w:hAnsi="仿宋_GB2312" w:eastAsia="仿宋_GB2312" w:cs="仿宋_GB2312"/>
          <w:color w:val="000000"/>
          <w:sz w:val="32"/>
          <w:szCs w:val="32"/>
          <w:lang w:eastAsia="zh-CN"/>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5.49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22.59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控制公车费用减少支出</w:t>
      </w:r>
      <w:r>
        <w:rPr>
          <w:rFonts w:hint="eastAsia" w:ascii="仿宋_GB2312" w:hAnsi="Times New Roman" w:eastAsia="仿宋_GB2312" w:cs="DengXian-Regular"/>
          <w:sz w:val="32"/>
          <w:szCs w:val="32"/>
        </w:rPr>
        <w:t>；较</w:t>
      </w:r>
      <w:r>
        <w:rPr>
          <w:rFonts w:hint="eastAsia" w:ascii="仿宋_GB2312" w:hAnsi="Times New Roman" w:eastAsia="仿宋_GB2312" w:cs="DengXian-Regular"/>
          <w:sz w:val="32"/>
          <w:szCs w:val="32"/>
          <w:lang w:val="en-US" w:eastAsia="zh-CN"/>
        </w:rPr>
        <w:t>2018年</w:t>
      </w:r>
      <w:r>
        <w:rPr>
          <w:rFonts w:hint="eastAsia" w:ascii="仿宋_GB2312" w:hAnsi="Times New Roman" w:eastAsia="仿宋_GB2312" w:cs="DengXian-Regular"/>
          <w:sz w:val="32"/>
          <w:szCs w:val="32"/>
        </w:rPr>
        <w:t>减少</w:t>
      </w:r>
      <w:r>
        <w:rPr>
          <w:rFonts w:hint="eastAsia" w:ascii="仿宋_GB2312" w:hAnsi="Times New Roman" w:eastAsia="仿宋_GB2312" w:cs="DengXian-Regular"/>
          <w:sz w:val="32"/>
          <w:szCs w:val="32"/>
          <w:lang w:val="en-US" w:eastAsia="zh-CN"/>
        </w:rPr>
        <w:t>13.95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42.58</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主要</w:t>
      </w:r>
      <w:r>
        <w:rPr>
          <w:rFonts w:hint="eastAsia" w:ascii="仿宋_GB2312" w:hAnsi="仿宋_GB2312" w:eastAsia="仿宋_GB2312" w:cs="仿宋_GB2312"/>
          <w:color w:val="000000"/>
          <w:sz w:val="32"/>
          <w:szCs w:val="32"/>
        </w:rPr>
        <w:t>是加强了内部管理，严格控制，尽量节约资金使用</w:t>
      </w:r>
      <w:r>
        <w:rPr>
          <w:rFonts w:hint="eastAsia" w:ascii="仿宋_GB2312" w:hAnsi="仿宋_GB2312" w:eastAsia="仿宋_GB2312" w:cs="仿宋_GB2312"/>
          <w:color w:val="000000"/>
          <w:sz w:val="32"/>
          <w:szCs w:val="32"/>
          <w:lang w:eastAsia="zh-CN"/>
        </w:rPr>
        <w:t>。</w:t>
      </w:r>
    </w:p>
    <w:p>
      <w:pPr>
        <w:adjustRightInd w:val="0"/>
        <w:snapToGrid w:val="0"/>
        <w:spacing w:after="0" w:line="580" w:lineRule="exact"/>
        <w:ind w:firstLine="643" w:firstLineChars="200"/>
        <w:rPr>
          <w:rFonts w:hint="default" w:ascii="黑体" w:eastAsia="黑体"/>
          <w:szCs w:val="40"/>
          <w:lang w:val="en-US" w:eastAsia="zh-CN"/>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sz w:val="44"/>
        </w:rPr>
        <mc:AlternateContent>
          <mc:Choice Requires="wpg">
            <w:drawing>
              <wp:anchor distT="0" distB="0" distL="114300" distR="114300" simplePos="0" relativeHeight="251693056" behindDoc="0" locked="1" layoutInCell="1" allowOverlap="1">
                <wp:simplePos x="0" y="0"/>
                <wp:positionH relativeFrom="column">
                  <wp:posOffset>-1015365</wp:posOffset>
                </wp:positionH>
                <wp:positionV relativeFrom="topMargin">
                  <wp:posOffset>372110</wp:posOffset>
                </wp:positionV>
                <wp:extent cx="3833495" cy="558165"/>
                <wp:effectExtent l="0" t="0" r="1460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9305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1KFV1L0AAADb&#10;AAAADwAAAGRycy9kb3ducmV2LnhtbEWPQWsCMRSE7wX/Q3hCbzVRYStbowdR9NRa7cHjY/O6Wbp5&#10;WZOo23/fFASPw8x8w8yXvWvFlUJsPGsYjxQI4sqbhmsNX8fNywxETMgGW8+k4ZciLBeDpzmWxt/4&#10;k66HVIsM4ViiBptSV0oZK0sO48h3xNn79sFhyjLU0gS8Zbhr5USpQjpsOC9Y7Ghlqfo5XJyG/eXd&#10;1tNTeD2mbdevT6rYm4+z1s/DsXoDkahPj/C9vTMaZgX8f8k/QC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oVXU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5NgXW7cAAADb&#10;AAAADwAAAGRycy9kb3ducmV2LnhtbEWPMQvCMBSEd8H/EJ7gZlMdtFTTDoLg4KIW52fzbIvNS2mi&#10;1X9vBMHxuLvvuE3+Mq14Uu8aywrmUQyCuLS64UpBcd7NEhDOI2tsLZOCNznIs/Fog6m2Ax/pefKV&#10;CBB2KSqove9SKV1Zk0EX2Y44eDfbG/RB9pXUPQ4Bblq5iOOlNNhwWKixo21N5f30MApMs7o9rpdD&#10;e3TykJRUVLbYDkpNJ/N4DcLTy//Dv/ZeK0hW8P0SfoDMP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k2BdbtwAAANsAAAAP&#10;AAAAAAAAAAEAIAAAACIAAABkcnMvZG93bnJldi54bWxQSwECFAAUAAAACACHTuJAMy8FnjsAAAA5&#10;AAAAEAAAAAAAAAABACAAAAAGAQAAZHJzL3NoYXBleG1sLnhtbFBLBQYAAAAABgAGAFsBAACwAwAA&#10;AAA=&#10;">
                  <v:fill on="t" focussize="0,0"/>
                  <v:stroke weight="1pt" color="#2F528F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w:t>
      </w:r>
      <w:r>
        <w:rPr>
          <w:rFonts w:hint="eastAsia" w:ascii="仿宋_GB2312" w:eastAsia="仿宋_GB2312" w:cs="DengXian-Regular"/>
          <w:sz w:val="32"/>
          <w:szCs w:val="32"/>
          <w:lang w:eastAsia="zh-CN"/>
        </w:rPr>
        <w:t>无公务接待费支出</w:t>
      </w:r>
      <w:r>
        <w:rPr>
          <w:rFonts w:hint="eastAsia" w:ascii="仿宋_GB2312" w:eastAsia="仿宋_GB2312" w:cs="DengXian-Regular"/>
          <w:sz w:val="32"/>
          <w:szCs w:val="32"/>
          <w:lang w:val="en-US" w:eastAsia="zh-CN"/>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after="0" w:line="5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w:t>
      </w:r>
      <w:r>
        <w:rPr>
          <w:rFonts w:hint="eastAsia" w:ascii="仿宋_GB2312" w:eastAsia="仿宋_GB2312" w:cs="DengXian-Regular"/>
          <w:sz w:val="32"/>
          <w:szCs w:val="32"/>
          <w:shd w:val="clear" w:color="auto" w:fill="auto"/>
        </w:rPr>
        <w:t>涉及</w:t>
      </w:r>
      <w:r>
        <w:rPr>
          <w:rFonts w:hint="eastAsia" w:ascii="仿宋_GB2312" w:eastAsia="仿宋_GB2312" w:cs="DengXian-Regular"/>
          <w:sz w:val="32"/>
          <w:szCs w:val="32"/>
          <w:shd w:val="clear" w:color="auto" w:fill="auto"/>
          <w:lang w:eastAsia="zh-CN"/>
        </w:rPr>
        <w:t>行政协调运转、电子政务内网建设与维护、党委信息系统网络建设与维护、宣传推介费、保密监督及教育培训</w:t>
      </w:r>
      <w:r>
        <w:rPr>
          <w:rFonts w:hint="eastAsia" w:ascii="仿宋_GB2312" w:eastAsia="仿宋_GB2312" w:cs="DengXian-Regular"/>
          <w:sz w:val="32"/>
          <w:szCs w:val="32"/>
          <w:shd w:val="clear" w:color="auto" w:fill="auto"/>
        </w:rPr>
        <w:t>等</w:t>
      </w:r>
      <w:r>
        <w:rPr>
          <w:rFonts w:hint="eastAsia" w:ascii="仿宋_GB2312" w:eastAsia="仿宋_GB2312" w:cs="DengXian-Regular"/>
          <w:sz w:val="32"/>
          <w:szCs w:val="32"/>
          <w:shd w:val="clear" w:color="auto" w:fill="auto"/>
          <w:lang w:val="en-US" w:eastAsia="zh-CN"/>
        </w:rPr>
        <w:t>5</w:t>
      </w:r>
      <w:r>
        <w:rPr>
          <w:rFonts w:hint="eastAsia" w:ascii="仿宋_GB2312" w:eastAsia="仿宋_GB2312" w:cs="DengXian-Regular"/>
          <w:sz w:val="32"/>
          <w:szCs w:val="32"/>
          <w:shd w:val="clear" w:color="auto" w:fill="auto"/>
        </w:rPr>
        <w:t>个项目，涉及资金万元。</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after="0" w:line="5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w:t>
      </w:r>
      <w:r>
        <w:rPr>
          <w:rFonts w:hint="eastAsia" w:ascii="仿宋_GB2312" w:eastAsia="仿宋_GB2312" w:cs="DengXian-Regular"/>
          <w:sz w:val="32"/>
          <w:szCs w:val="32"/>
          <w:shd w:val="clear" w:color="auto" w:fill="auto"/>
        </w:rPr>
        <w:t>从评价情况看，评价结果为优秀的项目有</w:t>
      </w:r>
      <w:r>
        <w:rPr>
          <w:rFonts w:hint="eastAsia" w:ascii="仿宋_GB2312" w:eastAsia="仿宋_GB2312" w:cs="DengXian-Regular"/>
          <w:sz w:val="32"/>
          <w:szCs w:val="32"/>
          <w:shd w:val="clear" w:color="auto" w:fill="auto"/>
          <w:lang w:val="en-US" w:eastAsia="zh-CN"/>
        </w:rPr>
        <w:t>4</w:t>
      </w:r>
      <w:r>
        <w:rPr>
          <w:rFonts w:hint="eastAsia" w:ascii="仿宋_GB2312" w:eastAsia="仿宋_GB2312" w:cs="DengXian-Regular"/>
          <w:sz w:val="32"/>
          <w:szCs w:val="32"/>
          <w:shd w:val="clear" w:color="auto" w:fill="auto"/>
        </w:rPr>
        <w:t>个，良好的项目有</w:t>
      </w:r>
      <w:r>
        <w:rPr>
          <w:rFonts w:hint="eastAsia" w:ascii="仿宋_GB2312" w:eastAsia="仿宋_GB2312" w:cs="DengXian-Regular"/>
          <w:sz w:val="32"/>
          <w:szCs w:val="32"/>
          <w:shd w:val="clear" w:color="auto" w:fill="auto"/>
          <w:lang w:val="en-US" w:eastAsia="zh-CN"/>
        </w:rPr>
        <w:t>1</w:t>
      </w:r>
      <w:r>
        <w:rPr>
          <w:rFonts w:hint="eastAsia" w:ascii="仿宋_GB2312" w:eastAsia="仿宋_GB2312" w:cs="DengXian-Regular"/>
          <w:sz w:val="32"/>
          <w:szCs w:val="32"/>
          <w:shd w:val="clear" w:color="auto" w:fill="auto"/>
        </w:rPr>
        <w:t>个</w:t>
      </w:r>
      <w:r>
        <w:rPr>
          <w:rFonts w:hint="eastAsia" w:ascii="仿宋_GB2312" w:eastAsia="仿宋_GB2312" w:cs="DengXian-Regular"/>
          <w:sz w:val="32"/>
          <w:szCs w:val="32"/>
          <w:shd w:val="clear" w:color="auto" w:fill="auto"/>
          <w:lang w:eastAsia="zh-CN"/>
        </w:rPr>
        <w:t>。</w:t>
      </w:r>
    </w:p>
    <w:p>
      <w:pPr>
        <w:keepNext/>
        <w:keepLines/>
        <w:numPr>
          <w:ilvl w:val="0"/>
          <w:numId w:val="2"/>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38.87</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6.13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18.72%，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我区金山湖事件增加专项资金</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w:t>
      </w:r>
    </w:p>
    <w:p>
      <w:pPr>
        <w:keepNext/>
        <w:keepLines/>
        <w:numPr>
          <w:ilvl w:val="0"/>
          <w:numId w:val="3"/>
        </w:numPr>
        <w:snapToGrid w:val="0"/>
        <w:spacing w:line="580" w:lineRule="exact"/>
        <w:ind w:firstLine="643" w:firstLineChars="200"/>
        <w:outlineLvl w:val="2"/>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政府采购情况</w:t>
      </w:r>
    </w:p>
    <w:p>
      <w:pPr>
        <w:widowControl/>
        <w:spacing w:line="580" w:lineRule="atLeast"/>
        <w:ind w:firstLine="640"/>
        <w:jc w:val="left"/>
        <w:rPr>
          <w:rFonts w:hint="eastAsia" w:ascii="楷体_GB2312" w:hAnsi="Times New Roman" w:eastAsia="楷体_GB2312" w:cs="DengXian-Bold"/>
          <w:b/>
          <w:bCs/>
          <w:sz w:val="32"/>
          <w:szCs w:val="32"/>
        </w:rPr>
      </w:pPr>
      <w:r>
        <w:rPr>
          <w:rFonts w:hint="eastAsia" w:ascii="仿宋_GB2312" w:hAnsi="宋体" w:eastAsia="仿宋_GB2312" w:cs="宋体"/>
          <w:color w:val="auto"/>
          <w:kern w:val="0"/>
          <w:sz w:val="32"/>
          <w:szCs w:val="32"/>
        </w:rPr>
        <w:t>201</w:t>
      </w:r>
      <w:r>
        <w:rPr>
          <w:rFonts w:hint="eastAsia" w:ascii="仿宋_GB2312" w:hAnsi="宋体" w:eastAsia="仿宋_GB2312" w:cs="宋体"/>
          <w:color w:val="auto"/>
          <w:kern w:val="0"/>
          <w:sz w:val="32"/>
          <w:szCs w:val="32"/>
          <w:lang w:val="en-US" w:eastAsia="zh-CN"/>
        </w:rPr>
        <w:t>9</w:t>
      </w:r>
      <w:r>
        <w:rPr>
          <w:rFonts w:hint="eastAsia" w:ascii="仿宋_GB2312" w:hAnsi="宋体" w:eastAsia="仿宋_GB2312" w:cs="宋体"/>
          <w:color w:val="auto"/>
          <w:kern w:val="0"/>
          <w:sz w:val="32"/>
          <w:szCs w:val="32"/>
        </w:rPr>
        <w:t>年度我单位无政府采购。</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无变化</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辆，其他用车主要是</w:t>
      </w:r>
      <w:r>
        <w:rPr>
          <w:rFonts w:hint="eastAsia" w:ascii="仿宋_GB2312" w:eastAsia="仿宋_GB2312" w:cs="DengXian-Regular"/>
          <w:sz w:val="32"/>
          <w:szCs w:val="32"/>
        </w:rPr>
        <w:t>其他用车主要是</w:t>
      </w:r>
      <w:r>
        <w:rPr>
          <w:rFonts w:hint="eastAsia" w:ascii="仿宋_GB2312" w:eastAsia="仿宋_GB2312" w:cs="DengXian-Regular"/>
          <w:sz w:val="32"/>
          <w:szCs w:val="32"/>
          <w:lang w:eastAsia="zh-CN"/>
        </w:rPr>
        <w:t>督查、机要保密、临时用车等</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套，主要是</w:t>
      </w:r>
      <w:r>
        <w:rPr>
          <w:rFonts w:hint="eastAsia" w:ascii="仿宋_GB2312" w:eastAsia="仿宋_GB2312" w:cs="DengXian-Regular"/>
          <w:sz w:val="32"/>
          <w:szCs w:val="32"/>
          <w:lang w:eastAsia="zh-CN"/>
        </w:rPr>
        <w:t>无</w:t>
      </w:r>
      <w:r>
        <w:rPr>
          <w:rFonts w:hint="eastAsia" w:ascii="仿宋_GB2312" w:eastAsia="仿宋_GB2312" w:cs="DengXian-Regular"/>
          <w:sz w:val="32"/>
          <w:szCs w:val="32"/>
          <w:lang w:val="en-US" w:eastAsia="zh-CN"/>
        </w:rPr>
        <w:t>50万元以上设备</w:t>
      </w:r>
      <w:r>
        <w:rPr>
          <w:rFonts w:hint="eastAsia" w:ascii="仿宋_GB2312"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套,主要是</w:t>
      </w:r>
      <w:r>
        <w:rPr>
          <w:rFonts w:hint="eastAsia" w:ascii="仿宋_GB2312" w:eastAsia="仿宋_GB2312" w:cs="DengXian-Regular"/>
          <w:sz w:val="32"/>
          <w:szCs w:val="32"/>
          <w:lang w:eastAsia="zh-CN"/>
        </w:rPr>
        <w:t>无</w:t>
      </w:r>
      <w:r>
        <w:rPr>
          <w:rFonts w:hint="eastAsia" w:ascii="仿宋_GB2312" w:eastAsia="仿宋_GB2312" w:cs="DengXian-Regular"/>
          <w:sz w:val="32"/>
          <w:szCs w:val="32"/>
          <w:lang w:val="en-US" w:eastAsia="zh-CN"/>
        </w:rPr>
        <w:t>100万元以上专用设备</w:t>
      </w:r>
      <w:r>
        <w:rPr>
          <w:rFonts w:hint="eastAsia" w:ascii="仿宋_GB2312"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hAnsi="Times New Roman" w:eastAsia="仿宋_GB2312" w:cs="DengXian-Regular"/>
          <w:sz w:val="32"/>
          <w:szCs w:val="32"/>
          <w:lang w:eastAsia="zh-CN"/>
        </w:rPr>
        <w:t>年末结转结余</w:t>
      </w:r>
      <w:r>
        <w:rPr>
          <w:rFonts w:hint="eastAsia" w:ascii="仿宋_GB2312" w:hAnsi="Times New Roman" w:eastAsia="仿宋_GB2312" w:cs="DengXian-Regular"/>
          <w:sz w:val="32"/>
          <w:szCs w:val="32"/>
          <w:lang w:val="en-US" w:eastAsia="zh-CN"/>
        </w:rPr>
        <w:t>106.14万元</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681.61</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650.73</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170.01</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43.08</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28.58</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23.09</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851.62</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745.48</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106.14</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851.62</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851.62</w:t>
            </w:r>
            <w:r>
              <w:rPr>
                <w:rFonts w:hint="eastAsia" w:ascii="宋体" w:hAnsi="宋体" w:eastAsia="宋体" w:cs="宋体"/>
                <w:color w:val="000000"/>
                <w:kern w:val="0"/>
                <w:sz w:val="22"/>
                <w:lang w:bidi="ar"/>
              </w:rPr>
              <w:t>　</w:t>
            </w:r>
          </w:p>
        </w:tc>
      </w:tr>
    </w:tbl>
    <w:p>
      <w:pPr>
        <w:jc w:val="left"/>
        <w:rPr>
          <w:rFonts w:hint="eastAsia"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注：本表反映部门本年度取得的各项收入情况。</w:t>
      </w:r>
    </w:p>
    <w:tbl>
      <w:tblPr>
        <w:tblStyle w:val="6"/>
        <w:tblW w:w="9396" w:type="dxa"/>
        <w:tblInd w:w="0" w:type="dxa"/>
        <w:shd w:val="clear" w:color="auto" w:fill="auto"/>
        <w:tblLayout w:type="fixed"/>
        <w:tblCellMar>
          <w:top w:w="0" w:type="dxa"/>
          <w:left w:w="0" w:type="dxa"/>
          <w:bottom w:w="0" w:type="dxa"/>
          <w:right w:w="0" w:type="dxa"/>
        </w:tblCellMar>
      </w:tblPr>
      <w:tblGrid>
        <w:gridCol w:w="285"/>
        <w:gridCol w:w="285"/>
        <w:gridCol w:w="285"/>
        <w:gridCol w:w="1949"/>
        <w:gridCol w:w="915"/>
        <w:gridCol w:w="1020"/>
        <w:gridCol w:w="1080"/>
        <w:gridCol w:w="915"/>
        <w:gridCol w:w="885"/>
        <w:gridCol w:w="1020"/>
        <w:gridCol w:w="757"/>
      </w:tblGrid>
      <w:tr>
        <w:tblPrEx>
          <w:shd w:val="clear" w:color="auto" w:fill="auto"/>
          <w:tblCellMar>
            <w:top w:w="0" w:type="dxa"/>
            <w:left w:w="0" w:type="dxa"/>
            <w:bottom w:w="0" w:type="dxa"/>
            <w:right w:w="0" w:type="dxa"/>
          </w:tblCellMar>
        </w:tblPrEx>
        <w:trPr>
          <w:trHeight w:val="308" w:hRule="atLeast"/>
        </w:trPr>
        <w:tc>
          <w:tcPr>
            <w:tcW w:w="855" w:type="dxa"/>
            <w:gridSpan w:val="3"/>
            <w:vMerge w:val="restart"/>
            <w:tcBorders>
              <w:top w:val="single" w:color="000000" w:sz="4" w:space="0"/>
              <w:left w:val="single" w:color="000000" w:sz="4" w:space="0"/>
              <w:bottom w:val="single" w:color="000000" w:sz="4" w:space="0"/>
              <w:right w:val="single" w:color="000000" w:sz="4" w:space="0"/>
            </w:tcBorders>
            <w:shd w:val="clear" w:color="FFFFFF"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科目编码</w:t>
            </w:r>
          </w:p>
        </w:tc>
        <w:tc>
          <w:tcPr>
            <w:tcW w:w="1949" w:type="dxa"/>
            <w:vMerge w:val="restart"/>
            <w:tcBorders>
              <w:top w:val="single" w:color="000000" w:sz="4" w:space="0"/>
              <w:left w:val="nil"/>
              <w:bottom w:val="single" w:color="000000" w:sz="4" w:space="0"/>
              <w:right w:val="single" w:color="000000" w:sz="4" w:space="0"/>
            </w:tcBorders>
            <w:shd w:val="clear" w:color="FFFFFF"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915" w:type="dxa"/>
            <w:vMerge w:val="restart"/>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本年收入合计</w:t>
            </w:r>
          </w:p>
        </w:tc>
        <w:tc>
          <w:tcPr>
            <w:tcW w:w="1020" w:type="dxa"/>
            <w:vMerge w:val="restart"/>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财政拨款收入</w:t>
            </w:r>
          </w:p>
        </w:tc>
        <w:tc>
          <w:tcPr>
            <w:tcW w:w="1080" w:type="dxa"/>
            <w:vMerge w:val="restart"/>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上级补助收入</w:t>
            </w:r>
          </w:p>
        </w:tc>
        <w:tc>
          <w:tcPr>
            <w:tcW w:w="915" w:type="dxa"/>
            <w:vMerge w:val="restart"/>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事业收入</w:t>
            </w:r>
          </w:p>
        </w:tc>
        <w:tc>
          <w:tcPr>
            <w:tcW w:w="885" w:type="dxa"/>
            <w:vMerge w:val="restart"/>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经营收入</w:t>
            </w:r>
          </w:p>
        </w:tc>
        <w:tc>
          <w:tcPr>
            <w:tcW w:w="1020" w:type="dxa"/>
            <w:vMerge w:val="restart"/>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附属单位上缴收入</w:t>
            </w:r>
          </w:p>
        </w:tc>
        <w:tc>
          <w:tcPr>
            <w:tcW w:w="757" w:type="dxa"/>
            <w:vMerge w:val="restart"/>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其他收入</w:t>
            </w:r>
          </w:p>
        </w:tc>
      </w:tr>
      <w:tr>
        <w:tblPrEx>
          <w:shd w:val="clear" w:color="auto" w:fill="auto"/>
          <w:tblCellMar>
            <w:top w:w="0" w:type="dxa"/>
            <w:left w:w="0" w:type="dxa"/>
            <w:bottom w:w="0" w:type="dxa"/>
            <w:right w:w="0" w:type="dxa"/>
          </w:tblCellMar>
        </w:tblPrEx>
        <w:trPr>
          <w:trHeight w:val="308" w:hRule="atLeast"/>
        </w:trPr>
        <w:tc>
          <w:tcPr>
            <w:tcW w:w="855" w:type="dxa"/>
            <w:gridSpan w:val="3"/>
            <w:vMerge w:val="continue"/>
            <w:tcBorders>
              <w:left w:val="single" w:color="000000" w:sz="4" w:space="0"/>
              <w:right w:val="single" w:color="000000" w:sz="4" w:space="0"/>
            </w:tcBorders>
            <w:shd w:val="clear" w:color="FFFFFF"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c>
          <w:tcPr>
            <w:tcW w:w="1949" w:type="dxa"/>
            <w:vMerge w:val="continue"/>
            <w:tcBorders>
              <w:left w:val="nil"/>
              <w:right w:val="single" w:color="000000" w:sz="4" w:space="0"/>
            </w:tcBorders>
            <w:shd w:val="clear" w:color="FFFFFF"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c>
          <w:tcPr>
            <w:tcW w:w="915" w:type="dxa"/>
            <w:vMerge w:val="continue"/>
            <w:tcBorders>
              <w:left w:val="nil"/>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c>
          <w:tcPr>
            <w:tcW w:w="1020" w:type="dxa"/>
            <w:vMerge w:val="continue"/>
            <w:tcBorders>
              <w:left w:val="nil"/>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c>
          <w:tcPr>
            <w:tcW w:w="1080" w:type="dxa"/>
            <w:vMerge w:val="continue"/>
            <w:tcBorders>
              <w:left w:val="nil"/>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c>
          <w:tcPr>
            <w:tcW w:w="915" w:type="dxa"/>
            <w:vMerge w:val="continue"/>
            <w:tcBorders>
              <w:left w:val="nil"/>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c>
          <w:tcPr>
            <w:tcW w:w="885" w:type="dxa"/>
            <w:vMerge w:val="continue"/>
            <w:tcBorders>
              <w:left w:val="nil"/>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c>
          <w:tcPr>
            <w:tcW w:w="1020" w:type="dxa"/>
            <w:vMerge w:val="continue"/>
            <w:tcBorders>
              <w:left w:val="nil"/>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c>
          <w:tcPr>
            <w:tcW w:w="757" w:type="dxa"/>
            <w:vMerge w:val="continue"/>
            <w:tcBorders>
              <w:left w:val="nil"/>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p>
        </w:tc>
      </w:tr>
      <w:tr>
        <w:tblPrEx>
          <w:tblCellMar>
            <w:top w:w="0" w:type="dxa"/>
            <w:left w:w="0" w:type="dxa"/>
            <w:bottom w:w="0" w:type="dxa"/>
            <w:right w:w="0" w:type="dxa"/>
          </w:tblCellMar>
        </w:tblPrEx>
        <w:trPr>
          <w:trHeight w:val="308" w:hRule="atLeast"/>
        </w:trPr>
        <w:tc>
          <w:tcPr>
            <w:tcW w:w="855" w:type="dxa"/>
            <w:gridSpan w:val="3"/>
            <w:vMerge w:val="continue"/>
            <w:tcBorders>
              <w:top w:val="single" w:color="000000" w:sz="4" w:space="0"/>
              <w:left w:val="single" w:color="000000" w:sz="4" w:space="0"/>
              <w:bottom w:val="single" w:color="000000" w:sz="4" w:space="0"/>
              <w:right w:val="single" w:color="000000" w:sz="4" w:space="0"/>
            </w:tcBorders>
            <w:shd w:val="clear" w:color="FFFFFF" w:fill="FFFFFF"/>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49" w:type="dxa"/>
            <w:vMerge w:val="continue"/>
            <w:tcBorders>
              <w:top w:val="single" w:color="000000" w:sz="4" w:space="0"/>
              <w:left w:val="nil"/>
              <w:bottom w:val="single" w:color="000000" w:sz="4" w:space="0"/>
              <w:right w:val="single" w:color="000000" w:sz="4" w:space="0"/>
            </w:tcBorders>
            <w:shd w:val="clear" w:color="FFFFFF" w:fill="FFFFFF"/>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1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20"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1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20"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7"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08" w:hRule="atLeast"/>
        </w:trPr>
        <w:tc>
          <w:tcPr>
            <w:tcW w:w="855" w:type="dxa"/>
            <w:gridSpan w:val="3"/>
            <w:vMerge w:val="continue"/>
            <w:tcBorders>
              <w:top w:val="single" w:color="000000" w:sz="4" w:space="0"/>
              <w:left w:val="single" w:color="000000" w:sz="4" w:space="0"/>
              <w:bottom w:val="single" w:color="000000" w:sz="4" w:space="0"/>
              <w:right w:val="single" w:color="000000" w:sz="4" w:space="0"/>
            </w:tcBorders>
            <w:shd w:val="clear" w:color="FFFFFF" w:fill="FFFFFF"/>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49" w:type="dxa"/>
            <w:vMerge w:val="continue"/>
            <w:tcBorders>
              <w:top w:val="single" w:color="000000" w:sz="4" w:space="0"/>
              <w:left w:val="nil"/>
              <w:bottom w:val="single" w:color="000000" w:sz="4" w:space="0"/>
              <w:right w:val="single" w:color="000000" w:sz="4" w:space="0"/>
            </w:tcBorders>
            <w:shd w:val="clear" w:color="FFFFFF" w:fill="FFFFFF"/>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1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20"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1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20"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7"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285" w:type="dxa"/>
            <w:vMerge w:val="restart"/>
            <w:tcBorders>
              <w:top w:val="single" w:color="000000" w:sz="4" w:space="0"/>
              <w:left w:val="single" w:color="000000" w:sz="4" w:space="0"/>
              <w:bottom w:val="single" w:color="000000" w:sz="4" w:space="0"/>
              <w:right w:val="single" w:color="000000" w:sz="4" w:space="0"/>
            </w:tcBorders>
            <w:shd w:val="clear" w:color="FFFFFF"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类</w:t>
            </w:r>
          </w:p>
        </w:tc>
        <w:tc>
          <w:tcPr>
            <w:tcW w:w="285" w:type="dxa"/>
            <w:vMerge w:val="restart"/>
            <w:tcBorders>
              <w:top w:val="single" w:color="000000" w:sz="4" w:space="0"/>
              <w:left w:val="single" w:color="000000" w:sz="4" w:space="0"/>
              <w:bottom w:val="single" w:color="000000" w:sz="4" w:space="0"/>
              <w:right w:val="single" w:color="000000" w:sz="4" w:space="0"/>
            </w:tcBorders>
            <w:shd w:val="clear" w:color="FFFFFF"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款</w:t>
            </w:r>
          </w:p>
        </w:tc>
        <w:tc>
          <w:tcPr>
            <w:tcW w:w="285" w:type="dxa"/>
            <w:vMerge w:val="restart"/>
            <w:tcBorders>
              <w:top w:val="single" w:color="000000" w:sz="4" w:space="0"/>
              <w:left w:val="single" w:color="000000" w:sz="4" w:space="0"/>
              <w:bottom w:val="single" w:color="000000" w:sz="4" w:space="0"/>
              <w:right w:val="single" w:color="000000" w:sz="4" w:space="0"/>
            </w:tcBorders>
            <w:shd w:val="clear" w:color="FFFFFF"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w:t>
            </w:r>
          </w:p>
        </w:tc>
        <w:tc>
          <w:tcPr>
            <w:tcW w:w="1949" w:type="dxa"/>
            <w:tcBorders>
              <w:top w:val="single" w:color="000000" w:sz="4" w:space="0"/>
              <w:left w:val="single" w:color="000000" w:sz="4" w:space="0"/>
              <w:bottom w:val="single" w:color="000000" w:sz="4" w:space="0"/>
              <w:right w:val="single" w:color="000000" w:sz="4" w:space="0"/>
            </w:tcBorders>
            <w:shd w:val="clear" w:color="FFFFFF"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91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102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108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91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88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102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7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w:t>
            </w:r>
          </w:p>
        </w:tc>
      </w:tr>
      <w:tr>
        <w:tblPrEx>
          <w:shd w:val="clear" w:color="auto" w:fill="auto"/>
          <w:tblCellMar>
            <w:top w:w="0" w:type="dxa"/>
            <w:left w:w="0" w:type="dxa"/>
            <w:bottom w:w="0" w:type="dxa"/>
            <w:right w:w="0" w:type="dxa"/>
          </w:tblCellMar>
        </w:tblPrEx>
        <w:trPr>
          <w:trHeight w:val="308" w:hRule="atLeast"/>
        </w:trPr>
        <w:tc>
          <w:tcPr>
            <w:tcW w:w="285" w:type="dxa"/>
            <w:vMerge w:val="continue"/>
            <w:tcBorders>
              <w:top w:val="single" w:color="000000" w:sz="4" w:space="0"/>
              <w:left w:val="single" w:color="000000" w:sz="4" w:space="0"/>
              <w:bottom w:val="single" w:color="000000" w:sz="4" w:space="0"/>
              <w:right w:val="single" w:color="000000" w:sz="4" w:space="0"/>
            </w:tcBorders>
            <w:shd w:val="clear" w:color="FFFFFF" w:fill="FFFFFF"/>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vMerge w:val="continue"/>
            <w:tcBorders>
              <w:top w:val="single" w:color="000000" w:sz="4" w:space="0"/>
              <w:left w:val="single" w:color="000000" w:sz="4" w:space="0"/>
              <w:bottom w:val="single" w:color="000000" w:sz="4" w:space="0"/>
              <w:right w:val="single" w:color="000000" w:sz="4" w:space="0"/>
            </w:tcBorders>
            <w:shd w:val="clear" w:color="FFFFFF" w:fill="FFFFFF"/>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5" w:type="dxa"/>
            <w:vMerge w:val="continue"/>
            <w:tcBorders>
              <w:top w:val="single" w:color="000000" w:sz="4" w:space="0"/>
              <w:left w:val="single" w:color="000000" w:sz="4" w:space="0"/>
              <w:bottom w:val="single" w:color="000000" w:sz="4" w:space="0"/>
              <w:right w:val="single" w:color="000000" w:sz="4" w:space="0"/>
            </w:tcBorders>
            <w:shd w:val="clear" w:color="FFFFFF" w:fill="FFFFFF"/>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49" w:type="dxa"/>
            <w:tcBorders>
              <w:top w:val="single" w:color="000000" w:sz="4" w:space="0"/>
              <w:left w:val="single" w:color="000000" w:sz="4" w:space="0"/>
              <w:bottom w:val="single" w:color="000000" w:sz="4" w:space="0"/>
              <w:right w:val="single" w:color="000000" w:sz="4" w:space="0"/>
            </w:tcBorders>
            <w:shd w:val="clear" w:color="FFFFFF"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851.62</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681.61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170.01</w:t>
            </w:r>
          </w:p>
        </w:tc>
      </w:tr>
      <w:tr>
        <w:tblPrEx>
          <w:tblCellMar>
            <w:top w:w="0" w:type="dxa"/>
            <w:left w:w="0" w:type="dxa"/>
            <w:bottom w:w="0" w:type="dxa"/>
            <w:right w:w="0" w:type="dxa"/>
          </w:tblCellMar>
        </w:tblPrEx>
        <w:trPr>
          <w:trHeight w:val="308" w:hRule="atLeast"/>
        </w:trPr>
        <w:tc>
          <w:tcPr>
            <w:tcW w:w="855"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w:t>
            </w:r>
          </w:p>
        </w:tc>
        <w:tc>
          <w:tcPr>
            <w:tcW w:w="194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一般公共服务支出</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756.87</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586.86</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170.01</w:t>
            </w:r>
          </w:p>
        </w:tc>
      </w:tr>
      <w:tr>
        <w:tblPrEx>
          <w:tblCellMar>
            <w:top w:w="0" w:type="dxa"/>
            <w:left w:w="0" w:type="dxa"/>
            <w:bottom w:w="0" w:type="dxa"/>
            <w:right w:w="0" w:type="dxa"/>
          </w:tblCellMar>
        </w:tblPrEx>
        <w:trPr>
          <w:trHeight w:val="308" w:hRule="atLeast"/>
        </w:trPr>
        <w:tc>
          <w:tcPr>
            <w:tcW w:w="855"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20101</w:t>
            </w:r>
          </w:p>
        </w:tc>
        <w:tc>
          <w:tcPr>
            <w:tcW w:w="194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人大事务</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12.50</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855"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2010103</w:t>
            </w:r>
          </w:p>
        </w:tc>
        <w:tc>
          <w:tcPr>
            <w:tcW w:w="194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机关服务</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12.50</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855"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20131</w:t>
            </w:r>
          </w:p>
        </w:tc>
        <w:tc>
          <w:tcPr>
            <w:tcW w:w="194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党委办公厅（室）及相关机构事务</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744.37</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574.36</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170.01</w:t>
            </w:r>
          </w:p>
        </w:tc>
      </w:tr>
      <w:tr>
        <w:tblPrEx>
          <w:shd w:val="clear" w:color="auto" w:fill="auto"/>
          <w:tblCellMar>
            <w:top w:w="0" w:type="dxa"/>
            <w:left w:w="0" w:type="dxa"/>
            <w:bottom w:w="0" w:type="dxa"/>
            <w:right w:w="0" w:type="dxa"/>
          </w:tblCellMar>
        </w:tblPrEx>
        <w:trPr>
          <w:trHeight w:val="308" w:hRule="atLeast"/>
        </w:trPr>
        <w:tc>
          <w:tcPr>
            <w:tcW w:w="855"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2013101</w:t>
            </w:r>
          </w:p>
        </w:tc>
        <w:tc>
          <w:tcPr>
            <w:tcW w:w="194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行政运行</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443.91</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443.91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855"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2013102</w:t>
            </w:r>
          </w:p>
        </w:tc>
        <w:tc>
          <w:tcPr>
            <w:tcW w:w="194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一般行政管理事务</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52.15</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52.15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855"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2013105</w:t>
            </w:r>
          </w:p>
        </w:tc>
        <w:tc>
          <w:tcPr>
            <w:tcW w:w="194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专项业务</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242.93</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72.92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170.01</w:t>
            </w:r>
          </w:p>
        </w:tc>
      </w:tr>
      <w:tr>
        <w:tblPrEx>
          <w:tblCellMar>
            <w:top w:w="0" w:type="dxa"/>
            <w:left w:w="0" w:type="dxa"/>
            <w:bottom w:w="0" w:type="dxa"/>
            <w:right w:w="0" w:type="dxa"/>
          </w:tblCellMar>
        </w:tblPrEx>
        <w:trPr>
          <w:trHeight w:val="308" w:hRule="atLeast"/>
        </w:trPr>
        <w:tc>
          <w:tcPr>
            <w:tcW w:w="855"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2013199</w:t>
            </w:r>
          </w:p>
        </w:tc>
        <w:tc>
          <w:tcPr>
            <w:tcW w:w="194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其他党委办公厅（室）及相关机构事务支出</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5.37</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5.37</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855"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w:t>
            </w:r>
          </w:p>
        </w:tc>
        <w:tc>
          <w:tcPr>
            <w:tcW w:w="194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社会保障和就业支出</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43.08</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43.08</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855"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w:t>
            </w:r>
          </w:p>
        </w:tc>
        <w:tc>
          <w:tcPr>
            <w:tcW w:w="194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行政事业单位离退休</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43.08</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43.08</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855"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2080505</w:t>
            </w:r>
          </w:p>
        </w:tc>
        <w:tc>
          <w:tcPr>
            <w:tcW w:w="194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机关事业单位基本养老保险缴费支出</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43.08</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43.08</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855"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w:t>
            </w:r>
          </w:p>
        </w:tc>
        <w:tc>
          <w:tcPr>
            <w:tcW w:w="194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卫生健康支出</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28.58</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28.58</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855"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w:t>
            </w:r>
          </w:p>
        </w:tc>
        <w:tc>
          <w:tcPr>
            <w:tcW w:w="194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行政事业单位医疗</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28.58</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28.58</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855"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2101101</w:t>
            </w:r>
          </w:p>
        </w:tc>
        <w:tc>
          <w:tcPr>
            <w:tcW w:w="194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行政单位医疗</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28.58</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28.58</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855"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w:t>
            </w:r>
          </w:p>
        </w:tc>
        <w:tc>
          <w:tcPr>
            <w:tcW w:w="194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住房保障支出</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23.09</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23.09</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855"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w:t>
            </w:r>
          </w:p>
        </w:tc>
        <w:tc>
          <w:tcPr>
            <w:tcW w:w="194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住房改革支出</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23.09</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23.09</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855"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2210201</w:t>
            </w:r>
          </w:p>
        </w:tc>
        <w:tc>
          <w:tcPr>
            <w:tcW w:w="194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住房公积金</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23.09</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23.09</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91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88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75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bl>
    <w:p>
      <w:pPr>
        <w:jc w:val="left"/>
        <w:rPr>
          <w:rFonts w:hint="eastAsia" w:ascii="宋体" w:hAnsi="宋体" w:eastAsia="宋体" w:cs="宋体"/>
          <w:color w:val="000000"/>
          <w:kern w:val="0"/>
          <w:sz w:val="22"/>
          <w:lang w:bidi="ar"/>
        </w:rPr>
      </w:pPr>
    </w:p>
    <w:p>
      <w:r>
        <w:br w:type="page"/>
      </w:r>
    </w:p>
    <w:tbl>
      <w:tblPr>
        <w:tblStyle w:val="6"/>
        <w:tblW w:w="7620" w:type="dxa"/>
        <w:tblInd w:w="0" w:type="dxa"/>
        <w:shd w:val="clear" w:color="auto" w:fill="auto"/>
        <w:tblLayout w:type="autofit"/>
        <w:tblCellMar>
          <w:top w:w="0" w:type="dxa"/>
          <w:left w:w="0" w:type="dxa"/>
          <w:bottom w:w="0" w:type="dxa"/>
          <w:right w:w="0" w:type="dxa"/>
        </w:tblCellMar>
      </w:tblPr>
      <w:tblGrid>
        <w:gridCol w:w="2026"/>
        <w:gridCol w:w="264"/>
        <w:gridCol w:w="155"/>
        <w:gridCol w:w="2526"/>
        <w:gridCol w:w="673"/>
        <w:gridCol w:w="673"/>
        <w:gridCol w:w="744"/>
        <w:gridCol w:w="545"/>
        <w:gridCol w:w="592"/>
        <w:gridCol w:w="904"/>
      </w:tblGrid>
      <w:tr>
        <w:tblPrEx>
          <w:shd w:val="clear" w:color="auto" w:fill="auto"/>
          <w:tblCellMar>
            <w:top w:w="0" w:type="dxa"/>
            <w:left w:w="0" w:type="dxa"/>
            <w:bottom w:w="0" w:type="dxa"/>
            <w:right w:w="0" w:type="dxa"/>
          </w:tblCellMar>
        </w:tblPrEx>
        <w:trPr>
          <w:trHeight w:val="255" w:hRule="atLeast"/>
        </w:trPr>
        <w:tc>
          <w:tcPr>
            <w:tcW w:w="330"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16"/>
                <w:szCs w:val="16"/>
                <w:u w:val="none"/>
              </w:rPr>
            </w:pPr>
          </w:p>
        </w:tc>
        <w:tc>
          <w:tcPr>
            <w:tcW w:w="3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9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171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85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855"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支出决算批复表</w:t>
            </w:r>
          </w:p>
        </w:tc>
        <w:tc>
          <w:tcPr>
            <w:tcW w:w="94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69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75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106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财决批复03表</w:t>
            </w: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部门：中共石家庄市鹿泉区委办公室</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shd w:val="clear" w:color="auto" w:fill="auto"/>
          <w:tblCellMar>
            <w:top w:w="0" w:type="dxa"/>
            <w:left w:w="0" w:type="dxa"/>
            <w:bottom w:w="0" w:type="dxa"/>
            <w:right w:w="0" w:type="dxa"/>
          </w:tblCellMar>
        </w:tblPrEx>
        <w:trPr>
          <w:trHeight w:val="308" w:hRule="atLeast"/>
        </w:trPr>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FFFFFF"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科目编码</w:t>
            </w:r>
          </w:p>
        </w:tc>
        <w:tc>
          <w:tcPr>
            <w:tcW w:w="0" w:type="auto"/>
            <w:vMerge w:val="restart"/>
            <w:tcBorders>
              <w:top w:val="single" w:color="000000" w:sz="4" w:space="0"/>
              <w:left w:val="nil"/>
              <w:bottom w:val="single" w:color="000000" w:sz="4" w:space="0"/>
              <w:right w:val="single" w:color="000000" w:sz="4" w:space="0"/>
            </w:tcBorders>
            <w:shd w:val="clear" w:color="FFFFFF"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855" w:type="dxa"/>
            <w:vMerge w:val="restart"/>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本年支出合计</w:t>
            </w:r>
          </w:p>
        </w:tc>
        <w:tc>
          <w:tcPr>
            <w:tcW w:w="855" w:type="dxa"/>
            <w:vMerge w:val="restart"/>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基本支出</w:t>
            </w:r>
          </w:p>
        </w:tc>
        <w:tc>
          <w:tcPr>
            <w:tcW w:w="945" w:type="dxa"/>
            <w:vMerge w:val="restart"/>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项目支出</w:t>
            </w:r>
          </w:p>
        </w:tc>
        <w:tc>
          <w:tcPr>
            <w:tcW w:w="690" w:type="dxa"/>
            <w:vMerge w:val="restart"/>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上缴上级支出</w:t>
            </w:r>
          </w:p>
        </w:tc>
        <w:tc>
          <w:tcPr>
            <w:tcW w:w="750" w:type="dxa"/>
            <w:vMerge w:val="restart"/>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经营支出</w:t>
            </w:r>
          </w:p>
        </w:tc>
        <w:tc>
          <w:tcPr>
            <w:tcW w:w="1065" w:type="dxa"/>
            <w:vMerge w:val="restart"/>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对附属单位补助支出</w:t>
            </w:r>
          </w:p>
        </w:tc>
      </w:tr>
      <w:tr>
        <w:tblPrEx>
          <w:tblCellMar>
            <w:top w:w="0" w:type="dxa"/>
            <w:left w:w="0" w:type="dxa"/>
            <w:bottom w:w="0" w:type="dxa"/>
            <w:right w:w="0" w:type="dxa"/>
          </w:tblCellMar>
        </w:tblPrEx>
        <w:trPr>
          <w:trHeight w:val="308" w:hRule="atLeast"/>
        </w:trPr>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FFFFFF" w:fill="FFFFFF"/>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continue"/>
            <w:tcBorders>
              <w:top w:val="single" w:color="000000" w:sz="4" w:space="0"/>
              <w:left w:val="nil"/>
              <w:bottom w:val="single" w:color="000000" w:sz="4" w:space="0"/>
              <w:right w:val="single" w:color="000000" w:sz="4" w:space="0"/>
            </w:tcBorders>
            <w:shd w:val="clear" w:color="FFFFFF" w:fill="FFFFFF"/>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5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5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90"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0"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08" w:hRule="atLeast"/>
        </w:trPr>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FFFFFF" w:fill="FFFFFF"/>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continue"/>
            <w:tcBorders>
              <w:top w:val="single" w:color="000000" w:sz="4" w:space="0"/>
              <w:left w:val="nil"/>
              <w:bottom w:val="single" w:color="000000" w:sz="4" w:space="0"/>
              <w:right w:val="single" w:color="000000" w:sz="4" w:space="0"/>
            </w:tcBorders>
            <w:shd w:val="clear" w:color="FFFFFF" w:fill="FFFFFF"/>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5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5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90"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0"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FFFFFF" w:fill="FFFFFF"/>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continue"/>
            <w:tcBorders>
              <w:top w:val="single" w:color="000000" w:sz="4" w:space="0"/>
              <w:left w:val="nil"/>
              <w:bottom w:val="single" w:color="000000" w:sz="4" w:space="0"/>
              <w:right w:val="single" w:color="000000" w:sz="4" w:space="0"/>
            </w:tcBorders>
            <w:shd w:val="clear" w:color="FFFFFF" w:fill="FFFFFF"/>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5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5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4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90"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0"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5" w:type="dxa"/>
            <w:vMerge w:val="continue"/>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08" w:hRule="atLeast"/>
        </w:trPr>
        <w:tc>
          <w:tcPr>
            <w:tcW w:w="0" w:type="auto"/>
            <w:vMerge w:val="restart"/>
            <w:tcBorders>
              <w:top w:val="nil"/>
              <w:left w:val="single" w:color="000000" w:sz="4" w:space="0"/>
              <w:bottom w:val="single" w:color="000000" w:sz="4" w:space="0"/>
              <w:right w:val="single" w:color="000000" w:sz="4" w:space="0"/>
            </w:tcBorders>
            <w:shd w:val="clear" w:color="FFFFFF"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类</w:t>
            </w:r>
          </w:p>
        </w:tc>
        <w:tc>
          <w:tcPr>
            <w:tcW w:w="0" w:type="auto"/>
            <w:vMerge w:val="restart"/>
            <w:tcBorders>
              <w:top w:val="nil"/>
              <w:left w:val="nil"/>
              <w:bottom w:val="single" w:color="000000" w:sz="4" w:space="0"/>
              <w:right w:val="single" w:color="000000" w:sz="4" w:space="0"/>
            </w:tcBorders>
            <w:shd w:val="clear" w:color="FFFFFF"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款</w:t>
            </w:r>
          </w:p>
        </w:tc>
        <w:tc>
          <w:tcPr>
            <w:tcW w:w="0" w:type="auto"/>
            <w:vMerge w:val="restart"/>
            <w:tcBorders>
              <w:top w:val="nil"/>
              <w:left w:val="nil"/>
              <w:bottom w:val="single" w:color="000000" w:sz="4" w:space="0"/>
              <w:right w:val="single" w:color="000000" w:sz="4" w:space="0"/>
            </w:tcBorders>
            <w:shd w:val="clear" w:color="FFFFFF"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w:t>
            </w:r>
          </w:p>
        </w:tc>
        <w:tc>
          <w:tcPr>
            <w:tcW w:w="0" w:type="auto"/>
            <w:tcBorders>
              <w:top w:val="nil"/>
              <w:left w:val="nil"/>
              <w:bottom w:val="single" w:color="000000" w:sz="4" w:space="0"/>
              <w:right w:val="single" w:color="000000" w:sz="4" w:space="0"/>
            </w:tcBorders>
            <w:shd w:val="clear" w:color="FFFFFF"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855"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855"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945"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690"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750"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1065"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r>
      <w:tr>
        <w:tblPrEx>
          <w:tblCellMar>
            <w:top w:w="0" w:type="dxa"/>
            <w:left w:w="0" w:type="dxa"/>
            <w:bottom w:w="0" w:type="dxa"/>
            <w:right w:w="0" w:type="dxa"/>
          </w:tblCellMar>
        </w:tblPrEx>
        <w:trPr>
          <w:trHeight w:val="308" w:hRule="atLeast"/>
        </w:trPr>
        <w:tc>
          <w:tcPr>
            <w:tcW w:w="0" w:type="auto"/>
            <w:vMerge w:val="continue"/>
            <w:tcBorders>
              <w:top w:val="nil"/>
              <w:left w:val="single" w:color="000000" w:sz="4" w:space="0"/>
              <w:bottom w:val="single" w:color="000000" w:sz="4" w:space="0"/>
              <w:right w:val="single" w:color="000000" w:sz="4" w:space="0"/>
            </w:tcBorders>
            <w:shd w:val="clear" w:color="FFFFFF" w:fill="FFFFFF"/>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continue"/>
            <w:tcBorders>
              <w:top w:val="nil"/>
              <w:left w:val="nil"/>
              <w:bottom w:val="single" w:color="000000" w:sz="4" w:space="0"/>
              <w:right w:val="single" w:color="000000" w:sz="4" w:space="0"/>
            </w:tcBorders>
            <w:shd w:val="clear" w:color="FFFFFF" w:fill="FFFFFF"/>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continue"/>
            <w:tcBorders>
              <w:top w:val="nil"/>
              <w:left w:val="nil"/>
              <w:bottom w:val="single" w:color="000000" w:sz="4" w:space="0"/>
              <w:right w:val="single" w:color="000000" w:sz="4" w:space="0"/>
            </w:tcBorders>
            <w:shd w:val="clear" w:color="FFFFFF" w:fill="FFFFFF"/>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FFFFFF"/>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745.48</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433.62</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311.86</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一般公共服务支出</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650.73</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338.87</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311.86</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20101</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人大事务</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12.50</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12.50</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2010103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机关服务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12.50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20131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党委办公厅（室）及相关机构事务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638.23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338.87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299.36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2013101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338.87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338.87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2013102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一般行政管理事务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51.06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51.06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2013105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专项业务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242.93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242.93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2013199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其他党委办公厅（室）及相关机构事务支出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行政事业单位医疗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行政单位医疗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住房保障支出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住房改革支出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2210201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bl>
    <w:p>
      <w:r>
        <w:br w:type="page"/>
      </w:r>
    </w:p>
    <w:tbl>
      <w:tblPr>
        <w:tblStyle w:val="6"/>
        <w:tblW w:w="9520" w:type="dxa"/>
        <w:jc w:val="center"/>
        <w:tblLayout w:type="fixed"/>
        <w:tblCellMar>
          <w:top w:w="0" w:type="dxa"/>
          <w:left w:w="0" w:type="dxa"/>
          <w:bottom w:w="0" w:type="dxa"/>
          <w:right w:w="0" w:type="dxa"/>
        </w:tblCellMar>
      </w:tblPr>
      <w:tblGrid>
        <w:gridCol w:w="2922"/>
        <w:gridCol w:w="425"/>
        <w:gridCol w:w="662"/>
        <w:gridCol w:w="2946"/>
        <w:gridCol w:w="507"/>
        <w:gridCol w:w="414"/>
        <w:gridCol w:w="855"/>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1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41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681.61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480.72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480.72</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43.08</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43.08</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28.58</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28.58</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23.09</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23.09</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681.61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575.47</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575.47</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106.14</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106.14</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681.61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4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681.61</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681.61</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8370" w:type="dxa"/>
        <w:tblInd w:w="0" w:type="dxa"/>
        <w:shd w:val="clear" w:color="auto" w:fill="auto"/>
        <w:tblLayout w:type="autofit"/>
        <w:tblCellMar>
          <w:top w:w="0" w:type="dxa"/>
          <w:left w:w="0" w:type="dxa"/>
          <w:bottom w:w="0" w:type="dxa"/>
          <w:right w:w="0" w:type="dxa"/>
        </w:tblCellMar>
      </w:tblPr>
      <w:tblGrid>
        <w:gridCol w:w="2453"/>
        <w:gridCol w:w="541"/>
        <w:gridCol w:w="669"/>
        <w:gridCol w:w="2301"/>
        <w:gridCol w:w="541"/>
        <w:gridCol w:w="796"/>
        <w:gridCol w:w="711"/>
        <w:gridCol w:w="1090"/>
      </w:tblGrid>
      <w:tr>
        <w:tblPrEx>
          <w:shd w:val="clear" w:color="auto" w:fill="auto"/>
        </w:tblPrEx>
        <w:trPr>
          <w:trHeight w:val="255" w:hRule="atLeast"/>
        </w:trPr>
        <w:tc>
          <w:tcPr>
            <w:tcW w:w="2130"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16"/>
                <w:szCs w:val="16"/>
                <w:u w:val="none"/>
              </w:rPr>
            </w:pPr>
          </w:p>
        </w:tc>
        <w:tc>
          <w:tcPr>
            <w:tcW w:w="57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70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204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财政拨款收入支出决算批复表</w:t>
            </w:r>
          </w:p>
        </w:tc>
        <w:tc>
          <w:tcPr>
            <w:tcW w:w="57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8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75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76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财决批复04表</w:t>
            </w:r>
          </w:p>
        </w:tc>
      </w:tr>
      <w:tr>
        <w:tblPrEx>
          <w:shd w:val="clear" w:color="auto" w:fill="auto"/>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部门：中共石家庄市鹿泉区委办公室</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shd w:val="clear" w:color="auto" w:fill="auto"/>
          <w:tblCellMar>
            <w:top w:w="0" w:type="dxa"/>
            <w:left w:w="0" w:type="dxa"/>
            <w:bottom w:w="0" w:type="dxa"/>
            <w:right w:w="0" w:type="dxa"/>
          </w:tblCellMar>
        </w:tblPrEx>
        <w:trPr>
          <w:trHeight w:val="30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     入</w:t>
            </w:r>
          </w:p>
        </w:tc>
        <w:tc>
          <w:tcPr>
            <w:tcW w:w="0" w:type="auto"/>
            <w:gridSpan w:val="5"/>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支     出</w:t>
            </w:r>
          </w:p>
        </w:tc>
      </w:tr>
      <w:tr>
        <w:tblPrEx>
          <w:shd w:val="clear" w:color="auto" w:fill="auto"/>
          <w:tblCellMar>
            <w:top w:w="0" w:type="dxa"/>
            <w:left w:w="0" w:type="dxa"/>
            <w:bottom w:w="0" w:type="dxa"/>
            <w:right w:w="0" w:type="dxa"/>
          </w:tblCellMar>
        </w:tblPrEx>
        <w:trPr>
          <w:trHeight w:val="292" w:hRule="atLeast"/>
        </w:trPr>
        <w:tc>
          <w:tcPr>
            <w:tcW w:w="2130"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57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行次</w:t>
            </w:r>
          </w:p>
        </w:tc>
        <w:tc>
          <w:tcPr>
            <w:tcW w:w="70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w:t>
            </w:r>
          </w:p>
        </w:tc>
        <w:tc>
          <w:tcPr>
            <w:tcW w:w="204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57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行次</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75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一般公共预算财政拨款</w:t>
            </w:r>
          </w:p>
        </w:tc>
        <w:tc>
          <w:tcPr>
            <w:tcW w:w="76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政府性基金预算财政拨款</w:t>
            </w:r>
          </w:p>
        </w:tc>
      </w:tr>
      <w:tr>
        <w:tblPrEx>
          <w:shd w:val="clear" w:color="auto" w:fill="auto"/>
          <w:tblCellMar>
            <w:top w:w="0" w:type="dxa"/>
            <w:left w:w="0" w:type="dxa"/>
            <w:bottom w:w="0" w:type="dxa"/>
            <w:right w:w="0" w:type="dxa"/>
          </w:tblCellMar>
        </w:tblPrEx>
        <w:trPr>
          <w:trHeight w:val="615" w:hRule="atLeast"/>
        </w:trPr>
        <w:tc>
          <w:tcPr>
            <w:tcW w:w="2130"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7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0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4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7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6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一、一般公共预算财政拨款</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681.61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一、一般公共服务支出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480.72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480.72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二、政府性基金预算财政拨款</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二、外交支出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三、国防支出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四、公共安全支出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五、教育支出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六、科学技术支出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七、文化旅游体育与传媒支出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八、社会保障和就业支出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九、卫生健康支出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十、节能环保支出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十一、城乡社区支出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十二、农林水支出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十三、交通运输支出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十四、资源勘探信息等支出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十五、商业服务业等支出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十六、金融支出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十七、援助其他地区支出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十八、自然资源海洋气象等支出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十九、住房保障支出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23.09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二十、粮油物资储备支出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二十一、灾害防治及应急管理支出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二十二、其他支出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二十四、债务付息支出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本年收入合计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681.61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本年支出合计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575.47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575.47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年初财政拨款结转和结余</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年末财政拨款结转和结余</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106.14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106.14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一、一般公共预算财政拨款</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二、政府性基金预算财政拨款</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总计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681.61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6"/>
                <w:szCs w:val="16"/>
                <w:u w:val="none"/>
              </w:rPr>
            </w:pPr>
            <w:r>
              <w:rPr>
                <w:rFonts w:hint="eastAsia" w:ascii="宋体" w:hAnsi="宋体" w:eastAsia="宋体" w:cs="宋体"/>
                <w:b/>
                <w:i w:val="0"/>
                <w:color w:val="000000"/>
                <w:kern w:val="0"/>
                <w:sz w:val="16"/>
                <w:szCs w:val="16"/>
                <w:u w:val="none"/>
                <w:lang w:val="en-US" w:eastAsia="zh-CN" w:bidi="ar"/>
              </w:rPr>
              <w:t>总计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681.61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681.61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bl>
    <w:p>
      <w:r>
        <w:br w:type="page"/>
      </w:r>
    </w:p>
    <w:tbl>
      <w:tblPr>
        <w:tblStyle w:val="6"/>
        <w:tblW w:w="8565" w:type="dxa"/>
        <w:tblInd w:w="0" w:type="dxa"/>
        <w:shd w:val="clear" w:color="auto" w:fill="auto"/>
        <w:tblLayout w:type="autofit"/>
        <w:tblCellMar>
          <w:top w:w="0" w:type="dxa"/>
          <w:left w:w="0" w:type="dxa"/>
          <w:bottom w:w="0" w:type="dxa"/>
          <w:right w:w="0" w:type="dxa"/>
        </w:tblCellMar>
      </w:tblPr>
      <w:tblGrid>
        <w:gridCol w:w="1978"/>
        <w:gridCol w:w="1492"/>
        <w:gridCol w:w="478"/>
        <w:gridCol w:w="377"/>
        <w:gridCol w:w="1005"/>
        <w:gridCol w:w="505"/>
        <w:gridCol w:w="405"/>
        <w:gridCol w:w="1882"/>
        <w:gridCol w:w="980"/>
      </w:tblGrid>
      <w:tr>
        <w:tblPrEx>
          <w:shd w:val="clear" w:color="auto" w:fill="auto"/>
          <w:tblCellMar>
            <w:top w:w="0" w:type="dxa"/>
            <w:left w:w="0" w:type="dxa"/>
            <w:bottom w:w="0" w:type="dxa"/>
            <w:right w:w="0" w:type="dxa"/>
          </w:tblCellMar>
        </w:tblPrEx>
        <w:trPr>
          <w:trHeight w:val="390" w:hRule="atLeast"/>
        </w:trPr>
        <w:tc>
          <w:tcPr>
            <w:tcW w:w="555"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148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6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60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9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一般公共预算财政拨款基本支出决算批复表</w:t>
            </w:r>
          </w:p>
        </w:tc>
        <w:tc>
          <w:tcPr>
            <w:tcW w:w="81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64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4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7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r>
      <w:tr>
        <w:tblPrEx>
          <w:tblCellMar>
            <w:top w:w="0" w:type="dxa"/>
            <w:left w:w="0" w:type="dxa"/>
            <w:bottom w:w="0" w:type="dxa"/>
            <w:right w:w="0" w:type="dxa"/>
          </w:tblCellMar>
        </w:tblPrEx>
        <w:trPr>
          <w:trHeight w:val="28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财决批复06表</w:t>
            </w: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部门：中共石家庄市鹿泉区委办公室</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tblCellMar>
            <w:top w:w="0" w:type="dxa"/>
            <w:left w:w="0" w:type="dxa"/>
            <w:bottom w:w="0" w:type="dxa"/>
            <w:right w:w="0" w:type="dxa"/>
          </w:tblCellMar>
        </w:tblPrEx>
        <w:trPr>
          <w:trHeight w:val="30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人员经费</w:t>
            </w:r>
          </w:p>
        </w:tc>
        <w:tc>
          <w:tcPr>
            <w:tcW w:w="0" w:type="auto"/>
            <w:gridSpan w:val="6"/>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公用经费</w:t>
            </w:r>
          </w:p>
        </w:tc>
      </w:tr>
      <w:tr>
        <w:tblPrEx>
          <w:tblCellMar>
            <w:top w:w="0" w:type="dxa"/>
            <w:left w:w="0" w:type="dxa"/>
            <w:bottom w:w="0" w:type="dxa"/>
            <w:right w:w="0" w:type="dxa"/>
          </w:tblCellMar>
        </w:tblPrEx>
        <w:trPr>
          <w:trHeight w:val="308" w:hRule="atLeast"/>
        </w:trPr>
        <w:tc>
          <w:tcPr>
            <w:tcW w:w="555"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科目编码</w:t>
            </w:r>
          </w:p>
        </w:tc>
        <w:tc>
          <w:tcPr>
            <w:tcW w:w="148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76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决算数</w:t>
            </w:r>
          </w:p>
        </w:tc>
        <w:tc>
          <w:tcPr>
            <w:tcW w:w="60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科目编码</w:t>
            </w:r>
          </w:p>
        </w:tc>
        <w:tc>
          <w:tcPr>
            <w:tcW w:w="129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81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决算数</w:t>
            </w:r>
          </w:p>
        </w:tc>
        <w:tc>
          <w:tcPr>
            <w:tcW w:w="64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科目编码</w:t>
            </w:r>
          </w:p>
        </w:tc>
        <w:tc>
          <w:tcPr>
            <w:tcW w:w="144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97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决算数</w:t>
            </w:r>
          </w:p>
        </w:tc>
      </w:tr>
      <w:tr>
        <w:tblPrEx>
          <w:shd w:val="clear" w:color="auto" w:fill="auto"/>
          <w:tblCellMar>
            <w:top w:w="0" w:type="dxa"/>
            <w:left w:w="0" w:type="dxa"/>
            <w:bottom w:w="0" w:type="dxa"/>
            <w:right w:w="0" w:type="dxa"/>
          </w:tblCellMar>
        </w:tblPrEx>
        <w:trPr>
          <w:trHeight w:val="308" w:hRule="atLeast"/>
        </w:trPr>
        <w:tc>
          <w:tcPr>
            <w:tcW w:w="555"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8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6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0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4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4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7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工资福利支出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348.46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商品和服务支出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债务利息及费用支出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基本工资</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126.88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办公费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30701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国内债务付息</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津贴补贴</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73.18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印刷费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30702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国外债务付息</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奖金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17.51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咨询费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资本性支出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77.21</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伙食补助费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30204</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手续费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房屋建筑物购建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绩效工资</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水费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办公设备购置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14.27</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机关事业单位基本养老保险缴费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43.08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电费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专用设备购置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53.96</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职业年金缴费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邮电费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基础设施建设</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职工基本医疗保险缴费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28.58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取暖费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大型修缮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公务员医疗补助缴费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物业管理费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信息网络及软件购置更新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8.98</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其他社会保障缴费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19.75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差旅费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物资储备</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住房公积金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23.09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因公出国（境）费用</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土地补偿</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30114</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医疗费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维修（护）费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安置补助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30199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其他工资福利支出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16.39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30214</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租赁费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地上附着物和青苗补偿</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对个人和家庭的补助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7.95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会议费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拆迁补偿</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离休费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培训费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公务用车购置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退休费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公务接待费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其他交通工具购置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退职（役）费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专用材料费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31021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文物和陈列品购置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30304</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抚恤金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30224</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被装购置费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31022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无形资产购置</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生活补助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4.43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专用燃料费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31099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其他资本性支出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救济费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劳务费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医疗费补助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委托业务费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39906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赠与</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助学金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工会经费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39907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国家赔偿费用支出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奖励金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福利费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39908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对民间非营利组织和群众性自治组织补贴</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30310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个人农业生产补贴</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30231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公务用车运行维护费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39999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30399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其他对个人和家庭的补助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0.57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30239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其他交通费用</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30240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税金及附加费用</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30299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其他商品和服务支出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308" w:hRule="atLeast"/>
        </w:trPr>
        <w:tc>
          <w:tcPr>
            <w:tcW w:w="0" w:type="auto"/>
            <w:gridSpan w:val="2"/>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人员经费合计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356.41</w:t>
            </w:r>
          </w:p>
        </w:tc>
        <w:tc>
          <w:tcPr>
            <w:tcW w:w="0" w:type="auto"/>
            <w:gridSpan w:val="5"/>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公用经费合计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77.21</w:t>
            </w:r>
          </w:p>
        </w:tc>
      </w:tr>
    </w:tbl>
    <w:p>
      <w:r>
        <w:br w:type="page"/>
      </w:r>
    </w:p>
    <w:tbl>
      <w:tblPr>
        <w:tblStyle w:val="6"/>
        <w:tblW w:w="8385" w:type="dxa"/>
        <w:tblInd w:w="0" w:type="dxa"/>
        <w:shd w:val="clear" w:color="auto" w:fill="auto"/>
        <w:tblLayout w:type="autofit"/>
        <w:tblCellMar>
          <w:top w:w="0" w:type="dxa"/>
          <w:left w:w="0" w:type="dxa"/>
          <w:bottom w:w="0" w:type="dxa"/>
          <w:right w:w="0" w:type="dxa"/>
        </w:tblCellMar>
      </w:tblPr>
      <w:tblGrid>
        <w:gridCol w:w="2145"/>
        <w:gridCol w:w="600"/>
        <w:gridCol w:w="501"/>
        <w:gridCol w:w="699"/>
        <w:gridCol w:w="575"/>
        <w:gridCol w:w="712"/>
        <w:gridCol w:w="563"/>
        <w:gridCol w:w="575"/>
        <w:gridCol w:w="613"/>
        <w:gridCol w:w="563"/>
        <w:gridCol w:w="600"/>
        <w:gridCol w:w="956"/>
      </w:tblGrid>
      <w:tr>
        <w:tblPrEx>
          <w:shd w:val="clear" w:color="auto" w:fill="auto"/>
          <w:tblCellMar>
            <w:top w:w="0" w:type="dxa"/>
            <w:left w:w="0" w:type="dxa"/>
            <w:bottom w:w="0" w:type="dxa"/>
            <w:right w:w="0" w:type="dxa"/>
          </w:tblCellMar>
        </w:tblPrEx>
        <w:trPr>
          <w:trHeight w:val="255" w:hRule="atLeast"/>
        </w:trPr>
        <w:tc>
          <w:tcPr>
            <w:tcW w:w="435" w:type="dxa"/>
            <w:tcBorders>
              <w:top w:val="nil"/>
              <w:left w:val="nil"/>
              <w:bottom w:val="nil"/>
              <w:right w:val="nil"/>
            </w:tcBorders>
            <w:shd w:val="clear" w:color="auto" w:fill="FFFFFF"/>
            <w:noWrap/>
            <w:tcMar>
              <w:top w:w="15" w:type="dxa"/>
              <w:left w:w="15" w:type="dxa"/>
              <w:right w:w="15" w:type="dxa"/>
            </w:tcMar>
            <w:vAlign w:val="bottom"/>
          </w:tcPr>
          <w:p>
            <w:pPr>
              <w:rPr>
                <w:rFonts w:hint="eastAsia" w:ascii="Arial" w:hAnsi="Arial" w:cs="Arial"/>
                <w:i w:val="0"/>
                <w:color w:val="000000"/>
                <w:sz w:val="16"/>
                <w:szCs w:val="16"/>
                <w:u w:val="none"/>
              </w:rPr>
            </w:pPr>
          </w:p>
        </w:tc>
        <w:tc>
          <w:tcPr>
            <w:tcW w:w="720" w:type="dxa"/>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600" w:type="dxa"/>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840" w:type="dxa"/>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690" w:type="dxa"/>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855" w:type="dxa"/>
            <w:tcBorders>
              <w:top w:val="nil"/>
              <w:left w:val="nil"/>
              <w:bottom w:val="nil"/>
              <w:right w:val="nil"/>
            </w:tcBorders>
            <w:shd w:val="clear" w:color="auto" w:fill="FFFFFF"/>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一般公共预算财政拨款“三公”经费支出决算表</w:t>
            </w:r>
          </w:p>
        </w:tc>
        <w:tc>
          <w:tcPr>
            <w:tcW w:w="675" w:type="dxa"/>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690" w:type="dxa"/>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735" w:type="dxa"/>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675" w:type="dxa"/>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720" w:type="dxa"/>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750" w:type="dxa"/>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r>
      <w:tr>
        <w:tblPrEx>
          <w:shd w:val="clear" w:color="auto" w:fill="auto"/>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公开07表</w:t>
            </w:r>
          </w:p>
        </w:tc>
      </w:tr>
      <w:tr>
        <w:tblPrEx>
          <w:shd w:val="clear" w:color="auto" w:fill="auto"/>
          <w:tblCellMar>
            <w:top w:w="0" w:type="dxa"/>
            <w:left w:w="0" w:type="dxa"/>
            <w:bottom w:w="0" w:type="dxa"/>
            <w:right w:w="0" w:type="dxa"/>
          </w:tblCellMar>
        </w:tblPrEx>
        <w:trPr>
          <w:trHeight w:val="255" w:hRule="atLeast"/>
        </w:trPr>
        <w:tc>
          <w:tcPr>
            <w:tcW w:w="0" w:type="auto"/>
            <w:tcBorders>
              <w:top w:val="nil"/>
              <w:left w:val="nil"/>
              <w:bottom w:val="nil"/>
              <w:right w:val="nil"/>
            </w:tcBorders>
            <w:shd w:val="clear" w:color="auto" w:fill="FFFFFF"/>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部门：中共石家庄市鹿泉区委办公室</w:t>
            </w: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rPr>
                <w:rFonts w:hint="default" w:ascii="Arial" w:hAnsi="Arial" w:cs="Arial"/>
                <w:i w:val="0"/>
                <w:color w:val="000000"/>
                <w:sz w:val="16"/>
                <w:szCs w:val="16"/>
                <w:u w:val="none"/>
              </w:rPr>
            </w:pPr>
          </w:p>
        </w:tc>
        <w:tc>
          <w:tcPr>
            <w:tcW w:w="0" w:type="auto"/>
            <w:tcBorders>
              <w:top w:val="nil"/>
              <w:left w:val="nil"/>
              <w:bottom w:val="nil"/>
              <w:right w:val="nil"/>
            </w:tcBorders>
            <w:shd w:val="clear" w:color="auto" w:fill="FFFFFF"/>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shd w:val="clear" w:color="auto" w:fill="auto"/>
          <w:tblCellMar>
            <w:top w:w="0" w:type="dxa"/>
            <w:left w:w="0" w:type="dxa"/>
            <w:bottom w:w="0" w:type="dxa"/>
            <w:right w:w="0" w:type="dxa"/>
          </w:tblCellMar>
        </w:tblPrEx>
        <w:trPr>
          <w:trHeight w:val="308" w:hRule="atLeast"/>
        </w:trPr>
        <w:tc>
          <w:tcPr>
            <w:tcW w:w="4140" w:type="dxa"/>
            <w:gridSpan w:val="6"/>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4245" w:type="dxa"/>
            <w:gridSpan w:val="6"/>
            <w:tcBorders>
              <w:top w:val="single" w:color="000000" w:sz="4" w:space="0"/>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决算数</w:t>
            </w:r>
          </w:p>
        </w:tc>
      </w:tr>
      <w:tr>
        <w:tblPrEx>
          <w:shd w:val="clear" w:color="auto" w:fill="auto"/>
          <w:tblCellMar>
            <w:top w:w="0" w:type="dxa"/>
            <w:left w:w="0" w:type="dxa"/>
            <w:bottom w:w="0" w:type="dxa"/>
            <w:right w:w="0" w:type="dxa"/>
          </w:tblCellMar>
        </w:tblPrEx>
        <w:trPr>
          <w:trHeight w:val="308" w:hRule="atLeast"/>
        </w:trPr>
        <w:tc>
          <w:tcPr>
            <w:tcW w:w="435" w:type="dxa"/>
            <w:vMerge w:val="restart"/>
            <w:tcBorders>
              <w:top w:val="nil"/>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720" w:type="dxa"/>
            <w:vMerge w:val="restart"/>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因公出国（境）费</w:t>
            </w:r>
          </w:p>
        </w:tc>
        <w:tc>
          <w:tcPr>
            <w:tcW w:w="2130" w:type="dxa"/>
            <w:gridSpan w:val="3"/>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公务用车购置及运行费</w:t>
            </w:r>
          </w:p>
        </w:tc>
        <w:tc>
          <w:tcPr>
            <w:tcW w:w="855" w:type="dxa"/>
            <w:vMerge w:val="restart"/>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公务接待费</w:t>
            </w:r>
          </w:p>
        </w:tc>
        <w:tc>
          <w:tcPr>
            <w:tcW w:w="675" w:type="dxa"/>
            <w:vMerge w:val="restart"/>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690" w:type="dxa"/>
            <w:vMerge w:val="restart"/>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因公出国（境）费</w:t>
            </w:r>
          </w:p>
        </w:tc>
        <w:tc>
          <w:tcPr>
            <w:tcW w:w="2130" w:type="dxa"/>
            <w:gridSpan w:val="3"/>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公务用车购置及运行费</w:t>
            </w:r>
          </w:p>
        </w:tc>
        <w:tc>
          <w:tcPr>
            <w:tcW w:w="750" w:type="dxa"/>
            <w:vMerge w:val="restart"/>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公务接待费</w:t>
            </w:r>
          </w:p>
        </w:tc>
      </w:tr>
      <w:tr>
        <w:tblPrEx>
          <w:shd w:val="clear" w:color="auto" w:fill="auto"/>
          <w:tblCellMar>
            <w:top w:w="0" w:type="dxa"/>
            <w:left w:w="0" w:type="dxa"/>
            <w:bottom w:w="0" w:type="dxa"/>
            <w:right w:w="0" w:type="dxa"/>
          </w:tblCellMar>
        </w:tblPrEx>
        <w:trPr>
          <w:trHeight w:val="615" w:hRule="atLeast"/>
        </w:trPr>
        <w:tc>
          <w:tcPr>
            <w:tcW w:w="435" w:type="dxa"/>
            <w:vMerge w:val="continue"/>
            <w:tcBorders>
              <w:top w:val="nil"/>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20" w:type="dxa"/>
            <w:vMerge w:val="continue"/>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00"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小计</w:t>
            </w:r>
          </w:p>
        </w:tc>
        <w:tc>
          <w:tcPr>
            <w:tcW w:w="840"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公务用车购置费</w:t>
            </w:r>
          </w:p>
        </w:tc>
        <w:tc>
          <w:tcPr>
            <w:tcW w:w="690"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公务用车运行费</w:t>
            </w:r>
          </w:p>
        </w:tc>
        <w:tc>
          <w:tcPr>
            <w:tcW w:w="855" w:type="dxa"/>
            <w:vMerge w:val="continue"/>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90" w:type="dxa"/>
            <w:vMerge w:val="continue"/>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35"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小计</w:t>
            </w:r>
          </w:p>
        </w:tc>
        <w:tc>
          <w:tcPr>
            <w:tcW w:w="675"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公务用车购置费</w:t>
            </w:r>
          </w:p>
        </w:tc>
        <w:tc>
          <w:tcPr>
            <w:tcW w:w="720"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公务用车运行费</w:t>
            </w:r>
          </w:p>
        </w:tc>
        <w:tc>
          <w:tcPr>
            <w:tcW w:w="750" w:type="dxa"/>
            <w:vMerge w:val="continue"/>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08" w:hRule="atLeast"/>
        </w:trPr>
        <w:tc>
          <w:tcPr>
            <w:tcW w:w="435" w:type="dxa"/>
            <w:tcBorders>
              <w:top w:val="nil"/>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720"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600"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840"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690"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855"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675"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w:t>
            </w:r>
          </w:p>
        </w:tc>
        <w:tc>
          <w:tcPr>
            <w:tcW w:w="690"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w:t>
            </w:r>
          </w:p>
        </w:tc>
        <w:tc>
          <w:tcPr>
            <w:tcW w:w="735"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w:t>
            </w:r>
          </w:p>
        </w:tc>
        <w:tc>
          <w:tcPr>
            <w:tcW w:w="675"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c>
          <w:tcPr>
            <w:tcW w:w="720"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w:t>
            </w:r>
          </w:p>
        </w:tc>
        <w:tc>
          <w:tcPr>
            <w:tcW w:w="750" w:type="dxa"/>
            <w:tcBorders>
              <w:top w:val="nil"/>
              <w:left w:val="nil"/>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w:t>
            </w:r>
          </w:p>
        </w:tc>
      </w:tr>
      <w:tr>
        <w:tblPrEx>
          <w:shd w:val="clear" w:color="auto" w:fill="auto"/>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39.30</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24.30</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24.30</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18.81</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18.81</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18.81</w:t>
            </w:r>
          </w:p>
        </w:tc>
        <w:tc>
          <w:tcPr>
            <w:tcW w:w="0" w:type="auto"/>
            <w:tcBorders>
              <w:top w:val="nil"/>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0.00</w:t>
            </w:r>
          </w:p>
        </w:tc>
      </w:tr>
    </w:tbl>
    <w:p>
      <w:pPr>
        <w:rPr>
          <w:rFonts w:hint="eastAsia" w:ascii="宋体" w:hAnsi="宋体" w:eastAsia="宋体" w:cs="宋体"/>
        </w:rPr>
      </w:pPr>
    </w:p>
    <w:p>
      <w:pPr>
        <w:rPr>
          <w:rFonts w:hint="eastAsia" w:ascii="宋体" w:hAnsi="宋体" w:eastAsia="宋体" w:cs="宋体"/>
        </w:rPr>
      </w:pPr>
    </w:p>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autofit"/>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5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widowControl/>
        <w:spacing w:line="580" w:lineRule="atLeast"/>
        <w:ind w:firstLine="640"/>
        <w:jc w:val="left"/>
        <w:rPr>
          <w:rFonts w:hint="eastAsia" w:ascii="楷体_GB2312" w:hAnsi="Times New Roman" w:eastAsia="楷体_GB2312" w:cs="DengXian-Bold"/>
          <w:b/>
          <w:bCs/>
          <w:sz w:val="32"/>
          <w:szCs w:val="32"/>
        </w:rPr>
      </w:pPr>
      <w:r>
        <w:rPr>
          <w:rFonts w:hint="eastAsia" w:ascii="仿宋_GB2312" w:hAnsi="宋体" w:eastAsia="仿宋_GB2312" w:cs="宋体"/>
          <w:color w:val="auto"/>
          <w:kern w:val="0"/>
          <w:sz w:val="32"/>
          <w:szCs w:val="32"/>
        </w:rPr>
        <w:t>201</w:t>
      </w:r>
      <w:r>
        <w:rPr>
          <w:rFonts w:hint="eastAsia" w:ascii="仿宋_GB2312" w:hAnsi="宋体" w:eastAsia="仿宋_GB2312" w:cs="宋体"/>
          <w:color w:val="auto"/>
          <w:kern w:val="0"/>
          <w:sz w:val="32"/>
          <w:szCs w:val="32"/>
          <w:lang w:val="en-US" w:eastAsia="zh-CN"/>
        </w:rPr>
        <w:t>9</w:t>
      </w:r>
      <w:r>
        <w:rPr>
          <w:rFonts w:hint="eastAsia" w:ascii="仿宋_GB2312" w:hAnsi="宋体" w:eastAsia="仿宋_GB2312" w:cs="宋体"/>
          <w:color w:val="auto"/>
          <w:kern w:val="0"/>
          <w:sz w:val="32"/>
          <w:szCs w:val="32"/>
        </w:rPr>
        <w:t>年度我单位无政府采购。</w:t>
      </w:r>
    </w:p>
    <w:p>
      <w:r>
        <w:br w:type="page"/>
      </w:r>
    </w:p>
    <w:tbl>
      <w:tblPr>
        <w:tblStyle w:val="6"/>
        <w:tblW w:w="9915" w:type="dxa"/>
        <w:jc w:val="center"/>
        <w:tblLayout w:type="autofit"/>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widowControl/>
        <w:spacing w:line="580" w:lineRule="atLeast"/>
        <w:ind w:firstLine="640"/>
        <w:jc w:val="left"/>
        <w:rPr>
          <w:rFonts w:hint="eastAsia" w:ascii="楷体_GB2312" w:hAnsi="Times New Roman" w:eastAsia="楷体_GB2312" w:cs="DengXian-Bold"/>
          <w:b/>
          <w:bCs/>
          <w:sz w:val="32"/>
          <w:szCs w:val="32"/>
        </w:rPr>
      </w:pPr>
      <w:r>
        <w:rPr>
          <w:rFonts w:hint="eastAsia" w:ascii="仿宋_GB2312" w:hAnsi="宋体" w:eastAsia="仿宋_GB2312" w:cs="宋体"/>
          <w:color w:val="auto"/>
          <w:kern w:val="0"/>
          <w:sz w:val="32"/>
          <w:szCs w:val="32"/>
        </w:rPr>
        <w:t>201</w:t>
      </w:r>
      <w:r>
        <w:rPr>
          <w:rFonts w:hint="eastAsia" w:ascii="仿宋_GB2312" w:hAnsi="宋体" w:eastAsia="仿宋_GB2312" w:cs="宋体"/>
          <w:color w:val="auto"/>
          <w:kern w:val="0"/>
          <w:sz w:val="32"/>
          <w:szCs w:val="32"/>
          <w:lang w:val="en-US" w:eastAsia="zh-CN"/>
        </w:rPr>
        <w:t>9</w:t>
      </w:r>
      <w:r>
        <w:rPr>
          <w:rFonts w:hint="eastAsia" w:ascii="仿宋_GB2312" w:hAnsi="宋体" w:eastAsia="仿宋_GB2312" w:cs="宋体"/>
          <w:color w:val="auto"/>
          <w:kern w:val="0"/>
          <w:sz w:val="32"/>
          <w:szCs w:val="32"/>
        </w:rPr>
        <w:t>年度我单位无</w:t>
      </w:r>
      <w:r>
        <w:rPr>
          <w:rFonts w:hint="eastAsia" w:ascii="仿宋_GB2312" w:hAnsi="宋体" w:eastAsia="仿宋_GB2312" w:cs="宋体"/>
          <w:color w:val="auto"/>
          <w:kern w:val="0"/>
          <w:sz w:val="32"/>
          <w:szCs w:val="32"/>
          <w:lang w:eastAsia="zh-CN"/>
        </w:rPr>
        <w:t>国有资本经营</w:t>
      </w:r>
      <w:r>
        <w:rPr>
          <w:rFonts w:hint="eastAsia" w:ascii="仿宋_GB2312" w:hAnsi="宋体" w:eastAsia="仿宋_GB2312" w:cs="宋体"/>
          <w:color w:val="auto"/>
          <w:kern w:val="0"/>
          <w:sz w:val="32"/>
          <w:szCs w:val="32"/>
        </w:rPr>
        <w:t>。</w:t>
      </w:r>
    </w:p>
    <w:p>
      <w:r>
        <w:br w:type="page"/>
      </w:r>
    </w:p>
    <w:p>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auto"/>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modern"/>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仿宋">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42A93E"/>
    <w:multiLevelType w:val="singleLevel"/>
    <w:tmpl w:val="E542A93E"/>
    <w:lvl w:ilvl="0" w:tentative="0">
      <w:start w:val="2"/>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9950409"/>
    <w:multiLevelType w:val="singleLevel"/>
    <w:tmpl w:val="59950409"/>
    <w:lvl w:ilvl="0" w:tentative="0">
      <w:start w:val="1"/>
      <w:numFmt w:val="decimal"/>
      <w:suff w:val="space"/>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c2MWE5MDRjMGU3NGZhYjkwOTdhNjFjZDA2ZjY2NzE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B00A30"/>
    <w:rsid w:val="0B011416"/>
    <w:rsid w:val="18A70A88"/>
    <w:rsid w:val="27151B28"/>
    <w:rsid w:val="31C2036A"/>
    <w:rsid w:val="320D02A5"/>
    <w:rsid w:val="348E566F"/>
    <w:rsid w:val="383F1CCE"/>
    <w:rsid w:val="3A226944"/>
    <w:rsid w:val="3AEE6A48"/>
    <w:rsid w:val="3C1620AA"/>
    <w:rsid w:val="3D8F080F"/>
    <w:rsid w:val="417E22AC"/>
    <w:rsid w:val="44CE1FA4"/>
    <w:rsid w:val="487F73ED"/>
    <w:rsid w:val="4A347EAE"/>
    <w:rsid w:val="52600405"/>
    <w:rsid w:val="529B4319"/>
    <w:rsid w:val="52B32A6E"/>
    <w:rsid w:val="57773DD6"/>
    <w:rsid w:val="578B79AB"/>
    <w:rsid w:val="5CCD3FD5"/>
    <w:rsid w:val="5FF94438"/>
    <w:rsid w:val="61FA5F9D"/>
    <w:rsid w:val="64CD6910"/>
    <w:rsid w:val="6789158D"/>
    <w:rsid w:val="67965AC7"/>
    <w:rsid w:val="67D81BA4"/>
    <w:rsid w:val="6A9F630C"/>
    <w:rsid w:val="6AAF1C96"/>
    <w:rsid w:val="712C4B82"/>
    <w:rsid w:val="75681757"/>
    <w:rsid w:val="75A346A8"/>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7" Type="http://schemas.openxmlformats.org/officeDocument/2006/relationships/fontTable" Target="fontTable.xml"/><Relationship Id="rId36" Type="http://schemas.openxmlformats.org/officeDocument/2006/relationships/customXml" Target="../customXml/item2.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image" Target="media/image7.png"/><Relationship Id="rId32" Type="http://schemas.openxmlformats.org/officeDocument/2006/relationships/image" Target="media/image6.png"/><Relationship Id="rId31" Type="http://schemas.openxmlformats.org/officeDocument/2006/relationships/image" Target="media/image5.png"/><Relationship Id="rId30" Type="http://schemas.openxmlformats.org/officeDocument/2006/relationships/image" Target="media/image4.png"/><Relationship Id="rId3" Type="http://schemas.openxmlformats.org/officeDocument/2006/relationships/header" Target="header1.xml"/><Relationship Id="rId29" Type="http://schemas.openxmlformats.org/officeDocument/2006/relationships/image" Target="media/image3.png"/><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2</TotalTime>
  <ScaleCrop>false</ScaleCrop>
  <LinksUpToDate>false</LinksUpToDate>
  <CharactersWithSpaces>11119</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MissD</cp:lastModifiedBy>
  <cp:lastPrinted>2020-07-30T02:37:00Z</cp:lastPrinted>
  <dcterms:modified xsi:type="dcterms:W3CDTF">2023-09-14T03:21:44Z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5394D2D823FD4A939937ACF7C2E43840_13</vt:lpwstr>
  </property>
</Properties>
</file>