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950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950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155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155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052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6432"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6432;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390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848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yellow"/>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yellow"/>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中国人民政治协商会议河北省石家庄市鹿泉区委员会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360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3600;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fill type="pattern" on="t" color2="#FFFFFF [3212]" focussize="0,0" r:id="rId26"/>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after="0" w:line="240" w:lineRule="auto"/>
        <w:ind w:firstLine="574" w:firstLineChars="205"/>
        <w:rPr>
          <w:rFonts w:ascii="楷体_GB2312" w:eastAsia="楷体_GB2312"/>
          <w:sz w:val="32"/>
          <w:szCs w:val="32"/>
        </w:rPr>
      </w:pPr>
      <w:r>
        <w:rPr>
          <w:rFonts w:ascii="仿宋_GB2312" w:eastAsia="仿宋_GB2312"/>
          <w:sz w:val="28"/>
        </w:rPr>
        <w:t>1</w:t>
      </w:r>
      <w:r>
        <w:rPr>
          <w:rFonts w:hint="eastAsia" w:ascii="仿宋_GB2312" w:eastAsia="仿宋_GB2312"/>
          <w:sz w:val="28"/>
        </w:rPr>
        <w:t>、政治协商</w:t>
      </w:r>
      <w:r>
        <w:rPr>
          <w:rFonts w:ascii="仿宋_GB2312" w:eastAsia="仿宋_GB2312"/>
          <w:sz w:val="28"/>
        </w:rPr>
        <w:tab/>
      </w:r>
    </w:p>
    <w:p>
      <w:pPr>
        <w:spacing w:after="0" w:line="240" w:lineRule="auto"/>
        <w:ind w:left="281" w:leftChars="134" w:firstLine="420" w:firstLineChars="150"/>
        <w:rPr>
          <w:rFonts w:ascii="仿宋_GB2312" w:eastAsia="仿宋_GB2312"/>
          <w:sz w:val="28"/>
        </w:rPr>
      </w:pPr>
      <w:r>
        <w:rPr>
          <w:rFonts w:hint="eastAsia" w:ascii="仿宋_GB2312" w:eastAsia="仿宋_GB2312"/>
          <w:sz w:val="28"/>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着。</w:t>
      </w:r>
    </w:p>
    <w:p>
      <w:pPr>
        <w:spacing w:after="0" w:line="240" w:lineRule="auto"/>
        <w:ind w:firstLine="560"/>
        <w:rPr>
          <w:rFonts w:ascii="仿宋_GB2312" w:eastAsia="仿宋_GB2312"/>
          <w:sz w:val="28"/>
        </w:rPr>
      </w:pPr>
      <w:r>
        <w:rPr>
          <w:rFonts w:ascii="仿宋_GB2312" w:eastAsia="仿宋_GB2312"/>
          <w:sz w:val="28"/>
        </w:rPr>
        <w:t>2</w:t>
      </w:r>
      <w:r>
        <w:rPr>
          <w:rFonts w:hint="eastAsia" w:ascii="仿宋_GB2312" w:eastAsia="仿宋_GB2312"/>
          <w:sz w:val="28"/>
        </w:rPr>
        <w:t>、民主监督</w:t>
      </w:r>
    </w:p>
    <w:p>
      <w:pPr>
        <w:spacing w:after="0" w:line="240" w:lineRule="auto"/>
        <w:ind w:firstLine="560"/>
        <w:rPr>
          <w:rFonts w:ascii="仿宋_GB2312" w:eastAsia="仿宋_GB2312"/>
          <w:sz w:val="28"/>
        </w:rPr>
      </w:pPr>
      <w:r>
        <w:rPr>
          <w:rFonts w:hint="eastAsia" w:ascii="仿宋_GB2312" w:eastAsia="仿宋_GB2312"/>
          <w:sz w:val="28"/>
        </w:rP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pPr>
        <w:spacing w:after="0" w:line="240" w:lineRule="auto"/>
        <w:ind w:firstLine="560"/>
        <w:rPr>
          <w:rFonts w:ascii="仿宋_GB2312" w:eastAsia="仿宋_GB2312"/>
          <w:sz w:val="28"/>
        </w:rPr>
      </w:pPr>
      <w:r>
        <w:rPr>
          <w:rFonts w:hint="eastAsia" w:ascii="仿宋_GB2312" w:eastAsia="仿宋_GB2312"/>
          <w:sz w:val="28"/>
        </w:rPr>
        <w:t>通过参加党委政府组织的调查和检查活动实施监督。对政协委员和参加政协的各党派团体以及各专委会（提案者）的提案进行审查立案，立案后交承办单位办理，适时督办。</w:t>
      </w:r>
    </w:p>
    <w:p>
      <w:pPr>
        <w:spacing w:after="0" w:line="240" w:lineRule="auto"/>
        <w:ind w:firstLine="560"/>
        <w:rPr>
          <w:rFonts w:ascii="仿宋_GB2312" w:eastAsia="仿宋_GB2312"/>
          <w:sz w:val="28"/>
        </w:rPr>
      </w:pPr>
      <w:r>
        <w:rPr>
          <w:rFonts w:hint="eastAsia" w:ascii="仿宋_GB2312" w:eastAsia="仿宋_GB2312"/>
          <w:sz w:val="28"/>
        </w:rPr>
        <w:t>完善民主监督机制，畅通民主监督渠道，建立健全知情、沟通制度，加强工作协调配合，提高民主监督的质量和成效。</w:t>
      </w:r>
    </w:p>
    <w:p>
      <w:pPr>
        <w:spacing w:after="0" w:line="240" w:lineRule="auto"/>
        <w:ind w:firstLine="560"/>
        <w:rPr>
          <w:rFonts w:ascii="仿宋_GB2312" w:eastAsia="仿宋_GB2312"/>
          <w:sz w:val="28"/>
        </w:rPr>
      </w:pPr>
      <w:r>
        <w:rPr>
          <w:rFonts w:hint="eastAsia" w:ascii="仿宋_GB2312" w:eastAsia="仿宋_GB2312"/>
          <w:sz w:val="28"/>
        </w:rPr>
        <w:t>完善提案审查、办理和反馈机制，做到提案程序更加规范，制度更加完善，提案质量和办理质量不断提高，政协履职作用更加突出。</w:t>
      </w:r>
    </w:p>
    <w:p>
      <w:pPr>
        <w:spacing w:after="0" w:line="240" w:lineRule="auto"/>
        <w:ind w:firstLine="560"/>
        <w:rPr>
          <w:rFonts w:ascii="仿宋_GB2312" w:eastAsia="仿宋_GB2312"/>
          <w:sz w:val="28"/>
        </w:rPr>
      </w:pPr>
      <w:r>
        <w:rPr>
          <w:rFonts w:ascii="仿宋_GB2312" w:eastAsia="仿宋_GB2312"/>
          <w:sz w:val="28"/>
        </w:rPr>
        <w:t>3</w:t>
      </w:r>
      <w:r>
        <w:rPr>
          <w:rFonts w:hint="eastAsia" w:ascii="仿宋_GB2312" w:eastAsia="仿宋_GB2312"/>
          <w:sz w:val="28"/>
        </w:rPr>
        <w:t>、参政议政</w:t>
      </w:r>
    </w:p>
    <w:p>
      <w:pPr>
        <w:spacing w:after="0" w:line="240" w:lineRule="auto"/>
        <w:ind w:firstLine="560"/>
        <w:rPr>
          <w:rFonts w:ascii="仿宋_GB2312" w:eastAsia="仿宋_GB2312"/>
          <w:sz w:val="28"/>
        </w:rPr>
      </w:pPr>
      <w:r>
        <w:rPr>
          <w:rFonts w:hint="eastAsia" w:ascii="仿宋_GB2312" w:eastAsia="仿宋_GB2312"/>
          <w:sz w:val="28"/>
        </w:rPr>
        <w:t>通过对重大问题以及人民群众普遍关心的问题，开展调查研究，向区委、区政府提出意见和建议，发挥政协作为扩大社会各界有序参与的重要渠道作用，探索开展活动的新方法淅途径，充分调动委员参政议政积极，向区委、区政府提出高质量的建议案。</w:t>
      </w:r>
    </w:p>
    <w:p>
      <w:pPr>
        <w:spacing w:after="0" w:line="240" w:lineRule="auto"/>
        <w:ind w:firstLine="560"/>
        <w:rPr>
          <w:rFonts w:ascii="仿宋_GB2312" w:eastAsia="仿宋_GB2312"/>
          <w:sz w:val="28"/>
        </w:rPr>
      </w:pPr>
      <w:r>
        <w:rPr>
          <w:rFonts w:hint="eastAsia" w:ascii="仿宋_GB2312" w:eastAsia="仿宋_GB2312"/>
          <w:sz w:val="28"/>
        </w:rPr>
        <w:t>通过界别渠道密切联系群众，反映社情民意，努力做到协调关系、化解矛盾、理顺情绪，增进社会各阶层不同利益群体的和谐和稳定。</w:t>
      </w:r>
    </w:p>
    <w:p>
      <w:pPr>
        <w:spacing w:after="0" w:line="240" w:lineRule="auto"/>
        <w:ind w:firstLine="560"/>
        <w:rPr>
          <w:rFonts w:ascii="仿宋_GB2312" w:eastAsia="仿宋_GB2312"/>
          <w:sz w:val="28"/>
        </w:rPr>
      </w:pPr>
      <w:r>
        <w:rPr>
          <w:rFonts w:ascii="仿宋_GB2312" w:eastAsia="仿宋_GB2312"/>
          <w:sz w:val="28"/>
        </w:rPr>
        <w:t>4</w:t>
      </w:r>
      <w:r>
        <w:rPr>
          <w:rFonts w:hint="eastAsia" w:ascii="仿宋_GB2312" w:eastAsia="仿宋_GB2312"/>
          <w:sz w:val="28"/>
        </w:rPr>
        <w:t>、政协事务管理</w:t>
      </w:r>
    </w:p>
    <w:p>
      <w:pPr>
        <w:spacing w:after="0" w:line="240" w:lineRule="auto"/>
        <w:ind w:firstLine="560"/>
        <w:rPr>
          <w:rFonts w:ascii="仿宋_GB2312" w:eastAsia="仿宋_GB2312"/>
          <w:sz w:val="28"/>
        </w:rPr>
      </w:pPr>
      <w:r>
        <w:rPr>
          <w:rFonts w:hint="eastAsia" w:ascii="仿宋_GB2312" w:eastAsia="仿宋_GB2312"/>
          <w:sz w:val="28"/>
        </w:rPr>
        <w:t>加强区政协机关自身建设和宣传工作，扩大政协与区委、区人大常委会、区政府、各民主党派、工商联、人民团体、区直有关部门和市、县（区）政协的联系、协调工作。</w:t>
      </w:r>
    </w:p>
    <w:p>
      <w:pPr>
        <w:spacing w:after="0" w:line="240" w:lineRule="auto"/>
        <w:ind w:firstLine="560"/>
        <w:rPr>
          <w:rFonts w:ascii="仿宋_GB2312" w:eastAsia="仿宋_GB2312" w:cs="ArialUnicodeMS" w:hAnsiTheme="minorHAnsi"/>
          <w:kern w:val="0"/>
          <w:sz w:val="32"/>
          <w:szCs w:val="32"/>
          <w:highlight w:val="yellow"/>
        </w:rPr>
      </w:pPr>
      <w:r>
        <w:rPr>
          <w:rFonts w:hint="eastAsia" w:ascii="仿宋_GB2312" w:eastAsia="仿宋_GB2312"/>
          <w:sz w:val="28"/>
        </w:rPr>
        <w:t>区政协机关的外事工作，机构编制、人事任免、调配及人员培训、考核奖惩、工资福利，后勤保障、机关经费管理、资产管理、基建和审计，机关接待、离退休人员服务，以及承办区政协主席、副主席、交办的其它事项，</w:t>
      </w:r>
      <w:r>
        <w:rPr>
          <w:rFonts w:hint="eastAsia" w:ascii="仿宋_GB2312" w:eastAsia="仿宋_GB2312"/>
          <w:sz w:val="28"/>
          <w:szCs w:val="28"/>
        </w:rPr>
        <w:t>机关基本设施设备正常运转、信息化保障、老干部服务保障能力进一步提高。</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hint="eastAsia" w:ascii="仿宋_GB2312" w:eastAsia="仿宋_GB2312"/>
          <w:sz w:val="28"/>
        </w:rPr>
      </w:pPr>
      <w:r>
        <w:rPr>
          <w:rFonts w:hint="eastAsia" w:ascii="仿宋_GB2312" w:hAnsi="Calibri" w:eastAsia="仿宋_GB2312" w:cs="ArialUnicodeMS"/>
          <w:kern w:val="0"/>
          <w:sz w:val="32"/>
          <w:szCs w:val="32"/>
        </w:rPr>
        <w:t>从</w:t>
      </w:r>
      <w:r>
        <w:rPr>
          <w:rFonts w:hint="eastAsia" w:ascii="仿宋_GB2312" w:eastAsia="仿宋_GB2312"/>
          <w:sz w:val="28"/>
        </w:rPr>
        <w:t xml:space="preserve">决算编报单位构成看，纳入2019 年度本部门决算汇编范围的独立核算单位（以下简称“单位”）共 </w:t>
      </w:r>
      <w:r>
        <w:rPr>
          <w:rFonts w:hint="eastAsia" w:ascii="仿宋_GB2312" w:eastAsia="仿宋_GB2312"/>
          <w:sz w:val="28"/>
          <w:lang w:val="en-US" w:eastAsia="zh-CN"/>
        </w:rPr>
        <w:t>1</w:t>
      </w:r>
      <w:r>
        <w:rPr>
          <w:rFonts w:hint="eastAsia" w:ascii="仿宋_GB2312" w:eastAsia="仿宋_GB2312"/>
          <w:sz w:val="28"/>
        </w:rPr>
        <w:t xml:space="preserve"> 个，具体情况如下：</w:t>
      </w:r>
    </w:p>
    <w:tbl>
      <w:tblPr>
        <w:tblStyle w:val="8"/>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rPr>
              <w:t>鹿泉区政协</w:t>
            </w:r>
          </w:p>
        </w:tc>
        <w:tc>
          <w:tcPr>
            <w:tcW w:w="2445" w:type="dxa"/>
          </w:tcPr>
          <w:p>
            <w:pPr>
              <w:spacing w:line="560" w:lineRule="exact"/>
              <w:jc w:val="center"/>
              <w:rPr>
                <w:rFonts w:ascii="仿宋_GB2312" w:hAnsi="Calibri" w:eastAsia="仿宋_GB2312" w:cs="ArialUnicodeMS"/>
                <w:kern w:val="0"/>
                <w:sz w:val="28"/>
                <w:szCs w:val="28"/>
              </w:rPr>
            </w:pPr>
            <w:r>
              <w:rPr>
                <w:rFonts w:ascii="仿宋_GB2312" w:eastAsia="仿宋_GB2312" w:cs="ArialUnicodeMS" w:hAnsiTheme="minorHAnsi"/>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240" w:lineRule="auto"/>
              <w:ind w:firstLine="560" w:firstLineChars="200"/>
              <w:rPr>
                <w:rFonts w:hint="eastAsia" w:ascii="仿宋_GB2312" w:eastAsia="仿宋_GB2312"/>
                <w:sz w:val="28"/>
              </w:rPr>
            </w:pPr>
            <w:r>
              <w:rPr>
                <w:rFonts w:hint="eastAsia" w:ascii="仿宋_GB2312" w:eastAsia="仿宋_GB2312"/>
                <w:sz w:val="28"/>
              </w:rPr>
              <w:t>区政协机关设科级综合办事机构及工作委员会</w:t>
            </w:r>
            <w:r>
              <w:rPr>
                <w:rFonts w:hint="eastAsia" w:ascii="仿宋_GB2312" w:eastAsia="仿宋_GB2312"/>
                <w:sz w:val="28"/>
                <w:lang w:val="en-US" w:eastAsia="zh-CN"/>
              </w:rPr>
              <w:t>5</w:t>
            </w:r>
            <w:r>
              <w:rPr>
                <w:rFonts w:hint="eastAsia" w:ascii="仿宋_GB2312" w:eastAsia="仿宋_GB2312"/>
                <w:sz w:val="28"/>
              </w:rPr>
              <w:t>个：即办公室、提案委员会、文史委员会、经济技术委员会</w:t>
            </w:r>
            <w:r>
              <w:rPr>
                <w:rFonts w:hint="eastAsia" w:ascii="仿宋_GB2312" w:eastAsia="仿宋_GB2312"/>
                <w:sz w:val="28"/>
                <w:lang w:eastAsia="zh-CN"/>
              </w:rPr>
              <w:t>、</w:t>
            </w:r>
            <w:r>
              <w:rPr>
                <w:rFonts w:hint="eastAsia" w:ascii="仿宋_GB2312" w:eastAsia="仿宋_GB2312"/>
                <w:sz w:val="28"/>
                <w:lang w:val="en-US" w:eastAsia="zh-CN"/>
              </w:rPr>
              <w:t>农业农村委员会。</w:t>
            </w:r>
            <w:r>
              <w:rPr>
                <w:rFonts w:hint="eastAsia" w:ascii="仿宋_GB2312" w:eastAsia="仿宋_GB2312"/>
                <w:sz w:val="28"/>
              </w:rPr>
              <w:t xml:space="preserve">   </w:t>
            </w:r>
          </w:p>
          <w:p>
            <w:pPr>
              <w:spacing w:after="0" w:line="240" w:lineRule="auto"/>
              <w:ind w:firstLine="560"/>
              <w:rPr>
                <w:rFonts w:hint="eastAsia" w:ascii="仿宋_GB2312" w:eastAsia="仿宋_GB2312"/>
                <w:sz w:val="28"/>
              </w:rPr>
            </w:pPr>
            <w:r>
              <w:rPr>
                <w:rFonts w:hint="eastAsia" w:ascii="仿宋_GB2312" w:eastAsia="仿宋_GB2312"/>
                <w:sz w:val="28"/>
              </w:rPr>
              <w:t>区政协办公室是在区政协常委会和主席会议领导下，为机关领导和委员服务的综合办事机构，承担信息传递、决策辅助、综合协调、运转保障职能。</w:t>
            </w:r>
          </w:p>
          <w:p>
            <w:pPr>
              <w:spacing w:after="0" w:line="240" w:lineRule="auto"/>
              <w:ind w:firstLine="560"/>
              <w:rPr>
                <w:rFonts w:hint="eastAsia" w:ascii="仿宋_GB2312" w:eastAsia="仿宋_GB2312"/>
                <w:sz w:val="28"/>
              </w:rPr>
            </w:pPr>
            <w:r>
              <w:rPr>
                <w:rFonts w:hint="eastAsia" w:ascii="仿宋_GB2312" w:eastAsia="仿宋_GB2312"/>
                <w:sz w:val="28"/>
              </w:rPr>
              <w:t>提案委员会负责研究拟定本委员会年度工作计划并组织实施，组织开展提案征集、审核、登记、办理、视察、表彰等工作。</w:t>
            </w:r>
          </w:p>
          <w:p>
            <w:pPr>
              <w:spacing w:after="0" w:line="240" w:lineRule="auto"/>
              <w:ind w:firstLine="560"/>
              <w:rPr>
                <w:rFonts w:hint="eastAsia" w:ascii="仿宋_GB2312" w:eastAsia="仿宋_GB2312"/>
                <w:sz w:val="28"/>
              </w:rPr>
            </w:pPr>
            <w:r>
              <w:rPr>
                <w:rFonts w:hint="eastAsia" w:ascii="仿宋_GB2312" w:eastAsia="仿宋_GB2312"/>
                <w:sz w:val="28"/>
              </w:rPr>
              <w:t>文史教育委员会负责研究拟定文史和学习委员会年度工作计划，做好年度工作总结，并做好年度工作计划的组织实施，负责文史资料的选题策划、征稿、编辑、出版等工作。</w:t>
            </w:r>
          </w:p>
          <w:p>
            <w:pPr>
              <w:spacing w:after="0" w:line="240" w:lineRule="auto"/>
              <w:ind w:firstLine="560"/>
              <w:rPr>
                <w:rFonts w:hint="eastAsia" w:ascii="仿宋_GB2312" w:eastAsia="仿宋_GB2312"/>
                <w:sz w:val="28"/>
              </w:rPr>
            </w:pPr>
            <w:r>
              <w:rPr>
                <w:rFonts w:hint="eastAsia" w:ascii="仿宋_GB2312" w:eastAsia="仿宋_GB2312"/>
                <w:sz w:val="28"/>
              </w:rPr>
              <w:t>经济技术委负责济研究拟定经委员会年度工作计划和年度工作总结，并组织年度工作计划的实施。负责经济委员会日常活动的组织、筹备、服务工作，负责经济委员会委员调研、视察、考察的组织协调工作。</w:t>
            </w:r>
          </w:p>
          <w:p>
            <w:pPr>
              <w:spacing w:after="0" w:line="240" w:lineRule="auto"/>
              <w:ind w:firstLine="560"/>
              <w:rPr>
                <w:rFonts w:hint="eastAsia" w:ascii="仿宋_GB2312" w:hAnsi="Calibri" w:eastAsia="仿宋_GB2312" w:cs="ArialUnicodeMS"/>
                <w:kern w:val="0"/>
                <w:sz w:val="28"/>
                <w:szCs w:val="28"/>
                <w:lang w:eastAsia="zh-CN"/>
              </w:rPr>
            </w:pPr>
            <w:r>
              <w:rPr>
                <w:rFonts w:hint="eastAsia" w:ascii="仿宋_GB2312" w:eastAsia="仿宋_GB2312"/>
                <w:sz w:val="28"/>
                <w:lang w:eastAsia="zh-CN"/>
              </w:rPr>
              <w:t>农业农村委员会负责农业农村政策、涉农提案议案。</w:t>
            </w:r>
          </w:p>
        </w:tc>
      </w:tr>
    </w:tbl>
    <w:p>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769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7696;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fill type="pattern" on="t" color2="#FFFFFF [3212]"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rPr>
        <w:t>总计（含结转和结余）</w:t>
      </w:r>
      <w:r>
        <w:rPr>
          <w:rFonts w:hint="eastAsia" w:ascii="仿宋_GB2312" w:hAnsi="Times New Roman" w:eastAsia="仿宋_GB2312" w:cs="DengXian-Regular"/>
          <w:sz w:val="32"/>
          <w:szCs w:val="32"/>
          <w:lang w:val="en-US" w:eastAsia="zh-CN"/>
        </w:rPr>
        <w:t>645.14</w:t>
      </w:r>
      <w:r>
        <w:rPr>
          <w:rFonts w:hint="eastAsia" w:ascii="仿宋_GB2312" w:hAnsi="Times New Roman" w:eastAsia="仿宋_GB2312" w:cs="DengXian-Regular"/>
          <w:sz w:val="32"/>
          <w:szCs w:val="32"/>
        </w:rPr>
        <w:t>万元。与2018年度决算相比，收</w:t>
      </w:r>
      <w:r>
        <w:rPr>
          <w:rFonts w:hint="eastAsia" w:ascii="仿宋_GB2312" w:hAnsi="Times New Roman" w:eastAsia="仿宋_GB2312" w:cs="DengXian-Regular"/>
          <w:sz w:val="32"/>
          <w:szCs w:val="32"/>
          <w:lang w:val="en-US" w:eastAsia="zh-CN"/>
        </w:rPr>
        <w:t>入</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42.07</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节减支出，项目减少</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支出641.88万元比上年度减少4.17万元，下降0.6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节减支出</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617.4</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617.4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641.88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578.38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90.11</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63.5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所示：</w:t>
      </w:r>
    </w:p>
    <w:p>
      <w:pPr>
        <w:adjustRightInd w:val="0"/>
        <w:snapToGrid w:val="0"/>
        <w:spacing w:line="580" w:lineRule="exact"/>
        <w:ind w:firstLine="1260" w:firstLineChars="600"/>
        <w:rPr>
          <w:rFonts w:ascii="仿宋_GB2312" w:hAnsi="Times New Roman" w:eastAsia="仿宋_GB2312" w:cs="DengXian-Regular"/>
          <w:sz w:val="32"/>
          <w:szCs w:val="32"/>
        </w:rPr>
      </w:pPr>
      <w:bookmarkStart w:id="0" w:name="_GoBack"/>
      <w:r>
        <w:rPr>
          <w:rFonts w:hint="eastAsia" w:eastAsiaTheme="minorEastAsia"/>
          <w:lang w:eastAsia="zh-CN"/>
        </w:rPr>
        <w:drawing>
          <wp:anchor distT="0" distB="0" distL="114300" distR="114300" simplePos="0" relativeHeight="251683840" behindDoc="1" locked="0" layoutInCell="1" allowOverlap="1">
            <wp:simplePos x="0" y="0"/>
            <wp:positionH relativeFrom="column">
              <wp:posOffset>661670</wp:posOffset>
            </wp:positionH>
            <wp:positionV relativeFrom="paragraph">
              <wp:posOffset>83185</wp:posOffset>
            </wp:positionV>
            <wp:extent cx="3825875" cy="2635885"/>
            <wp:effectExtent l="4445" t="4445" r="17780" b="7620"/>
            <wp:wrapNone/>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bookmarkEnd w:id="0"/>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5648" behindDoc="1" locked="0" layoutInCell="1" allowOverlap="1">
                <wp:simplePos x="0" y="0"/>
                <wp:positionH relativeFrom="column">
                  <wp:posOffset>945515</wp:posOffset>
                </wp:positionH>
                <wp:positionV relativeFrom="paragraph">
                  <wp:posOffset>223520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376555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45pt;margin-top:17.6pt;height:38.05pt;width:260.95pt;z-index:-251640832;mso-width-relative:page;mso-height-relative:page;" fillcolor="#FFFFFF" filled="t" stroked="f" coordsize="21600,21600" o:gfxdata="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lpP3l1QAAAAoBAAAPAAAAAAAAAAEAIAAAACIA&#10;AABkcnMvZG93bnJldi54bWxQSwECFAAUAAAACACHTuJAmwIIRUUCAABdBAAADgAAAAAAAAABACAA&#10;AAAkAQAAZHJzL2Uyb0RvYy54bWxQSwUGAAAAAAYABgBZAQAA2w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w:t>
      </w:r>
      <w:r>
        <w:rPr>
          <w:rFonts w:hint="eastAsia" w:ascii="仿宋_GB2312" w:hAnsi="Times New Roman" w:eastAsia="仿宋_GB2312" w:cs="DengXian-Regular"/>
          <w:sz w:val="32"/>
          <w:szCs w:val="32"/>
          <w:lang w:val="en-US" w:eastAsia="zh-CN"/>
        </w:rPr>
        <w:t>支</w:t>
      </w:r>
      <w:r>
        <w:rPr>
          <w:rFonts w:hint="eastAsia" w:ascii="仿宋_GB2312" w:hAnsi="Times New Roman" w:eastAsia="仿宋_GB2312" w:cs="DengXian-Regular"/>
          <w:sz w:val="32"/>
          <w:szCs w:val="32"/>
        </w:rPr>
        <w:t>均为一般公共预算财政拨款，其中本年收入</w:t>
      </w:r>
      <w:r>
        <w:rPr>
          <w:rFonts w:hint="eastAsia" w:ascii="仿宋_GB2312" w:hAnsi="Times New Roman" w:eastAsia="仿宋_GB2312" w:cs="DengXian-Regular"/>
          <w:sz w:val="32"/>
          <w:szCs w:val="32"/>
          <w:lang w:val="en-US" w:eastAsia="zh-CN"/>
        </w:rPr>
        <w:t>617.4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年初结转</w:t>
      </w:r>
      <w:r>
        <w:rPr>
          <w:rFonts w:hint="eastAsia" w:ascii="仿宋_GB2312" w:hAnsi="Times New Roman" w:eastAsia="仿宋_GB2312" w:cs="DengXian-Regular"/>
          <w:sz w:val="32"/>
          <w:szCs w:val="32"/>
          <w:lang w:val="en-US" w:eastAsia="zh-CN"/>
        </w:rPr>
        <w:t>27.74万元，收入总计645.14万元，</w:t>
      </w:r>
      <w:r>
        <w:rPr>
          <w:rFonts w:hint="eastAsia" w:ascii="仿宋_GB2312" w:hAnsi="Times New Roman" w:eastAsia="仿宋_GB2312" w:cs="DengXian-Regular"/>
          <w:sz w:val="32"/>
          <w:szCs w:val="32"/>
        </w:rPr>
        <w:t>比2018年度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12.03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1.8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项目减少收入降低</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641.88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lang w:val="en-US" w:eastAsia="zh-CN"/>
        </w:rPr>
        <w:t>2018年度</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val="en-US" w:eastAsia="zh-CN"/>
        </w:rPr>
        <w:t>25.88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工资福利办公经费支出增加</w:t>
      </w:r>
      <w:r>
        <w:rPr>
          <w:rFonts w:hint="eastAsia" w:ascii="仿宋_GB2312" w:hAnsi="Times New Roman" w:eastAsia="仿宋_GB2312" w:cs="DengXian-Regular"/>
          <w:sz w:val="32"/>
          <w:szCs w:val="32"/>
        </w:rPr>
        <w:t>。</w:t>
      </w:r>
    </w:p>
    <w:p>
      <w:pPr>
        <w:snapToGrid w:val="0"/>
        <w:spacing w:line="580" w:lineRule="exact"/>
        <w:rPr>
          <w:rFonts w:ascii="楷体_GB2312" w:hAnsi="Times New Roman" w:eastAsia="楷体_GB2312" w:cs="DengXian-Bold"/>
          <w:b/>
          <w:bCs/>
          <w:sz w:val="32"/>
          <w:szCs w:val="32"/>
        </w:rPr>
      </w:pPr>
      <w:r>
        <w:rPr>
          <w:rFonts w:hint="eastAsia" w:eastAsiaTheme="minorEastAsia"/>
          <w:lang w:eastAsia="zh-CN"/>
        </w:rPr>
        <w:drawing>
          <wp:anchor distT="0" distB="0" distL="114300" distR="114300" simplePos="0" relativeHeight="251683840" behindDoc="1" locked="0" layoutInCell="1" allowOverlap="1">
            <wp:simplePos x="0" y="0"/>
            <wp:positionH relativeFrom="column">
              <wp:posOffset>433070</wp:posOffset>
            </wp:positionH>
            <wp:positionV relativeFrom="paragraph">
              <wp:posOffset>10160</wp:posOffset>
            </wp:positionV>
            <wp:extent cx="5080000" cy="3810000"/>
            <wp:effectExtent l="4445" t="4445" r="20955" b="14605"/>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rPr>
          <w:rFonts w:hint="eastAsia" w:ascii="楷体_GB2312" w:hAnsi="Times New Roman" w:eastAsia="楷体_GB2312" w:cs="DengXian-Bold"/>
          <w:b/>
          <w:bCs/>
          <w:sz w:val="32"/>
          <w:szCs w:val="32"/>
          <w:lang w:val="en-US" w:eastAsia="zh-CN"/>
        </w:rPr>
      </w:pPr>
    </w:p>
    <w:p>
      <w:pPr>
        <w:snapToGrid w:val="0"/>
        <w:spacing w:line="580" w:lineRule="exact"/>
        <w:ind w:firstLine="4176" w:firstLineChars="1300"/>
        <w:rPr>
          <w:rFonts w:hint="eastAsia" w:ascii="楷体_GB2312" w:hAnsi="Times New Roman" w:eastAsia="楷体_GB2312" w:cs="DengXian-Bold"/>
          <w:b/>
          <w:bCs/>
          <w:sz w:val="32"/>
          <w:szCs w:val="32"/>
          <w:lang w:val="en-US" w:eastAsia="zh-CN"/>
        </w:rPr>
      </w:pPr>
      <w:r>
        <w:rPr>
          <w:rFonts w:hint="eastAsia" w:ascii="楷体_GB2312" w:hAnsi="Times New Roman" w:eastAsia="楷体_GB2312" w:cs="DengXian-Bold"/>
          <w:b/>
          <w:bCs/>
          <w:sz w:val="32"/>
          <w:szCs w:val="32"/>
          <w:lang w:val="en-US" w:eastAsia="zh-CN"/>
        </w:rPr>
        <w:t>图2</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本部门2019年度一般公共预算财政拨款收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lang w:val="en-US" w:eastAsia="zh-CN"/>
        </w:rPr>
        <w:t>645.14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其中本年收入</w:t>
      </w:r>
      <w:r>
        <w:rPr>
          <w:rFonts w:hint="eastAsia" w:ascii="仿宋_GB2312" w:hAnsi="Times New Roman" w:eastAsia="仿宋_GB2312" w:cs="DengXian-Regular"/>
          <w:sz w:val="32"/>
          <w:szCs w:val="32"/>
          <w:lang w:val="en-US" w:eastAsia="zh-CN"/>
        </w:rPr>
        <w:t>617.4万元、年初结转结余27.74万元，</w:t>
      </w:r>
      <w:r>
        <w:rPr>
          <w:rFonts w:hint="eastAsia" w:ascii="仿宋_GB2312" w:hAnsi="Times New Roman" w:eastAsia="仿宋_GB2312" w:cs="DengXian-Regular"/>
          <w:sz w:val="32"/>
          <w:szCs w:val="32"/>
        </w:rPr>
        <w:t>完成年初预算的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73.29</w:t>
      </w:r>
      <w:r>
        <w:rPr>
          <w:rFonts w:hint="eastAsia" w:ascii="仿宋_GB2312" w:hAnsi="Times New Roman" w:eastAsia="仿宋_GB2312" w:cs="DengXian-Regular"/>
          <w:sz w:val="32"/>
          <w:szCs w:val="32"/>
        </w:rPr>
        <w:t>万元，主要原因是</w:t>
      </w:r>
      <w:r>
        <w:rPr>
          <w:rFonts w:hint="eastAsia" w:ascii="仿宋_GB2312" w:hAnsi="Times New Roman" w:eastAsia="仿宋_GB2312" w:cs="DengXian-Regular"/>
          <w:sz w:val="32"/>
          <w:szCs w:val="32"/>
          <w:lang w:val="en-US" w:eastAsia="zh-CN"/>
        </w:rPr>
        <w:t>工资福利、办公费收入增加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641.88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结转</w:t>
      </w:r>
      <w:r>
        <w:rPr>
          <w:rFonts w:hint="eastAsia" w:ascii="仿宋_GB2312" w:hAnsi="Times New Roman" w:eastAsia="仿宋_GB2312" w:cs="DengXian-Regular"/>
          <w:sz w:val="32"/>
          <w:szCs w:val="32"/>
          <w:lang w:val="en-US" w:eastAsia="zh-CN"/>
        </w:rPr>
        <w:t>3.26万元，</w:t>
      </w:r>
      <w:r>
        <w:rPr>
          <w:rFonts w:hint="eastAsia" w:ascii="仿宋_GB2312" w:hAnsi="Times New Roman" w:eastAsia="仿宋_GB2312" w:cs="DengXian-Regular"/>
          <w:sz w:val="32"/>
          <w:szCs w:val="32"/>
        </w:rPr>
        <w:t>完成年初预算的</w:t>
      </w:r>
      <w:r>
        <w:rPr>
          <w:rFonts w:hint="eastAsia" w:ascii="仿宋_GB2312" w:hAnsi="Times New Roman" w:eastAsia="仿宋_GB2312" w:cs="DengXian-Regular"/>
          <w:sz w:val="32"/>
          <w:szCs w:val="32"/>
          <w:lang w:val="en-US" w:eastAsia="zh-CN"/>
        </w:rPr>
        <w:t>99.49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70.03</w:t>
      </w:r>
      <w:r>
        <w:rPr>
          <w:rFonts w:hint="eastAsia" w:ascii="仿宋_GB2312" w:hAnsi="Times New Roman" w:eastAsia="仿宋_GB2312" w:cs="DengXian-Regular"/>
          <w:sz w:val="32"/>
          <w:szCs w:val="32"/>
        </w:rPr>
        <w:t>万元，主要原因是主要是</w:t>
      </w:r>
      <w:r>
        <w:rPr>
          <w:rFonts w:hint="eastAsia" w:ascii="仿宋_GB2312" w:hAnsi="Times New Roman" w:eastAsia="仿宋_GB2312" w:cs="DengXian-Regular"/>
          <w:sz w:val="32"/>
          <w:szCs w:val="32"/>
          <w:lang w:val="en-US" w:eastAsia="zh-CN"/>
        </w:rPr>
        <w:t>工资福利、办公费支出增加</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hint="eastAsia" w:ascii="仿宋_GB2312" w:hAnsi="Times New Roman" w:eastAsia="仿宋_GB2312" w:cs="DengXian-Regular"/>
          <w:sz w:val="32"/>
          <w:szCs w:val="32"/>
          <w:highlight w:val="yellow"/>
        </w:rPr>
      </w:pPr>
      <w:r>
        <w:rPr>
          <w:rFonts w:hint="eastAsia" w:eastAsiaTheme="minorEastAsia"/>
          <w:lang w:eastAsia="zh-CN"/>
        </w:rPr>
        <w:drawing>
          <wp:anchor distT="0" distB="0" distL="114300" distR="114300" simplePos="0" relativeHeight="251683840" behindDoc="1" locked="0" layoutInCell="1" allowOverlap="1">
            <wp:simplePos x="0" y="0"/>
            <wp:positionH relativeFrom="column">
              <wp:posOffset>525145</wp:posOffset>
            </wp:positionH>
            <wp:positionV relativeFrom="paragraph">
              <wp:posOffset>295910</wp:posOffset>
            </wp:positionV>
            <wp:extent cx="5080000" cy="3810000"/>
            <wp:effectExtent l="4445" t="4445" r="20955" b="14605"/>
            <wp:wrapNone/>
            <wp:docPr id="31" name="图表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spacing w:line="580" w:lineRule="exact"/>
        <w:ind w:firstLine="4176" w:firstLineChars="1300"/>
        <w:rPr>
          <w:rFonts w:hint="eastAsia" w:ascii="楷体_GB2312" w:hAnsi="Times New Roman" w:eastAsia="楷体_GB2312" w:cs="DengXian-Bold"/>
          <w:b/>
          <w:bCs/>
          <w:sz w:val="32"/>
          <w:szCs w:val="32"/>
          <w:lang w:val="en-US" w:eastAsia="zh-CN"/>
        </w:rPr>
      </w:pPr>
      <w:r>
        <w:rPr>
          <w:rFonts w:hint="eastAsia" w:ascii="楷体_GB2312" w:hAnsi="Times New Roman" w:eastAsia="楷体_GB2312" w:cs="DengXian-Bold"/>
          <w:b/>
          <w:bCs/>
          <w:sz w:val="32"/>
          <w:szCs w:val="32"/>
          <w:lang w:val="en-US" w:eastAsia="zh-CN"/>
        </w:rPr>
        <w:t>图3</w:t>
      </w:r>
    </w:p>
    <w:p>
      <w:pPr>
        <w:snapToGrid w:val="0"/>
        <w:spacing w:line="580" w:lineRule="exact"/>
        <w:ind w:firstLine="4176" w:firstLineChars="1300"/>
        <w:rPr>
          <w:rFonts w:hint="eastAsia" w:ascii="楷体_GB2312" w:hAnsi="Times New Roman" w:eastAsia="楷体_GB2312" w:cs="DengXian-Bold"/>
          <w:b/>
          <w:bCs/>
          <w:sz w:val="32"/>
          <w:szCs w:val="32"/>
          <w:lang w:val="en-US" w:eastAsia="zh-CN"/>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420" w:firstLineChars="200"/>
        <w:rPr>
          <w:rFonts w:hint="eastAsia" w:eastAsiaTheme="minorEastAsia"/>
          <w:lang w:eastAsia="zh-CN"/>
        </w:rPr>
      </w:pPr>
      <w:r>
        <w:rPr>
          <w:rFonts w:hint="eastAsia" w:eastAsiaTheme="minorEastAsia"/>
          <w:lang w:eastAsia="zh-CN"/>
        </w:rPr>
        <w:drawing>
          <wp:anchor distT="0" distB="0" distL="114300" distR="114300" simplePos="0" relativeHeight="251683840" behindDoc="1" locked="0" layoutInCell="1" allowOverlap="1">
            <wp:simplePos x="0" y="0"/>
            <wp:positionH relativeFrom="column">
              <wp:posOffset>20320</wp:posOffset>
            </wp:positionH>
            <wp:positionV relativeFrom="paragraph">
              <wp:posOffset>2439035</wp:posOffset>
            </wp:positionV>
            <wp:extent cx="5048885" cy="2096770"/>
            <wp:effectExtent l="4445" t="4445" r="13970" b="13335"/>
            <wp:wrapNone/>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641.88</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551.93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85.99</w:t>
      </w:r>
      <w:r>
        <w:rPr>
          <w:rFonts w:hint="eastAsia" w:ascii="仿宋_GB2312" w:hAnsi="Times New Roman" w:eastAsia="仿宋_GB2312" w:cs="DengXian-Regular"/>
          <w:sz w:val="32"/>
          <w:szCs w:val="32"/>
        </w:rPr>
        <w:t xml:space="preserve">%；社会保障和就业（类）支出 </w:t>
      </w:r>
      <w:r>
        <w:rPr>
          <w:rFonts w:hint="eastAsia" w:ascii="仿宋_GB2312" w:hAnsi="Times New Roman" w:eastAsia="仿宋_GB2312" w:cs="DengXian-Regular"/>
          <w:sz w:val="32"/>
          <w:szCs w:val="32"/>
          <w:lang w:val="en-US" w:eastAsia="zh-CN"/>
        </w:rPr>
        <w:t>36.99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5.76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卫生建康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29.33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4.57</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23.63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3.68</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hint="eastAsia" w:ascii="楷体_GB2312" w:hAnsi="Times New Roman" w:eastAsia="楷体_GB2312" w:cs="DengXian-Bold"/>
          <w:b/>
          <w:bCs/>
          <w:sz w:val="32"/>
          <w:szCs w:val="32"/>
        </w:rPr>
      </w:pPr>
      <w:r>
        <w:rPr>
          <w:sz w:val="32"/>
        </w:rPr>
        <mc:AlternateContent>
          <mc:Choice Requires="wps">
            <w:drawing>
              <wp:anchor distT="0" distB="0" distL="114300" distR="114300" simplePos="0" relativeHeight="251676672" behindDoc="1" locked="0" layoutInCell="1" allowOverlap="1">
                <wp:simplePos x="0" y="0"/>
                <wp:positionH relativeFrom="column">
                  <wp:posOffset>996950</wp:posOffset>
                </wp:positionH>
                <wp:positionV relativeFrom="paragraph">
                  <wp:posOffset>1390015</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2005330" y="10088245"/>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8.5pt;margin-top:109.45pt;height:30.85pt;width:281.6pt;z-index:-251639808;mso-width-relative:page;mso-height-relative:page;" fillcolor="#FFFFFF" filled="t" stroked="f" coordsize="21600,21600" o:gfxdata="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BTTwxrWAAAACwEAAA8AAAAAAAAAAQAg&#10;AAAAIgAAAGRycy9kb3ducmV2LnhtbFBLAQIUABQAAAAIAIdO4kD0sLgWSQIAAF8EAAAOAAAAAAAA&#10;AAEAIAAAACUBAABkcnMvZTJvRG9jLnhtbFBLBQYAAAAABgAGAFkBAADg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ind w:firstLine="321" w:firstLineChars="100"/>
        <w:rPr>
          <w:rFonts w:hint="eastAsia" w:ascii="楷体_GB2312" w:hAnsi="Times New Roman" w:eastAsia="楷体_GB2312" w:cs="DengXian-Bold"/>
          <w:b/>
          <w:bCs/>
          <w:sz w:val="32"/>
          <w:szCs w:val="32"/>
        </w:rPr>
      </w:pPr>
    </w:p>
    <w:p>
      <w:pPr>
        <w:adjustRightInd w:val="0"/>
        <w:snapToGrid w:val="0"/>
        <w:spacing w:line="580" w:lineRule="exact"/>
        <w:ind w:firstLine="321" w:firstLineChars="100"/>
        <w:rPr>
          <w:rFonts w:hint="eastAsia" w:ascii="楷体_GB2312" w:hAnsi="Times New Roman" w:eastAsia="楷体_GB2312" w:cs="DengXian-Bold"/>
          <w:b/>
          <w:bCs/>
          <w:sz w:val="32"/>
          <w:szCs w:val="32"/>
        </w:rPr>
      </w:pPr>
    </w:p>
    <w:p>
      <w:pPr>
        <w:adjustRightInd w:val="0"/>
        <w:snapToGrid w:val="0"/>
        <w:spacing w:line="580" w:lineRule="exact"/>
        <w:ind w:firstLine="321" w:firstLineChars="100"/>
        <w:rPr>
          <w:rFonts w:hint="eastAsia" w:ascii="楷体_GB2312" w:hAnsi="Times New Roman" w:eastAsia="楷体_GB2312" w:cs="DengXian-Bold"/>
          <w:b/>
          <w:bCs/>
          <w:sz w:val="32"/>
          <w:szCs w:val="32"/>
        </w:rPr>
      </w:pPr>
    </w:p>
    <w:p>
      <w:pPr>
        <w:adjustRightInd w:val="0"/>
        <w:snapToGrid w:val="0"/>
        <w:spacing w:line="580" w:lineRule="exact"/>
        <w:ind w:firstLine="321" w:firstLineChars="100"/>
        <w:rPr>
          <w:rFonts w:hint="eastAsia" w:ascii="楷体_GB2312" w:hAnsi="Times New Roman" w:eastAsia="楷体_GB2312" w:cs="DengXian-Bold"/>
          <w:b/>
          <w:bCs/>
          <w:sz w:val="32"/>
          <w:szCs w:val="32"/>
        </w:rPr>
      </w:pPr>
    </w:p>
    <w:p>
      <w:pPr>
        <w:adjustRightInd w:val="0"/>
        <w:snapToGrid w:val="0"/>
        <w:spacing w:line="580" w:lineRule="exact"/>
        <w:rPr>
          <w:rFonts w:hint="eastAsia" w:ascii="楷体_GB2312" w:hAnsi="Times New Roman" w:eastAsia="楷体_GB2312" w:cs="DengXian-Bold"/>
          <w:b/>
          <w:bCs/>
          <w:sz w:val="32"/>
          <w:szCs w:val="32"/>
        </w:rPr>
      </w:pPr>
    </w:p>
    <w:p>
      <w:pPr>
        <w:adjustRightInd w:val="0"/>
        <w:snapToGrid w:val="0"/>
        <w:spacing w:line="580" w:lineRule="exact"/>
        <w:ind w:firstLine="321" w:firstLineChars="1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578.38</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481.14</w:t>
      </w:r>
      <w:r>
        <w:rPr>
          <w:rFonts w:hint="eastAsia" w:ascii="仿宋_GB2312" w:hAnsi="Times New Roman" w:eastAsia="仿宋_GB2312" w:cs="DengXian-Regular"/>
          <w:sz w:val="32"/>
          <w:szCs w:val="32"/>
        </w:rPr>
        <w:t>万元，主要包括基本工资、津贴补贴、奖金、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97.24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14.32</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67.55</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6.88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32.45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严格按照中央六项规定减少支出</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1.81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严格执行中央八项规定减少支出</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一</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%；较上年增加（减少）万元，增长（降低）%,</w:t>
      </w:r>
      <w:r>
        <w:rPr>
          <w:rFonts w:hint="eastAsia" w:ascii="仿宋_GB2312" w:hAnsi="Times New Roman" w:eastAsia="仿宋_GB2312" w:cs="DengXian-Regular"/>
          <w:sz w:val="32"/>
          <w:szCs w:val="32"/>
          <w:lang w:eastAsia="zh-CN"/>
        </w:rPr>
        <w:t>与年初预算持平、与</w:t>
      </w:r>
      <w:r>
        <w:rPr>
          <w:rFonts w:hint="eastAsia" w:ascii="仿宋_GB2312" w:hAnsi="Times New Roman" w:eastAsia="仿宋_GB2312" w:cs="DengXian-Regular"/>
          <w:sz w:val="32"/>
          <w:szCs w:val="32"/>
          <w:lang w:val="en-US" w:eastAsia="zh-CN"/>
        </w:rPr>
        <w:t>2018年度决算支出持平。</w:t>
      </w:r>
    </w:p>
    <w:p>
      <w:pPr>
        <w:numPr>
          <w:ilvl w:val="0"/>
          <w:numId w:val="0"/>
        </w:num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二</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公务用车购置及运行维护费支出</w:t>
      </w:r>
      <w:r>
        <w:rPr>
          <w:rFonts w:hint="eastAsia" w:ascii="楷体_GB2312" w:hAnsi="Times New Roman" w:eastAsia="楷体_GB2312" w:cs="DengXian-Bold"/>
          <w:b/>
          <w:bCs/>
          <w:sz w:val="32"/>
          <w:szCs w:val="32"/>
          <w:lang w:val="en-US" w:eastAsia="zh-CN"/>
        </w:rPr>
        <w:t>13.59</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2.61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16.11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节减支出</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0.93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6.40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节减支出</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Bold"/>
          <w:b/>
          <w:bCs/>
          <w:sz w:val="32"/>
          <w:szCs w:val="32"/>
        </w:rPr>
        <w:t>其中：</w:t>
      </w: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b/>
          <w:sz w:val="32"/>
          <w:szCs w:val="32"/>
          <w:lang w:val="en-US" w:eastAsia="zh-CN"/>
        </w:rPr>
        <w:t>0万元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lang w:eastAsia="zh-CN"/>
        </w:rPr>
        <w:t>%,与年初预算持平、与</w:t>
      </w:r>
      <w:r>
        <w:rPr>
          <w:rFonts w:hint="eastAsia" w:ascii="仿宋_GB2312" w:hAnsi="Times New Roman" w:eastAsia="仿宋_GB2312" w:cs="DengXian-Regular"/>
          <w:sz w:val="32"/>
          <w:szCs w:val="32"/>
          <w:lang w:val="en-US" w:eastAsia="zh-CN"/>
        </w:rPr>
        <w:t>2018年度决算支出持平</w:t>
      </w:r>
      <w:r>
        <w:rPr>
          <w:rFonts w:hint="eastAsia" w:ascii="仿宋_GB2312" w:hAnsi="Times New Roman" w:eastAsia="仿宋_GB2312" w:cs="DengXian-Regular"/>
          <w:sz w:val="32"/>
          <w:szCs w:val="32"/>
          <w:lang w:eastAsia="zh-CN"/>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包括财务代管单位工商联</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。公车运行维护费支出较预算减少</w:t>
      </w:r>
      <w:r>
        <w:rPr>
          <w:rFonts w:hint="eastAsia" w:ascii="仿宋_GB2312" w:hAnsi="Times New Roman" w:eastAsia="仿宋_GB2312" w:cs="DengXian-Regular"/>
          <w:sz w:val="32"/>
          <w:szCs w:val="32"/>
          <w:lang w:val="en-US" w:eastAsia="zh-CN"/>
        </w:rPr>
        <w:t>2.61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16.11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节减支出</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0.93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6.40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节减支出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0.73</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200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4.27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85.4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严格执行中央八项规定减少支出</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0.87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54.38</w:t>
      </w:r>
      <w:r>
        <w:rPr>
          <w:rFonts w:hint="eastAsia" w:ascii="仿宋_GB2312" w:hAnsi="Times New Roman" w:eastAsia="仿宋_GB2312" w:cs="DengXian-Regular"/>
          <w:sz w:val="32"/>
          <w:szCs w:val="32"/>
        </w:rPr>
        <w:t>%,主要是主要是</w:t>
      </w:r>
      <w:r>
        <w:rPr>
          <w:rFonts w:hint="eastAsia" w:ascii="仿宋_GB2312" w:hAnsi="Times New Roman" w:eastAsia="仿宋_GB2312" w:cs="DengXian-Regular"/>
          <w:sz w:val="32"/>
          <w:szCs w:val="32"/>
          <w:lang w:val="en-US" w:eastAsia="zh-CN"/>
        </w:rPr>
        <w:t>严格执行中央八项规定减少支出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根据《关于开展201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财政专项资金部门绩效自评价工作的通知》，本单位认真开展了预算绩效管理改革开展情况自查，对部门全面规范绩效预算编制、严格预算执行管理、推进绩效评价工作、推进预决算信息公开等方面进行了自评，考核结果为优秀。</w:t>
      </w:r>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组织对201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年度一般公共预算项目支出全面开展绩效自评。涉及专项公用经费、文史资料编印、大型会议活动等</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个项目，涉及资金</w:t>
      </w:r>
      <w:r>
        <w:rPr>
          <w:rFonts w:hint="eastAsia" w:ascii="仿宋_GB2312" w:hAnsi="仿宋_GB2312" w:eastAsia="仿宋_GB2312" w:cs="仿宋_GB2312"/>
          <w:sz w:val="32"/>
          <w:szCs w:val="32"/>
          <w:lang w:val="en-US" w:eastAsia="zh-CN"/>
        </w:rPr>
        <w:t>64.6</w:t>
      </w:r>
      <w:r>
        <w:rPr>
          <w:rFonts w:hint="eastAsia" w:ascii="仿宋_GB2312" w:hAnsi="仿宋_GB2312" w:eastAsia="仿宋_GB2312" w:cs="仿宋_GB2312"/>
          <w:sz w:val="32"/>
          <w:szCs w:val="32"/>
        </w:rPr>
        <w:t>万元。从评价情况看，评价结果为优秀的项目有2个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政协会议项目、政协委员订报项目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，良好的项目3个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政协文史资料编印费项目、政协委员专项经费项目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，一般项目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w:t>
      </w:r>
    </w:p>
    <w:p>
      <w:pPr>
        <w:numPr>
          <w:ilvl w:val="0"/>
          <w:numId w:val="2"/>
        </w:num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部门决算中项目绩效自评结果。</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本部门在今年部门决算公开中反映政协会议</w:t>
      </w:r>
      <w:r>
        <w:rPr>
          <w:rFonts w:hint="eastAsia" w:ascii="仿宋_GB2312" w:hAnsi="Times New Roman" w:eastAsia="仿宋_GB2312" w:cs="DengXian-Regular"/>
          <w:sz w:val="32"/>
          <w:szCs w:val="32"/>
          <w:lang w:val="en-US" w:eastAsia="zh-CN"/>
        </w:rPr>
        <w:t>项目</w:t>
      </w:r>
      <w:r>
        <w:rPr>
          <w:rFonts w:hint="eastAsia" w:ascii="仿宋_GB2312" w:hAnsi="Times New Roman" w:eastAsia="仿宋_GB2312" w:cs="DengXian-Regular"/>
          <w:sz w:val="32"/>
          <w:szCs w:val="32"/>
        </w:rPr>
        <w:t>、政协委员订报项目等</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个项目绩效自评结果。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Times New Roman" w:eastAsia="仿宋_GB2312" w:cs="DengXian-Regular"/>
          <w:sz w:val="32"/>
          <w:szCs w:val="32"/>
        </w:rPr>
        <w:t>政协会议</w:t>
      </w:r>
      <w:r>
        <w:rPr>
          <w:rFonts w:hint="eastAsia" w:ascii="仿宋_GB2312" w:hAnsi="仿宋_GB2312" w:eastAsia="仿宋_GB2312" w:cs="仿宋_GB2312"/>
          <w:sz w:val="32"/>
          <w:szCs w:val="32"/>
        </w:rPr>
        <w:t>项目自评综述：根据年初设定的绩效目标，</w:t>
      </w:r>
      <w:r>
        <w:rPr>
          <w:rFonts w:hint="eastAsia" w:ascii="仿宋_GB2312" w:hAnsi="Times New Roman" w:eastAsia="仿宋_GB2312" w:cs="DengXian-Regular"/>
          <w:sz w:val="32"/>
          <w:szCs w:val="32"/>
        </w:rPr>
        <w:t>政协会议</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rPr>
        <w:t>100%</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完成区政协二届</w:t>
      </w:r>
      <w:r>
        <w:rPr>
          <w:rFonts w:hint="eastAsia" w:ascii="仿宋_GB2312" w:hAnsi="Times New Roman" w:eastAsia="仿宋_GB2312" w:cs="DengXian-Regular"/>
          <w:sz w:val="32"/>
          <w:szCs w:val="32"/>
          <w:lang w:val="en-US" w:eastAsia="zh-CN"/>
        </w:rPr>
        <w:t>三</w:t>
      </w:r>
      <w:r>
        <w:rPr>
          <w:rFonts w:hint="eastAsia" w:ascii="仿宋_GB2312" w:hAnsi="Times New Roman" w:eastAsia="仿宋_GB2312" w:cs="DengXian-Regular"/>
          <w:sz w:val="32"/>
          <w:szCs w:val="32"/>
        </w:rPr>
        <w:t>次全体会顺利召开，</w:t>
      </w:r>
      <w:r>
        <w:rPr>
          <w:rFonts w:hint="eastAsia" w:ascii="仿宋_GB2312" w:hAnsi="Times New Roman" w:eastAsia="仿宋_GB2312" w:cs="DengXian-Regular"/>
          <w:sz w:val="32"/>
          <w:szCs w:val="32"/>
          <w:lang w:val="en-US" w:eastAsia="zh-CN"/>
        </w:rPr>
        <w:t>为顺利</w:t>
      </w:r>
      <w:r>
        <w:rPr>
          <w:rFonts w:hint="eastAsia" w:ascii="仿宋_GB2312" w:hAnsi="Times New Roman" w:eastAsia="仿宋_GB2312" w:cs="DengXian-Regular"/>
          <w:sz w:val="32"/>
          <w:szCs w:val="32"/>
        </w:rPr>
        <w:t>完成政协</w:t>
      </w:r>
      <w:r>
        <w:rPr>
          <w:rFonts w:hint="eastAsia" w:ascii="仿宋_GB2312" w:hAnsi="Times New Roman" w:eastAsia="仿宋_GB2312" w:cs="DengXian-Regular"/>
          <w:sz w:val="32"/>
          <w:szCs w:val="32"/>
          <w:lang w:val="en-US" w:eastAsia="zh-CN"/>
        </w:rPr>
        <w:t>会议</w:t>
      </w:r>
      <w:r>
        <w:rPr>
          <w:rFonts w:hint="eastAsia" w:ascii="仿宋_GB2312" w:hAnsi="Times New Roman" w:eastAsia="仿宋_GB2312" w:cs="DengXian-Regular"/>
          <w:sz w:val="32"/>
          <w:szCs w:val="32"/>
        </w:rPr>
        <w:t>提供后勤保障等工作。</w:t>
      </w:r>
    </w:p>
    <w:p>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政协委员订报项目自评综述：根据年初设定的绩效目标，政协委员订报项目绩效自评得分为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8.6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8.6</w:t>
      </w:r>
      <w:r>
        <w:rPr>
          <w:rFonts w:hint="eastAsia" w:ascii="仿宋_GB2312" w:hAnsi="仿宋_GB2312" w:eastAsia="仿宋_GB2312" w:cs="仿宋_GB2312"/>
          <w:sz w:val="32"/>
          <w:szCs w:val="32"/>
        </w:rPr>
        <w:t>万元，完成预算的100%。项目绩效目标完成情况：保证为广大政协委员订阅政协相关报刊杂志，提高委员参政议政水平和能力。</w:t>
      </w:r>
    </w:p>
    <w:p>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政协文史资料编印费项目自评综述：根据年初设定的绩效目标，政协文史资料编印费项目绩效自评得分为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万元，完成预算的100%。项目绩效目标完成情况：按照区委、区政府要求编辑、撰写鹿泉文化、历史资料等宣传。</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Times New Roman" w:eastAsia="仿宋_GB2312" w:cs="DengXian-Regular"/>
          <w:sz w:val="32"/>
          <w:szCs w:val="32"/>
        </w:rPr>
        <w:t>政协委员专项经费</w:t>
      </w:r>
      <w:r>
        <w:rPr>
          <w:rFonts w:hint="eastAsia" w:ascii="仿宋_GB2312" w:hAnsi="仿宋_GB2312" w:eastAsia="仿宋_GB2312" w:cs="仿宋_GB2312"/>
          <w:sz w:val="32"/>
          <w:szCs w:val="32"/>
        </w:rPr>
        <w:t>项目自评综述：根据年初设定的绩效目标，</w:t>
      </w:r>
      <w:r>
        <w:rPr>
          <w:rFonts w:hint="eastAsia" w:ascii="仿宋_GB2312" w:hAnsi="Times New Roman" w:eastAsia="仿宋_GB2312" w:cs="DengXian-Regular"/>
          <w:sz w:val="32"/>
          <w:szCs w:val="32"/>
        </w:rPr>
        <w:t>政协委员专项经费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rPr>
        <w:t>100%</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根据上级政协及区委、区政府要求，政协委员安排政协委员调研、视察等活动。</w:t>
      </w:r>
    </w:p>
    <w:p>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Times New Roman" w:eastAsia="仿宋_GB2312" w:cs="DengXian-Regular"/>
          <w:sz w:val="32"/>
          <w:szCs w:val="32"/>
          <w:lang w:val="en-US" w:eastAsia="zh-CN"/>
        </w:rPr>
        <w:t>公务接待</w:t>
      </w:r>
      <w:r>
        <w:rPr>
          <w:rFonts w:hint="eastAsia" w:ascii="仿宋_GB2312" w:hAnsi="Times New Roman" w:eastAsia="仿宋_GB2312" w:cs="DengXian-Regular"/>
          <w:sz w:val="32"/>
          <w:szCs w:val="32"/>
        </w:rPr>
        <w:t>专项经费</w:t>
      </w:r>
      <w:r>
        <w:rPr>
          <w:rFonts w:hint="eastAsia" w:ascii="仿宋_GB2312" w:hAnsi="仿宋_GB2312" w:eastAsia="仿宋_GB2312" w:cs="仿宋_GB2312"/>
          <w:sz w:val="32"/>
          <w:szCs w:val="32"/>
        </w:rPr>
        <w:t>项目自评综述：根据年初设定的绩效目标，</w:t>
      </w:r>
      <w:r>
        <w:rPr>
          <w:rFonts w:hint="eastAsia" w:ascii="仿宋_GB2312" w:hAnsi="Times New Roman" w:eastAsia="仿宋_GB2312" w:cs="DengXian-Regular"/>
          <w:sz w:val="32"/>
          <w:szCs w:val="32"/>
          <w:lang w:val="en-US" w:eastAsia="zh-CN"/>
        </w:rPr>
        <w:t>公务接待</w:t>
      </w:r>
      <w:r>
        <w:rPr>
          <w:rFonts w:hint="eastAsia" w:ascii="仿宋_GB2312" w:hAnsi="Times New Roman" w:eastAsia="仿宋_GB2312" w:cs="DengXian-Regular"/>
          <w:sz w:val="32"/>
          <w:szCs w:val="32"/>
        </w:rPr>
        <w:t>专项经费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0.73</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lang w:val="en-US" w:eastAsia="zh-CN"/>
        </w:rPr>
        <w:t>14.6</w:t>
      </w:r>
      <w:r>
        <w:rPr>
          <w:rFonts w:hint="eastAsia" w:ascii="仿宋_GB2312" w:hAnsi="Times New Roman" w:eastAsia="仿宋_GB2312" w:cs="DengXian-Regular"/>
          <w:sz w:val="32"/>
          <w:szCs w:val="32"/>
        </w:rPr>
        <w:t>%</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政协公务活动接待</w:t>
      </w:r>
      <w:r>
        <w:rPr>
          <w:rFonts w:hint="eastAsia" w:ascii="仿宋_GB2312" w:hAnsi="Times New Roman" w:eastAsia="仿宋_GB2312" w:cs="DengXian-Regular"/>
          <w:sz w:val="32"/>
          <w:szCs w:val="32"/>
          <w:lang w:eastAsia="zh-CN"/>
        </w:rPr>
        <w:t>。</w:t>
      </w:r>
    </w:p>
    <w:p>
      <w:pPr>
        <w:numPr>
          <w:ilvl w:val="0"/>
          <w:numId w:val="3"/>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仿宋_GB2312" w:eastAsia="仿宋_GB2312" w:cs="仿宋_GB2312"/>
          <w:sz w:val="32"/>
          <w:szCs w:val="32"/>
        </w:rPr>
        <w:t>工商联专项业务</w:t>
      </w:r>
      <w:r>
        <w:rPr>
          <w:rFonts w:hint="eastAsia" w:ascii="仿宋_GB2312" w:hAnsi="Times New Roman" w:eastAsia="仿宋_GB2312" w:cs="DengXian-Regular"/>
          <w:sz w:val="32"/>
          <w:szCs w:val="32"/>
        </w:rPr>
        <w:t>经费</w:t>
      </w:r>
      <w:r>
        <w:rPr>
          <w:rFonts w:hint="eastAsia" w:ascii="仿宋_GB2312" w:hAnsi="仿宋_GB2312" w:eastAsia="仿宋_GB2312" w:cs="仿宋_GB2312"/>
          <w:sz w:val="32"/>
          <w:szCs w:val="32"/>
        </w:rPr>
        <w:t>项目自评综述：根据年初设定的绩效目标，工商联专项业务</w:t>
      </w:r>
      <w:r>
        <w:rPr>
          <w:rFonts w:hint="eastAsia" w:ascii="仿宋_GB2312" w:hAnsi="Times New Roman" w:eastAsia="仿宋_GB2312" w:cs="DengXian-Regular"/>
          <w:sz w:val="32"/>
          <w:szCs w:val="32"/>
        </w:rPr>
        <w:t>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rPr>
        <w:t>100%</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根据区委、区政府要求，</w:t>
      </w:r>
      <w:r>
        <w:rPr>
          <w:rFonts w:hint="eastAsia" w:ascii="仿宋_GB2312" w:hAnsi="Times New Roman" w:eastAsia="仿宋_GB2312" w:cs="DengXian-Regular"/>
          <w:sz w:val="32"/>
          <w:szCs w:val="32"/>
          <w:lang w:val="en-US" w:eastAsia="zh-CN"/>
        </w:rPr>
        <w:t>完成</w:t>
      </w:r>
      <w:r>
        <w:rPr>
          <w:rFonts w:hint="eastAsia" w:ascii="仿宋_GB2312" w:hAnsi="Times New Roman" w:eastAsia="仿宋_GB2312" w:cs="DengXian-Regular"/>
          <w:sz w:val="32"/>
          <w:szCs w:val="32"/>
        </w:rPr>
        <w:t>专项业务经费。</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after="0"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年度机关运行经费支出</w:t>
      </w:r>
      <w:r>
        <w:rPr>
          <w:rFonts w:hint="eastAsia" w:ascii="仿宋_GB2312" w:hAnsi="Times New Roman" w:eastAsia="仿宋_GB2312" w:cs="DengXian-Regular"/>
          <w:sz w:val="32"/>
          <w:szCs w:val="32"/>
          <w:lang w:val="en-US" w:eastAsia="zh-CN"/>
        </w:rPr>
        <w:t>97.24</w:t>
      </w:r>
      <w:r>
        <w:rPr>
          <w:rFonts w:hint="eastAsia" w:ascii="仿宋_GB2312" w:eastAsia="仿宋_GB2312" w:cs="DengXian-Regular"/>
          <w:sz w:val="32"/>
          <w:szCs w:val="32"/>
        </w:rPr>
        <w:t>万元，</w:t>
      </w:r>
      <w:r>
        <w:rPr>
          <w:rFonts w:hint="eastAsia" w:ascii="仿宋_GB2312" w:hAnsi="Times New Roman" w:eastAsia="仿宋_GB2312" w:cs="DengXian-Regular"/>
          <w:sz w:val="32"/>
          <w:szCs w:val="32"/>
        </w:rPr>
        <w:t>比2018年度增加</w:t>
      </w:r>
      <w:r>
        <w:rPr>
          <w:rFonts w:hint="eastAsia" w:ascii="仿宋_GB2312" w:hAnsi="Times New Roman" w:eastAsia="仿宋_GB2312" w:cs="DengXian-Regular"/>
          <w:sz w:val="32"/>
          <w:szCs w:val="32"/>
          <w:lang w:val="en-US" w:eastAsia="zh-CN"/>
        </w:rPr>
        <w:t>23.59万元</w:t>
      </w:r>
      <w:r>
        <w:rPr>
          <w:rFonts w:hint="eastAsia" w:ascii="仿宋_GB2312" w:eastAsia="仿宋_GB2312" w:cs="DengXian-Regular"/>
          <w:sz w:val="32"/>
          <w:szCs w:val="32"/>
        </w:rPr>
        <w:t>，增长</w:t>
      </w:r>
      <w:r>
        <w:rPr>
          <w:rFonts w:hint="eastAsia" w:ascii="仿宋_GB2312" w:eastAsia="仿宋_GB2312" w:cs="DengXian-Regular"/>
          <w:sz w:val="32"/>
          <w:szCs w:val="32"/>
          <w:lang w:val="en-US" w:eastAsia="zh-CN"/>
        </w:rPr>
        <w:t>32.03</w:t>
      </w:r>
      <w:r>
        <w:rPr>
          <w:rFonts w:hint="eastAsia" w:ascii="仿宋_GB2312" w:eastAsia="仿宋_GB2312" w:cs="DengXian-Regular"/>
          <w:sz w:val="32"/>
          <w:szCs w:val="32"/>
        </w:rPr>
        <w:t>%。主要原因是人员增加</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办公经费增加</w:t>
      </w:r>
      <w:r>
        <w:rPr>
          <w:rFonts w:hint="eastAsia" w:ascii="仿宋_GB2312" w:eastAsia="仿宋_GB2312" w:cs="DengXian-Regular"/>
          <w:sz w:val="32"/>
          <w:szCs w:val="32"/>
        </w:rPr>
        <w:t>经费支出增加。</w:t>
      </w:r>
      <w:r>
        <w:rPr>
          <w:sz w:val="44"/>
        </w:rPr>
        <mc:AlternateContent>
          <mc:Choice Requires="wpg">
            <w:drawing>
              <wp:anchor distT="0" distB="0" distL="114300" distR="114300" simplePos="0" relativeHeight="251681792" behindDoc="0" locked="1" layoutInCell="1" allowOverlap="1">
                <wp:simplePos x="0" y="0"/>
                <wp:positionH relativeFrom="column">
                  <wp:posOffset>-1015365</wp:posOffset>
                </wp:positionH>
                <wp:positionV relativeFrom="topMargin">
                  <wp:posOffset>372110</wp:posOffset>
                </wp:positionV>
                <wp:extent cx="3833495" cy="558165"/>
                <wp:effectExtent l="0" t="0" r="14605" b="13335"/>
                <wp:wrapNone/>
                <wp:docPr id="88" name="组合 8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179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pT7Bpr0AAADb&#10;AAAADwAAAGRycy9kb3ducmV2LnhtbEWPQWsCMRSE74L/ITyhN01sQe3W6KG01FOrqwePj83rZunm&#10;ZZtEXf99UxA8DjPzDbNc964VZwqx8axhOlEgiCtvGq41HPbv4wWImJANtp5Jw5UirFfDwRIL4y+8&#10;o3OZapEhHAvUYFPqCiljZclhnPiOOHvfPjhMWYZamoCXDHetfFRqJh02nBcsdvRqqfopT07D9vRp&#10;66djmO/TR9e/HdVsa75+tX4YTdULiER9uodv7Y3RsHiG/y/5B8jV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PsGm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7ugZ8rUAAADb&#10;AAAADwAAAGRycy9kb3ducmV2LnhtbEVPuwrCMBTdBf8hXMFN0zr4qEaHguDgohbna3Nti81NaWJb&#10;/94MguPhvHeHwdSio9ZVlhXE8wgEcW51xYWC7HacrUE4j6yxtkwKPuTgsB+Pdpho2/OFuqsvRAhh&#10;l6CC0vsmkdLlJRl0c9sQB+5pW4M+wLaQusU+hJtaLqJoKQ1WHBpKbCgtKX9d30aBqVbP9+N+ri9O&#10;ntc5ZYXN0l6p6SSOtiA8Df4v/rlPWsEmrA9fwg+Q+y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7ugZ8rUAAADbAAAADwAA&#10;AAAAAAABACAAAAAiAAAAZHJzL2Rvd25yZXYueG1sUEsBAhQAFAAAAAgAh07iQDMvBZ47AAAAOQAA&#10;ABAAAAAAAAAAAQAgAAAABAEAAGRycy9zaGFwZXhtbC54bWxQSwUGAAAAAAYABgBbAQAArgMA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keepNext/>
        <w:keepLines/>
        <w:numPr>
          <w:ilvl w:val="0"/>
          <w:numId w:val="4"/>
        </w:numPr>
        <w:snapToGrid w:val="0"/>
        <w:spacing w:line="580" w:lineRule="exact"/>
        <w:ind w:firstLine="643" w:firstLineChars="200"/>
        <w:outlineLvl w:val="2"/>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政府采购情况</w:t>
      </w:r>
    </w:p>
    <w:p>
      <w:pPr>
        <w:widowControl/>
        <w:spacing w:after="0" w:line="580" w:lineRule="exact"/>
        <w:ind w:firstLine="640" w:firstLineChars="200"/>
        <w:jc w:val="left"/>
        <w:rPr>
          <w:rFonts w:hint="eastAsia" w:ascii="楷体_GB2312" w:hAnsi="Times New Roman" w:eastAsia="楷体_GB2312" w:cs="DengXian-Bold"/>
          <w:b/>
          <w:bCs/>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%。本部门</w:t>
      </w:r>
      <w:r>
        <w:rPr>
          <w:rFonts w:hint="eastAsia" w:ascii="仿宋_GB2312" w:hAnsi="仿宋_GB2312" w:eastAsia="仿宋_GB2312" w:cs="仿宋_GB2312"/>
          <w:color w:val="000000"/>
          <w:kern w:val="0"/>
          <w:sz w:val="32"/>
          <w:szCs w:val="32"/>
          <w:lang w:bidi="ar"/>
        </w:rPr>
        <w:t>201</w:t>
      </w:r>
      <w:r>
        <w:rPr>
          <w:rFonts w:hint="eastAsia" w:ascii="仿宋_GB2312" w:hAnsi="仿宋_GB2312" w:eastAsia="仿宋_GB2312" w:cs="仿宋_GB2312"/>
          <w:color w:val="000000"/>
          <w:kern w:val="0"/>
          <w:sz w:val="32"/>
          <w:szCs w:val="32"/>
          <w:lang w:val="en-US" w:eastAsia="zh-CN" w:bidi="ar"/>
        </w:rPr>
        <w:t>9</w:t>
      </w:r>
      <w:r>
        <w:rPr>
          <w:rFonts w:hint="eastAsia" w:ascii="仿宋_GB2312" w:hAnsi="仿宋_GB2312" w:eastAsia="仿宋_GB2312" w:cs="仿宋_GB2312"/>
          <w:color w:val="000000"/>
          <w:kern w:val="0"/>
          <w:sz w:val="32"/>
          <w:szCs w:val="32"/>
          <w:lang w:bidi="ar"/>
        </w:rPr>
        <w:t>年无政府采购预算支出无增减变化与年初预算持平</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2018年度决算支出持平</w:t>
      </w:r>
      <w:r>
        <w:rPr>
          <w:rFonts w:hint="eastAsia" w:ascii="仿宋_GB2312" w:hAnsi="仿宋_GB2312" w:eastAsia="仿宋_GB2312" w:cs="仿宋_GB2312"/>
          <w:color w:val="000000"/>
          <w:kern w:val="0"/>
          <w:sz w:val="32"/>
          <w:szCs w:val="32"/>
          <w:lang w:bidi="ar"/>
        </w:rPr>
        <w:t>。</w:t>
      </w:r>
    </w:p>
    <w:p>
      <w:pPr>
        <w:keepNext/>
        <w:keepLines/>
        <w:numPr>
          <w:ilvl w:val="0"/>
          <w:numId w:val="4"/>
        </w:numPr>
        <w:snapToGrid w:val="0"/>
        <w:spacing w:line="580" w:lineRule="exact"/>
        <w:ind w:firstLine="643" w:firstLineChars="200"/>
        <w:outlineLvl w:val="2"/>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国有资产占用情况</w:t>
      </w:r>
    </w:p>
    <w:p>
      <w:pPr>
        <w:adjustRightInd w:val="0"/>
        <w:snapToGrid w:val="0"/>
        <w:spacing w:after="0" w:line="580" w:lineRule="exact"/>
        <w:ind w:firstLine="640" w:firstLineChars="200"/>
        <w:rPr>
          <w:rFonts w:hint="eastAsia" w:ascii="楷体_GB2312" w:hAnsi="Times New Roman" w:eastAsia="楷体_GB2312" w:cs="DengXian-Bold"/>
          <w:b/>
          <w:bCs/>
          <w:sz w:val="32"/>
          <w:szCs w:val="32"/>
        </w:rPr>
      </w:pPr>
      <w:r>
        <w:rPr>
          <w:rFonts w:hint="eastAsia" w:ascii="仿宋_GB2312" w:eastAsia="仿宋_GB2312" w:cs="DengXian-Regular"/>
          <w:sz w:val="32"/>
          <w:szCs w:val="32"/>
        </w:rPr>
        <w:t>截至201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年12月31日，本部门共有车辆6辆，比上年无增减变化</w:t>
      </w:r>
      <w:r>
        <w:rPr>
          <w:rFonts w:hint="eastAsia" w:ascii="仿宋_GB2312" w:hAnsi="仿宋_GB2312" w:eastAsia="仿宋_GB2312" w:cs="仿宋_GB2312"/>
          <w:color w:val="000000"/>
          <w:kern w:val="0"/>
          <w:sz w:val="32"/>
          <w:szCs w:val="32"/>
          <w:lang w:bidi="ar"/>
        </w:rPr>
        <w:t>与年初预算持平</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2018年度决算支出持平</w:t>
      </w:r>
      <w:r>
        <w:rPr>
          <w:rFonts w:hint="eastAsia" w:ascii="仿宋_GB2312" w:hAnsi="仿宋_GB2312" w:eastAsia="仿宋_GB2312" w:cs="仿宋_GB2312"/>
          <w:color w:val="000000"/>
          <w:kern w:val="0"/>
          <w:sz w:val="32"/>
          <w:szCs w:val="32"/>
          <w:lang w:bidi="ar"/>
        </w:rPr>
        <w:t>。</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仿宋_GB2312" w:eastAsia="仿宋_GB2312" w:cs="仿宋_GB2312"/>
          <w:color w:val="000000"/>
          <w:kern w:val="0"/>
          <w:sz w:val="32"/>
          <w:szCs w:val="32"/>
          <w:lang w:bidi="ar"/>
        </w:rPr>
        <w:t>与年初预算持平</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2018年度决算支出持平</w:t>
      </w:r>
      <w:r>
        <w:rPr>
          <w:rFonts w:hint="eastAsia" w:ascii="仿宋_GB2312" w:hAnsi="仿宋_GB2312" w:eastAsia="仿宋_GB2312" w:cs="仿宋_GB2312"/>
          <w:color w:val="000000"/>
          <w:kern w:val="0"/>
          <w:sz w:val="32"/>
          <w:szCs w:val="32"/>
          <w:lang w:bidi="ar"/>
        </w:rPr>
        <w:t>。</w:t>
      </w:r>
    </w:p>
    <w:p>
      <w:pPr>
        <w:adjustRightInd w:val="0"/>
        <w:snapToGrid w:val="0"/>
        <w:spacing w:after="0" w:line="580" w:lineRule="exact"/>
        <w:ind w:firstLine="640" w:firstLineChars="200"/>
        <w:rPr>
          <w:rFonts w:hint="eastAsia" w:ascii="仿宋_GB2312" w:hAnsi="仿宋_GB2312" w:eastAsia="仿宋_GB2312" w:cs="仿宋_GB2312"/>
          <w:color w:val="000000"/>
          <w:kern w:val="0"/>
          <w:sz w:val="32"/>
          <w:szCs w:val="32"/>
          <w:lang w:bidi="ar"/>
        </w:rPr>
      </w:pP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val="en-US" w:eastAsia="zh-CN"/>
        </w:rPr>
        <w:t>,</w:t>
      </w:r>
      <w:r>
        <w:rPr>
          <w:rFonts w:hint="eastAsia" w:ascii="仿宋_GB2312" w:eastAsia="仿宋_GB2312" w:cs="DengXian-Regular"/>
          <w:sz w:val="32"/>
          <w:szCs w:val="32"/>
        </w:rPr>
        <w:t>比上年无增减变化</w:t>
      </w:r>
      <w:r>
        <w:rPr>
          <w:rFonts w:hint="eastAsia" w:ascii="仿宋_GB2312" w:eastAsia="仿宋_GB2312" w:cs="DengXian-Regular"/>
          <w:sz w:val="32"/>
          <w:szCs w:val="32"/>
          <w:lang w:eastAsia="zh-CN"/>
        </w:rPr>
        <w:t>。</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万以上专用设备0套</w:t>
      </w:r>
      <w:r>
        <w:rPr>
          <w:rFonts w:hint="eastAsia" w:ascii="仿宋_GB2312" w:eastAsia="仿宋_GB2312" w:cs="DengXian-Regular"/>
          <w:sz w:val="32"/>
          <w:szCs w:val="32"/>
          <w:lang w:val="en-US" w:eastAsia="zh-CN"/>
        </w:rPr>
        <w:t>,</w:t>
      </w:r>
      <w:r>
        <w:rPr>
          <w:rFonts w:hint="eastAsia" w:ascii="仿宋_GB2312" w:eastAsia="仿宋_GB2312" w:cs="DengXian-Regular"/>
          <w:sz w:val="32"/>
          <w:szCs w:val="32"/>
        </w:rPr>
        <w:t>比上年无增减变化</w:t>
      </w:r>
      <w:r>
        <w:rPr>
          <w:rFonts w:hint="eastAsia" w:ascii="仿宋_GB2312" w:hAnsi="仿宋_GB2312" w:eastAsia="仿宋_GB2312" w:cs="仿宋_GB2312"/>
          <w:color w:val="000000"/>
          <w:kern w:val="0"/>
          <w:sz w:val="32"/>
          <w:szCs w:val="32"/>
          <w:lang w:bidi="ar"/>
        </w:rPr>
        <w:t>与年初预算持平</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2018年度决算支出持平</w:t>
      </w:r>
      <w:r>
        <w:rPr>
          <w:rFonts w:hint="eastAsia" w:ascii="仿宋_GB2312" w:hAnsi="仿宋_GB2312" w:eastAsia="仿宋_GB2312" w:cs="仿宋_GB2312"/>
          <w:color w:val="000000"/>
          <w:kern w:val="0"/>
          <w:sz w:val="32"/>
          <w:szCs w:val="32"/>
          <w:lang w:bidi="ar"/>
        </w:rPr>
        <w:t>。</w:t>
      </w:r>
    </w:p>
    <w:p>
      <w:pPr>
        <w:keepNext/>
        <w:keepLines/>
        <w:numPr>
          <w:ilvl w:val="0"/>
          <w:numId w:val="4"/>
        </w:numPr>
        <w:snapToGrid w:val="0"/>
        <w:spacing w:line="580" w:lineRule="exact"/>
        <w:ind w:firstLine="643" w:firstLineChars="200"/>
        <w:outlineLvl w:val="2"/>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年度无政府性基金收支情况，故公开08表以空表列示。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年度无国有资本经营预算收支情况，故公开09表以空表列示。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3、由于决算公开表格中金额数值应当保留两位小数，公开数据为四舍五入计算结</w:t>
      </w:r>
      <w:r>
        <w:rPr>
          <w:sz w:val="44"/>
        </w:rPr>
        <mc:AlternateContent>
          <mc:Choice Requires="wpg">
            <w:drawing>
              <wp:anchor distT="0" distB="0" distL="114300" distR="114300" simplePos="0" relativeHeight="251682816" behindDoc="0" locked="1" layoutInCell="1" allowOverlap="1">
                <wp:simplePos x="0" y="0"/>
                <wp:positionH relativeFrom="column">
                  <wp:posOffset>-1015365</wp:posOffset>
                </wp:positionH>
                <wp:positionV relativeFrom="topMargin">
                  <wp:posOffset>372110</wp:posOffset>
                </wp:positionV>
                <wp:extent cx="3833495" cy="558165"/>
                <wp:effectExtent l="0" t="0" r="1460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281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n7KztsAAAALAQAADwAA&#10;AAAAAAABACAAAAAiAAAAZHJzL2Rvd25yZXYueG1sUEsBAhQAFAAAAAgAh07iQB+HYJcwAwAAHAkA&#10;AA4AAAAAAAAAAQAgAAAAKgEAAGRycy9lMm9Eb2MueG1sUEsFBgAAAAAGAAYAWQEAAMw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LkPFCr0AAADb&#10;AAAADwAAAGRycy9kb3ducmV2LnhtbEWPT2sCMRTE7wW/Q3hCbzVRwdqt0YO02JP138HjY/O6Wbp5&#10;WZOo67dvBKHHYWZ+w8wWnWvEhUKsPWsYDhQI4tKbmisNh/3nyxRETMgGG8+k4UYRFvPe0wwL46+8&#10;pcsuVSJDOBaowabUFlLG0pLDOPAtcfZ+fHCYsgyVNAGvGe4aOVJqIh3WnBcstrS0VP7uzk7D5ry2&#10;1fgYXvdp1XYfRzXZmO+T1s/9oXoHkahL/+FH+8toeBvB/Uv+AX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Q8UK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jqHhbgAAADb&#10;AAAADwAAAGRycy9kb3ducmV2LnhtbEWPzQrCMBCE74LvEFbwpqkK/lTTHgTBgxe1eF6btS02m9JE&#10;q29vBMHjMDPfMJv0ZWrxpNZVlhVMxhEI4tzqigsF2Xk3WoJwHlljbZkUvMlBmvR7G4y17fhIz5Mv&#10;RICwi1FB6X0TS+nykgy6sW2Ig3ezrUEfZFtI3WIX4KaW0yiaS4MVh4USG9qWlN9PD6PAVIvb43o5&#10;1EcnD8ucssJm206p4WASrUF4evl/+NfeawWrGXy/hB8gk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jqHhb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0" w:firstLineChars="200"/>
        <w:jc w:val="left"/>
        <w:rPr>
          <w:rFonts w:cs="MS-UIGothic,Bold" w:asciiTheme="majorEastAsia" w:hAnsiTheme="majorEastAsia" w:eastAsiaTheme="majorEastAsia"/>
          <w:b/>
          <w:bCs/>
          <w:kern w:val="0"/>
          <w:sz w:val="44"/>
          <w:szCs w:val="44"/>
        </w:rPr>
        <w:sectPr>
          <w:type w:val="continuous"/>
          <w:pgSz w:w="11906" w:h="16838"/>
          <w:pgMar w:top="2098" w:right="1474" w:bottom="1984" w:left="1588" w:header="851" w:footer="992" w:gutter="0"/>
          <w:cols w:space="0" w:num="1"/>
          <w:docGrid w:type="lines" w:linePitch="312" w:charSpace="0"/>
        </w:sectPr>
      </w:pPr>
    </w:p>
    <w:p>
      <w:pPr>
        <w:keepNext/>
        <w:keepLines/>
        <w:widowControl w:val="0"/>
        <w:numPr>
          <w:ilvl w:val="0"/>
          <w:numId w:val="0"/>
        </w:numPr>
        <w:snapToGrid w:val="0"/>
        <w:spacing w:line="580" w:lineRule="exact"/>
        <w:jc w:val="both"/>
        <w:outlineLvl w:val="2"/>
        <w:rPr>
          <w:rFonts w:hint="eastAsia" w:ascii="楷体_GB2312" w:hAnsi="Times New Roman" w:eastAsia="楷体_GB2312" w:cs="DengXian-Bold"/>
          <w:b/>
          <w:bCs/>
          <w:sz w:val="32"/>
          <w:szCs w:val="32"/>
        </w:rPr>
      </w:pPr>
    </w:p>
    <w:p>
      <w:pPr>
        <w:keepNext/>
        <w:keepLines/>
        <w:widowControl w:val="0"/>
        <w:numPr>
          <w:ilvl w:val="0"/>
          <w:numId w:val="0"/>
        </w:numPr>
        <w:snapToGrid w:val="0"/>
        <w:spacing w:line="580" w:lineRule="exact"/>
        <w:jc w:val="both"/>
        <w:outlineLvl w:val="2"/>
        <w:rPr>
          <w:rFonts w:hint="eastAsia" w:ascii="楷体_GB2312" w:hAnsi="Times New Roman" w:eastAsia="楷体_GB2312" w:cs="DengXian-Bold"/>
          <w:b/>
          <w:bCs/>
          <w:sz w:val="32"/>
          <w:szCs w:val="32"/>
        </w:rPr>
      </w:pPr>
    </w:p>
    <w:p>
      <w:pPr>
        <w:jc w:val="center"/>
        <w:rPr>
          <w:sz w:val="72"/>
        </w:rPr>
      </w:pPr>
      <w:r>
        <w:rPr>
          <w:sz w:val="72"/>
        </w:rPr>
        <mc:AlternateContent>
          <mc:Choice Requires="wps">
            <w:drawing>
              <wp:anchor distT="0" distB="0" distL="114300" distR="114300" simplePos="0" relativeHeight="25167872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8720;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fill type="pattern" on="t" color2="#FFFFFF [3212]" focussize="0,0" r:id="rId26"/>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17" w:type="first"/>
          <w:footerReference r:id="rId19" w:type="first"/>
          <w:headerReference r:id="rId16" w:type="default"/>
          <w:footerReference r:id="rId18" w:type="defaul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974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9744;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fill type="pattern" on="t" color2="#FFFFFF [3212]"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鹿泉区政协</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549.6</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39.33</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29.33</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23.62</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641.88</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27.74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3.26</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645.14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645.14</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7"/>
        <w:tblW w:w="9967" w:type="dxa"/>
        <w:jc w:val="center"/>
        <w:tblInd w:w="0" w:type="dxa"/>
        <w:tblLayout w:type="fixed"/>
        <w:tblCellMar>
          <w:top w:w="0" w:type="dxa"/>
          <w:left w:w="0" w:type="dxa"/>
          <w:bottom w:w="0" w:type="dxa"/>
          <w:right w:w="0" w:type="dxa"/>
        </w:tblCellMar>
      </w:tblPr>
      <w:tblGrid>
        <w:gridCol w:w="1008"/>
        <w:gridCol w:w="413"/>
        <w:gridCol w:w="240"/>
        <w:gridCol w:w="139"/>
        <w:gridCol w:w="1020"/>
        <w:gridCol w:w="146"/>
        <w:gridCol w:w="829"/>
        <w:gridCol w:w="171"/>
        <w:gridCol w:w="744"/>
        <w:gridCol w:w="256"/>
        <w:gridCol w:w="749"/>
        <w:gridCol w:w="251"/>
        <w:gridCol w:w="694"/>
        <w:gridCol w:w="306"/>
        <w:gridCol w:w="774"/>
        <w:gridCol w:w="226"/>
        <w:gridCol w:w="764"/>
        <w:gridCol w:w="850"/>
        <w:gridCol w:w="200"/>
        <w:gridCol w:w="187"/>
      </w:tblGrid>
      <w:tr>
        <w:tblPrEx>
          <w:tblLayout w:type="fixed"/>
          <w:tblCellMar>
            <w:top w:w="0" w:type="dxa"/>
            <w:left w:w="0" w:type="dxa"/>
            <w:bottom w:w="0" w:type="dxa"/>
            <w:right w:w="0" w:type="dxa"/>
          </w:tblCellMar>
        </w:tblPrEx>
        <w:trPr>
          <w:gridAfter w:val="2"/>
          <w:wAfter w:w="387" w:type="dxa"/>
          <w:trHeight w:val="670" w:hRule="atLeast"/>
          <w:jc w:val="center"/>
        </w:trPr>
        <w:tc>
          <w:tcPr>
            <w:tcW w:w="9580" w:type="dxa"/>
            <w:gridSpan w:val="18"/>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1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05"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center"/>
          </w:tcPr>
          <w:p>
            <w:pPr>
              <w:widowControl/>
              <w:jc w:val="both"/>
              <w:textAlignment w:val="bottom"/>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鹿泉区政协</w:t>
            </w:r>
          </w:p>
        </w:tc>
        <w:tc>
          <w:tcPr>
            <w:tcW w:w="413" w:type="dxa"/>
            <w:tcBorders>
              <w:top w:val="nil"/>
              <w:left w:val="nil"/>
              <w:bottom w:val="nil"/>
              <w:right w:val="nil"/>
            </w:tcBorders>
            <w:shd w:val="clear" w:color="auto" w:fill="auto"/>
            <w:tcMar>
              <w:top w:w="15" w:type="dxa"/>
              <w:left w:w="15" w:type="dxa"/>
              <w:right w:w="15" w:type="dxa"/>
            </w:tcMar>
            <w:vAlign w:val="center"/>
          </w:tcPr>
          <w:p>
            <w:pPr>
              <w:widowControl/>
              <w:jc w:val="both"/>
              <w:textAlignment w:val="bottom"/>
              <w:rPr>
                <w:rFonts w:hint="eastAsia" w:ascii="宋体" w:hAnsi="宋体" w:eastAsia="宋体" w:cs="宋体"/>
                <w:color w:val="000000"/>
                <w:kern w:val="0"/>
                <w:sz w:val="20"/>
                <w:szCs w:val="20"/>
                <w:lang w:val="en-US" w:eastAsia="zh-CN" w:bidi="ar"/>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05"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6"/>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gridAfter w:val="1"/>
          <w:wAfter w:w="187" w:type="dxa"/>
          <w:trHeight w:val="385" w:hRule="atLeast"/>
          <w:jc w:val="center"/>
        </w:trPr>
        <w:tc>
          <w:tcPr>
            <w:tcW w:w="28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7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91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94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8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99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5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gridAfter w:val="1"/>
          <w:wAfter w:w="187" w:type="dxa"/>
          <w:trHeight w:val="380" w:hRule="atLeast"/>
          <w:jc w:val="center"/>
        </w:trPr>
        <w:tc>
          <w:tcPr>
            <w:tcW w:w="1800"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0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7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187" w:type="dxa"/>
          <w:trHeight w:val="380" w:hRule="atLeast"/>
          <w:jc w:val="center"/>
        </w:trPr>
        <w:tc>
          <w:tcPr>
            <w:tcW w:w="1800"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187" w:type="dxa"/>
          <w:trHeight w:val="380" w:hRule="atLeast"/>
          <w:jc w:val="center"/>
        </w:trPr>
        <w:tc>
          <w:tcPr>
            <w:tcW w:w="1800"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187" w:type="dxa"/>
          <w:trHeight w:val="385" w:hRule="atLeast"/>
          <w:jc w:val="center"/>
        </w:trPr>
        <w:tc>
          <w:tcPr>
            <w:tcW w:w="282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9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gridAfter w:val="1"/>
          <w:wAfter w:w="187" w:type="dxa"/>
          <w:trHeight w:val="385" w:hRule="atLeast"/>
          <w:jc w:val="center"/>
        </w:trPr>
        <w:tc>
          <w:tcPr>
            <w:tcW w:w="282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617.4</w:t>
            </w:r>
          </w:p>
        </w:tc>
        <w:tc>
          <w:tcPr>
            <w:tcW w:w="9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617.4</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c>
          <w:tcPr>
            <w:tcW w:w="99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r>
      <w:tr>
        <w:tblPrEx>
          <w:tblLayout w:type="fixed"/>
          <w:tblCellMar>
            <w:top w:w="0" w:type="dxa"/>
            <w:left w:w="0" w:type="dxa"/>
            <w:bottom w:w="0" w:type="dxa"/>
            <w:right w:w="0" w:type="dxa"/>
          </w:tblCellMar>
        </w:tblPrEx>
        <w:trPr>
          <w:gridAfter w:val="1"/>
          <w:wAfter w:w="187" w:type="dxa"/>
          <w:trHeight w:val="385" w:hRule="atLeast"/>
          <w:jc w:val="center"/>
        </w:trPr>
        <w:tc>
          <w:tcPr>
            <w:tcW w:w="180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187" w:type="dxa"/>
          <w:trHeight w:val="385" w:hRule="atLeast"/>
          <w:jc w:val="center"/>
        </w:trPr>
        <w:tc>
          <w:tcPr>
            <w:tcW w:w="180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187" w:type="dxa"/>
          <w:trHeight w:val="385" w:hRule="atLeast"/>
          <w:jc w:val="center"/>
        </w:trPr>
        <w:tc>
          <w:tcPr>
            <w:tcW w:w="180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187" w:type="dxa"/>
          <w:trHeight w:val="385" w:hRule="atLeast"/>
          <w:jc w:val="center"/>
        </w:trPr>
        <w:tc>
          <w:tcPr>
            <w:tcW w:w="180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187" w:type="dxa"/>
          <w:trHeight w:val="385" w:hRule="atLeast"/>
          <w:jc w:val="center"/>
        </w:trPr>
        <w:tc>
          <w:tcPr>
            <w:tcW w:w="180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187" w:type="dxa"/>
          <w:trHeight w:val="385" w:hRule="atLeast"/>
          <w:jc w:val="center"/>
        </w:trPr>
        <w:tc>
          <w:tcPr>
            <w:tcW w:w="180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187" w:type="dxa"/>
          <w:trHeight w:val="385" w:hRule="atLeast"/>
          <w:jc w:val="center"/>
        </w:trPr>
        <w:tc>
          <w:tcPr>
            <w:tcW w:w="9780" w:type="dxa"/>
            <w:gridSpan w:val="19"/>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7"/>
        <w:tblW w:w="9680" w:type="dxa"/>
        <w:jc w:val="center"/>
        <w:tblInd w:w="0" w:type="dxa"/>
        <w:tblLayout w:type="fixed"/>
        <w:tblCellMar>
          <w:top w:w="0" w:type="dxa"/>
          <w:left w:w="0" w:type="dxa"/>
          <w:bottom w:w="0" w:type="dxa"/>
          <w:right w:w="0" w:type="dxa"/>
        </w:tblCellMar>
      </w:tblPr>
      <w:tblGrid>
        <w:gridCol w:w="754"/>
        <w:gridCol w:w="187"/>
        <w:gridCol w:w="53"/>
        <w:gridCol w:w="111"/>
        <w:gridCol w:w="1119"/>
        <w:gridCol w:w="240"/>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2"/>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3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75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w:t>
            </w:r>
          </w:p>
        </w:tc>
        <w:tc>
          <w:tcPr>
            <w:tcW w:w="240" w:type="dxa"/>
            <w:gridSpan w:val="2"/>
            <w:tcBorders>
              <w:top w:val="nil"/>
              <w:left w:val="nil"/>
              <w:bottom w:val="nil"/>
              <w:right w:val="nil"/>
            </w:tcBorders>
            <w:shd w:val="clear" w:color="auto" w:fill="auto"/>
            <w:tcMar>
              <w:top w:w="15" w:type="dxa"/>
              <w:left w:w="15" w:type="dxa"/>
              <w:right w:w="15" w:type="dxa"/>
            </w:tcMar>
            <w:vAlign w:val="center"/>
          </w:tcPr>
          <w:p>
            <w:pPr>
              <w:jc w:val="both"/>
              <w:rPr>
                <w:rFonts w:hint="eastAsia"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泉</w:t>
            </w:r>
          </w:p>
        </w:tc>
        <w:tc>
          <w:tcPr>
            <w:tcW w:w="1230" w:type="dxa"/>
            <w:gridSpan w:val="2"/>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区政协</w:t>
            </w: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641.88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580.71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61.17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r>
      <w:tr>
        <w:tblPrEx>
          <w:tblLayout w:type="fixed"/>
          <w:tblCellMar>
            <w:top w:w="0" w:type="dxa"/>
            <w:left w:w="0" w:type="dxa"/>
            <w:bottom w:w="0" w:type="dxa"/>
            <w:right w:w="0" w:type="dxa"/>
          </w:tblCellMar>
        </w:tblPrEx>
        <w:trPr>
          <w:trHeight w:val="323" w:hRule="atLeast"/>
          <w:jc w:val="center"/>
        </w:trPr>
        <w:tc>
          <w:tcPr>
            <w:tcW w:w="110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2"/>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7"/>
        <w:tblW w:w="9520" w:type="dxa"/>
        <w:jc w:val="center"/>
        <w:tblInd w:w="0" w:type="dxa"/>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Layout w:type="fixed"/>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鹿泉区政协</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41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617.4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549.6</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549.6</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39.33</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39.33</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29.33</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29.33</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23.62</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23.62</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617.4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641.88</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641.88</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27.74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3.26</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27.74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645.14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645.14</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lang w:bidi="ar"/>
              </w:rPr>
            </w:pP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lang w:bidi="ar"/>
              </w:rPr>
            </w:pP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lang w:bidi="ar"/>
              </w:rPr>
            </w:pP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lang w:bidi="ar"/>
              </w:rPr>
            </w:pP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lang w:bidi="ar"/>
              </w:rPr>
            </w:pPr>
          </w:p>
        </w:tc>
      </w:tr>
    </w:tbl>
    <w:p>
      <w:r>
        <w:br w:type="page"/>
      </w:r>
    </w:p>
    <w:tbl>
      <w:tblPr>
        <w:tblStyle w:val="7"/>
        <w:tblW w:w="9990" w:type="dxa"/>
        <w:jc w:val="center"/>
        <w:tblInd w:w="0" w:type="dxa"/>
        <w:tblLayout w:type="fixed"/>
        <w:tblCellMar>
          <w:top w:w="0" w:type="dxa"/>
          <w:left w:w="0" w:type="dxa"/>
          <w:bottom w:w="0" w:type="dxa"/>
          <w:right w:w="0" w:type="dxa"/>
        </w:tblCellMar>
      </w:tblPr>
      <w:tblGrid>
        <w:gridCol w:w="1174"/>
        <w:gridCol w:w="67"/>
        <w:gridCol w:w="67"/>
        <w:gridCol w:w="1695"/>
        <w:gridCol w:w="2329"/>
        <w:gridCol w:w="2329"/>
        <w:gridCol w:w="2329"/>
      </w:tblGrid>
      <w:tr>
        <w:tblPrEx>
          <w:tblLayout w:type="fixed"/>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鹿泉区政协</w:t>
            </w: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641.88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580.71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61.17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鹿泉区政协</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378.31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92.2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141.27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11.52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72.21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0.67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70.53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5.04</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5.04</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38.08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16.57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31.66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0.93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23.62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105.17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32.62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6.12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13.19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1.75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66.4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5.39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13.59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17.09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483.48</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97.23</w:t>
            </w:r>
          </w:p>
        </w:tc>
      </w:tr>
    </w:tbl>
    <w:p>
      <w:r>
        <w:br w:type="page"/>
      </w:r>
    </w:p>
    <w:tbl>
      <w:tblPr>
        <w:tblStyle w:val="7"/>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鹿泉区政协</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21.2</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16.2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16.2</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5</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14.32</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13.59</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13.59</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0.74</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鹿泉区政协</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eastAsia="宋体"/>
          <w:lang w:eastAsia="zh-CN"/>
        </w:rPr>
        <w:t>本部门无相关收入按要求空表列示</w:t>
      </w:r>
      <w:r>
        <w:br w:type="page"/>
      </w:r>
    </w:p>
    <w:tbl>
      <w:tblPr>
        <w:tblStyle w:val="7"/>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鹿泉区政协</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eastAsia="宋体"/>
          <w:lang w:eastAsia="zh-CN"/>
        </w:rPr>
        <w:t>本部门无相关收入按要求空表列示</w:t>
      </w:r>
      <w:r>
        <w:br w:type="page"/>
      </w:r>
    </w:p>
    <w:p>
      <w:r>
        <mc:AlternateContent>
          <mc:Choice Requires="wps">
            <w:drawing>
              <wp:anchor distT="0" distB="0" distL="114300" distR="114300" simplePos="0" relativeHeight="25168076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8076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3" w:type="first"/>
      <w:headerReference r:id="rId22" w:type="default"/>
      <w:footerReference r:id="rId24"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Arial">
    <w:panose1 w:val="020B0604020202020204"/>
    <w:charset w:val="00"/>
    <w:family w:val="swiss"/>
    <w:pitch w:val="default"/>
    <w:sig w:usb0="E0002EFF" w:usb1="C000785B" w:usb2="00000009" w:usb3="00000000" w:csb0="400001FF" w:csb1="FFFF0000"/>
  </w:font>
  <w:font w:name="Gulim">
    <w:altName w:val="Malgun Gothic"/>
    <w:panose1 w:val="020B0600000101010101"/>
    <w:charset w:val="81"/>
    <w:family w:val="auto"/>
    <w:pitch w:val="default"/>
    <w:sig w:usb0="00000000" w:usb1="00000000" w:usb2="00000030" w:usb3="00000000" w:csb0="4008009F" w:csb1="DFD70000"/>
  </w:font>
  <w:font w:name="等线 Light">
    <w:panose1 w:val="02010600030101010101"/>
    <w:charset w:val="86"/>
    <w:family w:val="auto"/>
    <w:pitch w:val="default"/>
    <w:sig w:usb0="A00002BF" w:usb1="38CF7CFA" w:usb2="00000016" w:usb3="00000000" w:csb0="0004000F" w:csb1="00000000"/>
  </w:font>
  <w:font w:name="Segoe Print">
    <w:panose1 w:val="02000600000000000000"/>
    <w:charset w:val="00"/>
    <w:family w:val="auto"/>
    <w:pitch w:val="default"/>
    <w:sig w:usb0="0000028F" w:usb1="00000000" w:usb2="00000000" w:usb3="00000000" w:csb0="2000009F" w:csb1="47010000"/>
  </w:font>
  <w:font w:name="Meiryo UI">
    <w:altName w:val="Yu Gothic UI"/>
    <w:panose1 w:val="020B0604030504040204"/>
    <w:charset w:val="80"/>
    <w:family w:val="auto"/>
    <w:pitch w:val="default"/>
    <w:sig w:usb0="00000000" w:usb1="00000000" w:usb2="00010012" w:usb3="00000000" w:csb0="6002009F" w:csb1="DFD70000"/>
  </w:font>
  <w:font w:name="仿宋">
    <w:panose1 w:val="02010609060101010101"/>
    <w:charset w:val="86"/>
    <w:family w:val="auto"/>
    <w:pitch w:val="default"/>
    <w:sig w:usb0="800002BF" w:usb1="38CF7CFA" w:usb2="00000016" w:usb3="00000000" w:csb0="00040001" w:csb1="00000000"/>
  </w:font>
  <w:font w:name="Yu Gothic UI">
    <w:panose1 w:val="020B0500000000000000"/>
    <w:charset w:val="80"/>
    <w:family w:val="auto"/>
    <w:pitch w:val="default"/>
    <w:sig w:usb0="E00002FF" w:usb1="2AC7FDFF" w:usb2="00000016" w:usb3="00000000" w:csb0="2002009F" w:csb1="00000000"/>
  </w:font>
  <w:font w:name="Calibri Light">
    <w:panose1 w:val="020F0302020204030204"/>
    <w:charset w:val="00"/>
    <w:family w:val="auto"/>
    <w:pitch w:val="default"/>
    <w:sig w:usb0="E0002A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abstractNum w:abstractNumId="2">
    <w:nsid w:val="5F9F6876"/>
    <w:multiLevelType w:val="singleLevel"/>
    <w:tmpl w:val="5F9F6876"/>
    <w:lvl w:ilvl="0" w:tentative="0">
      <w:start w:val="2"/>
      <w:numFmt w:val="decimal"/>
      <w:suff w:val="space"/>
      <w:lvlText w:val="%1."/>
      <w:lvlJc w:val="left"/>
    </w:lvl>
  </w:abstractNum>
  <w:abstractNum w:abstractNumId="3">
    <w:nsid w:val="5F9F68BF"/>
    <w:multiLevelType w:val="singleLevel"/>
    <w:tmpl w:val="5F9F68BF"/>
    <w:lvl w:ilvl="0" w:tentative="0">
      <w:start w:val="2"/>
      <w:numFmt w:val="chineseCounting"/>
      <w:suff w:val="nothing"/>
      <w:lvlText w:val="（%1）"/>
      <w:lvlJc w:val="left"/>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397895"/>
    <w:rsid w:val="059A1357"/>
    <w:rsid w:val="05B00A30"/>
    <w:rsid w:val="086C219D"/>
    <w:rsid w:val="09197189"/>
    <w:rsid w:val="0A9D4678"/>
    <w:rsid w:val="0B011416"/>
    <w:rsid w:val="0BD1692F"/>
    <w:rsid w:val="0DDD3882"/>
    <w:rsid w:val="0DEA49A6"/>
    <w:rsid w:val="0DFE59B5"/>
    <w:rsid w:val="102226C8"/>
    <w:rsid w:val="102657C3"/>
    <w:rsid w:val="10647ADF"/>
    <w:rsid w:val="10844C7C"/>
    <w:rsid w:val="11044DF1"/>
    <w:rsid w:val="13EA0984"/>
    <w:rsid w:val="157E294D"/>
    <w:rsid w:val="17A52646"/>
    <w:rsid w:val="17AC3F90"/>
    <w:rsid w:val="193F2875"/>
    <w:rsid w:val="19C77F3A"/>
    <w:rsid w:val="1A6B1157"/>
    <w:rsid w:val="1AE167BA"/>
    <w:rsid w:val="1ECF1DE6"/>
    <w:rsid w:val="1ED311AC"/>
    <w:rsid w:val="1F327B97"/>
    <w:rsid w:val="1F7E116D"/>
    <w:rsid w:val="215B5ABD"/>
    <w:rsid w:val="29CD3728"/>
    <w:rsid w:val="2CD51FFD"/>
    <w:rsid w:val="2F32176D"/>
    <w:rsid w:val="2FAD5047"/>
    <w:rsid w:val="30902990"/>
    <w:rsid w:val="31C2036A"/>
    <w:rsid w:val="320D02A5"/>
    <w:rsid w:val="322434D1"/>
    <w:rsid w:val="327A777C"/>
    <w:rsid w:val="32CA3F64"/>
    <w:rsid w:val="33090431"/>
    <w:rsid w:val="348E566F"/>
    <w:rsid w:val="36597817"/>
    <w:rsid w:val="38CB59B2"/>
    <w:rsid w:val="3A226944"/>
    <w:rsid w:val="3AEE6A48"/>
    <w:rsid w:val="3B2B694A"/>
    <w:rsid w:val="3C1620AA"/>
    <w:rsid w:val="3CC85D85"/>
    <w:rsid w:val="3D504D82"/>
    <w:rsid w:val="3D8F080F"/>
    <w:rsid w:val="42AC7474"/>
    <w:rsid w:val="42F53025"/>
    <w:rsid w:val="43DB64B4"/>
    <w:rsid w:val="44CE1FA4"/>
    <w:rsid w:val="487F73ED"/>
    <w:rsid w:val="498741AE"/>
    <w:rsid w:val="4A347EAE"/>
    <w:rsid w:val="4AC87B6F"/>
    <w:rsid w:val="4BB9056F"/>
    <w:rsid w:val="4C1733B1"/>
    <w:rsid w:val="4CBA1AA7"/>
    <w:rsid w:val="4E3D0AFA"/>
    <w:rsid w:val="50EC094D"/>
    <w:rsid w:val="51CB51F4"/>
    <w:rsid w:val="52600405"/>
    <w:rsid w:val="529B4319"/>
    <w:rsid w:val="55297658"/>
    <w:rsid w:val="56CF3255"/>
    <w:rsid w:val="56E93F84"/>
    <w:rsid w:val="57773DD6"/>
    <w:rsid w:val="578B79AB"/>
    <w:rsid w:val="580D5208"/>
    <w:rsid w:val="595B33E9"/>
    <w:rsid w:val="5C0A69EB"/>
    <w:rsid w:val="5CCD3FD5"/>
    <w:rsid w:val="61FA5F9D"/>
    <w:rsid w:val="62EE0C62"/>
    <w:rsid w:val="631444FD"/>
    <w:rsid w:val="638F62F4"/>
    <w:rsid w:val="64CD6910"/>
    <w:rsid w:val="668A5BB6"/>
    <w:rsid w:val="67497465"/>
    <w:rsid w:val="677F40BC"/>
    <w:rsid w:val="6789158D"/>
    <w:rsid w:val="67D81BA4"/>
    <w:rsid w:val="68387C8D"/>
    <w:rsid w:val="69710729"/>
    <w:rsid w:val="6A291EAE"/>
    <w:rsid w:val="6AAF1C96"/>
    <w:rsid w:val="6E3712C2"/>
    <w:rsid w:val="6E436910"/>
    <w:rsid w:val="6FCB14F5"/>
    <w:rsid w:val="702D0319"/>
    <w:rsid w:val="7043461A"/>
    <w:rsid w:val="71CE4056"/>
    <w:rsid w:val="75681757"/>
    <w:rsid w:val="75A346A8"/>
    <w:rsid w:val="78876EB0"/>
    <w:rsid w:val="78CD20C4"/>
    <w:rsid w:val="79B9382C"/>
    <w:rsid w:val="7AB56343"/>
    <w:rsid w:val="7AD85358"/>
    <w:rsid w:val="7B043B76"/>
    <w:rsid w:val="7C041A6A"/>
    <w:rsid w:val="7C634B51"/>
    <w:rsid w:val="7E327570"/>
    <w:rsid w:val="7F0A6017"/>
    <w:rsid w:val="7F2B59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6"/>
    <w:link w:val="5"/>
    <w:qFormat/>
    <w:uiPriority w:val="99"/>
    <w:rPr>
      <w:rFonts w:asciiTheme="minorHAnsi" w:hAnsiTheme="minorHAnsi" w:eastAsiaTheme="minorEastAsia"/>
      <w:sz w:val="18"/>
      <w:szCs w:val="18"/>
    </w:rPr>
  </w:style>
  <w:style w:type="character" w:customStyle="1" w:styleId="10">
    <w:name w:val="页脚 Char"/>
    <w:basedOn w:val="6"/>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4" Type="http://schemas.openxmlformats.org/officeDocument/2006/relationships/fontTable" Target="fontTable.xml"/><Relationship Id="rId33" Type="http://schemas.openxmlformats.org/officeDocument/2006/relationships/customXml" Target="../customXml/item2.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chart" Target="charts/chart4.xml"/><Relationship Id="rId3" Type="http://schemas.openxmlformats.org/officeDocument/2006/relationships/header" Target="header1.xml"/><Relationship Id="rId29" Type="http://schemas.openxmlformats.org/officeDocument/2006/relationships/chart" Target="charts/chart3.xml"/><Relationship Id="rId28" Type="http://schemas.openxmlformats.org/officeDocument/2006/relationships/chart" Target="charts/chart2.xml"/><Relationship Id="rId27" Type="http://schemas.openxmlformats.org/officeDocument/2006/relationships/chart" Target="charts/chart1.xml"/><Relationship Id="rId26" Type="http://schemas.openxmlformats.org/officeDocument/2006/relationships/image" Target="media/image2.bmp"/><Relationship Id="rId25" Type="http://schemas.openxmlformats.org/officeDocument/2006/relationships/theme" Target="theme/theme1.xml"/><Relationship Id="rId24" Type="http://schemas.openxmlformats.org/officeDocument/2006/relationships/footer" Target="footer9.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0.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t>支出图表</a:t>
            </a:r>
          </a:p>
        </c:rich>
      </c:tx>
      <c:layout/>
      <c:overlay val="0"/>
      <c:spPr>
        <a:noFill/>
        <a:ln>
          <a:noFill/>
        </a:ln>
        <a:effectLst/>
      </c:spPr>
    </c:title>
    <c:autoTitleDeleted val="0"/>
    <c:plotArea>
      <c:layout>
        <c:manualLayout>
          <c:layoutTarget val="inner"/>
          <c:xMode val="edge"/>
          <c:yMode val="edge"/>
          <c:x val="0.199004149377593"/>
          <c:y val="0.200674536256324"/>
          <c:w val="0.510041493775934"/>
          <c:h val="0.740303541315346"/>
        </c:manualLayout>
      </c:layout>
      <c:pieChart>
        <c:varyColors val="1"/>
        <c:ser>
          <c:idx val="0"/>
          <c:order val="0"/>
          <c:tx>
            <c:strRef>
              <c:f>Sheet1!$B$1</c:f>
              <c:strCache>
                <c:ptCount val="1"/>
                <c:pt idx="0">
                  <c:v>列2</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90.11</c:v>
                </c:pt>
                <c:pt idx="1">
                  <c:v>9.89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收入支出图表</a:t>
            </a:r>
          </a:p>
        </c:rich>
      </c:tx>
      <c:layout/>
      <c:overlay val="0"/>
      <c:spPr>
        <a:noFill/>
        <a:ln>
          <a:noFill/>
        </a:ln>
        <a:effectLst/>
      </c:spPr>
    </c:title>
    <c:autoTitleDeleted val="0"/>
    <c:plotArea>
      <c:layout/>
      <c:barChart>
        <c:barDir val="col"/>
        <c:grouping val="stacked"/>
        <c:varyColors val="0"/>
        <c:ser>
          <c:idx val="0"/>
          <c:order val="0"/>
          <c:spPr>
            <a:solidFill>
              <a:schemeClr val="accent1"/>
            </a:solidFill>
            <a:ln>
              <a:noFill/>
            </a:ln>
            <a:effectLst/>
          </c:spPr>
          <c:invertIfNegative val="0"/>
          <c:dLbls>
            <c:delete val="1"/>
          </c:dLbls>
          <c:cat>
            <c:strRef>
              <c:f>Sheet1!$A$2:$A$5</c:f>
              <c:strCache>
                <c:ptCount val="4"/>
                <c:pt idx="0">
                  <c:v>本年收入</c:v>
                </c:pt>
                <c:pt idx="1">
                  <c:v>上年收入</c:v>
                </c:pt>
                <c:pt idx="2">
                  <c:v>本年支出</c:v>
                </c:pt>
                <c:pt idx="3">
                  <c:v>上年支出</c:v>
                </c:pt>
              </c:strCache>
            </c:strRef>
          </c:cat>
          <c:val>
            <c:numRef>
              <c:f>Sheet1!$B$2:$B$5</c:f>
              <c:numCache>
                <c:formatCode>General</c:formatCode>
                <c:ptCount val="4"/>
                <c:pt idx="0">
                  <c:v>645.14</c:v>
                </c:pt>
                <c:pt idx="1">
                  <c:v>657.17</c:v>
                </c:pt>
                <c:pt idx="2">
                  <c:v>641.88</c:v>
                </c:pt>
                <c:pt idx="3">
                  <c:v>616</c:v>
                </c:pt>
              </c:numCache>
            </c:numRef>
          </c:val>
        </c:ser>
        <c:ser>
          <c:idx val="1"/>
          <c:order val="1"/>
          <c:spPr>
            <a:solidFill>
              <a:schemeClr val="accent2"/>
            </a:solidFill>
            <a:ln>
              <a:noFill/>
            </a:ln>
            <a:effectLst/>
          </c:spPr>
          <c:invertIfNegative val="0"/>
          <c:dLbls>
            <c:delete val="1"/>
          </c:dLbls>
          <c:cat>
            <c:strRef>
              <c:f>Sheet1!$A$2:$A$5</c:f>
              <c:strCache>
                <c:ptCount val="4"/>
                <c:pt idx="0">
                  <c:v>本年收入</c:v>
                </c:pt>
                <c:pt idx="1">
                  <c:v>上年收入</c:v>
                </c:pt>
                <c:pt idx="2">
                  <c:v>本年支出</c:v>
                </c:pt>
                <c:pt idx="3">
                  <c:v>上年支出</c:v>
                </c:pt>
              </c:strCache>
            </c:strRef>
          </c:cat>
          <c:val>
            <c:numRef>
              <c:f>Sheet1!$C$2:$C$5</c:f>
              <c:numCache>
                <c:formatCode>General</c:formatCode>
                <c:ptCount val="4"/>
              </c:numCache>
            </c:numRef>
          </c:val>
        </c:ser>
        <c:ser>
          <c:idx val="2"/>
          <c:order val="2"/>
          <c:spPr>
            <a:solidFill>
              <a:schemeClr val="accent3"/>
            </a:solidFill>
            <a:ln>
              <a:noFill/>
            </a:ln>
            <a:effectLst/>
          </c:spPr>
          <c:invertIfNegative val="0"/>
          <c:dLbls>
            <c:delete val="1"/>
          </c:dLbls>
          <c:cat>
            <c:strRef>
              <c:f>Sheet1!$A$2:$A$5</c:f>
              <c:strCache>
                <c:ptCount val="4"/>
                <c:pt idx="0">
                  <c:v>本年收入</c:v>
                </c:pt>
                <c:pt idx="1">
                  <c:v>上年收入</c:v>
                </c:pt>
                <c:pt idx="2">
                  <c:v>本年支出</c:v>
                </c:pt>
                <c:pt idx="3">
                  <c:v>上年支出</c:v>
                </c:pt>
              </c:strCache>
            </c:strRef>
          </c:cat>
          <c:val>
            <c:numRef>
              <c:f>Sheet1!$D$2:$D$5</c:f>
              <c:numCache>
                <c:formatCode>General</c:formatCode>
                <c:ptCount val="4"/>
              </c:numCache>
            </c:numRef>
          </c:val>
        </c:ser>
        <c:dLbls>
          <c:showLegendKey val="0"/>
          <c:showVal val="0"/>
          <c:showCatName val="0"/>
          <c:showSerName val="0"/>
          <c:showPercent val="0"/>
          <c:showBubbleSize val="0"/>
        </c:dLbls>
        <c:gapWidth val="150"/>
        <c:overlap val="100"/>
        <c:axId val="823497576"/>
        <c:axId val="94540565"/>
      </c:barChart>
      <c:catAx>
        <c:axId val="82349757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540565"/>
        <c:crosses val="autoZero"/>
        <c:auto val="1"/>
        <c:lblAlgn val="ctr"/>
        <c:lblOffset val="100"/>
        <c:noMultiLvlLbl val="0"/>
      </c:catAx>
      <c:valAx>
        <c:axId val="9454056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349757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收入支出预决算对比图表</a:t>
            </a:r>
          </a:p>
        </c:rich>
      </c:tx>
      <c:layout/>
      <c:overlay val="0"/>
      <c:spPr>
        <a:noFill/>
        <a:ln>
          <a:noFill/>
        </a:ln>
        <a:effectLst/>
      </c:spPr>
    </c:title>
    <c:autoTitleDeleted val="0"/>
    <c:plotArea>
      <c:layout/>
      <c:barChart>
        <c:barDir val="col"/>
        <c:grouping val="stacked"/>
        <c:varyColors val="0"/>
        <c:ser>
          <c:idx val="0"/>
          <c:order val="0"/>
          <c:spPr>
            <a:solidFill>
              <a:schemeClr val="accent1"/>
            </a:solidFill>
            <a:ln>
              <a:noFill/>
            </a:ln>
            <a:effectLst/>
          </c:spPr>
          <c:invertIfNegative val="0"/>
          <c:dLbls>
            <c:delete val="1"/>
          </c:dLbls>
          <c:cat>
            <c:strRef>
              <c:f>Sheet1!$A$2:$A$5</c:f>
              <c:strCache>
                <c:ptCount val="4"/>
                <c:pt idx="0">
                  <c:v>收入决算数</c:v>
                </c:pt>
                <c:pt idx="1">
                  <c:v>收入预算数</c:v>
                </c:pt>
                <c:pt idx="2">
                  <c:v>支出决算数</c:v>
                </c:pt>
                <c:pt idx="3">
                  <c:v>支出预算数</c:v>
                </c:pt>
              </c:strCache>
            </c:strRef>
          </c:cat>
          <c:val>
            <c:numRef>
              <c:f>Sheet1!$B$2:$B$5</c:f>
              <c:numCache>
                <c:formatCode>General</c:formatCode>
                <c:ptCount val="4"/>
                <c:pt idx="0">
                  <c:v>645.14</c:v>
                </c:pt>
                <c:pt idx="1">
                  <c:v>571.85</c:v>
                </c:pt>
                <c:pt idx="2">
                  <c:v>641.88</c:v>
                </c:pt>
                <c:pt idx="3">
                  <c:v>517.85</c:v>
                </c:pt>
              </c:numCache>
            </c:numRef>
          </c:val>
        </c:ser>
        <c:ser>
          <c:idx val="1"/>
          <c:order val="1"/>
          <c:spPr>
            <a:solidFill>
              <a:schemeClr val="accent2"/>
            </a:solidFill>
            <a:ln>
              <a:noFill/>
            </a:ln>
            <a:effectLst/>
          </c:spPr>
          <c:invertIfNegative val="0"/>
          <c:dLbls>
            <c:delete val="1"/>
          </c:dLbls>
          <c:cat>
            <c:strRef>
              <c:f>Sheet1!$A$2:$A$5</c:f>
              <c:strCache>
                <c:ptCount val="4"/>
                <c:pt idx="0">
                  <c:v>收入决算数</c:v>
                </c:pt>
                <c:pt idx="1">
                  <c:v>收入预算数</c:v>
                </c:pt>
                <c:pt idx="2">
                  <c:v>支出决算数</c:v>
                </c:pt>
                <c:pt idx="3">
                  <c:v>支出预算数</c:v>
                </c:pt>
              </c:strCache>
            </c:strRef>
          </c:cat>
          <c:val>
            <c:numRef>
              <c:f>Sheet1!$C$2:$C$5</c:f>
              <c:numCache>
                <c:formatCode>General</c:formatCode>
                <c:ptCount val="4"/>
              </c:numCache>
            </c:numRef>
          </c:val>
        </c:ser>
        <c:ser>
          <c:idx val="2"/>
          <c:order val="2"/>
          <c:spPr>
            <a:solidFill>
              <a:schemeClr val="accent3"/>
            </a:solidFill>
            <a:ln>
              <a:noFill/>
            </a:ln>
            <a:effectLst/>
          </c:spPr>
          <c:invertIfNegative val="0"/>
          <c:dLbls>
            <c:delete val="1"/>
          </c:dLbls>
          <c:cat>
            <c:strRef>
              <c:f>Sheet1!$A$2:$A$5</c:f>
              <c:strCache>
                <c:ptCount val="4"/>
                <c:pt idx="0">
                  <c:v>收入决算数</c:v>
                </c:pt>
                <c:pt idx="1">
                  <c:v>收入预算数</c:v>
                </c:pt>
                <c:pt idx="2">
                  <c:v>支出决算数</c:v>
                </c:pt>
                <c:pt idx="3">
                  <c:v>支出预算数</c:v>
                </c:pt>
              </c:strCache>
            </c:strRef>
          </c:cat>
          <c:val>
            <c:numRef>
              <c:f>Sheet1!$D$2:$D$5</c:f>
              <c:numCache>
                <c:formatCode>General</c:formatCode>
                <c:ptCount val="4"/>
              </c:numCache>
            </c:numRef>
          </c:val>
        </c:ser>
        <c:dLbls>
          <c:showLegendKey val="0"/>
          <c:showVal val="0"/>
          <c:showCatName val="0"/>
          <c:showSerName val="0"/>
          <c:showPercent val="0"/>
          <c:showBubbleSize val="0"/>
        </c:dLbls>
        <c:gapWidth val="150"/>
        <c:overlap val="100"/>
        <c:axId val="823497576"/>
        <c:axId val="94540565"/>
      </c:barChart>
      <c:catAx>
        <c:axId val="82349757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540565"/>
        <c:crosses val="autoZero"/>
        <c:auto val="1"/>
        <c:lblAlgn val="ctr"/>
        <c:lblOffset val="100"/>
        <c:noMultiLvlLbl val="0"/>
      </c:catAx>
      <c:valAx>
        <c:axId val="9454056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349757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列2</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一般公共服务类</c:v>
                </c:pt>
                <c:pt idx="1">
                  <c:v>社会保障和就业类</c:v>
                </c:pt>
                <c:pt idx="2">
                  <c:v>卫生健康类</c:v>
                </c:pt>
                <c:pt idx="3">
                  <c:v>住房保障类</c:v>
                </c:pt>
              </c:strCache>
            </c:strRef>
          </c:cat>
          <c:val>
            <c:numRef>
              <c:f>Sheet1!$B$2:$B$5</c:f>
              <c:numCache>
                <c:formatCode>General</c:formatCode>
                <c:ptCount val="4"/>
                <c:pt idx="0">
                  <c:v>85.99</c:v>
                </c:pt>
                <c:pt idx="1">
                  <c:v>5.76</c:v>
                </c:pt>
                <c:pt idx="2">
                  <c:v>4.57</c:v>
                </c:pt>
                <c:pt idx="3">
                  <c:v>3.68</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233538065990573"/>
          <c:y val="0.770768431983385"/>
          <c:w val="0.68204542208256"/>
          <c:h val="0.181723779854621"/>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ScaleCrop>false</ScaleCrop>
  <LinksUpToDate>false</LinksUpToDate>
  <CharactersWithSpaces>11119</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2021-09-27T09:19:02Z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