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bmp" ContentType="image/bmp"/>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r>
        <w:drawing>
          <wp:anchor distT="0" distB="0" distL="114300" distR="114300" simplePos="0" relativeHeight="251673600" behindDoc="1" locked="0" layoutInCell="1" allowOverlap="1">
            <wp:simplePos x="0" y="0"/>
            <wp:positionH relativeFrom="column">
              <wp:posOffset>-960755</wp:posOffset>
            </wp:positionH>
            <wp:positionV relativeFrom="paragraph">
              <wp:posOffset>-664845</wp:posOffset>
            </wp:positionV>
            <wp:extent cx="7540625" cy="9453880"/>
            <wp:effectExtent l="0" t="0" r="3175" b="13970"/>
            <wp:wrapNone/>
            <wp:docPr id="9" name="图片 9" descr="图片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图片3"/>
                    <pic:cNvPicPr>
                      <a:picLocks noChangeAspect="1"/>
                    </pic:cNvPicPr>
                  </pic:nvPicPr>
                  <pic:blipFill>
                    <a:blip r:embed="rId10"/>
                    <a:stretch>
                      <a:fillRect/>
                    </a:stretch>
                  </pic:blipFill>
                  <pic:spPr>
                    <a:xfrm>
                      <a:off x="0" y="0"/>
                      <a:ext cx="7540625" cy="9453880"/>
                    </a:xfrm>
                    <a:prstGeom prst="rect">
                      <a:avLst/>
                    </a:prstGeom>
                  </pic:spPr>
                </pic:pic>
              </a:graphicData>
            </a:graphic>
          </wp:anchor>
        </w:drawing>
      </w:r>
      <w:r>
        <w:br w:type="page"/>
      </w:r>
    </w:p>
    <w:p>
      <w:pPr>
        <w:rPr>
          <w:rFonts w:ascii="黑体" w:hAnsi="黑体" w:eastAsia="黑体" w:cs="黑体"/>
          <w:sz w:val="72"/>
          <w:szCs w:val="96"/>
        </w:rPr>
      </w:pPr>
    </w:p>
    <w:p>
      <w:pPr>
        <w:rPr>
          <w:rFonts w:ascii="黑体" w:hAnsi="黑体" w:eastAsia="黑体" w:cs="黑体"/>
          <w:sz w:val="72"/>
          <w:szCs w:val="96"/>
        </w:rPr>
      </w:pPr>
    </w:p>
    <w:p>
      <w:pPr>
        <w:rPr>
          <w:rFonts w:ascii="黑体" w:hAnsi="黑体" w:eastAsia="黑体" w:cs="黑体"/>
          <w:sz w:val="72"/>
          <w:szCs w:val="96"/>
        </w:rPr>
      </w:pPr>
      <w:r>
        <w:rPr>
          <w:rFonts w:hint="eastAsia" w:ascii="黑体" w:hAnsi="黑体" w:eastAsia="黑体" w:cs="黑体"/>
          <w:sz w:val="72"/>
          <w:szCs w:val="96"/>
        </w:rPr>
        <w:t>2020年度部门决算公开文本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中国人民政治协商会议</w:t>
      </w:r>
    </w:p>
    <w:p>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河北省石家庄市鹿泉区委员会</w:t>
      </w:r>
    </w:p>
    <w:p>
      <w:pPr>
        <w:keepNext w:val="0"/>
        <w:keepLines w:val="0"/>
        <w:pageBreakBefore w:val="0"/>
        <w:widowControl w:val="0"/>
        <w:kinsoku/>
        <w:wordWrap/>
        <w:overflowPunct/>
        <w:topLinePunct w:val="0"/>
        <w:autoSpaceDE/>
        <w:autoSpaceDN/>
        <w:bidi w:val="0"/>
        <w:adjustRightInd/>
        <w:snapToGrid w:val="0"/>
        <w:spacing w:line="640" w:lineRule="exact"/>
        <w:jc w:val="center"/>
        <w:textAlignment w:val="auto"/>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二〇二一年</w:t>
      </w:r>
      <w:r>
        <w:rPr>
          <w:rFonts w:hint="eastAsia" w:ascii="楷体_GB2312" w:hAnsi="楷体_GB2312" w:eastAsia="楷体_GB2312" w:cs="楷体_GB2312"/>
          <w:color w:val="000000" w:themeColor="text1"/>
          <w:kern w:val="0"/>
          <w:sz w:val="40"/>
          <w:szCs w:val="40"/>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keepNext w:val="0"/>
        <w:keepLines w:val="0"/>
        <w:pageBreakBefore w:val="0"/>
        <w:widowControl w:val="0"/>
        <w:kinsoku/>
        <w:wordWrap/>
        <w:overflowPunct/>
        <w:topLinePunct w:val="0"/>
        <w:autoSpaceDE/>
        <w:autoSpaceDN/>
        <w:bidi w:val="0"/>
        <w:adjustRightInd/>
        <w:snapToGrid/>
        <w:spacing w:line="1100" w:lineRule="exact"/>
        <w:jc w:val="center"/>
        <w:textAlignment w:val="auto"/>
        <w:rPr>
          <w:rFonts w:hint="eastAsia" w:ascii="黑体" w:hAnsi="黑体" w:eastAsia="黑体" w:cs="黑体"/>
          <w:sz w:val="72"/>
          <w:szCs w:val="96"/>
          <w:lang w:val="en-US" w:eastAsia="zh-CN"/>
        </w:rPr>
      </w:pPr>
      <w:r>
        <w:rPr>
          <w:rFonts w:hint="eastAsia" w:ascii="黑体" w:hAnsi="黑体" w:eastAsia="黑体" w:cs="黑体"/>
          <w:sz w:val="72"/>
          <w:szCs w:val="96"/>
          <w:lang w:val="en-US" w:eastAsia="zh-CN"/>
        </w:rPr>
        <w:t>中国人民政治协商会议</w:t>
      </w:r>
    </w:p>
    <w:p>
      <w:pPr>
        <w:keepNext w:val="0"/>
        <w:keepLines w:val="0"/>
        <w:pageBreakBefore w:val="0"/>
        <w:widowControl w:val="0"/>
        <w:kinsoku/>
        <w:wordWrap/>
        <w:overflowPunct/>
        <w:topLinePunct w:val="0"/>
        <w:autoSpaceDE/>
        <w:autoSpaceDN/>
        <w:bidi w:val="0"/>
        <w:adjustRightInd/>
        <w:snapToGrid/>
        <w:spacing w:line="1100" w:lineRule="exact"/>
        <w:jc w:val="center"/>
        <w:textAlignment w:val="auto"/>
        <w:rPr>
          <w:rFonts w:hint="eastAsia" w:ascii="黑体" w:hAnsi="黑体" w:eastAsia="黑体" w:cs="黑体"/>
          <w:sz w:val="72"/>
          <w:szCs w:val="96"/>
          <w:lang w:val="en-US" w:eastAsia="zh-CN"/>
        </w:rPr>
      </w:pPr>
      <w:r>
        <w:rPr>
          <w:rFonts w:hint="eastAsia" w:ascii="黑体" w:hAnsi="黑体" w:eastAsia="黑体" w:cs="黑体"/>
          <w:sz w:val="72"/>
          <w:szCs w:val="96"/>
          <w:lang w:val="en-US" w:eastAsia="zh-CN"/>
        </w:rPr>
        <w:t>河北省石家庄市</w:t>
      </w:r>
    </w:p>
    <w:p>
      <w:pPr>
        <w:keepNext w:val="0"/>
        <w:keepLines w:val="0"/>
        <w:pageBreakBefore w:val="0"/>
        <w:widowControl w:val="0"/>
        <w:kinsoku/>
        <w:wordWrap/>
        <w:overflowPunct/>
        <w:topLinePunct w:val="0"/>
        <w:autoSpaceDE/>
        <w:autoSpaceDN/>
        <w:bidi w:val="0"/>
        <w:adjustRightInd/>
        <w:snapToGrid/>
        <w:spacing w:line="1100" w:lineRule="exact"/>
        <w:jc w:val="center"/>
        <w:textAlignment w:val="auto"/>
        <w:rPr>
          <w:rFonts w:hint="eastAsia" w:ascii="黑体" w:hAnsi="黑体" w:eastAsia="黑体" w:cs="黑体"/>
          <w:sz w:val="72"/>
          <w:szCs w:val="96"/>
          <w:lang w:val="en-US" w:eastAsia="zh-CN"/>
        </w:rPr>
      </w:pPr>
      <w:r>
        <w:rPr>
          <w:rFonts w:hint="eastAsia" w:ascii="黑体" w:hAnsi="黑体" w:eastAsia="黑体" w:cs="黑体"/>
          <w:sz w:val="72"/>
          <w:szCs w:val="96"/>
          <w:lang w:val="en-US" w:eastAsia="zh-CN"/>
        </w:rPr>
        <w:t>鹿泉区委员会</w:t>
      </w:r>
    </w:p>
    <w:p>
      <w:pPr>
        <w:keepNext w:val="0"/>
        <w:keepLines w:val="0"/>
        <w:pageBreakBefore w:val="0"/>
        <w:widowControl w:val="0"/>
        <w:kinsoku/>
        <w:wordWrap/>
        <w:overflowPunct/>
        <w:topLinePunct w:val="0"/>
        <w:autoSpaceDE/>
        <w:autoSpaceDN/>
        <w:bidi w:val="0"/>
        <w:adjustRightInd/>
        <w:snapToGrid/>
        <w:spacing w:line="1100" w:lineRule="exact"/>
        <w:jc w:val="center"/>
        <w:textAlignment w:val="auto"/>
        <w:rPr>
          <w:rFonts w:ascii="黑体" w:hAnsi="黑体" w:eastAsia="黑体" w:cs="黑体"/>
          <w:sz w:val="72"/>
          <w:szCs w:val="96"/>
        </w:rPr>
      </w:pPr>
      <w:r>
        <w:rPr>
          <w:rFonts w:hint="eastAsia" w:ascii="黑体" w:hAnsi="黑体" w:eastAsia="黑体" w:cs="黑体"/>
          <w:sz w:val="72"/>
          <w:szCs w:val="96"/>
        </w:rPr>
        <w:t>2020年度部门决算公开文本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cente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二〇二一年</w:t>
      </w:r>
      <w:r>
        <w:rPr>
          <w:rFonts w:hint="eastAsia" w:ascii="楷体_GB2312" w:hAnsi="楷体_GB2312" w:eastAsia="楷体_GB2312" w:cs="楷体_GB2312"/>
          <w:color w:val="000000" w:themeColor="text1"/>
          <w:kern w:val="0"/>
          <w:sz w:val="40"/>
          <w:szCs w:val="40"/>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snapToGrid w:val="0"/>
        <w:jc w:val="cente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cente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2098" w:right="1531" w:bottom="1984" w:left="1531" w:header="851" w:footer="992" w:gutter="0"/>
          <w:cols w:space="0" w:num="1"/>
          <w:titlePg/>
          <w:docGrid w:type="lines" w:linePitch="312" w:charSpace="0"/>
        </w:sect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line="62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line="62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line="62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line="62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年部门决算情况说明</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一、收入支出决算总体情况说明</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二、收入决算情况说明</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三、支出决算情况说明</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五、一般公共预算“三公” 经费支出决算情况说明</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六、预算绩效情况说明</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七、机关运行经费情况</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八、政府采购情况</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九、国有资产占用情况</w:t>
      </w:r>
    </w:p>
    <w:p>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line="620" w:lineRule="exact"/>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第三部分   名词解释</w:t>
      </w:r>
    </w:p>
    <w:p>
      <w:pPr>
        <w:widowControl/>
        <w:spacing w:line="62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 xml:space="preserve"> 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sectPr>
          <w:headerReference r:id="rId4" w:type="first"/>
          <w:footerReference r:id="rId6" w:type="first"/>
          <w:headerReference r:id="rId3" w:type="default"/>
          <w:footerReference r:id="rId5" w:type="default"/>
          <w:type w:val="continuous"/>
          <w:pgSz w:w="11906" w:h="16838"/>
          <w:pgMar w:top="2098" w:right="1531" w:bottom="1984"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61312" behindDoc="0" locked="0" layoutInCell="1" allowOverlap="1">
                <wp:simplePos x="0" y="0"/>
                <wp:positionH relativeFrom="column">
                  <wp:posOffset>-1088390</wp:posOffset>
                </wp:positionH>
                <wp:positionV relativeFrom="paragraph">
                  <wp:posOffset>1024890</wp:posOffset>
                </wp:positionV>
                <wp:extent cx="7793355" cy="3341370"/>
                <wp:effectExtent l="6350" t="6350" r="18415" b="2032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12700" cmpd="sng">
                          <a:solidFill>
                            <a:schemeClr val="bg1">
                              <a:lumMod val="65000"/>
                            </a:schemeClr>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61312;v-text-anchor:middle;mso-width-relative:page;mso-height-relative:page;" fillcolor="#7F7F7F [1612]" filled="t" stroked="t" coordsize="21600,21600" o:gfxdata="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">
                <v:fill type="pattern" on="t" color2="#FFFFFF [3212]" focussize="0,0" r:id="rId11"/>
                <v:stroke weight="1pt" color="#A6A6A6 [2092]"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keepNext/>
        <w:keepLines/>
        <w:spacing w:line="580" w:lineRule="exact"/>
        <w:ind w:firstLine="640" w:firstLineChars="200"/>
        <w:jc w:val="left"/>
        <w:outlineLvl w:val="0"/>
        <w:rPr>
          <w:rFonts w:hint="eastAsia" w:ascii="仿宋_GB2312" w:eastAsia="仿宋_GB2312"/>
          <w:sz w:val="28"/>
        </w:rPr>
      </w:pPr>
      <w:r>
        <w:rPr>
          <w:rFonts w:hint="eastAsia" w:ascii="仿宋_GB2312" w:eastAsia="仿宋_GB2312" w:cs="Arial Black"/>
          <w:kern w:val="0"/>
          <w:sz w:val="32"/>
          <w:szCs w:val="32"/>
        </w:rPr>
        <w:t>（一）</w:t>
      </w:r>
      <w:r>
        <w:rPr>
          <w:rFonts w:hint="eastAsia" w:ascii="仿宋_GB2312" w:eastAsia="仿宋_GB2312"/>
          <w:sz w:val="28"/>
        </w:rPr>
        <w:t>政治协商</w:t>
      </w:r>
    </w:p>
    <w:p>
      <w:pPr>
        <w:spacing w:after="0" w:line="240" w:lineRule="auto"/>
        <w:ind w:left="281" w:leftChars="134" w:firstLine="420" w:firstLineChars="150"/>
        <w:rPr>
          <w:rFonts w:hint="eastAsia" w:ascii="仿宋_GB2312" w:eastAsia="仿宋_GB2312"/>
          <w:sz w:val="28"/>
        </w:rPr>
      </w:pPr>
      <w:r>
        <w:rPr>
          <w:rFonts w:hint="eastAsia" w:ascii="仿宋_GB2312" w:eastAsia="仿宋_GB2312"/>
          <w:sz w:val="28"/>
        </w:rPr>
        <w:t>政协各类会议是政协履行职能的主要形式，是开展工作的主体，是委员履行自身职责的主要途径，完善各项会议制度，规范会议程序，提高会议质量，提高政治协商水平。根据形势、任务和党委政府统一部署，安排协商活动，召开专题座谈会等，增强开展政治协商的自觉性和主动性，规范协商内容，丰富协商形式和层次，把政治协商纳入决策程序，对外交往工作成效显着。</w:t>
      </w:r>
    </w:p>
    <w:p>
      <w:pPr>
        <w:keepNext/>
        <w:keepLines/>
        <w:numPr>
          <w:ilvl w:val="0"/>
          <w:numId w:val="1"/>
        </w:numPr>
        <w:spacing w:line="580" w:lineRule="exact"/>
        <w:ind w:firstLine="560" w:firstLineChars="200"/>
        <w:jc w:val="left"/>
        <w:outlineLvl w:val="0"/>
        <w:rPr>
          <w:rFonts w:hint="eastAsia" w:ascii="仿宋_GB2312" w:eastAsia="仿宋_GB2312"/>
          <w:sz w:val="28"/>
        </w:rPr>
      </w:pPr>
      <w:r>
        <w:rPr>
          <w:rFonts w:hint="eastAsia" w:ascii="仿宋_GB2312" w:eastAsia="仿宋_GB2312"/>
          <w:sz w:val="28"/>
        </w:rPr>
        <w:t>民主监督</w:t>
      </w:r>
    </w:p>
    <w:p>
      <w:pPr>
        <w:spacing w:after="0" w:line="240" w:lineRule="auto"/>
        <w:ind w:firstLine="560"/>
        <w:rPr>
          <w:rFonts w:ascii="仿宋_GB2312" w:eastAsia="仿宋_GB2312"/>
          <w:sz w:val="28"/>
        </w:rPr>
      </w:pPr>
      <w:r>
        <w:rPr>
          <w:rFonts w:hint="eastAsia" w:ascii="仿宋_GB2312" w:eastAsia="仿宋_GB2312"/>
          <w:sz w:val="28"/>
        </w:rPr>
        <w:t>有效履行民主监督职责。通过意见、建议、批评的方式对国家法律法规的实施、重大方针政策的贯彻执行、完善民主监督机制，畅通民主监督渠道，建立健全知情、沟通制度，将民主监督寓于委员提案、进行视察、参与工作检查等活动中，提高民主监督质量和成效，对区委、区政府的工作进行政治监督，组织、鼓励和引导委员深入实际，通过建议案、提案等形式进行监督。</w:t>
      </w:r>
    </w:p>
    <w:p>
      <w:pPr>
        <w:spacing w:after="0" w:line="240" w:lineRule="auto"/>
        <w:ind w:firstLine="560"/>
        <w:rPr>
          <w:rFonts w:ascii="仿宋_GB2312" w:eastAsia="仿宋_GB2312"/>
          <w:sz w:val="28"/>
        </w:rPr>
      </w:pPr>
      <w:r>
        <w:rPr>
          <w:rFonts w:hint="eastAsia" w:ascii="仿宋_GB2312" w:eastAsia="仿宋_GB2312"/>
          <w:sz w:val="28"/>
        </w:rPr>
        <w:t>通过参加党委政府组织的调查和检查活动实施监督。对政协委员和参加政协的各党派团体以及各专委会（提案者）的提案进行审查立案，立案后交承办单位办理，适时督办。</w:t>
      </w:r>
    </w:p>
    <w:p>
      <w:pPr>
        <w:keepNext/>
        <w:keepLines/>
        <w:numPr>
          <w:ilvl w:val="0"/>
          <w:numId w:val="0"/>
        </w:numPr>
        <w:spacing w:line="580" w:lineRule="exact"/>
        <w:ind w:firstLine="560" w:firstLineChars="200"/>
        <w:jc w:val="left"/>
        <w:outlineLvl w:val="0"/>
        <w:rPr>
          <w:rFonts w:hint="eastAsia" w:ascii="仿宋_GB2312" w:eastAsia="仿宋_GB2312"/>
          <w:sz w:val="28"/>
        </w:rPr>
      </w:pPr>
      <w:r>
        <w:rPr>
          <w:rFonts w:hint="eastAsia" w:ascii="仿宋_GB2312" w:eastAsia="仿宋_GB2312"/>
          <w:sz w:val="28"/>
        </w:rPr>
        <w:t>完善民主监督机制，畅通民主监督渠道，建立健全知情、沟通制度，加强工作协调配合，提高民主监督的质量和成效。</w:t>
      </w:r>
    </w:p>
    <w:p>
      <w:pPr>
        <w:spacing w:after="0" w:line="240" w:lineRule="auto"/>
        <w:ind w:firstLine="560"/>
        <w:rPr>
          <w:rFonts w:hint="eastAsia" w:ascii="仿宋_GB2312" w:eastAsia="仿宋_GB2312"/>
          <w:sz w:val="28"/>
        </w:rPr>
      </w:pPr>
      <w:r>
        <w:rPr>
          <w:rFonts w:hint="eastAsia" w:ascii="仿宋_GB2312" w:eastAsia="仿宋_GB2312"/>
          <w:sz w:val="28"/>
        </w:rPr>
        <w:t>完善提案审查、办理和反馈机制，做到提案程序更加规范，制度更加完善，提案质量和办理质量不断提高，政协履职作用更加突出。</w:t>
      </w:r>
    </w:p>
    <w:p>
      <w:pPr>
        <w:numPr>
          <w:ilvl w:val="0"/>
          <w:numId w:val="1"/>
        </w:numPr>
        <w:spacing w:after="0" w:line="240" w:lineRule="auto"/>
        <w:ind w:firstLine="560" w:firstLineChars="200"/>
        <w:rPr>
          <w:rFonts w:hint="eastAsia" w:ascii="仿宋_GB2312" w:eastAsia="仿宋_GB2312"/>
          <w:sz w:val="28"/>
        </w:rPr>
      </w:pPr>
      <w:r>
        <w:rPr>
          <w:rFonts w:hint="eastAsia" w:ascii="仿宋_GB2312" w:eastAsia="仿宋_GB2312"/>
          <w:sz w:val="28"/>
        </w:rPr>
        <w:t>参政议政</w:t>
      </w:r>
    </w:p>
    <w:p>
      <w:pPr>
        <w:numPr>
          <w:ilvl w:val="0"/>
          <w:numId w:val="0"/>
        </w:numPr>
        <w:spacing w:after="0" w:line="240" w:lineRule="auto"/>
        <w:ind w:firstLine="560" w:firstLineChars="200"/>
        <w:rPr>
          <w:rFonts w:ascii="仿宋_GB2312" w:eastAsia="仿宋_GB2312"/>
          <w:sz w:val="28"/>
        </w:rPr>
      </w:pPr>
      <w:r>
        <w:rPr>
          <w:rFonts w:hint="eastAsia" w:ascii="仿宋_GB2312" w:eastAsia="仿宋_GB2312"/>
          <w:sz w:val="28"/>
        </w:rPr>
        <w:t>通过对重大问题以及人民群众普遍关心的问题，开展调查研究，向区委、区政府提出意见和建议，发挥政协作为扩大社会各界有序参与的重要渠道作用，探索开展活动的新方法</w:t>
      </w:r>
      <w:r>
        <w:rPr>
          <w:rFonts w:hint="eastAsia" w:ascii="仿宋_GB2312" w:eastAsia="仿宋_GB2312"/>
          <w:color w:val="auto"/>
          <w:sz w:val="28"/>
          <w:lang w:val="en-US" w:eastAsia="zh-CN"/>
        </w:rPr>
        <w:t>新</w:t>
      </w:r>
      <w:r>
        <w:rPr>
          <w:rFonts w:hint="eastAsia" w:ascii="仿宋_GB2312" w:eastAsia="仿宋_GB2312"/>
          <w:sz w:val="28"/>
        </w:rPr>
        <w:t>途径，充分调动委员参政议政积极，向区委、区政府提出高质量的建议案。</w:t>
      </w:r>
    </w:p>
    <w:p>
      <w:pPr>
        <w:spacing w:after="0" w:line="240" w:lineRule="auto"/>
        <w:ind w:firstLine="560"/>
        <w:rPr>
          <w:rFonts w:ascii="仿宋_GB2312" w:eastAsia="仿宋_GB2312"/>
          <w:sz w:val="28"/>
        </w:rPr>
      </w:pPr>
      <w:r>
        <w:rPr>
          <w:rFonts w:hint="eastAsia" w:ascii="仿宋_GB2312" w:eastAsia="仿宋_GB2312"/>
          <w:sz w:val="28"/>
        </w:rPr>
        <w:t>通过界别渠道密切联系群众，反映社情民意，努力做到协调关系、化解矛盾、理顺情绪，增进社会各阶层不同利益群体的和谐和稳定。</w:t>
      </w:r>
    </w:p>
    <w:p>
      <w:pPr>
        <w:keepNext/>
        <w:keepLines/>
        <w:numPr>
          <w:ilvl w:val="0"/>
          <w:numId w:val="1"/>
        </w:numPr>
        <w:spacing w:line="580" w:lineRule="exact"/>
        <w:ind w:firstLine="560" w:firstLineChars="200"/>
        <w:jc w:val="left"/>
        <w:outlineLvl w:val="0"/>
        <w:rPr>
          <w:rFonts w:hint="eastAsia" w:ascii="仿宋_GB2312" w:eastAsia="仿宋_GB2312"/>
          <w:sz w:val="28"/>
        </w:rPr>
      </w:pPr>
      <w:r>
        <w:rPr>
          <w:rFonts w:hint="eastAsia" w:ascii="仿宋_GB2312" w:eastAsia="仿宋_GB2312"/>
          <w:sz w:val="28"/>
        </w:rPr>
        <w:t>政协事务管理</w:t>
      </w:r>
    </w:p>
    <w:p>
      <w:pPr>
        <w:spacing w:after="0" w:line="240" w:lineRule="auto"/>
        <w:ind w:firstLine="560"/>
        <w:rPr>
          <w:rFonts w:ascii="仿宋_GB2312" w:eastAsia="仿宋_GB2312"/>
          <w:sz w:val="28"/>
        </w:rPr>
      </w:pPr>
      <w:r>
        <w:rPr>
          <w:rFonts w:hint="eastAsia" w:ascii="仿宋_GB2312" w:eastAsia="仿宋_GB2312"/>
          <w:sz w:val="28"/>
        </w:rPr>
        <w:t>加强区政协机关自身建设和宣传工作，扩大政协与区委、区人大常委会、区政府、各民主党派、工商联、人民团体、区直有关部门和市、县（区）政协的联系、协调工作。</w:t>
      </w:r>
    </w:p>
    <w:p>
      <w:pPr>
        <w:spacing w:after="0" w:line="240" w:lineRule="auto"/>
        <w:ind w:firstLine="560"/>
        <w:rPr>
          <w:rFonts w:ascii="仿宋_GB2312" w:eastAsia="仿宋_GB2312" w:cs="ArialUnicodeMS" w:hAnsiTheme="minorHAnsi"/>
          <w:kern w:val="0"/>
          <w:sz w:val="32"/>
          <w:szCs w:val="32"/>
          <w:highlight w:val="yellow"/>
        </w:rPr>
      </w:pPr>
      <w:r>
        <w:rPr>
          <w:rFonts w:hint="eastAsia" w:ascii="仿宋_GB2312" w:eastAsia="仿宋_GB2312"/>
          <w:sz w:val="28"/>
        </w:rPr>
        <w:t>区政协机关的</w:t>
      </w:r>
      <w:r>
        <w:rPr>
          <w:rFonts w:hint="eastAsia" w:ascii="仿宋_GB2312" w:eastAsia="仿宋_GB2312"/>
          <w:sz w:val="28"/>
          <w:lang w:val="en-US" w:eastAsia="zh-CN"/>
        </w:rPr>
        <w:t>日常</w:t>
      </w:r>
      <w:r>
        <w:rPr>
          <w:rFonts w:hint="eastAsia" w:ascii="仿宋_GB2312" w:eastAsia="仿宋_GB2312"/>
          <w:sz w:val="28"/>
        </w:rPr>
        <w:t>工作，机构编制、人事任免、调配及人员培训、考核奖惩、工资福利，后勤保障、机关经费管理、资产管理、基建和审计，机关接待、离退休人员服务，以及承办区政协主席、副主席、交办的其</w:t>
      </w:r>
      <w:r>
        <w:rPr>
          <w:rFonts w:hint="eastAsia" w:ascii="仿宋_GB2312" w:eastAsia="仿宋_GB2312"/>
          <w:sz w:val="28"/>
          <w:lang w:val="en-US" w:eastAsia="zh-CN"/>
        </w:rPr>
        <w:t>他</w:t>
      </w:r>
      <w:r>
        <w:rPr>
          <w:rFonts w:hint="eastAsia" w:ascii="仿宋_GB2312" w:eastAsia="仿宋_GB2312"/>
          <w:sz w:val="28"/>
        </w:rPr>
        <w:t>事项，</w:t>
      </w:r>
      <w:r>
        <w:rPr>
          <w:rFonts w:hint="eastAsia" w:ascii="仿宋_GB2312" w:eastAsia="仿宋_GB2312"/>
          <w:sz w:val="28"/>
          <w:szCs w:val="28"/>
        </w:rPr>
        <w:t>机关基本设施设备正常运转、信息化保障、老干部服务保障能力进一步提高。</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tbl>
      <w:tblPr>
        <w:tblStyle w:val="7"/>
        <w:tblpPr w:leftFromText="180" w:rightFromText="180" w:vertAnchor="text" w:horzAnchor="page" w:tblpX="1689" w:tblpY="1429"/>
        <w:tblOverlap w:val="never"/>
        <w:tblW w:w="8777"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7"/>
        <w:gridCol w:w="3239"/>
        <w:gridCol w:w="2272"/>
        <w:gridCol w:w="247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73" w:hRule="atLeast"/>
          <w:jc w:val="center"/>
        </w:trPr>
        <w:tc>
          <w:tcPr>
            <w:tcW w:w="787"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序号</w:t>
            </w:r>
          </w:p>
        </w:tc>
        <w:tc>
          <w:tcPr>
            <w:tcW w:w="3239"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单位名称</w:t>
            </w:r>
          </w:p>
        </w:tc>
        <w:tc>
          <w:tcPr>
            <w:tcW w:w="2272"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单位基本性质</w:t>
            </w:r>
          </w:p>
        </w:tc>
        <w:tc>
          <w:tcPr>
            <w:tcW w:w="2479"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93" w:hRule="atLeast"/>
          <w:jc w:val="center"/>
        </w:trPr>
        <w:tc>
          <w:tcPr>
            <w:tcW w:w="787" w:type="dxa"/>
          </w:tcPr>
          <w:p>
            <w:pPr>
              <w:spacing w:line="560" w:lineRule="exact"/>
              <w:jc w:val="center"/>
              <w:rPr>
                <w:rFonts w:hint="eastAsia" w:ascii="仿宋_GB2312" w:hAnsi="仿宋_GB2312" w:eastAsia="仿宋_GB2312" w:cs="仿宋_GB2312"/>
                <w:kern w:val="0"/>
                <w:sz w:val="21"/>
                <w:szCs w:val="21"/>
              </w:rPr>
            </w:pPr>
            <w:r>
              <w:rPr>
                <w:rFonts w:hint="eastAsia" w:ascii="仿宋_GB2312" w:hAnsi="仿宋_GB2312" w:eastAsia="仿宋_GB2312" w:cs="仿宋_GB2312"/>
                <w:kern w:val="0"/>
                <w:sz w:val="21"/>
                <w:szCs w:val="21"/>
              </w:rPr>
              <w:t>1</w:t>
            </w:r>
          </w:p>
        </w:tc>
        <w:tc>
          <w:tcPr>
            <w:tcW w:w="3239" w:type="dxa"/>
            <w:vAlign w:val="center"/>
          </w:tcPr>
          <w:p>
            <w:pPr>
              <w:spacing w:line="300" w:lineRule="exact"/>
              <w:jc w:val="left"/>
              <w:rPr>
                <w:rFonts w:hint="default" w:ascii="仿宋_GB2312" w:hAnsi="仿宋_GB2312" w:eastAsia="仿宋_GB2312" w:cs="仿宋_GB2312"/>
                <w:kern w:val="0"/>
                <w:sz w:val="21"/>
                <w:szCs w:val="21"/>
                <w:lang w:val="en-US" w:eastAsia="zh-CN"/>
              </w:rPr>
            </w:pPr>
            <w:r>
              <w:rPr>
                <w:rFonts w:hint="eastAsia" w:ascii="仿宋_GB2312" w:hAnsi="仿宋_GB2312" w:eastAsia="仿宋_GB2312" w:cs="仿宋_GB2312"/>
                <w:sz w:val="21"/>
                <w:szCs w:val="21"/>
                <w:lang w:val="en-US" w:eastAsia="zh-CN"/>
              </w:rPr>
              <w:t>鹿泉区政协</w:t>
            </w:r>
          </w:p>
        </w:tc>
        <w:tc>
          <w:tcPr>
            <w:tcW w:w="2272" w:type="dxa"/>
            <w:vAlign w:val="center"/>
          </w:tcPr>
          <w:p>
            <w:pPr>
              <w:spacing w:line="300" w:lineRule="exact"/>
              <w:jc w:val="center"/>
              <w:rPr>
                <w:rFonts w:hint="eastAsia" w:ascii="仿宋_GB2312" w:hAnsi="仿宋_GB2312" w:eastAsia="仿宋_GB2312" w:cs="仿宋_GB2312"/>
                <w:kern w:val="0"/>
                <w:sz w:val="21"/>
                <w:szCs w:val="21"/>
              </w:rPr>
            </w:pPr>
            <w:r>
              <w:rPr>
                <w:rFonts w:hint="eastAsia" w:ascii="仿宋_GB2312" w:hAnsi="仿宋_GB2312" w:eastAsia="仿宋_GB2312" w:cs="仿宋_GB2312"/>
                <w:sz w:val="21"/>
                <w:szCs w:val="21"/>
              </w:rPr>
              <w:t>行政</w:t>
            </w:r>
          </w:p>
        </w:tc>
        <w:tc>
          <w:tcPr>
            <w:tcW w:w="2479" w:type="dxa"/>
            <w:vAlign w:val="center"/>
          </w:tcPr>
          <w:p>
            <w:pPr>
              <w:spacing w:line="300" w:lineRule="exact"/>
              <w:jc w:val="center"/>
              <w:rPr>
                <w:rFonts w:hint="eastAsia" w:ascii="仿宋_GB2312" w:hAnsi="仿宋_GB2312" w:eastAsia="仿宋_GB2312" w:cs="仿宋_GB2312"/>
                <w:kern w:val="2"/>
                <w:sz w:val="21"/>
                <w:szCs w:val="21"/>
                <w:lang w:val="en-US" w:eastAsia="zh-CN" w:bidi="ar-SA"/>
              </w:rPr>
            </w:pPr>
            <w:r>
              <w:rPr>
                <w:rFonts w:hint="eastAsia" w:ascii="仿宋_GB2312" w:hAnsi="仿宋_GB2312" w:eastAsia="仿宋_GB2312" w:cs="仿宋_GB2312"/>
                <w:sz w:val="21"/>
                <w:szCs w:val="21"/>
              </w:rPr>
              <w:t>财政拨款</w:t>
            </w:r>
          </w:p>
        </w:tc>
      </w:tr>
    </w:tbl>
    <w:p>
      <w:pPr>
        <w:spacing w:line="580" w:lineRule="exact"/>
        <w:ind w:firstLine="640" w:firstLineChars="200"/>
        <w:rPr>
          <w:rFonts w:ascii="仿宋_GB2312" w:hAnsi="Calibri" w:eastAsia="仿宋_GB2312" w:cs="Arial Black"/>
          <w:kern w:val="0"/>
          <w:sz w:val="32"/>
          <w:szCs w:val="32"/>
        </w:rPr>
      </w:pPr>
      <w:r>
        <w:rPr>
          <w:rFonts w:hint="eastAsia" w:ascii="仿宋_GB2312" w:hAnsi="Calibri" w:eastAsia="仿宋_GB2312" w:cs="Arial Black"/>
          <w:kern w:val="0"/>
          <w:sz w:val="32"/>
          <w:szCs w:val="32"/>
        </w:rPr>
        <w:t>从决算编报单位构成看，纳入20</w:t>
      </w:r>
      <w:r>
        <w:rPr>
          <w:rFonts w:ascii="仿宋_GB2312" w:hAnsi="Calibri" w:eastAsia="仿宋_GB2312" w:cs="Arial Black"/>
          <w:kern w:val="0"/>
          <w:sz w:val="32"/>
          <w:szCs w:val="32"/>
        </w:rPr>
        <w:t>20</w:t>
      </w:r>
      <w:r>
        <w:rPr>
          <w:rFonts w:hint="eastAsia" w:ascii="仿宋_GB2312" w:hAnsi="Calibri" w:eastAsia="仿宋_GB2312" w:cs="Arial Black"/>
          <w:kern w:val="0"/>
          <w:sz w:val="32"/>
          <w:szCs w:val="32"/>
        </w:rPr>
        <w:t>年度</w:t>
      </w:r>
      <w:r>
        <w:rPr>
          <w:rFonts w:hint="eastAsia" w:ascii="仿宋_GB2312" w:hAnsi="Calibri" w:eastAsia="仿宋_GB2312" w:cs="Arial Black"/>
          <w:kern w:val="0"/>
          <w:sz w:val="32"/>
          <w:szCs w:val="32"/>
          <w:lang w:val="en-US" w:eastAsia="zh-CN"/>
        </w:rPr>
        <w:t>本</w:t>
      </w:r>
      <w:r>
        <w:rPr>
          <w:rFonts w:hint="eastAsia" w:ascii="仿宋_GB2312" w:hAnsi="Calibri" w:eastAsia="仿宋_GB2312" w:cs="Arial Black"/>
          <w:kern w:val="0"/>
          <w:sz w:val="32"/>
          <w:szCs w:val="32"/>
          <w:lang w:eastAsia="zh-CN"/>
        </w:rPr>
        <w:t>部门</w:t>
      </w:r>
      <w:r>
        <w:rPr>
          <w:rFonts w:hint="eastAsia" w:ascii="仿宋_GB2312" w:hAnsi="Calibri" w:eastAsia="仿宋_GB2312" w:cs="Arial Black"/>
          <w:kern w:val="0"/>
          <w:sz w:val="32"/>
          <w:szCs w:val="32"/>
        </w:rPr>
        <w:t>决算汇编范围的独立核算单位（以下简称“单位”）共</w:t>
      </w:r>
      <w:r>
        <w:rPr>
          <w:rFonts w:hint="eastAsia" w:ascii="仿宋_GB2312" w:hAnsi="Calibri" w:eastAsia="仿宋_GB2312" w:cs="Arial Black"/>
          <w:kern w:val="0"/>
          <w:sz w:val="32"/>
          <w:szCs w:val="32"/>
          <w:lang w:val="en-US" w:eastAsia="zh-CN"/>
        </w:rPr>
        <w:t>1</w:t>
      </w:r>
      <w:r>
        <w:rPr>
          <w:rFonts w:hint="eastAsia" w:ascii="仿宋_GB2312" w:hAnsi="Calibri" w:eastAsia="仿宋_GB2312" w:cs="Arial Black"/>
          <w:kern w:val="0"/>
          <w:sz w:val="32"/>
          <w:szCs w:val="32"/>
        </w:rPr>
        <w:t>个，具体情况如下：</w:t>
      </w:r>
    </w:p>
    <w:p/>
    <w:p>
      <w:pPr>
        <w:widowControl/>
        <w:spacing w:after="160" w:line="580" w:lineRule="exact"/>
        <w:ind w:firstLine="1440" w:firstLineChars="200"/>
        <w:rPr>
          <w:rFonts w:ascii="Times New Roman" w:hAnsi="Times New Roman" w:eastAsia="黑体" w:cs="Times New Roman"/>
          <w:sz w:val="32"/>
          <w:szCs w:val="32"/>
        </w:rPr>
        <w:sectPr>
          <w:headerReference r:id="rId7" w:type="default"/>
          <w:pgSz w:w="11906" w:h="16838"/>
          <w:pgMar w:top="2098" w:right="1531" w:bottom="1984"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63360"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63360;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64384" behindDoc="0" locked="0" layoutInCell="1" allowOverlap="1">
                <wp:simplePos x="0" y="0"/>
                <wp:positionH relativeFrom="column">
                  <wp:posOffset>-1028065</wp:posOffset>
                </wp:positionH>
                <wp:positionV relativeFrom="paragraph">
                  <wp:posOffset>-2637155</wp:posOffset>
                </wp:positionV>
                <wp:extent cx="7793355" cy="3341370"/>
                <wp:effectExtent l="6350" t="6350" r="18415" b="20320"/>
                <wp:wrapNone/>
                <wp:docPr id="2" name="文本框 2"/>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12700" cmpd="sng">
                          <a:solidFill>
                            <a:schemeClr val="bg1">
                              <a:lumMod val="65000"/>
                            </a:schemeClr>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2020年部门决算情况说明</w:t>
                            </w:r>
                          </w:p>
                          <w:p>
                            <w:pPr>
                              <w:widowControl/>
                              <w:jc w:val="center"/>
                              <w:rPr>
                                <w14:textOutline w14:w="9525" w14:cap="flat" w14:cmpd="sng" w14:algn="ctr">
                                  <w14:solidFill>
                                    <w14:schemeClr w14:val="tx1">
                                      <w14:lumMod w14:val="50000"/>
                                      <w14:lumOff w14:val="50000"/>
                                    </w14:schemeClr>
                                  </w14:solidFill>
                                  <w14:prstDash w14:val="solid"/>
                                  <w14:round/>
                                </w14:textOutline>
                              </w:rPr>
                            </w:pPr>
                          </w:p>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95pt;margin-top:-207.65pt;height:263.1pt;width:613.65pt;z-index:251664384;v-text-anchor:middle;mso-width-relative:page;mso-height-relative:page;" fillcolor="#7F7F7F [1612]" filled="t" stroked="t" coordsize="21600,21600" o:gfxdata="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">
                <v:fill type="pattern" on="t" color2="#FFFFFF [3212]" focussize="0,0" r:id="rId11"/>
                <v:stroke weight="1pt" color="#A6A6A6 [2092]"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2020年部门决算情况说明</w:t>
                      </w:r>
                    </w:p>
                    <w:p>
                      <w:pPr>
                        <w:widowControl/>
                        <w:jc w:val="center"/>
                        <w:rPr>
                          <w14:textOutline w14:w="9525" w14:cap="flat" w14:cmpd="sng" w14:algn="ctr">
                            <w14:solidFill>
                              <w14:schemeClr w14:val="tx1">
                                <w14:lumMod w14:val="50000"/>
                                <w14:lumOff w14:val="50000"/>
                              </w14:schemeClr>
                            </w14:solidFill>
                            <w14:prstDash w14:val="solid"/>
                            <w14:round/>
                          </w14:textOutline>
                        </w:rPr>
                      </w:pPr>
                    </w:p>
                    <w:p/>
                  </w:txbxContent>
                </v:textbox>
              </v:shape>
            </w:pict>
          </mc:Fallback>
        </mc:AlternateContent>
      </w:r>
    </w:p>
    <w:p>
      <w:pPr>
        <w:jc w:val="center"/>
        <w:rPr>
          <w:rFonts w:ascii="黑体" w:hAnsi="黑体" w:eastAsia="黑体" w:cs="黑体"/>
          <w:sz w:val="56"/>
          <w:szCs w:val="72"/>
        </w:rPr>
      </w:pPr>
    </w:p>
    <w:p>
      <w:pPr>
        <w:keepNext/>
        <w:keepLines/>
        <w:snapToGrid w:val="0"/>
        <w:spacing w:line="600" w:lineRule="exact"/>
        <w:ind w:firstLine="420" w:firstLineChars="200"/>
        <w:outlineLvl w:val="1"/>
      </w:pPr>
      <w:r>
        <w:br w:type="page"/>
      </w:r>
    </w:p>
    <w:p>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600" w:lineRule="exact"/>
        <w:ind w:firstLine="640" w:firstLineChars="200"/>
        <w:rPr>
          <w:rFonts w:ascii="仿宋_GB2312" w:hAnsi="Times New Roman" w:eastAsia="仿宋_GB2312" w:cs="Wingdings"/>
          <w:sz w:val="32"/>
          <w:szCs w:val="32"/>
          <w:highlight w:val="yellow"/>
        </w:rPr>
      </w:pPr>
      <w:r>
        <w:rPr>
          <w:rFonts w:hint="eastAsia" w:ascii="仿宋_GB2312" w:hAnsi="Times New Roman" w:eastAsia="仿宋_GB2312" w:cs="Wingdings"/>
          <w:sz w:val="32"/>
          <w:szCs w:val="32"/>
          <w:lang w:val="en-US" w:eastAsia="zh-CN"/>
        </w:rPr>
        <w:t>本</w:t>
      </w:r>
      <w:r>
        <w:rPr>
          <w:rFonts w:hint="eastAsia" w:ascii="仿宋_GB2312" w:hAnsi="Times New Roman" w:eastAsia="仿宋_GB2312" w:cs="Wingdings"/>
          <w:sz w:val="32"/>
          <w:szCs w:val="32"/>
          <w:lang w:eastAsia="zh-CN"/>
        </w:rPr>
        <w:t>部门</w:t>
      </w:r>
      <w:r>
        <w:rPr>
          <w:rFonts w:hint="eastAsia" w:ascii="仿宋_GB2312" w:hAnsi="Times New Roman" w:eastAsia="仿宋_GB2312" w:cs="Wingdings"/>
          <w:sz w:val="32"/>
          <w:szCs w:val="32"/>
        </w:rPr>
        <w:t>2020年度收、支总计（含结转和结余）</w:t>
      </w:r>
      <w:r>
        <w:rPr>
          <w:rFonts w:hint="eastAsia" w:ascii="仿宋_GB2312" w:hAnsi="Times New Roman" w:eastAsia="仿宋_GB2312" w:cs="Wingdings"/>
          <w:sz w:val="32"/>
          <w:szCs w:val="32"/>
          <w:lang w:val="en-US" w:eastAsia="zh-CN"/>
        </w:rPr>
        <w:t>685.46</w:t>
      </w:r>
      <w:r>
        <w:rPr>
          <w:rFonts w:hint="eastAsia" w:ascii="仿宋_GB2312" w:hAnsi="Times New Roman" w:eastAsia="仿宋_GB2312" w:cs="Wingdings"/>
          <w:sz w:val="32"/>
          <w:szCs w:val="32"/>
        </w:rPr>
        <w:t>万元。与2019年度决算相比，收支各</w:t>
      </w:r>
      <w:r>
        <w:rPr>
          <w:rFonts w:hint="eastAsia" w:ascii="仿宋_GB2312" w:hAnsi="Times New Roman" w:eastAsia="仿宋_GB2312" w:cs="Wingdings"/>
          <w:sz w:val="32"/>
          <w:szCs w:val="32"/>
          <w:lang w:val="en-US" w:eastAsia="zh-CN"/>
        </w:rPr>
        <w:t>增加40.32</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增加6.2</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val="en-US" w:eastAsia="zh-CN"/>
        </w:rPr>
        <w:t>（如图1）</w:t>
      </w:r>
      <w:r>
        <w:rPr>
          <w:rFonts w:hint="eastAsia" w:ascii="仿宋_GB2312" w:hAnsi="Times New Roman" w:eastAsia="仿宋_GB2312" w:cs="Wingdings"/>
          <w:sz w:val="32"/>
          <w:szCs w:val="32"/>
        </w:rPr>
        <w:t>，主要原因是</w:t>
      </w:r>
      <w:r>
        <w:rPr>
          <w:rFonts w:hint="eastAsia" w:ascii="仿宋_GB2312" w:hAnsi="Times New Roman" w:eastAsia="仿宋_GB2312" w:cs="Wingdings"/>
          <w:sz w:val="32"/>
          <w:szCs w:val="32"/>
          <w:lang w:val="en-US" w:eastAsia="zh-CN"/>
        </w:rPr>
        <w:t>本年项目增加资金支出规模较上年有所增加，人员编制增加，基本支出、办公费用资金支出规模较上年有所增加。                                        单位：万元</w:t>
      </w:r>
    </w:p>
    <w:p>
      <w:pPr>
        <w:adjustRightInd w:val="0"/>
        <w:snapToGrid w:val="0"/>
        <w:spacing w:line="600" w:lineRule="exact"/>
        <w:rPr>
          <w:rFonts w:ascii="仿宋_GB2312" w:hAnsi="Times New Roman" w:eastAsia="仿宋_GB2312" w:cs="Wingdings"/>
          <w:sz w:val="32"/>
          <w:szCs w:val="32"/>
        </w:rPr>
      </w:pPr>
      <w:r>
        <w:rPr>
          <w:sz w:val="32"/>
        </w:rPr>
        <mc:AlternateContent>
          <mc:Choice Requires="wpg">
            <w:drawing>
              <wp:anchor distT="0" distB="0" distL="114300" distR="114300" simplePos="0" relativeHeight="251668480" behindDoc="0" locked="0" layoutInCell="1" allowOverlap="1">
                <wp:simplePos x="0" y="0"/>
                <wp:positionH relativeFrom="column">
                  <wp:posOffset>354330</wp:posOffset>
                </wp:positionH>
                <wp:positionV relativeFrom="paragraph">
                  <wp:posOffset>135890</wp:posOffset>
                </wp:positionV>
                <wp:extent cx="5219700" cy="3215640"/>
                <wp:effectExtent l="0" t="0" r="7620" b="15240"/>
                <wp:wrapNone/>
                <wp:docPr id="34" name="组合 34"/>
                <wp:cNvGraphicFramePr/>
                <a:graphic xmlns:a="http://schemas.openxmlformats.org/drawingml/2006/main">
                  <a:graphicData uri="http://schemas.microsoft.com/office/word/2010/wordprocessingGroup">
                    <wpg:wgp>
                      <wpg:cNvGrpSpPr/>
                      <wpg:grpSpPr>
                        <a:xfrm>
                          <a:off x="0" y="0"/>
                          <a:ext cx="5219700" cy="3215640"/>
                          <a:chOff x="6793" y="126042"/>
                          <a:chExt cx="8220" cy="5064"/>
                        </a:xfrm>
                      </wpg:grpSpPr>
                      <wpg:graphicFrame>
                        <wpg:cNvPr id="27" name="图表 27"/>
                        <wpg:cNvFrPr/>
                        <wpg:xfrm>
                          <a:off x="6793" y="126042"/>
                          <a:ext cx="8220" cy="4905"/>
                        </wpg:xfrm>
                        <a:graphic>
                          <a:graphicData uri="http://schemas.openxmlformats.org/drawingml/2006/chart">
                            <c:chart xmlns:c="http://schemas.openxmlformats.org/drawingml/2006/chart" xmlns:r="http://schemas.openxmlformats.org/officeDocument/2006/relationships" r:id="rId12"/>
                          </a:graphicData>
                        </a:graphic>
                      </wpg:graphicFrame>
                      <wps:wsp>
                        <wps:cNvPr id="33" name="文本框 33"/>
                        <wps:cNvSpPr txBox="1"/>
                        <wps:spPr>
                          <a:xfrm>
                            <a:off x="7418" y="130492"/>
                            <a:ext cx="6629" cy="61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1</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2019-2020年收支总计对比情况</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_x0000_s1026" o:spid="_x0000_s1026" o:spt="203" style="position:absolute;left:0pt;margin-left:27.9pt;margin-top:10.7pt;height:253.2pt;width:411pt;z-index:251668480;mso-width-relative:page;mso-height-relative:page;" coordorigin="6793,126042" coordsize="8220,5064" o:gfxdata="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">
                <o:lock v:ext="edit" aspectratio="f"/>
                <v:rect id="_x0000_s1026" o:spid="_x0000_s1026" o:spt="75" style="position:absolute;left:6793;top:126042;height:4905;width:8220;" coordsize="21600,21600" o:gfxdata="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bfLVbsAAADb&#10;AAAADwAAAAAAAAABACAAAAAiAAAAZHJzL2Rvd25yZXYueG1sUEsBAhQAFAAAAAgAh07iQDMvBZ47&#10;AAAAOQAAABAAAAAAAAAAAQAgAAAACgEAAGRycy9zaGFwZXhtbC54bWxQSwUGAAAAAAYABgBbAQAA&#10;tAMAAAAA&#10;">
                  <v:imagedata r:id="rId13" o:title=""/>
                  <o:lock v:ext="edit"/>
                </v:rect>
                <v:shape id="_x0000_s1026" o:spid="_x0000_s1026" o:spt="202" type="#_x0000_t202" style="position:absolute;left:7418;top:130492;height:615;width:6629;" fillcolor="#FFFFFF" filled="t" stroked="f" coordsize="21600,21600" o:gfxdata="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DXaKG8AAAA&#10;2wAAAA8AAAAAAAAAAQAgAAAAIgAAAGRycy9kb3ducmV2LnhtbFBLAQIUABQAAAAIAIdO4kAzLwWe&#10;OwAAADkAAAAQAAAAAAAAAAEAIAAAAAsBAABkcnMvc2hhcGV4bWwueG1sUEsFBgAAAAAGAAYAWwEA&#10;ALUDAAAAAA==&#10;">
                  <v:fill on="t"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1</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2019-2020年收支总计对比情况</w:t>
                        </w:r>
                      </w:p>
                      <w:p>
                        <w:pPr>
                          <w:spacing w:after="160" w:line="480" w:lineRule="auto"/>
                          <w:rPr>
                            <w:rFonts w:ascii="Times New Roman" w:hAnsi="Times New Roman" w:eastAsia="宋体" w:cs="Times New Roman"/>
                            <w:sz w:val="20"/>
                          </w:rPr>
                        </w:pPr>
                      </w:p>
                    </w:txbxContent>
                  </v:textbox>
                </v:shape>
              </v:group>
            </w:pict>
          </mc:Fallback>
        </mc:AlternateContent>
      </w:r>
    </w:p>
    <w:p>
      <w:pPr>
        <w:adjustRightInd w:val="0"/>
        <w:snapToGrid w:val="0"/>
        <w:spacing w:line="600" w:lineRule="exact"/>
        <w:ind w:firstLine="640" w:firstLineChars="200"/>
        <w:rPr>
          <w:rFonts w:ascii="仿宋_GB2312" w:hAnsi="Times New Roman" w:eastAsia="仿宋_GB2312" w:cs="Wingdings"/>
          <w:sz w:val="32"/>
          <w:szCs w:val="32"/>
        </w:rPr>
      </w:pPr>
    </w:p>
    <w:p>
      <w:pPr>
        <w:tabs>
          <w:tab w:val="left" w:pos="5800"/>
        </w:tabs>
        <w:adjustRightInd w:val="0"/>
        <w:snapToGrid w:val="0"/>
        <w:spacing w:line="600" w:lineRule="exact"/>
        <w:ind w:firstLine="640" w:firstLineChars="200"/>
        <w:rPr>
          <w:rFonts w:ascii="仿宋_GB2312" w:hAnsi="Times New Roman" w:eastAsia="仿宋_GB2312" w:cs="Wingdings"/>
          <w:sz w:val="18"/>
          <w:szCs w:val="18"/>
        </w:rPr>
      </w:pPr>
      <w:r>
        <w:rPr>
          <w:rFonts w:ascii="仿宋_GB2312" w:hAnsi="Times New Roman" w:eastAsia="仿宋_GB2312" w:cs="Wingdings"/>
          <w:sz w:val="32"/>
          <w:szCs w:val="32"/>
        </w:rPr>
        <w:tab/>
      </w:r>
    </w:p>
    <w:p>
      <w:pPr>
        <w:adjustRightInd w:val="0"/>
        <w:snapToGrid w:val="0"/>
        <w:spacing w:line="600" w:lineRule="exact"/>
        <w:ind w:firstLine="640" w:firstLineChars="200"/>
        <w:rPr>
          <w:rFonts w:ascii="仿宋_GB2312" w:hAnsi="Times New Roman" w:eastAsia="仿宋_GB2312" w:cs="Wingdings"/>
          <w:sz w:val="32"/>
          <w:szCs w:val="32"/>
        </w:rPr>
      </w:pPr>
    </w:p>
    <w:p>
      <w:pPr>
        <w:tabs>
          <w:tab w:val="left" w:pos="2820"/>
        </w:tabs>
        <w:adjustRightInd w:val="0"/>
        <w:snapToGrid w:val="0"/>
        <w:spacing w:line="600" w:lineRule="exact"/>
        <w:ind w:firstLine="640" w:firstLineChars="200"/>
        <w:rPr>
          <w:rFonts w:ascii="仿宋_GB2312" w:hAnsi="Times New Roman" w:eastAsia="仿宋_GB2312" w:cs="Wingdings"/>
          <w:sz w:val="20"/>
          <w:szCs w:val="20"/>
        </w:rPr>
      </w:pPr>
      <w:r>
        <w:rPr>
          <w:rFonts w:ascii="仿宋_GB2312" w:hAnsi="Times New Roman" w:eastAsia="仿宋_GB2312" w:cs="Wingdings"/>
          <w:sz w:val="32"/>
          <w:szCs w:val="32"/>
        </w:rPr>
        <w:tab/>
      </w:r>
    </w:p>
    <w:p>
      <w:pPr>
        <w:keepNext/>
        <w:keepLines/>
        <w:snapToGrid w:val="0"/>
        <w:spacing w:line="600" w:lineRule="exact"/>
        <w:ind w:firstLine="640" w:firstLineChars="200"/>
        <w:outlineLvl w:val="1"/>
        <w:rPr>
          <w:rFonts w:ascii="黑体" w:hAnsi="Calibri" w:eastAsia="黑体" w:cs="Times New Roman"/>
          <w:sz w:val="32"/>
          <w:szCs w:val="32"/>
        </w:rPr>
      </w:pPr>
    </w:p>
    <w:p>
      <w:pPr>
        <w:rPr>
          <w:rFonts w:hint="eastAsia" w:ascii="黑体" w:hAnsi="Calibri" w:eastAsia="黑体" w:cs="Times New Roman"/>
          <w:sz w:val="32"/>
          <w:szCs w:val="32"/>
        </w:rPr>
      </w:pPr>
    </w:p>
    <w:p>
      <w:pPr>
        <w:rPr>
          <w:rFonts w:hint="eastAsia" w:ascii="黑体" w:hAnsi="Calibri" w:eastAsia="黑体" w:cs="Times New Roman"/>
          <w:sz w:val="32"/>
          <w:szCs w:val="32"/>
        </w:rPr>
      </w:pPr>
    </w:p>
    <w:p>
      <w:pPr>
        <w:keepNext/>
        <w:keepLines/>
        <w:snapToGrid w:val="0"/>
        <w:spacing w:line="600" w:lineRule="exact"/>
        <w:outlineLvl w:val="1"/>
        <w:rPr>
          <w:rFonts w:hint="eastAsia" w:ascii="黑体" w:hAnsi="Calibri" w:eastAsia="黑体" w:cs="Times New Roman"/>
          <w:sz w:val="32"/>
          <w:szCs w:val="32"/>
        </w:rPr>
      </w:pPr>
    </w:p>
    <w:p>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r>
        <w:rPr>
          <w:rFonts w:hint="eastAsia" w:ascii="仿宋_GB2312" w:hAnsi="Times New Roman" w:eastAsia="仿宋_GB2312" w:cs="Wingdings"/>
          <w:sz w:val="32"/>
          <w:szCs w:val="32"/>
          <w:lang w:val="en-US" w:eastAsia="zh-CN"/>
        </w:rPr>
        <w:t>本</w:t>
      </w:r>
      <w:r>
        <w:rPr>
          <w:rFonts w:hint="eastAsia" w:ascii="仿宋_GB2312" w:hAnsi="Times New Roman" w:eastAsia="仿宋_GB2312" w:cs="Wingdings"/>
          <w:sz w:val="32"/>
          <w:szCs w:val="32"/>
          <w:lang w:eastAsia="zh-CN"/>
        </w:rPr>
        <w:t>部门</w:t>
      </w:r>
      <w:r>
        <w:rPr>
          <w:rFonts w:hint="eastAsia" w:ascii="仿宋_GB2312" w:hAnsi="Times New Roman" w:eastAsia="仿宋_GB2312" w:cs="Wingdings"/>
          <w:sz w:val="32"/>
          <w:szCs w:val="32"/>
        </w:rPr>
        <w:t>2020年度本年收入合计</w:t>
      </w:r>
      <w:r>
        <w:rPr>
          <w:rFonts w:hint="eastAsia" w:ascii="仿宋_GB2312" w:hAnsi="Times New Roman" w:eastAsia="仿宋_GB2312" w:cs="Wingdings"/>
          <w:sz w:val="32"/>
          <w:szCs w:val="32"/>
          <w:lang w:val="en-US" w:eastAsia="zh-CN"/>
        </w:rPr>
        <w:t>682.82</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其中一般公共预算财政拨款679.33万元，其他收入3.49万元。</w:t>
      </w:r>
    </w:p>
    <w:p>
      <w:p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r>
        <w:rPr>
          <w:rFonts w:hint="eastAsia" w:ascii="仿宋_GB2312" w:hAnsi="Times New Roman" w:eastAsia="仿宋_GB2312" w:cs="Wingdings"/>
          <w:sz w:val="32"/>
          <w:szCs w:val="32"/>
          <w:lang w:val="en-US" w:eastAsia="zh-CN"/>
        </w:rPr>
        <w:t xml:space="preserve">按功能分类看：行政运行520.55万元，占总支出的76.2%；一般行政管理事务60.93万元，占8.9%；其他政协事务支出3.49万元，占0.5%；社会保障就业支出32.59万元，占4.8%；卫生健康支出30.35万元，占4.4%；住房保障支出34.91万元，占5.2%。（见图2）。                           </w:t>
      </w:r>
    </w:p>
    <w:p>
      <w:p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r>
        <w:rPr>
          <w:rFonts w:hint="eastAsia" w:ascii="仿宋_GB2312" w:hAnsi="Times New Roman" w:eastAsia="仿宋_GB2312" w:cs="Wingdings"/>
          <w:sz w:val="32"/>
          <w:szCs w:val="32"/>
          <w:lang w:val="en-US" w:eastAsia="zh-CN"/>
        </w:rPr>
        <w:drawing>
          <wp:anchor distT="0" distB="0" distL="114300" distR="114300" simplePos="0" relativeHeight="251669504" behindDoc="0" locked="0" layoutInCell="1" allowOverlap="1">
            <wp:simplePos x="0" y="0"/>
            <wp:positionH relativeFrom="column">
              <wp:posOffset>630555</wp:posOffset>
            </wp:positionH>
            <wp:positionV relativeFrom="paragraph">
              <wp:posOffset>236855</wp:posOffset>
            </wp:positionV>
            <wp:extent cx="4321810" cy="2821940"/>
            <wp:effectExtent l="4445" t="4445" r="17145" b="12065"/>
            <wp:wrapNone/>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p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p>
    <w:p>
      <w:p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p>
    <w:p>
      <w:p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p>
    <w:p>
      <w:p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p>
    <w:p>
      <w:p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p>
    <w:p>
      <w:p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p>
    <w:p>
      <w:p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p>
    <w:p>
      <w:pPr>
        <w:snapToGrid w:val="0"/>
        <w:spacing w:line="600" w:lineRule="exact"/>
        <w:ind w:firstLine="640" w:firstLineChars="200"/>
        <w:outlineLvl w:val="1"/>
        <w:rPr>
          <w:rFonts w:ascii="黑体" w:hAnsi="Calibri" w:eastAsia="黑体" w:cs="Times New Roman"/>
          <w:sz w:val="32"/>
          <w:szCs w:val="32"/>
        </w:rPr>
      </w:pPr>
      <w:r>
        <w:rPr>
          <w:sz w:val="32"/>
        </w:rPr>
        <mc:AlternateContent>
          <mc:Choice Requires="wps">
            <w:drawing>
              <wp:anchor distT="0" distB="0" distL="114300" distR="114300" simplePos="0" relativeHeight="251669504" behindDoc="1" locked="0" layoutInCell="1" allowOverlap="1">
                <wp:simplePos x="0" y="0"/>
                <wp:positionH relativeFrom="column">
                  <wp:posOffset>704850</wp:posOffset>
                </wp:positionH>
                <wp:positionV relativeFrom="paragraph">
                  <wp:posOffset>380365</wp:posOffset>
                </wp:positionV>
                <wp:extent cx="4286885" cy="407035"/>
                <wp:effectExtent l="0" t="0" r="18415" b="12065"/>
                <wp:wrapNone/>
                <wp:docPr id="20" name="文本框 20"/>
                <wp:cNvGraphicFramePr/>
                <a:graphic xmlns:a="http://schemas.openxmlformats.org/drawingml/2006/main">
                  <a:graphicData uri="http://schemas.microsoft.com/office/word/2010/wordprocessingShape">
                    <wps:wsp>
                      <wps:cNvSpPr txBox="1"/>
                      <wps:spPr>
                        <a:xfrm>
                          <a:off x="1677035" y="8189595"/>
                          <a:ext cx="4286885" cy="40703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2</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收入</w:t>
                            </w:r>
                            <w:r>
                              <w:rPr>
                                <w:rFonts w:hint="eastAsia" w:ascii="楷体_GB2312" w:hAnsi="楷体_GB2312" w:eastAsia="楷体_GB2312" w:cs="楷体_GB2312"/>
                                <w:sz w:val="28"/>
                                <w:szCs w:val="28"/>
                              </w:rPr>
                              <w:t>决算构成情况（按支出</w:t>
                            </w:r>
                            <w:r>
                              <w:rPr>
                                <w:rFonts w:hint="eastAsia" w:ascii="楷体_GB2312" w:hAnsi="楷体_GB2312" w:eastAsia="楷体_GB2312" w:cs="楷体_GB2312"/>
                                <w:sz w:val="28"/>
                                <w:szCs w:val="28"/>
                                <w:lang w:val="en-US" w:eastAsia="zh-CN"/>
                              </w:rPr>
                              <w:t>功能分类</w:t>
                            </w:r>
                            <w:r>
                              <w:rPr>
                                <w:rFonts w:hint="eastAsia" w:ascii="楷体_GB2312" w:hAnsi="楷体_GB2312" w:eastAsia="楷体_GB2312" w:cs="楷体_GB2312"/>
                                <w:sz w:val="28"/>
                                <w:szCs w:val="28"/>
                              </w:rPr>
                              <w:t>）</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55.5pt;margin-top:29.95pt;height:32.05pt;width:337.55pt;z-index:-251646976;mso-width-relative:page;mso-height-relative:page;" fillcolor="#FFFFFF" filled="t" stroked="f" coordsize="21600,21600" o:gfxdata="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NJSXYHUAAAACgEAAA8AAAAAAAAAAQAgAAAAIgAA&#10;AGRycy9kb3ducmV2LnhtbFBLAQIUABQAAAAIAIdO4kD0YbODRQIAAF0EAAAOAAAAAAAAAAEAIAAA&#10;ACMBAABkcnMvZTJvRG9jLnhtbFBLBQYAAAAABgAGAFkBAADaBQAAAAA=&#10;">
                <v:fill on="t"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2</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收入</w:t>
                      </w:r>
                      <w:r>
                        <w:rPr>
                          <w:rFonts w:hint="eastAsia" w:ascii="楷体_GB2312" w:hAnsi="楷体_GB2312" w:eastAsia="楷体_GB2312" w:cs="楷体_GB2312"/>
                          <w:sz w:val="28"/>
                          <w:szCs w:val="28"/>
                        </w:rPr>
                        <w:t>决算构成情况（按支出</w:t>
                      </w:r>
                      <w:r>
                        <w:rPr>
                          <w:rFonts w:hint="eastAsia" w:ascii="楷体_GB2312" w:hAnsi="楷体_GB2312" w:eastAsia="楷体_GB2312" w:cs="楷体_GB2312"/>
                          <w:sz w:val="28"/>
                          <w:szCs w:val="28"/>
                          <w:lang w:val="en-US" w:eastAsia="zh-CN"/>
                        </w:rPr>
                        <w:t>功能分类</w:t>
                      </w:r>
                      <w:r>
                        <w:rPr>
                          <w:rFonts w:hint="eastAsia" w:ascii="楷体_GB2312" w:hAnsi="楷体_GB2312" w:eastAsia="楷体_GB2312" w:cs="楷体_GB2312"/>
                          <w:sz w:val="28"/>
                          <w:szCs w:val="28"/>
                        </w:rPr>
                        <w:t>）</w:t>
                      </w:r>
                    </w:p>
                    <w:p>
                      <w:pPr>
                        <w:spacing w:after="160" w:line="480" w:lineRule="auto"/>
                        <w:rPr>
                          <w:rFonts w:ascii="Times New Roman" w:hAnsi="Times New Roman" w:eastAsia="宋体" w:cs="Times New Roman"/>
                          <w:sz w:val="20"/>
                        </w:rPr>
                      </w:pPr>
                    </w:p>
                  </w:txbxContent>
                </v:textbox>
              </v:shape>
            </w:pict>
          </mc:Fallback>
        </mc:AlternateContent>
      </w:r>
    </w:p>
    <w:p>
      <w:pPr>
        <w:snapToGrid w:val="0"/>
        <w:spacing w:line="600" w:lineRule="exact"/>
        <w:outlineLvl w:val="1"/>
        <w:rPr>
          <w:rFonts w:hint="eastAsia" w:ascii="黑体" w:hAnsi="Calibri" w:eastAsia="黑体" w:cs="Times New Roman"/>
          <w:sz w:val="32"/>
          <w:szCs w:val="32"/>
        </w:rPr>
      </w:pPr>
    </w:p>
    <w:p>
      <w:pPr>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r>
        <w:rPr>
          <w:rFonts w:hint="eastAsia" w:ascii="仿宋_GB2312" w:hAnsi="Times New Roman" w:eastAsia="仿宋_GB2312" w:cs="Wingdings"/>
          <w:sz w:val="32"/>
          <w:szCs w:val="32"/>
          <w:lang w:val="en-US" w:eastAsia="zh-CN"/>
        </w:rPr>
        <w:t>本</w:t>
      </w:r>
      <w:r>
        <w:rPr>
          <w:rFonts w:hint="eastAsia" w:ascii="仿宋_GB2312" w:hAnsi="Times New Roman" w:eastAsia="仿宋_GB2312" w:cs="Wingdings"/>
          <w:sz w:val="32"/>
          <w:szCs w:val="32"/>
          <w:lang w:eastAsia="zh-CN"/>
        </w:rPr>
        <w:t>部门</w:t>
      </w:r>
      <w:r>
        <w:rPr>
          <w:rFonts w:hint="eastAsia" w:ascii="仿宋_GB2312" w:hAnsi="Times New Roman" w:eastAsia="仿宋_GB2312" w:cs="Wingdings"/>
          <w:sz w:val="32"/>
          <w:szCs w:val="32"/>
        </w:rPr>
        <w:t>2020年度本年支出合计</w:t>
      </w:r>
      <w:r>
        <w:rPr>
          <w:rFonts w:hint="eastAsia" w:ascii="仿宋_GB2312" w:hAnsi="Times New Roman" w:eastAsia="仿宋_GB2312" w:cs="Wingdings"/>
          <w:sz w:val="32"/>
          <w:szCs w:val="32"/>
          <w:lang w:val="en-US" w:eastAsia="zh-CN"/>
        </w:rPr>
        <w:t>682.55</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按支出性质看，</w:t>
      </w:r>
    </w:p>
    <w:p>
      <w:pPr>
        <w:adjustRightInd w:val="0"/>
        <w:snapToGrid w:val="0"/>
        <w:spacing w:line="600" w:lineRule="exact"/>
        <w:rPr>
          <w:rFonts w:hint="eastAsia" w:ascii="仿宋_GB2312" w:hAnsi="Times New Roman" w:eastAsia="仿宋_GB2312" w:cs="Wingdings"/>
          <w:color w:val="auto"/>
          <w:sz w:val="32"/>
          <w:szCs w:val="32"/>
          <w:lang w:val="en-US" w:eastAsia="zh-CN"/>
        </w:rPr>
      </w:pPr>
      <w:r>
        <w:rPr>
          <w:rFonts w:hint="eastAsia" w:ascii="仿宋_GB2312" w:hAnsi="Times New Roman" w:eastAsia="仿宋_GB2312" w:cs="Wingdings"/>
          <w:sz w:val="32"/>
          <w:szCs w:val="32"/>
        </w:rPr>
        <w:t>基本支出</w:t>
      </w:r>
      <w:r>
        <w:rPr>
          <w:rFonts w:hint="eastAsia" w:ascii="仿宋_GB2312" w:hAnsi="Times New Roman" w:eastAsia="仿宋_GB2312" w:cs="Wingdings"/>
          <w:color w:val="auto"/>
          <w:sz w:val="32"/>
          <w:szCs w:val="32"/>
          <w:lang w:val="en-US" w:eastAsia="zh-CN"/>
        </w:rPr>
        <w:t>618.13</w:t>
      </w:r>
      <w:r>
        <w:rPr>
          <w:rFonts w:hint="eastAsia" w:ascii="仿宋_GB2312" w:hAnsi="Times New Roman" w:eastAsia="仿宋_GB2312" w:cs="Wingdings"/>
          <w:color w:val="auto"/>
          <w:sz w:val="32"/>
          <w:szCs w:val="32"/>
        </w:rPr>
        <w:t>万元，占</w:t>
      </w:r>
      <w:r>
        <w:rPr>
          <w:rFonts w:hint="eastAsia" w:ascii="仿宋_GB2312" w:hAnsi="Times New Roman" w:eastAsia="仿宋_GB2312" w:cs="Wingdings"/>
          <w:color w:val="auto"/>
          <w:sz w:val="32"/>
          <w:szCs w:val="32"/>
          <w:lang w:val="en-US" w:eastAsia="zh-CN"/>
        </w:rPr>
        <w:t>全部支出的90.6</w:t>
      </w:r>
      <w:r>
        <w:rPr>
          <w:rFonts w:hint="eastAsia" w:ascii="仿宋_GB2312" w:hAnsi="Times New Roman" w:eastAsia="仿宋_GB2312" w:cs="Wingdings"/>
          <w:color w:val="auto"/>
          <w:sz w:val="32"/>
          <w:szCs w:val="32"/>
        </w:rPr>
        <w:t>%</w:t>
      </w:r>
      <w:r>
        <w:rPr>
          <w:rFonts w:hint="eastAsia" w:ascii="仿宋_GB2312" w:hAnsi="Times New Roman" w:eastAsia="仿宋_GB2312" w:cs="Wingdings"/>
          <w:color w:val="auto"/>
          <w:sz w:val="32"/>
          <w:szCs w:val="32"/>
          <w:lang w:eastAsia="zh-CN"/>
        </w:rPr>
        <w:t>，</w:t>
      </w:r>
      <w:r>
        <w:rPr>
          <w:rFonts w:hint="eastAsia" w:ascii="仿宋_GB2312" w:hAnsi="Times New Roman" w:eastAsia="仿宋_GB2312" w:cs="Wingdings"/>
          <w:color w:val="auto"/>
          <w:sz w:val="32"/>
          <w:szCs w:val="32"/>
          <w:lang w:val="en-US" w:eastAsia="zh-CN"/>
        </w:rPr>
        <w:t>其中人员经费支</w:t>
      </w:r>
    </w:p>
    <w:p>
      <w:pPr>
        <w:adjustRightInd w:val="0"/>
        <w:snapToGrid w:val="0"/>
        <w:spacing w:line="600" w:lineRule="exact"/>
        <w:rPr>
          <w:rFonts w:hint="eastAsia" w:ascii="仿宋_GB2312" w:hAnsi="Times New Roman" w:eastAsia="仿宋_GB2312" w:cs="Wingdings"/>
          <w:color w:val="auto"/>
          <w:sz w:val="32"/>
          <w:szCs w:val="32"/>
          <w:lang w:val="en-US" w:eastAsia="zh-CN"/>
        </w:rPr>
      </w:pPr>
      <w:r>
        <w:rPr>
          <w:rFonts w:hint="eastAsia" w:ascii="仿宋_GB2312" w:hAnsi="Times New Roman" w:eastAsia="仿宋_GB2312" w:cs="Wingdings"/>
          <w:color w:val="auto"/>
          <w:sz w:val="32"/>
          <w:szCs w:val="32"/>
          <w:lang w:val="en-US" w:eastAsia="zh-CN"/>
        </w:rPr>
        <w:t>出519.56万元，占84.1%，公用经费支出98.57万元，占15.9%；</w:t>
      </w:r>
    </w:p>
    <w:p>
      <w:pPr>
        <w:adjustRightInd w:val="0"/>
        <w:snapToGrid w:val="0"/>
        <w:spacing w:line="600" w:lineRule="exact"/>
        <w:rPr>
          <w:rFonts w:hint="eastAsia" w:ascii="仿宋_GB2312" w:hAnsi="Times New Roman" w:eastAsia="仿宋_GB2312" w:cs="Wingdings"/>
          <w:sz w:val="32"/>
          <w:szCs w:val="32"/>
        </w:rPr>
      </w:pPr>
      <w:r>
        <w:rPr>
          <w:rFonts w:hint="eastAsia" w:ascii="仿宋_GB2312" w:hAnsi="Times New Roman" w:eastAsia="仿宋_GB2312" w:cs="Wingdings"/>
          <w:color w:val="auto"/>
          <w:sz w:val="32"/>
          <w:szCs w:val="32"/>
        </w:rPr>
        <w:t>项目支出</w:t>
      </w:r>
      <w:r>
        <w:rPr>
          <w:rFonts w:hint="eastAsia" w:ascii="仿宋_GB2312" w:hAnsi="Times New Roman" w:eastAsia="仿宋_GB2312" w:cs="Wingdings"/>
          <w:color w:val="auto"/>
          <w:sz w:val="32"/>
          <w:szCs w:val="32"/>
          <w:lang w:val="en-US" w:eastAsia="zh-CN"/>
        </w:rPr>
        <w:t>60.93</w:t>
      </w:r>
      <w:r>
        <w:rPr>
          <w:rFonts w:hint="eastAsia" w:ascii="仿宋_GB2312" w:hAnsi="Times New Roman" w:eastAsia="仿宋_GB2312" w:cs="Wingdings"/>
          <w:color w:val="auto"/>
          <w:sz w:val="32"/>
          <w:szCs w:val="32"/>
        </w:rPr>
        <w:t>万元，占</w:t>
      </w:r>
      <w:r>
        <w:rPr>
          <w:rFonts w:hint="eastAsia" w:ascii="仿宋_GB2312" w:hAnsi="Times New Roman" w:eastAsia="仿宋_GB2312" w:cs="Wingdings"/>
          <w:color w:val="auto"/>
          <w:sz w:val="32"/>
          <w:szCs w:val="32"/>
          <w:lang w:val="en-US" w:eastAsia="zh-CN"/>
        </w:rPr>
        <w:t>8.9</w:t>
      </w:r>
      <w:r>
        <w:rPr>
          <w:rFonts w:hint="eastAsia" w:ascii="仿宋_GB2312" w:hAnsi="Times New Roman" w:eastAsia="仿宋_GB2312" w:cs="Wingdings"/>
          <w:color w:val="auto"/>
          <w:sz w:val="32"/>
          <w:szCs w:val="32"/>
        </w:rPr>
        <w:t>%</w:t>
      </w:r>
      <w:r>
        <w:rPr>
          <w:rFonts w:hint="eastAsia" w:ascii="仿宋_GB2312" w:hAnsi="Times New Roman" w:eastAsia="仿宋_GB2312" w:cs="Wingdings"/>
          <w:color w:val="auto"/>
          <w:sz w:val="32"/>
          <w:szCs w:val="32"/>
          <w:lang w:eastAsia="zh-CN"/>
        </w:rPr>
        <w:t>，</w:t>
      </w:r>
      <w:r>
        <w:rPr>
          <w:rFonts w:hint="eastAsia" w:ascii="仿宋_GB2312" w:hAnsi="Times New Roman" w:eastAsia="仿宋_GB2312" w:cs="Wingdings"/>
          <w:color w:val="auto"/>
          <w:sz w:val="32"/>
          <w:szCs w:val="32"/>
          <w:lang w:val="en-US" w:eastAsia="zh-CN"/>
        </w:rPr>
        <w:t>其中行政事业类项目60.92万元，占100.0%，基本建设类项目0万元，占0%；其他支出3.49</w:t>
      </w:r>
      <w:r>
        <w:rPr>
          <w:rFonts w:hint="eastAsia" w:ascii="仿宋_GB2312" w:hAnsi="Times New Roman" w:eastAsia="仿宋_GB2312" w:cs="Wingdings"/>
          <w:sz w:val="32"/>
          <w:szCs w:val="32"/>
          <w:lang w:val="en-US" w:eastAsia="zh-CN"/>
        </w:rPr>
        <w:t>万元，占0.5%。（见</w:t>
      </w:r>
      <w:r>
        <w:rPr>
          <w:rFonts w:hint="eastAsia" w:ascii="仿宋_GB2312" w:hAnsi="Times New Roman" w:eastAsia="仿宋_GB2312" w:cs="Wingdings"/>
          <w:sz w:val="32"/>
          <w:szCs w:val="32"/>
        </w:rPr>
        <w:t>图</w:t>
      </w:r>
      <w:r>
        <w:rPr>
          <w:rFonts w:hint="eastAsia" w:ascii="仿宋_GB2312" w:hAnsi="Times New Roman" w:eastAsia="仿宋_GB2312" w:cs="Wingdings"/>
          <w:sz w:val="32"/>
          <w:szCs w:val="32"/>
          <w:lang w:val="en-US" w:eastAsia="zh-CN"/>
        </w:rPr>
        <w:t>3）</w:t>
      </w:r>
    </w:p>
    <w:p>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hint="eastAsia" w:ascii="仿宋_GB2312" w:hAnsi="Times New Roman" w:eastAsia="仿宋_GB2312" w:cs="Wingdings"/>
          <w:sz w:val="32"/>
          <w:szCs w:val="32"/>
        </w:rPr>
      </w:pPr>
    </w:p>
    <w:p>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hint="eastAsia" w:ascii="仿宋_GB2312" w:hAnsi="Times New Roman" w:eastAsia="仿宋_GB2312" w:cs="Wingdings"/>
          <w:sz w:val="32"/>
          <w:szCs w:val="32"/>
        </w:rPr>
      </w:pPr>
    </w:p>
    <w:p>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hint="eastAsia" w:ascii="仿宋_GB2312" w:hAnsi="Times New Roman" w:eastAsia="仿宋_GB2312" w:cs="Wingdings"/>
          <w:sz w:val="32"/>
          <w:szCs w:val="32"/>
          <w:lang w:val="en-US" w:eastAsia="zh-CN"/>
        </w:rPr>
      </w:pPr>
      <w:r>
        <w:rPr>
          <w:rFonts w:hint="eastAsia" w:ascii="仿宋_GB2312" w:hAnsi="Times New Roman" w:eastAsia="仿宋_GB2312" w:cs="Wingdings"/>
          <w:sz w:val="32"/>
          <w:szCs w:val="32"/>
          <w:lang w:val="en-US" w:eastAsia="zh-CN"/>
        </w:rPr>
        <w:t xml:space="preserve">                                       单位：万元</w:t>
      </w:r>
    </w:p>
    <w:p>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hint="eastAsia" w:ascii="仿宋_GB2312" w:hAnsi="Times New Roman" w:eastAsia="仿宋_GB2312" w:cs="Wingdings"/>
          <w:sz w:val="32"/>
          <w:szCs w:val="32"/>
          <w:lang w:val="en-US" w:eastAsia="zh-CN"/>
        </w:rPr>
      </w:pPr>
      <w:r>
        <w:rPr>
          <w:rFonts w:hint="eastAsia" w:ascii="仿宋_GB2312" w:hAnsi="Times New Roman" w:eastAsia="仿宋_GB2312" w:cs="Wingdings"/>
          <w:sz w:val="32"/>
          <w:szCs w:val="32"/>
          <w:lang w:val="en-US" w:eastAsia="zh-CN"/>
        </w:rPr>
        <w:drawing>
          <wp:anchor distT="0" distB="0" distL="114300" distR="114300" simplePos="0" relativeHeight="251659264" behindDoc="1" locked="0" layoutInCell="1" allowOverlap="1">
            <wp:simplePos x="0" y="0"/>
            <wp:positionH relativeFrom="column">
              <wp:posOffset>474345</wp:posOffset>
            </wp:positionH>
            <wp:positionV relativeFrom="paragraph">
              <wp:posOffset>90805</wp:posOffset>
            </wp:positionV>
            <wp:extent cx="4700905" cy="2259965"/>
            <wp:effectExtent l="5080" t="5080" r="18415" b="20955"/>
            <wp:wrapNone/>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hint="eastAsia" w:ascii="仿宋_GB2312" w:hAnsi="Times New Roman" w:eastAsia="仿宋_GB2312" w:cs="Wingdings"/>
          <w:sz w:val="32"/>
          <w:szCs w:val="32"/>
          <w:lang w:val="en-US" w:eastAsia="zh-CN"/>
        </w:rPr>
      </w:pPr>
    </w:p>
    <w:p>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hint="eastAsia" w:ascii="仿宋_GB2312" w:hAnsi="Times New Roman" w:eastAsia="仿宋_GB2312" w:cs="Wingdings"/>
          <w:sz w:val="32"/>
          <w:szCs w:val="32"/>
          <w:lang w:val="en-US" w:eastAsia="zh-CN"/>
        </w:rPr>
      </w:pPr>
    </w:p>
    <w:p>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hint="eastAsia" w:ascii="仿宋_GB2312" w:hAnsi="Times New Roman" w:eastAsia="仿宋_GB2312" w:cs="Wingdings"/>
          <w:sz w:val="32"/>
          <w:szCs w:val="32"/>
          <w:lang w:val="en-US" w:eastAsia="zh-CN"/>
        </w:rPr>
      </w:pPr>
    </w:p>
    <w:p>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hint="eastAsia" w:ascii="仿宋_GB2312" w:hAnsi="Times New Roman" w:eastAsia="仿宋_GB2312" w:cs="Wingdings"/>
          <w:sz w:val="32"/>
          <w:szCs w:val="32"/>
          <w:lang w:val="en-US" w:eastAsia="zh-CN"/>
        </w:rPr>
      </w:pPr>
    </w:p>
    <w:p>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hint="eastAsia" w:ascii="仿宋_GB2312" w:hAnsi="Times New Roman" w:eastAsia="仿宋_GB2312" w:cs="Wingdings"/>
          <w:sz w:val="32"/>
          <w:szCs w:val="32"/>
        </w:rPr>
      </w:pPr>
    </w:p>
    <w:p>
      <w:pPr>
        <w:keepNext w:val="0"/>
        <w:keepLines w:val="0"/>
        <w:pageBreakBefore w:val="0"/>
        <w:widowControl w:val="0"/>
        <w:kinsoku/>
        <w:wordWrap/>
        <w:overflowPunct/>
        <w:topLinePunct w:val="0"/>
        <w:autoSpaceDE/>
        <w:autoSpaceDN/>
        <w:bidi w:val="0"/>
        <w:adjustRightInd w:val="0"/>
        <w:snapToGrid w:val="0"/>
        <w:spacing w:line="600" w:lineRule="exact"/>
        <w:textAlignment w:val="auto"/>
        <w:rPr>
          <w:rFonts w:ascii="黑体" w:hAnsi="Calibri" w:eastAsia="黑体" w:cs="Times New Roman"/>
          <w:sz w:val="32"/>
          <w:szCs w:val="32"/>
        </w:rPr>
      </w:pPr>
      <w:r>
        <w:rPr>
          <w:sz w:val="32"/>
        </w:rPr>
        <mc:AlternateContent>
          <mc:Choice Requires="wps">
            <w:drawing>
              <wp:anchor distT="0" distB="0" distL="114300" distR="114300" simplePos="0" relativeHeight="251665408" behindDoc="0" locked="0" layoutInCell="1" allowOverlap="1">
                <wp:simplePos x="0" y="0"/>
                <wp:positionH relativeFrom="column">
                  <wp:posOffset>1085215</wp:posOffset>
                </wp:positionH>
                <wp:positionV relativeFrom="paragraph">
                  <wp:posOffset>219710</wp:posOffset>
                </wp:positionV>
                <wp:extent cx="3336925" cy="331470"/>
                <wp:effectExtent l="0" t="0" r="15875" b="11430"/>
                <wp:wrapTopAndBottom/>
                <wp:docPr id="24" name="文本框 24"/>
                <wp:cNvGraphicFramePr/>
                <a:graphic xmlns:a="http://schemas.openxmlformats.org/drawingml/2006/main">
                  <a:graphicData uri="http://schemas.microsoft.com/office/word/2010/wordprocessingShape">
                    <wps:wsp>
                      <wps:cNvSpPr txBox="1"/>
                      <wps:spPr>
                        <a:xfrm>
                          <a:off x="1750060" y="9047480"/>
                          <a:ext cx="3336925" cy="331470"/>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3</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支出</w:t>
                            </w:r>
                            <w:r>
                              <w:rPr>
                                <w:rFonts w:hint="eastAsia" w:ascii="楷体_GB2312" w:hAnsi="楷体_GB2312" w:eastAsia="楷体_GB2312" w:cs="楷体_GB2312"/>
                                <w:sz w:val="28"/>
                                <w:szCs w:val="28"/>
                              </w:rPr>
                              <w:t>决算构成情况（按支出</w:t>
                            </w:r>
                            <w:r>
                              <w:rPr>
                                <w:rFonts w:hint="eastAsia" w:ascii="楷体_GB2312" w:hAnsi="楷体_GB2312" w:eastAsia="楷体_GB2312" w:cs="楷体_GB2312"/>
                                <w:sz w:val="28"/>
                                <w:szCs w:val="28"/>
                                <w:lang w:val="en-US" w:eastAsia="zh-CN"/>
                              </w:rPr>
                              <w:t>性质</w:t>
                            </w:r>
                            <w:r>
                              <w:rPr>
                                <w:rFonts w:hint="eastAsia" w:ascii="楷体_GB2312" w:hAnsi="楷体_GB2312" w:eastAsia="楷体_GB2312" w:cs="楷体_GB2312"/>
                                <w:sz w:val="28"/>
                                <w:szCs w:val="28"/>
                              </w:rPr>
                              <w:t>）</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45pt;margin-top:17.3pt;height:26.1pt;width:262.75pt;mso-wrap-distance-bottom:0pt;mso-wrap-distance-top:0pt;z-index:251665408;mso-width-relative:page;mso-height-relative:page;" fillcolor="#FFFFFF" filled="t" stroked="f" coordsize="21600,21600" o:gfxdata="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P4l2BLUAAAACQEAAA8AAAAAAAAAAQAgAAAA&#10;IgAAAGRycy9kb3ducmV2LnhtbFBLAQIUABQAAAAIAIdO4kDljGwdSAIAAF0EAAAOAAAAAAAAAAEA&#10;IAAAACMBAABkcnMvZTJvRG9jLnhtbFBLBQYAAAAABgAGAFkBAADdBQAAAAA=&#10;">
                <v:fill on="t"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3</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支出</w:t>
                      </w:r>
                      <w:r>
                        <w:rPr>
                          <w:rFonts w:hint="eastAsia" w:ascii="楷体_GB2312" w:hAnsi="楷体_GB2312" w:eastAsia="楷体_GB2312" w:cs="楷体_GB2312"/>
                          <w:sz w:val="28"/>
                          <w:szCs w:val="28"/>
                        </w:rPr>
                        <w:t>决算构成情况（按支出</w:t>
                      </w:r>
                      <w:r>
                        <w:rPr>
                          <w:rFonts w:hint="eastAsia" w:ascii="楷体_GB2312" w:hAnsi="楷体_GB2312" w:eastAsia="楷体_GB2312" w:cs="楷体_GB2312"/>
                          <w:sz w:val="28"/>
                          <w:szCs w:val="28"/>
                          <w:lang w:val="en-US" w:eastAsia="zh-CN"/>
                        </w:rPr>
                        <w:t>性质</w:t>
                      </w:r>
                      <w:r>
                        <w:rPr>
                          <w:rFonts w:hint="eastAsia" w:ascii="楷体_GB2312" w:hAnsi="楷体_GB2312" w:eastAsia="楷体_GB2312" w:cs="楷体_GB2312"/>
                          <w:sz w:val="28"/>
                          <w:szCs w:val="28"/>
                        </w:rPr>
                        <w:t>）</w:t>
                      </w:r>
                    </w:p>
                    <w:p>
                      <w:pPr>
                        <w:spacing w:after="160" w:line="480" w:lineRule="auto"/>
                        <w:rPr>
                          <w:rFonts w:ascii="Times New Roman" w:hAnsi="Times New Roman" w:eastAsia="宋体" w:cs="Times New Roman"/>
                          <w:sz w:val="20"/>
                        </w:rPr>
                      </w:pPr>
                    </w:p>
                  </w:txbxContent>
                </v:textbox>
                <w10:wrap type="topAndBottom"/>
              </v:shape>
            </w:pict>
          </mc:Fallback>
        </mc:AlternateContent>
      </w:r>
      <w:r>
        <w:rPr>
          <w:rFonts w:hint="eastAsia"/>
          <w:sz w:val="32"/>
          <w:lang w:val="en-US" w:eastAsia="zh-CN"/>
        </w:rPr>
        <w:t xml:space="preserve">     </w:t>
      </w: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（一）财政拨款收支与2019年度决算对比情况</w:t>
      </w:r>
    </w:p>
    <w:p>
      <w:pPr>
        <w:adjustRightInd w:val="0"/>
        <w:snapToGrid w:val="0"/>
        <w:spacing w:line="600" w:lineRule="exact"/>
        <w:ind w:firstLine="640" w:firstLineChars="200"/>
        <w:rPr>
          <w:rFonts w:hint="eastAsia" w:ascii="仿宋_GB2312" w:hAnsi="Times New Roman" w:eastAsia="仿宋_GB2312" w:cs="Wingdings"/>
          <w:color w:val="auto"/>
          <w:sz w:val="32"/>
          <w:szCs w:val="32"/>
          <w:lang w:val="en-US" w:eastAsia="zh-CN"/>
        </w:rPr>
      </w:pPr>
      <w:r>
        <w:rPr>
          <w:rFonts w:hint="eastAsia" w:ascii="仿宋_GB2312" w:hAnsi="Times New Roman" w:eastAsia="仿宋_GB2312" w:cs="Wingdings"/>
          <w:sz w:val="32"/>
          <w:szCs w:val="32"/>
          <w:lang w:val="en-US" w:eastAsia="zh-CN"/>
        </w:rPr>
        <w:t>本</w:t>
      </w:r>
      <w:r>
        <w:rPr>
          <w:rFonts w:hint="eastAsia" w:ascii="仿宋_GB2312" w:hAnsi="Times New Roman" w:eastAsia="仿宋_GB2312" w:cs="Wingdings"/>
          <w:sz w:val="32"/>
          <w:szCs w:val="32"/>
          <w:lang w:eastAsia="zh-CN"/>
        </w:rPr>
        <w:t>部门</w:t>
      </w:r>
      <w:r>
        <w:rPr>
          <w:rFonts w:hint="eastAsia" w:ascii="仿宋_GB2312" w:hAnsi="Times New Roman" w:eastAsia="仿宋_GB2312" w:cs="Wingdings"/>
          <w:sz w:val="32"/>
          <w:szCs w:val="32"/>
        </w:rPr>
        <w:t>2020年度形成的财政拨款收支均为一般公共预算财政拨款，其中本年收入</w:t>
      </w:r>
      <w:r>
        <w:rPr>
          <w:rFonts w:hint="eastAsia" w:ascii="仿宋_GB2312" w:hAnsi="Times New Roman" w:eastAsia="仿宋_GB2312" w:cs="Wingdings"/>
          <w:color w:val="auto"/>
          <w:sz w:val="32"/>
          <w:szCs w:val="32"/>
          <w:lang w:val="en-US" w:eastAsia="zh-CN"/>
        </w:rPr>
        <w:t>679.33</w:t>
      </w:r>
      <w:r>
        <w:rPr>
          <w:rFonts w:hint="eastAsia" w:ascii="仿宋_GB2312" w:hAnsi="Times New Roman" w:eastAsia="仿宋_GB2312" w:cs="Wingdings"/>
          <w:color w:val="auto"/>
          <w:sz w:val="32"/>
          <w:szCs w:val="32"/>
        </w:rPr>
        <w:t>万元,比2019年度</w:t>
      </w:r>
      <w:r>
        <w:rPr>
          <w:rFonts w:hint="eastAsia" w:ascii="仿宋_GB2312" w:hAnsi="Times New Roman" w:eastAsia="仿宋_GB2312" w:cs="Wingdings"/>
          <w:color w:val="auto"/>
          <w:sz w:val="32"/>
          <w:szCs w:val="32"/>
          <w:lang w:val="en-US" w:eastAsia="zh-CN"/>
        </w:rPr>
        <w:t>增加61.93</w:t>
      </w:r>
      <w:r>
        <w:rPr>
          <w:rFonts w:hint="eastAsia" w:ascii="仿宋_GB2312" w:hAnsi="Times New Roman" w:eastAsia="仿宋_GB2312" w:cs="Wingdings"/>
          <w:color w:val="auto"/>
          <w:sz w:val="32"/>
          <w:szCs w:val="32"/>
        </w:rPr>
        <w:t>万元，</w:t>
      </w:r>
      <w:r>
        <w:rPr>
          <w:rFonts w:hint="eastAsia" w:ascii="仿宋_GB2312" w:hAnsi="Times New Roman" w:eastAsia="仿宋_GB2312" w:cs="Wingdings"/>
          <w:color w:val="auto"/>
          <w:sz w:val="32"/>
          <w:szCs w:val="32"/>
          <w:lang w:val="en-US" w:eastAsia="zh-CN"/>
        </w:rPr>
        <w:t>上升10.0</w:t>
      </w:r>
      <w:r>
        <w:rPr>
          <w:rFonts w:hint="eastAsia" w:ascii="仿宋_GB2312" w:hAnsi="Times New Roman" w:eastAsia="仿宋_GB2312" w:cs="Wingdings"/>
          <w:color w:val="auto"/>
          <w:sz w:val="32"/>
          <w:szCs w:val="32"/>
        </w:rPr>
        <w:t>%</w:t>
      </w:r>
      <w:r>
        <w:rPr>
          <w:rFonts w:hint="eastAsia" w:ascii="仿宋_GB2312" w:hAnsi="Times New Roman" w:eastAsia="仿宋_GB2312" w:cs="Wingdings"/>
          <w:color w:val="auto"/>
          <w:sz w:val="32"/>
          <w:szCs w:val="32"/>
          <w:lang w:val="en-US" w:eastAsia="zh-CN"/>
        </w:rPr>
        <w:t>；</w:t>
      </w:r>
      <w:r>
        <w:rPr>
          <w:rFonts w:hint="eastAsia" w:ascii="仿宋_GB2312" w:hAnsi="Times New Roman" w:eastAsia="仿宋_GB2312" w:cs="Wingdings"/>
          <w:color w:val="auto"/>
          <w:sz w:val="32"/>
          <w:szCs w:val="32"/>
        </w:rPr>
        <w:t>本年支出</w:t>
      </w:r>
      <w:r>
        <w:rPr>
          <w:rFonts w:hint="eastAsia" w:ascii="仿宋_GB2312" w:hAnsi="Times New Roman" w:eastAsia="仿宋_GB2312" w:cs="Wingdings"/>
          <w:color w:val="auto"/>
          <w:sz w:val="32"/>
          <w:szCs w:val="32"/>
          <w:lang w:val="en-US" w:eastAsia="zh-CN"/>
        </w:rPr>
        <w:t>679.06</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增加37.18</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上升5.8</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lang w:val="en-US" w:eastAsia="zh-CN"/>
        </w:rPr>
        <w:t>见图4</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rPr>
        <w:t>，</w:t>
      </w:r>
      <w:r>
        <w:rPr>
          <w:rFonts w:hint="eastAsia" w:ascii="仿宋_GB2312" w:hAnsi="Times New Roman" w:eastAsia="仿宋_GB2312" w:cs="Wingdings"/>
          <w:color w:val="auto"/>
          <w:sz w:val="32"/>
          <w:szCs w:val="32"/>
          <w:lang w:val="en-US" w:eastAsia="zh-CN"/>
        </w:rPr>
        <w:t>收支增加</w:t>
      </w:r>
      <w:r>
        <w:rPr>
          <w:rFonts w:hint="eastAsia" w:ascii="仿宋_GB2312" w:hAnsi="Times New Roman" w:eastAsia="仿宋_GB2312" w:cs="Wingdings"/>
          <w:color w:val="auto"/>
          <w:sz w:val="32"/>
          <w:szCs w:val="32"/>
        </w:rPr>
        <w:t>主要是</w:t>
      </w:r>
      <w:r>
        <w:rPr>
          <w:rFonts w:hint="eastAsia" w:ascii="仿宋_GB2312" w:hAnsi="Times New Roman" w:eastAsia="仿宋_GB2312" w:cs="Wingdings"/>
          <w:color w:val="auto"/>
          <w:sz w:val="32"/>
          <w:szCs w:val="32"/>
          <w:lang w:val="en-US" w:eastAsia="zh-CN"/>
        </w:rPr>
        <w:t xml:space="preserve">本年人员编制增加，办公经费及人员支出较上年支出增加。               </w:t>
      </w:r>
    </w:p>
    <w:p>
      <w:pPr>
        <w:adjustRightInd w:val="0"/>
        <w:snapToGrid w:val="0"/>
        <w:spacing w:line="600" w:lineRule="exact"/>
        <w:ind w:firstLine="6720" w:firstLineChars="2100"/>
        <w:rPr>
          <w:rFonts w:ascii="仿宋_GB2312" w:hAnsi="Times New Roman" w:eastAsia="仿宋_GB2312" w:cs="Wingdings"/>
          <w:sz w:val="32"/>
          <w:szCs w:val="32"/>
        </w:rPr>
      </w:pPr>
      <w:r>
        <w:rPr>
          <w:rFonts w:hint="eastAsia" w:ascii="仿宋_GB2312" w:hAnsi="Times New Roman" w:eastAsia="仿宋_GB2312" w:cs="Wingdings"/>
          <w:color w:val="auto"/>
          <w:sz w:val="32"/>
          <w:szCs w:val="32"/>
          <w:lang w:val="en-US" w:eastAsia="zh-CN"/>
        </w:rPr>
        <w:t xml:space="preserve"> 单位：万元</w:t>
      </w:r>
    </w:p>
    <w:p>
      <w:pPr>
        <w:snapToGrid w:val="0"/>
        <w:spacing w:line="600" w:lineRule="exact"/>
        <w:ind w:firstLine="643" w:firstLineChars="200"/>
        <w:rPr>
          <w:rFonts w:hint="eastAsia" w:ascii="楷体_GB2312" w:hAnsi="Times New Roman" w:eastAsia="楷体_GB2312" w:cs="Mongolian Baiti"/>
          <w:b/>
          <w:bCs/>
          <w:sz w:val="32"/>
          <w:szCs w:val="32"/>
          <w:lang w:eastAsia="zh-CN"/>
        </w:rPr>
      </w:pPr>
      <w:r>
        <w:rPr>
          <w:rFonts w:hint="eastAsia" w:ascii="楷体_GB2312" w:hAnsi="Times New Roman" w:eastAsia="楷体_GB2312" w:cs="Mongolian Baiti"/>
          <w:b/>
          <w:bCs/>
          <w:sz w:val="32"/>
          <w:szCs w:val="32"/>
          <w:lang w:eastAsia="zh-CN"/>
        </w:rPr>
        <w:drawing>
          <wp:anchor distT="0" distB="0" distL="114300" distR="114300" simplePos="0" relativeHeight="251670528" behindDoc="0" locked="0" layoutInCell="1" allowOverlap="1">
            <wp:simplePos x="0" y="0"/>
            <wp:positionH relativeFrom="column">
              <wp:posOffset>944245</wp:posOffset>
            </wp:positionH>
            <wp:positionV relativeFrom="paragraph">
              <wp:posOffset>60960</wp:posOffset>
            </wp:positionV>
            <wp:extent cx="3537585" cy="2000885"/>
            <wp:effectExtent l="4445" t="4445" r="20320" b="13970"/>
            <wp:wrapNone/>
            <wp:docPr id="4"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p>
    <w:p>
      <w:pPr>
        <w:snapToGrid w:val="0"/>
        <w:spacing w:line="600" w:lineRule="exact"/>
        <w:ind w:firstLine="643" w:firstLineChars="200"/>
        <w:rPr>
          <w:rFonts w:hint="eastAsia" w:ascii="楷体_GB2312" w:hAnsi="Times New Roman" w:eastAsia="楷体_GB2312" w:cs="Mongolian Baiti"/>
          <w:b/>
          <w:bCs/>
          <w:sz w:val="32"/>
          <w:szCs w:val="32"/>
        </w:rPr>
      </w:pPr>
    </w:p>
    <w:p>
      <w:pPr>
        <w:snapToGrid w:val="0"/>
        <w:spacing w:line="600" w:lineRule="exact"/>
        <w:ind w:firstLine="643" w:firstLineChars="200"/>
        <w:rPr>
          <w:rFonts w:hint="eastAsia" w:ascii="楷体_GB2312" w:hAnsi="Times New Roman" w:eastAsia="楷体_GB2312" w:cs="Mongolian Baiti"/>
          <w:b/>
          <w:bCs/>
          <w:sz w:val="32"/>
          <w:szCs w:val="32"/>
        </w:rPr>
      </w:pPr>
    </w:p>
    <w:p>
      <w:pPr>
        <w:snapToGrid w:val="0"/>
        <w:spacing w:line="600" w:lineRule="exact"/>
        <w:ind w:firstLine="643" w:firstLineChars="200"/>
        <w:rPr>
          <w:rFonts w:hint="eastAsia" w:ascii="楷体_GB2312" w:hAnsi="Times New Roman" w:eastAsia="楷体_GB2312" w:cs="Mongolian Baiti"/>
          <w:b/>
          <w:bCs/>
          <w:sz w:val="32"/>
          <w:szCs w:val="32"/>
        </w:rPr>
      </w:pPr>
    </w:p>
    <w:p>
      <w:pPr>
        <w:snapToGrid w:val="0"/>
        <w:spacing w:line="600" w:lineRule="exact"/>
        <w:ind w:firstLine="643" w:firstLineChars="200"/>
        <w:rPr>
          <w:rFonts w:hint="eastAsia" w:ascii="楷体_GB2312" w:hAnsi="Times New Roman" w:eastAsia="楷体_GB2312" w:cs="Mongolian Baiti"/>
          <w:b/>
          <w:bCs/>
          <w:sz w:val="32"/>
          <w:szCs w:val="32"/>
        </w:rPr>
      </w:pPr>
    </w:p>
    <w:p>
      <w:pPr>
        <w:snapToGrid w:val="0"/>
        <w:spacing w:line="600" w:lineRule="exact"/>
        <w:ind w:firstLine="640" w:firstLineChars="200"/>
        <w:rPr>
          <w:rFonts w:hint="eastAsia" w:ascii="楷体_GB2312" w:hAnsi="Times New Roman" w:eastAsia="楷体_GB2312" w:cs="Mongolian Baiti"/>
          <w:b/>
          <w:bCs/>
          <w:sz w:val="32"/>
          <w:szCs w:val="32"/>
        </w:rPr>
      </w:pPr>
      <w:r>
        <w:rPr>
          <w:sz w:val="32"/>
        </w:rPr>
        <mc:AlternateContent>
          <mc:Choice Requires="wps">
            <w:drawing>
              <wp:anchor distT="0" distB="0" distL="114300" distR="114300" simplePos="0" relativeHeight="251669504" behindDoc="1" locked="0" layoutInCell="1" allowOverlap="1">
                <wp:simplePos x="0" y="0"/>
                <wp:positionH relativeFrom="column">
                  <wp:posOffset>735330</wp:posOffset>
                </wp:positionH>
                <wp:positionV relativeFrom="paragraph">
                  <wp:posOffset>330835</wp:posOffset>
                </wp:positionV>
                <wp:extent cx="4209415" cy="390525"/>
                <wp:effectExtent l="0" t="0" r="12065" b="5715"/>
                <wp:wrapNone/>
                <wp:docPr id="36" name="文本框 36"/>
                <wp:cNvGraphicFramePr/>
                <a:graphic xmlns:a="http://schemas.openxmlformats.org/drawingml/2006/main">
                  <a:graphicData uri="http://schemas.microsoft.com/office/word/2010/wordprocessingShape">
                    <wps:wsp>
                      <wps:cNvSpPr txBox="1"/>
                      <wps:spPr>
                        <a:xfrm>
                          <a:off x="0" y="0"/>
                          <a:ext cx="4209415" cy="39052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default" w:ascii="楷体_GB2312" w:hAnsi="楷体_GB2312" w:eastAsia="楷体_GB2312" w:cs="楷体_GB2312"/>
                                <w:sz w:val="28"/>
                                <w:szCs w:val="28"/>
                                <w:lang w:val="en-US"/>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4</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2019-2020财政拨款支出对比情况</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57.9pt;margin-top:26.05pt;height:30.75pt;width:331.45pt;z-index:-251646976;mso-width-relative:page;mso-height-relative:page;" fillcolor="#FFFFFF" filled="t" stroked="f" coordsize="21600,21600" o:gfxdata="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">
                <v:fill on="t"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val="0"/>
                        <w:snapToGrid w:val="0"/>
                        <w:spacing w:after="160" w:line="400" w:lineRule="exact"/>
                        <w:jc w:val="center"/>
                        <w:textAlignment w:val="auto"/>
                        <w:rPr>
                          <w:rFonts w:hint="default" w:ascii="楷体_GB2312" w:hAnsi="楷体_GB2312" w:eastAsia="楷体_GB2312" w:cs="楷体_GB2312"/>
                          <w:sz w:val="28"/>
                          <w:szCs w:val="28"/>
                          <w:lang w:val="en-US"/>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4</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2019-2020财政拨款支出对比情况</w:t>
                      </w:r>
                    </w:p>
                    <w:p>
                      <w:pPr>
                        <w:spacing w:after="160" w:line="480" w:lineRule="auto"/>
                        <w:rPr>
                          <w:rFonts w:ascii="Times New Roman" w:hAnsi="Times New Roman" w:eastAsia="宋体" w:cs="Times New Roman"/>
                          <w:sz w:val="20"/>
                        </w:rPr>
                      </w:pPr>
                    </w:p>
                  </w:txbxContent>
                </v:textbox>
              </v:shape>
            </w:pict>
          </mc:Fallback>
        </mc:AlternateContent>
      </w:r>
    </w:p>
    <w:p>
      <w:pPr>
        <w:snapToGrid w:val="0"/>
        <w:spacing w:line="600" w:lineRule="exact"/>
        <w:ind w:firstLine="643" w:firstLineChars="200"/>
        <w:rPr>
          <w:rFonts w:hint="eastAsia" w:ascii="楷体_GB2312" w:hAnsi="Times New Roman" w:eastAsia="楷体_GB2312" w:cs="Mongolian Baiti"/>
          <w:b/>
          <w:bCs/>
          <w:sz w:val="32"/>
          <w:szCs w:val="32"/>
        </w:rPr>
      </w:pPr>
    </w:p>
    <w:p>
      <w:pPr>
        <w:snapToGrid w:val="0"/>
        <w:spacing w:line="600" w:lineRule="exact"/>
        <w:ind w:firstLine="643" w:firstLineChars="200"/>
        <w:rPr>
          <w:rFonts w:ascii="仿宋_GB2312" w:hAnsi="Times New Roman" w:eastAsia="仿宋_GB2312" w:cs="Mongolian Baiti"/>
          <w:b/>
          <w:bCs/>
          <w:sz w:val="32"/>
          <w:szCs w:val="32"/>
        </w:rPr>
      </w:pPr>
      <w:r>
        <w:rPr>
          <w:rFonts w:hint="eastAsia" w:ascii="楷体_GB2312" w:hAnsi="Times New Roman" w:eastAsia="楷体_GB2312" w:cs="Mongolian Baiti"/>
          <w:b/>
          <w:bCs/>
          <w:sz w:val="32"/>
          <w:szCs w:val="32"/>
        </w:rPr>
        <w:t>（二）财政拨款收支与年初预算数对比情况</w:t>
      </w:r>
    </w:p>
    <w:p>
      <w:pPr>
        <w:adjustRightInd w:val="0"/>
        <w:snapToGrid w:val="0"/>
        <w:spacing w:line="600" w:lineRule="exact"/>
        <w:ind w:firstLine="640" w:firstLineChars="200"/>
        <w:rPr>
          <w:rFonts w:hint="eastAsia" w:ascii="仿宋_GB2312" w:hAnsi="Times New Roman" w:eastAsia="仿宋_GB2312" w:cs="Wingdings"/>
          <w:sz w:val="32"/>
          <w:szCs w:val="32"/>
          <w:highlight w:val="yellow"/>
          <w:lang w:val="en-US" w:eastAsia="zh-CN"/>
        </w:rPr>
      </w:pPr>
      <w:r>
        <w:rPr>
          <w:rFonts w:hint="eastAsia" w:ascii="仿宋_GB2312" w:hAnsi="Times New Roman" w:eastAsia="仿宋_GB2312" w:cs="Wingdings"/>
          <w:sz w:val="32"/>
          <w:szCs w:val="32"/>
          <w:lang w:val="en-US" w:eastAsia="zh-CN"/>
        </w:rPr>
        <w:t>本</w:t>
      </w:r>
      <w:r>
        <w:rPr>
          <w:rFonts w:hint="eastAsia" w:ascii="仿宋_GB2312" w:hAnsi="Times New Roman" w:eastAsia="仿宋_GB2312" w:cs="Wingdings"/>
          <w:sz w:val="32"/>
          <w:szCs w:val="32"/>
          <w:lang w:eastAsia="zh-CN"/>
        </w:rPr>
        <w:t>部门</w:t>
      </w:r>
      <w:r>
        <w:rPr>
          <w:rFonts w:hint="eastAsia" w:ascii="仿宋_GB2312" w:hAnsi="Times New Roman" w:eastAsia="仿宋_GB2312" w:cs="Wingdings"/>
          <w:sz w:val="32"/>
          <w:szCs w:val="32"/>
        </w:rPr>
        <w:t>2020年度一般公共预算财政拨款收入</w:t>
      </w:r>
      <w:r>
        <w:rPr>
          <w:rFonts w:hint="eastAsia" w:ascii="仿宋_GB2312" w:hAnsi="Times New Roman" w:eastAsia="仿宋_GB2312" w:cs="Wingdings"/>
          <w:sz w:val="32"/>
          <w:szCs w:val="32"/>
          <w:lang w:val="en-US" w:eastAsia="zh-CN"/>
        </w:rPr>
        <w:t>685.46</w:t>
      </w:r>
      <w:r>
        <w:rPr>
          <w:rFonts w:hint="eastAsia" w:ascii="仿宋_GB2312" w:hAnsi="Times New Roman" w:eastAsia="仿宋_GB2312" w:cs="Wingdings"/>
          <w:sz w:val="32"/>
          <w:szCs w:val="32"/>
        </w:rPr>
        <w:t>万元，完成年初预算的</w:t>
      </w:r>
      <w:r>
        <w:rPr>
          <w:rFonts w:hint="eastAsia" w:ascii="仿宋_GB2312" w:hAnsi="Times New Roman" w:eastAsia="仿宋_GB2312" w:cs="Wingdings"/>
          <w:sz w:val="32"/>
          <w:szCs w:val="32"/>
          <w:lang w:val="en-US" w:eastAsia="zh-CN"/>
        </w:rPr>
        <w:t>100.0</w:t>
      </w:r>
      <w:r>
        <w:rPr>
          <w:rFonts w:hint="eastAsia" w:ascii="仿宋_GB2312" w:hAnsi="Times New Roman" w:eastAsia="仿宋_GB2312" w:cs="Wingdings"/>
          <w:sz w:val="32"/>
          <w:szCs w:val="32"/>
        </w:rPr>
        <w:t>%,比年初预算减少</w:t>
      </w:r>
      <w:r>
        <w:rPr>
          <w:rFonts w:hint="eastAsia" w:ascii="仿宋_GB2312" w:hAnsi="Times New Roman" w:eastAsia="仿宋_GB2312" w:cs="Wingdings"/>
          <w:sz w:val="32"/>
          <w:szCs w:val="32"/>
          <w:lang w:val="en-US" w:eastAsia="zh-CN"/>
        </w:rPr>
        <w:t>13.95</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rPr>
        <w:t>本年支出</w:t>
      </w:r>
      <w:r>
        <w:rPr>
          <w:rFonts w:hint="eastAsia" w:ascii="仿宋_GB2312" w:hAnsi="Times New Roman" w:eastAsia="仿宋_GB2312" w:cs="Wingdings"/>
          <w:sz w:val="32"/>
          <w:szCs w:val="32"/>
          <w:lang w:val="en-US" w:eastAsia="zh-CN"/>
        </w:rPr>
        <w:t>679.06</w:t>
      </w:r>
      <w:r>
        <w:rPr>
          <w:rFonts w:hint="eastAsia" w:ascii="仿宋_GB2312" w:hAnsi="Times New Roman" w:eastAsia="仿宋_GB2312" w:cs="Wingdings"/>
          <w:sz w:val="32"/>
          <w:szCs w:val="32"/>
        </w:rPr>
        <w:t>万元，完成年初预算的</w:t>
      </w:r>
      <w:r>
        <w:rPr>
          <w:rFonts w:hint="eastAsia" w:ascii="仿宋_GB2312" w:hAnsi="Times New Roman" w:eastAsia="仿宋_GB2312" w:cs="Wingdings"/>
          <w:sz w:val="32"/>
          <w:szCs w:val="32"/>
          <w:lang w:val="en-US" w:eastAsia="zh-CN"/>
        </w:rPr>
        <w:t>100.0</w:t>
      </w:r>
      <w:r>
        <w:rPr>
          <w:rFonts w:hint="eastAsia" w:ascii="仿宋_GB2312" w:hAnsi="Times New Roman" w:eastAsia="仿宋_GB2312" w:cs="Wingdings"/>
          <w:sz w:val="32"/>
          <w:szCs w:val="32"/>
        </w:rPr>
        <w:t>%,比年初预算减少</w:t>
      </w:r>
      <w:r>
        <w:rPr>
          <w:rFonts w:hint="eastAsia" w:ascii="仿宋_GB2312" w:hAnsi="Times New Roman" w:eastAsia="仿宋_GB2312" w:cs="Wingdings"/>
          <w:sz w:val="32"/>
          <w:szCs w:val="32"/>
          <w:lang w:val="en-US" w:eastAsia="zh-CN"/>
        </w:rPr>
        <w:t>14.22</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lang w:val="en-US" w:eastAsia="zh-CN"/>
        </w:rPr>
        <w:t>收入</w:t>
      </w:r>
      <w:r>
        <w:rPr>
          <w:rFonts w:hint="eastAsia" w:ascii="仿宋_GB2312" w:hAnsi="Times New Roman" w:eastAsia="仿宋_GB2312" w:cs="Wingdings"/>
          <w:sz w:val="32"/>
          <w:szCs w:val="32"/>
        </w:rPr>
        <w:t>决算数小于预算数主要原因</w:t>
      </w:r>
      <w:r>
        <w:rPr>
          <w:rFonts w:hint="eastAsia" w:ascii="仿宋_GB2312" w:hAnsi="Times New Roman" w:eastAsia="仿宋_GB2312" w:cs="Wingdings"/>
          <w:sz w:val="32"/>
          <w:szCs w:val="32"/>
          <w:lang w:val="en-US" w:eastAsia="zh-CN"/>
        </w:rPr>
        <w:t>是项目收支减少，节俭支出上交财政资金。</w:t>
      </w:r>
    </w:p>
    <w:p>
      <w:pPr>
        <w:numPr>
          <w:ilvl w:val="0"/>
          <w:numId w:val="2"/>
        </w:numPr>
        <w:adjustRightInd w:val="0"/>
        <w:snapToGrid w:val="0"/>
        <w:spacing w:line="600" w:lineRule="exact"/>
        <w:ind w:left="420" w:left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财政拨款支出决算结构情况。</w:t>
      </w:r>
    </w:p>
    <w:p>
      <w:p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r>
        <w:rPr>
          <w:rFonts w:hint="eastAsia" w:ascii="仿宋_GB2312" w:hAnsi="Times New Roman" w:eastAsia="仿宋_GB2312" w:cs="Wingdings"/>
          <w:sz w:val="32"/>
          <w:szCs w:val="32"/>
        </w:rPr>
        <w:t>2020 年度财政拨款支出</w:t>
      </w:r>
      <w:r>
        <w:rPr>
          <w:rFonts w:hint="eastAsia" w:ascii="仿宋_GB2312" w:hAnsi="Times New Roman" w:eastAsia="仿宋_GB2312" w:cs="Wingdings"/>
          <w:sz w:val="32"/>
          <w:szCs w:val="32"/>
          <w:lang w:val="en-US" w:eastAsia="zh-CN"/>
        </w:rPr>
        <w:t>679.06</w:t>
      </w:r>
      <w:r>
        <w:rPr>
          <w:rFonts w:hint="eastAsia" w:ascii="仿宋_GB2312" w:hAnsi="Times New Roman" w:eastAsia="仿宋_GB2312" w:cs="Wingdings"/>
          <w:sz w:val="32"/>
          <w:szCs w:val="32"/>
        </w:rPr>
        <w:t>万元，主要用于以下方面</w:t>
      </w:r>
      <w:r>
        <w:rPr>
          <w:rFonts w:hint="eastAsia" w:ascii="仿宋_GB2312" w:hAnsi="Times New Roman" w:eastAsia="仿宋_GB2312" w:cs="Wingdings"/>
          <w:sz w:val="32"/>
          <w:szCs w:val="32"/>
          <w:lang w:val="en-US" w:eastAsia="zh-CN"/>
        </w:rPr>
        <w:t>支出，其中行政运行520.28万元，占总支出的76.6%；一般行政管理事务60.93万元，占8.9%；社会保障和就业支出32.59万元，占4.8%；卫生健康支出30.35万元，占4.5%；住房保障支出34.91万元，占5.2%。按经济分类看：工资福利支出401.72万元、商品和服务支出</w:t>
      </w:r>
      <w:r>
        <w:rPr>
          <w:rFonts w:hint="eastAsia" w:ascii="仿宋_GB2312" w:hAnsi="Times New Roman" w:eastAsia="仿宋_GB2312" w:cs="Wingdings"/>
          <w:sz w:val="32"/>
          <w:szCs w:val="32"/>
          <w:lang w:val="en-US" w:eastAsia="zh-CN"/>
        </w:rPr>
        <w:tab/>
      </w:r>
      <w:r>
        <w:rPr>
          <w:rFonts w:hint="eastAsia" w:ascii="仿宋_GB2312" w:hAnsi="Times New Roman" w:eastAsia="仿宋_GB2312" w:cs="Wingdings"/>
          <w:sz w:val="32"/>
          <w:szCs w:val="32"/>
          <w:lang w:val="en-US" w:eastAsia="zh-CN"/>
        </w:rPr>
        <w:t>153.31万元、对个人和家庭的补助117.84万元、资本性支出6.19万元。（见图5）</w:t>
      </w:r>
    </w:p>
    <w:p>
      <w:pPr>
        <w:tabs>
          <w:tab w:val="left" w:pos="2325"/>
        </w:tabs>
        <w:adjustRightInd w:val="0"/>
        <w:snapToGrid w:val="0"/>
        <w:spacing w:line="600" w:lineRule="exact"/>
        <w:rPr>
          <w:rFonts w:hint="eastAsia" w:ascii="仿宋_GB2312" w:hAnsi="Times New Roman" w:eastAsia="仿宋_GB2312" w:cs="Wingdings"/>
          <w:sz w:val="32"/>
          <w:szCs w:val="32"/>
          <w:lang w:val="en-US" w:eastAsia="zh-CN"/>
        </w:rPr>
      </w:pPr>
      <w:r>
        <w:rPr>
          <w:rFonts w:hint="eastAsia" w:ascii="仿宋_GB2312" w:hAnsi="Times New Roman" w:eastAsia="仿宋_GB2312" w:cs="Wingdings"/>
          <w:sz w:val="32"/>
          <w:szCs w:val="32"/>
          <w:lang w:val="en-US" w:eastAsia="zh-CN"/>
        </w:rPr>
        <w:tab/>
      </w:r>
      <w:r>
        <w:rPr>
          <w:rFonts w:hint="eastAsia" w:ascii="仿宋_GB2312" w:hAnsi="Times New Roman" w:eastAsia="仿宋_GB2312" w:cs="Wingdings"/>
          <w:sz w:val="32"/>
          <w:szCs w:val="32"/>
          <w:lang w:val="en-US" w:eastAsia="zh-CN"/>
        </w:rPr>
        <w:t xml:space="preserve">                          单位：万元</w:t>
      </w:r>
    </w:p>
    <w:p>
      <w:pPr>
        <w:adjustRightInd w:val="0"/>
        <w:snapToGrid w:val="0"/>
        <w:spacing w:line="600" w:lineRule="exact"/>
        <w:rPr>
          <w:rFonts w:hint="eastAsia" w:ascii="仿宋_GB2312" w:hAnsi="Times New Roman" w:eastAsia="仿宋_GB2312" w:cs="Wingdings"/>
          <w:sz w:val="32"/>
          <w:szCs w:val="32"/>
          <w:lang w:val="en-US" w:eastAsia="zh-CN"/>
        </w:rPr>
      </w:pPr>
      <w:r>
        <w:rPr>
          <w:rFonts w:hint="eastAsia" w:ascii="仿宋_GB2312" w:hAnsi="Times New Roman" w:eastAsia="仿宋_GB2312" w:cs="Wingdings"/>
          <w:sz w:val="32"/>
          <w:szCs w:val="32"/>
          <w:lang w:val="en-US" w:eastAsia="zh-CN"/>
        </w:rPr>
        <w:drawing>
          <wp:anchor distT="0" distB="0" distL="114300" distR="114300" simplePos="0" relativeHeight="251672576" behindDoc="0" locked="0" layoutInCell="1" allowOverlap="1">
            <wp:simplePos x="0" y="0"/>
            <wp:positionH relativeFrom="column">
              <wp:posOffset>847090</wp:posOffset>
            </wp:positionH>
            <wp:positionV relativeFrom="paragraph">
              <wp:posOffset>241935</wp:posOffset>
            </wp:positionV>
            <wp:extent cx="3670300" cy="2039620"/>
            <wp:effectExtent l="4445" t="4445" r="20955" b="13335"/>
            <wp:wrapNone/>
            <wp:docPr id="6" name="图表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p>
    <w:p>
      <w:p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p>
    <w:p>
      <w:p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p>
    <w:p>
      <w:pPr>
        <w:keepNext w:val="0"/>
        <w:keepLines w:val="0"/>
        <w:pageBreakBefore w:val="0"/>
        <w:widowControl w:val="0"/>
        <w:kinsoku/>
        <w:wordWrap/>
        <w:overflowPunct/>
        <w:topLinePunct w:val="0"/>
        <w:autoSpaceDE/>
        <w:autoSpaceDN/>
        <w:bidi w:val="0"/>
        <w:adjustRightInd w:val="0"/>
        <w:snapToGrid w:val="0"/>
        <w:spacing w:line="620" w:lineRule="exact"/>
        <w:ind w:right="0" w:rightChars="0"/>
        <w:textAlignment w:val="auto"/>
        <w:rPr>
          <w:rFonts w:hint="eastAsia" w:ascii="楷体_GB2312" w:hAnsi="Times New Roman" w:eastAsia="楷体_GB2312" w:cs="Mongolian Baiti"/>
          <w:b/>
          <w:bCs/>
          <w:sz w:val="32"/>
          <w:szCs w:val="32"/>
        </w:rPr>
      </w:pPr>
      <w:r>
        <mc:AlternateContent>
          <mc:Choice Requires="wps">
            <w:drawing>
              <wp:anchor distT="0" distB="0" distL="114300" distR="114300" simplePos="0" relativeHeight="251671552" behindDoc="0" locked="0" layoutInCell="1" allowOverlap="1">
                <wp:simplePos x="0" y="0"/>
                <wp:positionH relativeFrom="column">
                  <wp:posOffset>1180465</wp:posOffset>
                </wp:positionH>
                <wp:positionV relativeFrom="paragraph">
                  <wp:posOffset>86360</wp:posOffset>
                </wp:positionV>
                <wp:extent cx="3221355" cy="412115"/>
                <wp:effectExtent l="0" t="0" r="17145" b="6985"/>
                <wp:wrapNone/>
                <wp:docPr id="17" name="文本框 17"/>
                <wp:cNvGraphicFramePr/>
                <a:graphic xmlns:a="http://schemas.openxmlformats.org/drawingml/2006/main">
                  <a:graphicData uri="http://schemas.microsoft.com/office/word/2010/wordprocessingShape">
                    <wps:wsp>
                      <wps:cNvSpPr txBox="1"/>
                      <wps:spPr>
                        <a:xfrm>
                          <a:off x="0" y="0"/>
                          <a:ext cx="3221642" cy="412084"/>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pPr>
                              <w:jc w:val="center"/>
                              <w:rPr>
                                <w:rFonts w:hint="eastAsia" w:ascii="楷体_GB2312" w:hAnsi="楷体_GB2312" w:eastAsia="楷体_GB2312" w:cs="楷体_GB2312"/>
                                <w:sz w:val="24"/>
                                <w:szCs w:val="32"/>
                                <w:lang w:val="en-US" w:eastAsia="zh-CN"/>
                              </w:rPr>
                            </w:pPr>
                            <w:r>
                              <w:rPr>
                                <w:rFonts w:hint="eastAsia" w:ascii="楷体_GB2312" w:hAnsi="楷体_GB2312" w:eastAsia="楷体_GB2312" w:cs="楷体_GB2312"/>
                                <w:sz w:val="24"/>
                                <w:szCs w:val="32"/>
                                <w:lang w:val="en-US" w:eastAsia="zh-CN"/>
                              </w:rPr>
                              <w:t>图5：2020年收入构成（按经济分类）情况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2.95pt;margin-top:6.8pt;height:32.45pt;width:253.65pt;z-index:251671552;v-text-anchor:middle;mso-width-relative:page;mso-height-relative:page;" fillcolor="#FFFFFF [3201]" filled="t" stroked="f" coordsize="21600,21600" o:gfxdata="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">
                <v:fill on="t" focussize="0,0"/>
                <v:stroke on="f" weight="0.5pt"/>
                <v:imagedata o:title=""/>
                <o:lock v:ext="edit" aspectratio="f"/>
                <v:textbox>
                  <w:txbxContent>
                    <w:p>
                      <w:pPr>
                        <w:jc w:val="center"/>
                        <w:rPr>
                          <w:rFonts w:hint="eastAsia" w:ascii="楷体_GB2312" w:hAnsi="楷体_GB2312" w:eastAsia="楷体_GB2312" w:cs="楷体_GB2312"/>
                          <w:sz w:val="24"/>
                          <w:szCs w:val="32"/>
                          <w:lang w:val="en-US" w:eastAsia="zh-CN"/>
                        </w:rPr>
                      </w:pPr>
                      <w:r>
                        <w:rPr>
                          <w:rFonts w:hint="eastAsia" w:ascii="楷体_GB2312" w:hAnsi="楷体_GB2312" w:eastAsia="楷体_GB2312" w:cs="楷体_GB2312"/>
                          <w:sz w:val="24"/>
                          <w:szCs w:val="32"/>
                          <w:lang w:val="en-US" w:eastAsia="zh-CN"/>
                        </w:rPr>
                        <w:t>图5：2020年收入构成（按经济分类）情况</w:t>
                      </w:r>
                    </w:p>
                  </w:txbxContent>
                </v:textbox>
              </v:shape>
            </w:pict>
          </mc:Fallback>
        </mc:AlternateContent>
      </w:r>
    </w:p>
    <w:p>
      <w:pPr>
        <w:keepNext w:val="0"/>
        <w:keepLines w:val="0"/>
        <w:pageBreakBefore w:val="0"/>
        <w:widowControl w:val="0"/>
        <w:kinsoku/>
        <w:wordWrap/>
        <w:overflowPunct/>
        <w:topLinePunct w:val="0"/>
        <w:autoSpaceDE/>
        <w:autoSpaceDN/>
        <w:bidi w:val="0"/>
        <w:adjustRightInd w:val="0"/>
        <w:snapToGrid w:val="0"/>
        <w:spacing w:line="620" w:lineRule="exact"/>
        <w:ind w:left="0" w:leftChars="0" w:right="0" w:rightChars="0" w:firstLine="643" w:firstLineChars="200"/>
        <w:textAlignment w:val="auto"/>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（四）一般公共预算基本支出决算情况说明</w:t>
      </w:r>
    </w:p>
    <w:p>
      <w:pPr>
        <w:pageBreakBefore w:val="0"/>
        <w:widowControl w:val="0"/>
        <w:kinsoku/>
        <w:wordWrap/>
        <w:overflowPunct/>
        <w:topLinePunct w:val="0"/>
        <w:bidi w:val="0"/>
        <w:adjustRightInd w:val="0"/>
        <w:snapToGrid w:val="0"/>
        <w:spacing w:line="620" w:lineRule="exact"/>
        <w:ind w:left="0" w:leftChars="0" w:right="0" w:rightChars="0" w:firstLine="640" w:firstLineChars="200"/>
        <w:textAlignment w:val="auto"/>
        <w:rPr>
          <w:rFonts w:ascii="仿宋_GB2312" w:hAnsi="Times New Roman" w:eastAsia="仿宋_GB2312" w:cs="Wingdings"/>
          <w:sz w:val="32"/>
          <w:szCs w:val="32"/>
        </w:rPr>
      </w:pPr>
      <w:r>
        <w:rPr>
          <w:rFonts w:hint="eastAsia" w:ascii="仿宋_GB2312" w:hAnsi="Times New Roman" w:eastAsia="仿宋_GB2312" w:cs="Wingdings"/>
          <w:sz w:val="32"/>
          <w:szCs w:val="32"/>
        </w:rPr>
        <w:t>2020 年度财政拨款基本支出</w:t>
      </w:r>
      <w:r>
        <w:rPr>
          <w:rFonts w:hint="eastAsia" w:ascii="仿宋_GB2312" w:hAnsi="Times New Roman" w:eastAsia="仿宋_GB2312" w:cs="Wingdings"/>
          <w:sz w:val="32"/>
          <w:szCs w:val="32"/>
          <w:lang w:val="en-US" w:eastAsia="zh-CN"/>
        </w:rPr>
        <w:t>618.13</w:t>
      </w:r>
      <w:r>
        <w:rPr>
          <w:rFonts w:hint="eastAsia" w:ascii="仿宋_GB2312" w:hAnsi="Times New Roman" w:eastAsia="仿宋_GB2312" w:cs="Wingdings"/>
          <w:sz w:val="32"/>
          <w:szCs w:val="32"/>
        </w:rPr>
        <w:t xml:space="preserve">万元，其中：人员经费 </w:t>
      </w:r>
      <w:r>
        <w:rPr>
          <w:rFonts w:hint="eastAsia" w:ascii="仿宋_GB2312" w:hAnsi="Times New Roman" w:eastAsia="仿宋_GB2312" w:cs="Wingdings"/>
          <w:sz w:val="32"/>
          <w:szCs w:val="32"/>
          <w:lang w:val="en-US" w:eastAsia="zh-CN"/>
        </w:rPr>
        <w:t>519.56</w:t>
      </w:r>
      <w:r>
        <w:rPr>
          <w:rFonts w:hint="eastAsia" w:ascii="仿宋_GB2312" w:hAnsi="Times New Roman" w:eastAsia="仿宋_GB2312" w:cs="Wingdings"/>
          <w:sz w:val="32"/>
          <w:szCs w:val="32"/>
        </w:rPr>
        <w:t xml:space="preserve">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w:t>
      </w:r>
      <w:r>
        <w:rPr>
          <w:rFonts w:hint="eastAsia" w:ascii="仿宋_GB2312" w:hAnsi="Times New Roman" w:eastAsia="仿宋_GB2312" w:cs="Wingdings"/>
          <w:sz w:val="32"/>
          <w:szCs w:val="32"/>
          <w:lang w:val="en-US" w:eastAsia="zh-CN"/>
        </w:rPr>
        <w:t>98.57</w:t>
      </w:r>
      <w:r>
        <w:rPr>
          <w:rFonts w:hint="eastAsia" w:ascii="仿宋_GB2312" w:hAnsi="Times New Roman" w:eastAsia="仿宋_GB2312" w:cs="Wingdings"/>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pageBreakBefore w:val="0"/>
        <w:widowControl w:val="0"/>
        <w:kinsoku/>
        <w:wordWrap/>
        <w:overflowPunct/>
        <w:topLinePunct w:val="0"/>
        <w:bidi w:val="0"/>
        <w:snapToGrid w:val="0"/>
        <w:spacing w:line="620" w:lineRule="exact"/>
        <w:ind w:left="0" w:leftChars="0" w:right="0" w:rightChars="0" w:firstLine="640" w:firstLineChars="200"/>
        <w:textAlignment w:val="auto"/>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（一）“三公”经费财政拨款支出决算总体情况说明</w:t>
      </w:r>
    </w:p>
    <w:p>
      <w:pPr>
        <w:pageBreakBefore w:val="0"/>
        <w:widowControl w:val="0"/>
        <w:kinsoku/>
        <w:wordWrap/>
        <w:overflowPunct/>
        <w:topLinePunct w:val="0"/>
        <w:autoSpaceDE w:val="0"/>
        <w:autoSpaceDN w:val="0"/>
        <w:bidi w:val="0"/>
        <w:adjustRightInd w:val="0"/>
        <w:snapToGrid w:val="0"/>
        <w:spacing w:line="620" w:lineRule="exact"/>
        <w:ind w:left="0" w:leftChars="0" w:right="0" w:rightChars="0" w:firstLine="640" w:firstLineChars="200"/>
        <w:textAlignment w:val="auto"/>
        <w:rPr>
          <w:rFonts w:eastAsia="仿宋_GB2312"/>
          <w:sz w:val="32"/>
          <w:szCs w:val="32"/>
        </w:rPr>
      </w:pPr>
      <w:r>
        <w:rPr>
          <w:rFonts w:hint="eastAsia" w:eastAsia="仿宋_GB2312"/>
          <w:sz w:val="32"/>
          <w:szCs w:val="32"/>
          <w:lang w:val="en-US" w:eastAsia="zh-CN"/>
        </w:rPr>
        <w:t>近年来，本部门</w:t>
      </w:r>
      <w:r>
        <w:rPr>
          <w:rFonts w:hint="eastAsia" w:eastAsia="仿宋_GB2312"/>
          <w:sz w:val="32"/>
          <w:szCs w:val="32"/>
        </w:rPr>
        <w:t>严控“三公”经费支出，硬化预算约束，有效的控制了“三公”等相关经费的支出</w:t>
      </w:r>
      <w:r>
        <w:rPr>
          <w:rFonts w:eastAsia="仿宋_GB2312"/>
          <w:sz w:val="32"/>
          <w:szCs w:val="32"/>
        </w:rPr>
        <w:t>。</w:t>
      </w:r>
    </w:p>
    <w:p>
      <w:pPr>
        <w:pageBreakBefore w:val="0"/>
        <w:widowControl w:val="0"/>
        <w:kinsoku/>
        <w:wordWrap/>
        <w:overflowPunct/>
        <w:topLinePunct w:val="0"/>
        <w:bidi w:val="0"/>
        <w:adjustRightInd w:val="0"/>
        <w:snapToGrid w:val="0"/>
        <w:spacing w:line="620" w:lineRule="exact"/>
        <w:ind w:left="0" w:leftChars="0" w:right="0" w:rightChars="0" w:firstLine="640" w:firstLineChars="200"/>
        <w:textAlignment w:val="auto"/>
        <w:rPr>
          <w:rFonts w:hint="eastAsia" w:ascii="仿宋_GB2312" w:hAnsi="Times New Roman" w:eastAsia="仿宋_GB2312" w:cs="Wingdings"/>
          <w:sz w:val="32"/>
          <w:szCs w:val="32"/>
          <w:lang w:val="en-US" w:eastAsia="zh-CN"/>
        </w:rPr>
      </w:pPr>
      <w:r>
        <w:rPr>
          <w:rFonts w:hint="eastAsia" w:ascii="仿宋_GB2312" w:hAnsi="Times New Roman" w:eastAsia="仿宋_GB2312" w:cs="Wingdings"/>
          <w:sz w:val="32"/>
          <w:szCs w:val="32"/>
        </w:rPr>
        <w:t>2020年度“三公”经费财政拨款支出预算为</w:t>
      </w:r>
      <w:r>
        <w:rPr>
          <w:rFonts w:hint="eastAsia" w:ascii="仿宋_GB2312" w:hAnsi="Times New Roman" w:eastAsia="仿宋_GB2312" w:cs="Wingdings"/>
          <w:sz w:val="32"/>
          <w:szCs w:val="32"/>
          <w:lang w:val="en-US" w:eastAsia="zh-CN"/>
        </w:rPr>
        <w:t>21.2</w:t>
      </w:r>
      <w:r>
        <w:rPr>
          <w:rFonts w:hint="eastAsia" w:ascii="仿宋_GB2312" w:hAnsi="Times New Roman" w:eastAsia="仿宋_GB2312" w:cs="Wingdings"/>
          <w:sz w:val="32"/>
          <w:szCs w:val="32"/>
        </w:rPr>
        <w:t>万元，支出决算为</w:t>
      </w:r>
      <w:r>
        <w:rPr>
          <w:rFonts w:hint="eastAsia" w:ascii="仿宋_GB2312" w:hAnsi="Times New Roman" w:eastAsia="仿宋_GB2312" w:cs="Wingdings"/>
          <w:sz w:val="32"/>
          <w:szCs w:val="32"/>
          <w:lang w:val="en-US" w:eastAsia="zh-CN"/>
        </w:rPr>
        <w:t>14.4</w:t>
      </w:r>
      <w:r>
        <w:rPr>
          <w:rFonts w:hint="eastAsia" w:ascii="仿宋_GB2312" w:hAnsi="Times New Roman" w:eastAsia="仿宋_GB2312" w:cs="Wingdings"/>
          <w:sz w:val="32"/>
          <w:szCs w:val="32"/>
        </w:rPr>
        <w:t>元，完成预算的</w:t>
      </w:r>
      <w:r>
        <w:rPr>
          <w:rFonts w:hint="eastAsia" w:ascii="仿宋_GB2312" w:hAnsi="Times New Roman" w:eastAsia="仿宋_GB2312" w:cs="Wingdings"/>
          <w:sz w:val="32"/>
          <w:szCs w:val="32"/>
          <w:lang w:val="en-US" w:eastAsia="zh-CN"/>
        </w:rPr>
        <w:t>67.9</w:t>
      </w:r>
      <w:r>
        <w:rPr>
          <w:rFonts w:hint="eastAsia" w:ascii="仿宋_GB2312" w:hAnsi="Times New Roman" w:eastAsia="仿宋_GB2312" w:cs="Wingdings"/>
          <w:sz w:val="32"/>
          <w:szCs w:val="32"/>
        </w:rPr>
        <w:t>%,较预算减少</w:t>
      </w:r>
      <w:r>
        <w:rPr>
          <w:rFonts w:hint="eastAsia" w:ascii="仿宋_GB2312" w:hAnsi="Times New Roman" w:eastAsia="仿宋_GB2312" w:cs="Wingdings"/>
          <w:sz w:val="32"/>
          <w:szCs w:val="32"/>
          <w:lang w:val="en-US" w:eastAsia="zh-CN"/>
        </w:rPr>
        <w:t>6.8</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下降32.1</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val="en-US" w:eastAsia="zh-CN"/>
        </w:rPr>
        <w:t>一是加强公务用车管理，公务用车运行维护费3.13万元未形成预算支出；二是厉行节约，严控公务接待规模，公务接待费支出1.33万元，较预算少3.67万元。</w:t>
      </w:r>
    </w:p>
    <w:p>
      <w:pPr>
        <w:pageBreakBefore w:val="0"/>
        <w:widowControl w:val="0"/>
        <w:kinsoku/>
        <w:wordWrap/>
        <w:overflowPunct/>
        <w:topLinePunct w:val="0"/>
        <w:bidi w:val="0"/>
        <w:adjustRightInd w:val="0"/>
        <w:snapToGrid w:val="0"/>
        <w:spacing w:line="620" w:lineRule="exact"/>
        <w:ind w:left="0" w:leftChars="0" w:right="0" w:rightChars="0" w:firstLine="640" w:firstLineChars="200"/>
        <w:textAlignment w:val="auto"/>
        <w:rPr>
          <w:rFonts w:ascii="仿宋_GB2312" w:hAnsi="Times New Roman" w:eastAsia="仿宋_GB2312" w:cs="Wingdings"/>
          <w:sz w:val="32"/>
          <w:szCs w:val="32"/>
        </w:rPr>
      </w:pPr>
      <w:r>
        <w:rPr>
          <w:rFonts w:hint="eastAsia" w:ascii="仿宋_GB2312" w:hAnsi="Times New Roman" w:eastAsia="仿宋_GB2312" w:cs="Wingdings"/>
          <w:sz w:val="32"/>
          <w:szCs w:val="32"/>
          <w:lang w:val="en-US" w:eastAsia="zh-CN"/>
        </w:rPr>
        <w:t>与上年决算相比，本年“三公”经费支出增加0.08</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上升0.6</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val="en-US" w:eastAsia="zh-CN"/>
        </w:rPr>
        <w:t>公务用车运行公务费比上年减少0.51万元，公务接待比上年增加0.59万元。</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（二）“三公”经费财政拨款支出决算具体情况说明</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hint="default" w:ascii="仿宋_GB2312" w:hAnsi="Times New Roman" w:eastAsia="仿宋_GB2312" w:cs="Wingdings"/>
          <w:color w:val="auto"/>
          <w:sz w:val="32"/>
          <w:szCs w:val="32"/>
          <w:lang w:val="en-US" w:eastAsia="zh-CN"/>
        </w:rPr>
      </w:pPr>
      <w:r>
        <w:rPr>
          <w:rFonts w:hint="eastAsia" w:ascii="楷体_GB2312" w:hAnsi="Times New Roman" w:eastAsia="楷体_GB2312" w:cs="Mongolian Baiti"/>
          <w:b/>
          <w:bCs/>
          <w:sz w:val="32"/>
          <w:szCs w:val="32"/>
        </w:rPr>
        <w:t>1.因公出国（境）费</w:t>
      </w:r>
      <w:r>
        <w:rPr>
          <w:rFonts w:hint="eastAsia" w:ascii="楷体_GB2312" w:hAnsi="Times New Roman" w:eastAsia="楷体_GB2312" w:cs="Mongolian Baiti"/>
          <w:b/>
          <w:bCs/>
          <w:sz w:val="32"/>
          <w:szCs w:val="32"/>
          <w:lang w:eastAsia="zh-CN"/>
        </w:rPr>
        <w:t>。</w:t>
      </w:r>
      <w:r>
        <w:rPr>
          <w:rFonts w:hint="eastAsia" w:ascii="仿宋_GB2312" w:hAnsi="Times New Roman" w:eastAsia="仿宋_GB2312" w:cs="Wingdings"/>
          <w:sz w:val="32"/>
          <w:szCs w:val="32"/>
          <w:lang w:val="en-US" w:eastAsia="zh-CN"/>
        </w:rPr>
        <w:t>本</w:t>
      </w:r>
      <w:r>
        <w:rPr>
          <w:rFonts w:hint="eastAsia" w:ascii="仿宋_GB2312" w:hAnsi="Times New Roman" w:eastAsia="仿宋_GB2312" w:cs="Wingdings"/>
          <w:sz w:val="32"/>
          <w:szCs w:val="32"/>
          <w:lang w:eastAsia="zh-CN"/>
        </w:rPr>
        <w:t>部门</w:t>
      </w:r>
      <w:r>
        <w:rPr>
          <w:rFonts w:hint="eastAsia" w:ascii="仿宋_GB2312" w:hAnsi="Times New Roman" w:eastAsia="仿宋_GB2312" w:cs="Wingdings"/>
          <w:sz w:val="32"/>
          <w:szCs w:val="32"/>
        </w:rPr>
        <w:t>2020年</w:t>
      </w:r>
      <w:r>
        <w:rPr>
          <w:rFonts w:hint="eastAsia" w:ascii="仿宋_GB2312" w:hAnsi="Times New Roman" w:eastAsia="仿宋_GB2312" w:cs="Wingdings"/>
          <w:sz w:val="32"/>
          <w:szCs w:val="32"/>
          <w:lang w:val="en-US" w:eastAsia="zh-CN"/>
        </w:rPr>
        <w:t>无</w:t>
      </w:r>
      <w:r>
        <w:rPr>
          <w:rFonts w:hint="eastAsia" w:ascii="仿宋_GB2312" w:hAnsi="Times New Roman" w:eastAsia="仿宋_GB2312" w:cs="Wingdings"/>
          <w:sz w:val="32"/>
          <w:szCs w:val="32"/>
        </w:rPr>
        <w:t>因公出国（境）</w:t>
      </w:r>
      <w:r>
        <w:rPr>
          <w:rFonts w:hint="eastAsia" w:ascii="仿宋_GB2312" w:hAnsi="Times New Roman" w:eastAsia="仿宋_GB2312" w:cs="Wingdings"/>
          <w:sz w:val="32"/>
          <w:szCs w:val="32"/>
          <w:lang w:val="en-US" w:eastAsia="zh-CN"/>
        </w:rPr>
        <w:t>活动，未发生因公出国（境）费支</w:t>
      </w:r>
      <w:r>
        <w:rPr>
          <w:rFonts w:hint="eastAsia" w:ascii="仿宋_GB2312" w:hAnsi="Times New Roman" w:eastAsia="仿宋_GB2312" w:cs="Wingdings"/>
          <w:color w:val="auto"/>
          <w:sz w:val="32"/>
          <w:szCs w:val="32"/>
          <w:lang w:val="en-US" w:eastAsia="zh-CN"/>
        </w:rPr>
        <w:t>出，与预算持平，与上年决算支出持平无增减变化。</w:t>
      </w:r>
      <w:bookmarkStart w:id="0" w:name="_GoBack"/>
      <w:bookmarkEnd w:id="0"/>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仿宋_GB2312" w:hAnsi="Times New Roman" w:eastAsia="仿宋_GB2312" w:cs="Mongolian Baiti"/>
          <w:b/>
          <w:bCs/>
          <w:sz w:val="32"/>
          <w:szCs w:val="32"/>
        </w:rPr>
      </w:pPr>
      <w:r>
        <w:rPr>
          <w:rFonts w:hint="eastAsia" w:ascii="楷体_GB2312" w:hAnsi="Times New Roman" w:eastAsia="楷体_GB2312" w:cs="Mongolian Baiti"/>
          <w:b/>
          <w:bCs/>
          <w:sz w:val="32"/>
          <w:szCs w:val="32"/>
        </w:rPr>
        <w:t>2.公务用车购置及运行维护费</w:t>
      </w:r>
      <w:r>
        <w:rPr>
          <w:rFonts w:hint="eastAsia" w:ascii="楷体_GB2312" w:hAnsi="Times New Roman" w:eastAsia="楷体_GB2312" w:cs="Mongolian Baiti"/>
          <w:b/>
          <w:bCs/>
          <w:sz w:val="32"/>
          <w:szCs w:val="32"/>
          <w:lang w:eastAsia="zh-CN"/>
        </w:rPr>
        <w:t>。</w:t>
      </w:r>
      <w:r>
        <w:rPr>
          <w:rFonts w:hint="eastAsia" w:ascii="仿宋_GB2312" w:hAnsi="Times New Roman" w:eastAsia="仿宋_GB2312" w:cs="Wingdings"/>
          <w:sz w:val="32"/>
          <w:szCs w:val="32"/>
          <w:lang w:val="en-US" w:eastAsia="zh-CN"/>
        </w:rPr>
        <w:t>本</w:t>
      </w:r>
      <w:r>
        <w:rPr>
          <w:rFonts w:hint="eastAsia" w:ascii="仿宋_GB2312" w:hAnsi="Times New Roman" w:eastAsia="仿宋_GB2312" w:cs="Wingdings"/>
          <w:sz w:val="32"/>
          <w:szCs w:val="32"/>
          <w:lang w:eastAsia="zh-CN"/>
        </w:rPr>
        <w:t>部门</w:t>
      </w:r>
      <w:r>
        <w:rPr>
          <w:rFonts w:hint="eastAsia" w:ascii="仿宋_GB2312" w:hAnsi="Times New Roman" w:eastAsia="仿宋_GB2312" w:cs="Wingdings"/>
          <w:sz w:val="32"/>
          <w:szCs w:val="32"/>
        </w:rPr>
        <w:t>2020年度公务用车购置及运行维护费</w:t>
      </w:r>
      <w:r>
        <w:rPr>
          <w:rFonts w:hint="eastAsia" w:ascii="仿宋_GB2312" w:hAnsi="Times New Roman" w:eastAsia="仿宋_GB2312" w:cs="Wingdings"/>
          <w:sz w:val="32"/>
          <w:szCs w:val="32"/>
          <w:lang w:val="en-US" w:eastAsia="zh-CN"/>
        </w:rPr>
        <w:t>支出13.07万元，</w:t>
      </w:r>
      <w:r>
        <w:rPr>
          <w:rFonts w:hint="eastAsia" w:ascii="仿宋_GB2312" w:hAnsi="Times New Roman" w:eastAsia="仿宋_GB2312" w:cs="Wingdings"/>
          <w:sz w:val="32"/>
          <w:szCs w:val="32"/>
        </w:rPr>
        <w:t>较预算减少</w:t>
      </w:r>
      <w:r>
        <w:rPr>
          <w:rFonts w:hint="eastAsia" w:ascii="仿宋_GB2312" w:hAnsi="Times New Roman" w:eastAsia="仿宋_GB2312" w:cs="Wingdings"/>
          <w:sz w:val="32"/>
          <w:szCs w:val="32"/>
          <w:lang w:val="en-US" w:eastAsia="zh-CN"/>
        </w:rPr>
        <w:t>3.13</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24.0</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val="en-US" w:eastAsia="zh-CN"/>
        </w:rPr>
        <w:t>其中公车购置费0万元，与预算持平。</w:t>
      </w:r>
      <w:r>
        <w:rPr>
          <w:rFonts w:hint="eastAsia" w:ascii="仿宋_GB2312" w:hAnsi="Times New Roman" w:eastAsia="仿宋_GB2312" w:cs="Mongolian Baiti"/>
          <w:b/>
          <w:bCs/>
          <w:sz w:val="32"/>
          <w:szCs w:val="32"/>
        </w:rPr>
        <w:t>其中：</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仿宋_GB2312" w:hAnsi="Times New Roman" w:eastAsia="仿宋_GB2312" w:cs="Wingdings"/>
          <w:sz w:val="32"/>
          <w:szCs w:val="32"/>
        </w:rPr>
      </w:pPr>
      <w:r>
        <w:rPr>
          <w:rFonts w:hint="eastAsia" w:ascii="仿宋_GB2312" w:hAnsi="Times New Roman" w:eastAsia="仿宋_GB2312" w:cs="Wingdings"/>
          <w:b/>
          <w:sz w:val="32"/>
          <w:szCs w:val="32"/>
        </w:rPr>
        <w:t>公务用车购置费支出：</w:t>
      </w:r>
      <w:r>
        <w:rPr>
          <w:rFonts w:hint="eastAsia" w:ascii="仿宋_GB2312" w:hAnsi="Times New Roman" w:eastAsia="仿宋_GB2312" w:cs="Wingdings"/>
          <w:sz w:val="32"/>
          <w:szCs w:val="32"/>
          <w:lang w:val="en-US" w:eastAsia="zh-CN"/>
        </w:rPr>
        <w:t>本</w:t>
      </w:r>
      <w:r>
        <w:rPr>
          <w:rFonts w:hint="eastAsia" w:ascii="仿宋_GB2312" w:hAnsi="Times New Roman" w:eastAsia="仿宋_GB2312" w:cs="Wingdings"/>
          <w:sz w:val="32"/>
          <w:szCs w:val="32"/>
          <w:lang w:eastAsia="zh-CN"/>
        </w:rPr>
        <w:t>部门</w:t>
      </w:r>
      <w:r>
        <w:rPr>
          <w:rFonts w:hint="eastAsia" w:ascii="仿宋_GB2312" w:hAnsi="Times New Roman" w:eastAsia="仿宋_GB2312" w:cs="Wingdings"/>
          <w:sz w:val="32"/>
          <w:szCs w:val="32"/>
        </w:rPr>
        <w:t>2020年度公务用车购置量</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辆，</w:t>
      </w:r>
      <w:r>
        <w:rPr>
          <w:rFonts w:hint="eastAsia" w:ascii="仿宋_GB2312" w:hAnsi="Times New Roman" w:eastAsia="仿宋_GB2312" w:cs="Wingdings"/>
          <w:sz w:val="32"/>
          <w:szCs w:val="32"/>
          <w:lang w:val="en-US" w:eastAsia="zh-CN"/>
        </w:rPr>
        <w:t>未</w:t>
      </w:r>
      <w:r>
        <w:rPr>
          <w:rFonts w:hint="eastAsia" w:ascii="仿宋_GB2312" w:hAnsi="Times New Roman" w:eastAsia="仿宋_GB2312" w:cs="Wingdings"/>
          <w:sz w:val="32"/>
          <w:szCs w:val="32"/>
        </w:rPr>
        <w:t>发生“公务用车购置”经费支出</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lang w:val="en-US" w:eastAsia="zh-CN"/>
        </w:rPr>
        <w:t>与预算和上年决算持平</w:t>
      </w:r>
      <w:r>
        <w:rPr>
          <w:rFonts w:hint="eastAsia" w:ascii="仿宋_GB2312" w:hAnsi="Times New Roman" w:eastAsia="仿宋_GB2312" w:cs="Wingdings"/>
          <w:sz w:val="32"/>
          <w:szCs w:val="32"/>
        </w:rPr>
        <w:t>。</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仿宋_GB2312" w:hAnsi="Times New Roman" w:eastAsia="仿宋_GB2312" w:cs="Wingdings"/>
          <w:sz w:val="32"/>
          <w:szCs w:val="32"/>
        </w:rPr>
      </w:pPr>
      <w:r>
        <w:rPr>
          <w:rFonts w:hint="eastAsia" w:ascii="仿宋_GB2312" w:hAnsi="Times New Roman" w:eastAsia="仿宋_GB2312" w:cs="Wingdings"/>
          <w:b/>
          <w:sz w:val="32"/>
          <w:szCs w:val="32"/>
        </w:rPr>
        <w:t>公务用车运行维护费支出</w:t>
      </w:r>
      <w:r>
        <w:rPr>
          <w:rFonts w:hint="eastAsia" w:ascii="仿宋_GB2312" w:hAnsi="Times New Roman" w:eastAsia="仿宋_GB2312" w:cs="Wingdings"/>
          <w:b/>
          <w:sz w:val="32"/>
          <w:szCs w:val="32"/>
          <w:lang w:eastAsia="zh-CN"/>
        </w:rPr>
        <w:t>：</w:t>
      </w:r>
      <w:r>
        <w:rPr>
          <w:rFonts w:hint="eastAsia" w:ascii="仿宋_GB2312" w:hAnsi="Times New Roman" w:eastAsia="仿宋_GB2312" w:cs="Wingdings"/>
          <w:sz w:val="32"/>
          <w:szCs w:val="32"/>
          <w:lang w:val="en-US" w:eastAsia="zh-CN"/>
        </w:rPr>
        <w:t>本</w:t>
      </w:r>
      <w:r>
        <w:rPr>
          <w:rFonts w:hint="eastAsia" w:ascii="仿宋_GB2312" w:hAnsi="Times New Roman" w:eastAsia="仿宋_GB2312" w:cs="Wingdings"/>
          <w:sz w:val="32"/>
          <w:szCs w:val="32"/>
          <w:lang w:eastAsia="zh-CN"/>
        </w:rPr>
        <w:t>部门</w:t>
      </w:r>
      <w:r>
        <w:rPr>
          <w:rFonts w:hint="eastAsia" w:ascii="仿宋_GB2312" w:hAnsi="Times New Roman" w:eastAsia="仿宋_GB2312" w:cs="Wingdings"/>
          <w:sz w:val="32"/>
          <w:szCs w:val="32"/>
        </w:rPr>
        <w:t>2020年度公务用车保有量</w:t>
      </w:r>
      <w:r>
        <w:rPr>
          <w:rFonts w:hint="eastAsia" w:ascii="仿宋_GB2312" w:hAnsi="Times New Roman" w:eastAsia="仿宋_GB2312" w:cs="Wingdings"/>
          <w:sz w:val="32"/>
          <w:szCs w:val="32"/>
          <w:lang w:val="en-US" w:eastAsia="zh-CN"/>
        </w:rPr>
        <w:t>6</w:t>
      </w:r>
      <w:r>
        <w:rPr>
          <w:rFonts w:hint="eastAsia" w:ascii="仿宋_GB2312" w:hAnsi="Times New Roman" w:eastAsia="仿宋_GB2312" w:cs="Wingdings"/>
          <w:sz w:val="32"/>
          <w:szCs w:val="32"/>
        </w:rPr>
        <w:t>辆</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lang w:val="en-US" w:eastAsia="zh-CN"/>
        </w:rPr>
        <w:t>公务用车运维费支出13.07万元。</w:t>
      </w:r>
      <w:r>
        <w:rPr>
          <w:rFonts w:hint="eastAsia" w:ascii="仿宋_GB2312" w:hAnsi="Times New Roman" w:eastAsia="仿宋_GB2312" w:cs="Wingdings"/>
          <w:sz w:val="32"/>
          <w:szCs w:val="32"/>
        </w:rPr>
        <w:t>公车运行维护费支出较预算减少</w:t>
      </w:r>
      <w:r>
        <w:rPr>
          <w:rFonts w:hint="eastAsia" w:ascii="仿宋_GB2312" w:hAnsi="Times New Roman" w:eastAsia="仿宋_GB2312" w:cs="Wingdings"/>
          <w:sz w:val="32"/>
          <w:szCs w:val="32"/>
          <w:lang w:val="en-US" w:eastAsia="zh-CN"/>
        </w:rPr>
        <w:t>3.13</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下降24.0</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val="en-US" w:eastAsia="zh-CN"/>
        </w:rPr>
        <w:t>硬化预算约束，严守公务用车配备及使用纪律所致</w:t>
      </w:r>
      <w:r>
        <w:rPr>
          <w:rFonts w:hint="eastAsia" w:ascii="仿宋_GB2312" w:hAnsi="Times New Roman" w:eastAsia="仿宋_GB2312" w:cs="Wingdings"/>
          <w:sz w:val="32"/>
          <w:szCs w:val="32"/>
        </w:rPr>
        <w:t>。较上年</w:t>
      </w:r>
      <w:r>
        <w:rPr>
          <w:rFonts w:hint="eastAsia" w:ascii="仿宋_GB2312" w:hAnsi="Times New Roman" w:eastAsia="仿宋_GB2312" w:cs="Wingdings"/>
          <w:sz w:val="32"/>
          <w:szCs w:val="32"/>
          <w:lang w:val="en-US" w:eastAsia="zh-CN"/>
        </w:rPr>
        <w:t>决算减少了0.51</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降低3.8</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val="en-US" w:eastAsia="zh-CN"/>
        </w:rPr>
        <w:t>严守公务用车配备及使用纪律，支出较上年略有减少，基本保持平稳</w:t>
      </w:r>
      <w:r>
        <w:rPr>
          <w:rFonts w:hint="eastAsia" w:ascii="仿宋_GB2312" w:hAnsi="Times New Roman" w:eastAsia="仿宋_GB2312" w:cs="Wingdings"/>
          <w:sz w:val="32"/>
          <w:szCs w:val="32"/>
        </w:rPr>
        <w:t>。</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仿宋_GB2312" w:hAnsi="Times New Roman" w:eastAsia="仿宋_GB2312" w:cs="Wingdings"/>
          <w:sz w:val="32"/>
          <w:szCs w:val="32"/>
        </w:rPr>
      </w:pPr>
      <w:r>
        <w:rPr>
          <w:rFonts w:hint="eastAsia" w:ascii="楷体_GB2312" w:hAnsi="Times New Roman" w:eastAsia="楷体_GB2312" w:cs="Mongolian Baiti"/>
          <w:b/>
          <w:bCs/>
          <w:sz w:val="32"/>
          <w:szCs w:val="32"/>
        </w:rPr>
        <w:t>3.公务接待费</w:t>
      </w:r>
      <w:r>
        <w:rPr>
          <w:rFonts w:hint="eastAsia" w:ascii="楷体_GB2312" w:hAnsi="Times New Roman" w:eastAsia="楷体_GB2312" w:cs="Mongolian Baiti"/>
          <w:b/>
          <w:bCs/>
          <w:sz w:val="32"/>
          <w:szCs w:val="32"/>
          <w:lang w:eastAsia="zh-CN"/>
        </w:rPr>
        <w:t>。</w:t>
      </w:r>
      <w:r>
        <w:rPr>
          <w:rFonts w:hint="eastAsia" w:ascii="仿宋_GB2312" w:hAnsi="Times New Roman" w:eastAsia="仿宋_GB2312" w:cs="Wingdings"/>
          <w:sz w:val="32"/>
          <w:szCs w:val="32"/>
          <w:lang w:val="en-US" w:eastAsia="zh-CN"/>
        </w:rPr>
        <w:t>本部门2020年公务接待费支出1.33万元，其中</w:t>
      </w:r>
      <w:r>
        <w:rPr>
          <w:rFonts w:hint="eastAsia" w:ascii="仿宋_GB2312" w:hAnsi="Times New Roman" w:eastAsia="仿宋_GB2312" w:cs="Wingdings"/>
          <w:sz w:val="32"/>
          <w:szCs w:val="32"/>
        </w:rPr>
        <w:t>公务接待共</w:t>
      </w:r>
      <w:r>
        <w:rPr>
          <w:rFonts w:hint="eastAsia" w:ascii="仿宋_GB2312" w:hAnsi="Times New Roman" w:eastAsia="仿宋_GB2312" w:cs="Wingdings"/>
          <w:sz w:val="32"/>
          <w:szCs w:val="32"/>
          <w:lang w:val="en-US" w:eastAsia="zh-CN"/>
        </w:rPr>
        <w:t>7</w:t>
      </w:r>
      <w:r>
        <w:rPr>
          <w:rFonts w:hint="eastAsia" w:ascii="仿宋_GB2312" w:hAnsi="Times New Roman" w:eastAsia="仿宋_GB2312" w:cs="Wingdings"/>
          <w:sz w:val="32"/>
          <w:szCs w:val="32"/>
        </w:rPr>
        <w:t>批次、</w:t>
      </w:r>
      <w:r>
        <w:rPr>
          <w:rFonts w:hint="eastAsia" w:ascii="仿宋_GB2312" w:hAnsi="Times New Roman" w:eastAsia="仿宋_GB2312" w:cs="Wingdings"/>
          <w:sz w:val="32"/>
          <w:szCs w:val="32"/>
          <w:lang w:val="en-US" w:eastAsia="zh-CN"/>
        </w:rPr>
        <w:t>200</w:t>
      </w:r>
      <w:r>
        <w:rPr>
          <w:rFonts w:hint="eastAsia" w:ascii="仿宋_GB2312" w:hAnsi="Times New Roman" w:eastAsia="仿宋_GB2312" w:cs="Wingdings"/>
          <w:sz w:val="32"/>
          <w:szCs w:val="32"/>
        </w:rPr>
        <w:t>人次。公务接待费支出较预算减少</w:t>
      </w:r>
      <w:r>
        <w:rPr>
          <w:rFonts w:hint="eastAsia" w:ascii="仿宋_GB2312" w:hAnsi="Times New Roman" w:eastAsia="仿宋_GB2312" w:cs="Wingdings"/>
          <w:sz w:val="32"/>
          <w:szCs w:val="32"/>
          <w:lang w:val="en-US" w:eastAsia="zh-CN"/>
        </w:rPr>
        <w:t>3.67</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73.4</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val="en-US" w:eastAsia="zh-CN"/>
        </w:rPr>
        <w:t>厉行节约，严格规范公务接待行为和经费支出所致</w:t>
      </w:r>
      <w:r>
        <w:rPr>
          <w:rFonts w:hint="eastAsia" w:ascii="仿宋_GB2312" w:hAnsi="Times New Roman" w:eastAsia="仿宋_GB2312" w:cs="Wingdings"/>
          <w:sz w:val="32"/>
          <w:szCs w:val="32"/>
        </w:rPr>
        <w:t>；较上年度</w:t>
      </w:r>
      <w:r>
        <w:rPr>
          <w:rFonts w:hint="eastAsia" w:ascii="仿宋_GB2312" w:hAnsi="Times New Roman" w:eastAsia="仿宋_GB2312" w:cs="Wingdings"/>
          <w:sz w:val="32"/>
          <w:szCs w:val="32"/>
          <w:lang w:val="en-US" w:eastAsia="zh-CN"/>
        </w:rPr>
        <w:t>增加0.59</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增长44.4</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val="en-US" w:eastAsia="zh-CN"/>
        </w:rPr>
        <w:t>主要是接待批次和人次较上年有所增加，虽然支出规模有所增长但远低于预算，体现了近两年来本部门硬化预算约束，严控三公经费支出取得切实成效</w:t>
      </w:r>
      <w:r>
        <w:rPr>
          <w:rFonts w:hint="eastAsia" w:ascii="仿宋_GB2312" w:hAnsi="Times New Roman" w:eastAsia="仿宋_GB2312" w:cs="Wingdings"/>
          <w:sz w:val="32"/>
          <w:szCs w:val="32"/>
        </w:rPr>
        <w:t>。</w:t>
      </w:r>
    </w:p>
    <w:p>
      <w:pPr>
        <w:pageBreakBefore w:val="0"/>
        <w:widowControl w:val="0"/>
        <w:kinsoku/>
        <w:wordWrap/>
        <w:overflowPunct/>
        <w:topLinePunct w:val="0"/>
        <w:bidi w:val="0"/>
        <w:adjustRightInd w:val="0"/>
        <w:snapToGrid w:val="0"/>
        <w:spacing w:line="620" w:lineRule="exact"/>
        <w:ind w:left="0" w:leftChars="0" w:right="0" w:rightChars="0" w:firstLine="640" w:firstLineChars="200"/>
        <w:textAlignment w:val="auto"/>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（一）预算绩效管理工作开展情况。</w:t>
      </w:r>
    </w:p>
    <w:p>
      <w:pPr>
        <w:pageBreakBefore w:val="0"/>
        <w:widowControl w:val="0"/>
        <w:kinsoku/>
        <w:wordWrap/>
        <w:overflowPunct/>
        <w:topLinePunct w:val="0"/>
        <w:bidi w:val="0"/>
        <w:adjustRightInd w:val="0"/>
        <w:snapToGrid w:val="0"/>
        <w:spacing w:line="620" w:lineRule="exact"/>
        <w:ind w:left="0" w:leftChars="0" w:right="0" w:rightChars="0" w:firstLine="640" w:firstLineChars="200"/>
        <w:textAlignment w:val="auto"/>
        <w:rPr>
          <w:rFonts w:hint="eastAsia" w:ascii="仿宋_GB2312" w:hAnsi="Times New Roman" w:eastAsia="仿宋_GB2312" w:cs="Wingdings"/>
          <w:sz w:val="32"/>
          <w:szCs w:val="32"/>
        </w:rPr>
      </w:pPr>
      <w:r>
        <w:rPr>
          <w:rFonts w:hint="eastAsia" w:ascii="仿宋_GB2312" w:hAnsi="Times New Roman" w:eastAsia="仿宋_GB2312" w:cs="Wingdings"/>
          <w:sz w:val="32"/>
          <w:szCs w:val="32"/>
        </w:rPr>
        <w:t>根据河北省委省政府《关于全面实施预算绩效管理的实施意见》（冀发）〔2018〕54号）、《河北省财政厅关于贯彻落实中央和省委省政府决策部署全面实施预算绩效管理的通知》（冀财预〔2019〕7号）、《河北省省级部门预算项目绩效自评管理办法》（冀财绩〔2019〕10号）、《项目支出绩效评价管理办法》（财预〔2020〕10 号）等</w:t>
      </w:r>
      <w:r>
        <w:rPr>
          <w:rFonts w:hint="eastAsia" w:ascii="仿宋_GB2312" w:hAnsi="Times New Roman" w:eastAsia="仿宋_GB2312" w:cs="Wingdings"/>
          <w:sz w:val="32"/>
          <w:szCs w:val="32"/>
          <w:lang w:val="en-US" w:eastAsia="zh-CN"/>
        </w:rPr>
        <w:t>文件要求</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lang w:val="en-US" w:eastAsia="zh-CN"/>
        </w:rPr>
        <w:t>本</w:t>
      </w:r>
      <w:r>
        <w:rPr>
          <w:rFonts w:hint="eastAsia" w:ascii="仿宋_GB2312" w:hAnsi="Times New Roman" w:eastAsia="仿宋_GB2312" w:cs="Wingdings"/>
          <w:sz w:val="32"/>
          <w:szCs w:val="32"/>
          <w:lang w:eastAsia="zh-CN"/>
        </w:rPr>
        <w:t>部门</w:t>
      </w:r>
      <w:r>
        <w:rPr>
          <w:rFonts w:hint="eastAsia" w:ascii="仿宋_GB2312" w:hAnsi="Times New Roman" w:eastAsia="仿宋_GB2312" w:cs="Wingdings"/>
          <w:sz w:val="32"/>
          <w:szCs w:val="32"/>
        </w:rPr>
        <w:t>组织对2020年度</w:t>
      </w:r>
      <w:r>
        <w:rPr>
          <w:rFonts w:hint="eastAsia" w:ascii="仿宋_GB2312" w:hAnsi="Times New Roman" w:eastAsia="仿宋_GB2312" w:cs="Wingdings"/>
          <w:sz w:val="32"/>
          <w:szCs w:val="32"/>
          <w:lang w:val="en-US" w:eastAsia="zh-CN"/>
        </w:rPr>
        <w:t>6</w:t>
      </w:r>
      <w:r>
        <w:rPr>
          <w:rFonts w:hint="eastAsia" w:ascii="仿宋_GB2312" w:hAnsi="Times New Roman" w:eastAsia="仿宋_GB2312" w:cs="Wingdings"/>
          <w:sz w:val="32"/>
          <w:szCs w:val="32"/>
        </w:rPr>
        <w:t>个一级项目全面开展绩效自评</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rPr>
        <w:t>共涉及资金</w:t>
      </w:r>
      <w:r>
        <w:rPr>
          <w:rFonts w:hint="eastAsia" w:ascii="仿宋_GB2312" w:hAnsi="Times New Roman" w:eastAsia="仿宋_GB2312" w:cs="Wingdings"/>
          <w:sz w:val="32"/>
          <w:szCs w:val="32"/>
          <w:lang w:val="en-US" w:eastAsia="zh-CN"/>
        </w:rPr>
        <w:t>60.93</w:t>
      </w:r>
      <w:r>
        <w:rPr>
          <w:rFonts w:hint="eastAsia" w:ascii="仿宋_GB2312" w:hAnsi="Times New Roman" w:eastAsia="仿宋_GB2312" w:cs="Wingdings"/>
          <w:sz w:val="32"/>
          <w:szCs w:val="32"/>
        </w:rPr>
        <w:t>万元。</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 部门决算中项目绩效自评结果。</w:t>
      </w:r>
    </w:p>
    <w:p>
      <w:pPr>
        <w:pageBreakBefore w:val="0"/>
        <w:widowControl w:val="0"/>
        <w:kinsoku/>
        <w:wordWrap/>
        <w:overflowPunct/>
        <w:topLinePunct w:val="0"/>
        <w:bidi w:val="0"/>
        <w:adjustRightInd/>
        <w:snapToGrid w:val="0"/>
        <w:spacing w:before="0" w:after="0" w:line="620" w:lineRule="exact"/>
        <w:ind w:left="0" w:leftChars="0" w:right="0" w:rightChars="0" w:firstLine="640" w:firstLineChars="200"/>
        <w:textAlignment w:val="auto"/>
        <w:outlineLvl w:val="9"/>
        <w:rPr>
          <w:rFonts w:hint="eastAsia" w:ascii="仿宋_GB2312" w:hAnsi="宋体" w:eastAsia="仿宋_GB2312"/>
          <w:sz w:val="32"/>
          <w:szCs w:val="32"/>
        </w:rPr>
      </w:pPr>
      <w:r>
        <w:rPr>
          <w:rFonts w:hint="eastAsia" w:ascii="仿宋_GB2312" w:hAnsi="宋体" w:eastAsia="仿宋_GB2312"/>
          <w:sz w:val="32"/>
          <w:szCs w:val="32"/>
        </w:rPr>
        <w:t>2020年</w:t>
      </w:r>
      <w:r>
        <w:rPr>
          <w:rFonts w:hint="eastAsia" w:ascii="仿宋_GB2312" w:hAnsi="宋体" w:eastAsia="仿宋_GB2312"/>
          <w:sz w:val="32"/>
          <w:szCs w:val="32"/>
          <w:lang w:val="en-US" w:eastAsia="zh-CN"/>
        </w:rPr>
        <w:t>本</w:t>
      </w:r>
      <w:r>
        <w:rPr>
          <w:rFonts w:hint="eastAsia" w:ascii="仿宋_GB2312" w:hAnsi="宋体" w:eastAsia="仿宋_GB2312"/>
          <w:sz w:val="32"/>
          <w:szCs w:val="32"/>
          <w:lang w:eastAsia="zh-CN"/>
        </w:rPr>
        <w:t>部门</w:t>
      </w:r>
      <w:r>
        <w:rPr>
          <w:rFonts w:hint="eastAsia" w:ascii="仿宋_GB2312" w:hAnsi="宋体" w:eastAsia="仿宋_GB2312"/>
          <w:sz w:val="32"/>
          <w:szCs w:val="32"/>
        </w:rPr>
        <w:t>绩效自评项目共</w:t>
      </w:r>
      <w:r>
        <w:rPr>
          <w:rFonts w:hint="eastAsia" w:ascii="仿宋_GB2312" w:hAnsi="宋体" w:eastAsia="仿宋_GB2312"/>
          <w:sz w:val="32"/>
          <w:szCs w:val="32"/>
          <w:lang w:val="en-US" w:eastAsia="zh-CN"/>
        </w:rPr>
        <w:t>6</w:t>
      </w:r>
      <w:r>
        <w:rPr>
          <w:rFonts w:hint="eastAsia" w:ascii="仿宋_GB2312" w:hAnsi="宋体" w:eastAsia="仿宋_GB2312"/>
          <w:sz w:val="32"/>
          <w:szCs w:val="32"/>
        </w:rPr>
        <w:t>个，其中</w:t>
      </w:r>
      <w:r>
        <w:rPr>
          <w:rFonts w:hint="eastAsia" w:ascii="仿宋_GB2312" w:hAnsi="仿宋" w:eastAsia="仿宋_GB2312"/>
          <w:sz w:val="32"/>
          <w:szCs w:val="32"/>
        </w:rPr>
        <w:t>评价等级为“优”项目</w:t>
      </w:r>
      <w:r>
        <w:rPr>
          <w:rFonts w:hint="eastAsia" w:ascii="仿宋_GB2312" w:hAnsi="仿宋" w:eastAsia="仿宋_GB2312"/>
          <w:sz w:val="32"/>
          <w:szCs w:val="32"/>
          <w:lang w:val="en-US" w:eastAsia="zh-CN"/>
        </w:rPr>
        <w:t>6</w:t>
      </w:r>
      <w:r>
        <w:rPr>
          <w:rFonts w:hint="eastAsia" w:ascii="仿宋_GB2312" w:hAnsi="仿宋" w:eastAsia="仿宋_GB2312"/>
          <w:sz w:val="32"/>
          <w:szCs w:val="32"/>
        </w:rPr>
        <w:t>个，评优率为</w:t>
      </w:r>
      <w:r>
        <w:rPr>
          <w:rFonts w:hint="eastAsia" w:ascii="仿宋_GB2312" w:hAnsi="仿宋" w:eastAsia="仿宋_GB2312"/>
          <w:sz w:val="32"/>
          <w:szCs w:val="32"/>
          <w:lang w:val="en-US" w:eastAsia="zh-CN"/>
        </w:rPr>
        <w:t>100.0</w:t>
      </w:r>
      <w:r>
        <w:rPr>
          <w:rFonts w:hint="eastAsia" w:ascii="仿宋_GB2312" w:hAnsi="仿宋" w:eastAsia="仿宋_GB2312"/>
          <w:sz w:val="32"/>
          <w:szCs w:val="32"/>
        </w:rPr>
        <w:t>%。</w:t>
      </w:r>
      <w:r>
        <w:rPr>
          <w:rFonts w:hint="eastAsia" w:ascii="仿宋_GB2312" w:hAnsi="宋体" w:eastAsia="仿宋_GB2312"/>
          <w:sz w:val="32"/>
          <w:szCs w:val="32"/>
        </w:rPr>
        <w:t>详见</w:t>
      </w:r>
      <w:r>
        <w:rPr>
          <w:rFonts w:hint="eastAsia" w:ascii="仿宋_GB2312" w:hAnsi="宋体" w:eastAsia="仿宋_GB2312"/>
          <w:sz w:val="32"/>
          <w:szCs w:val="32"/>
          <w:lang w:val="en-US" w:eastAsia="zh-CN"/>
        </w:rPr>
        <w:t>下</w:t>
      </w:r>
      <w:r>
        <w:rPr>
          <w:rFonts w:hint="eastAsia" w:ascii="仿宋_GB2312" w:hAnsi="宋体" w:eastAsia="仿宋_GB2312"/>
          <w:sz w:val="32"/>
          <w:szCs w:val="32"/>
        </w:rPr>
        <w:t>表。</w:t>
      </w:r>
    </w:p>
    <w:p>
      <w:pPr>
        <w:wordWrap/>
        <w:adjustRightInd/>
        <w:snapToGrid w:val="0"/>
        <w:spacing w:before="0" w:after="0" w:line="360" w:lineRule="auto"/>
        <w:ind w:left="-105" w:leftChars="-50" w:right="-105" w:rightChars="-50" w:firstLine="640" w:firstLineChars="200"/>
        <w:textAlignment w:val="auto"/>
        <w:outlineLvl w:val="9"/>
        <w:rPr>
          <w:rFonts w:hint="eastAsia" w:ascii="仿宋_GB2312" w:hAnsi="宋体" w:eastAsia="仿宋_GB2312"/>
          <w:sz w:val="32"/>
          <w:szCs w:val="32"/>
        </w:rPr>
      </w:pPr>
    </w:p>
    <w:p>
      <w:pPr>
        <w:wordWrap/>
        <w:adjustRightInd/>
        <w:snapToGrid w:val="0"/>
        <w:spacing w:before="0" w:after="0" w:line="360" w:lineRule="auto"/>
        <w:ind w:left="-105" w:leftChars="-50" w:right="-105" w:rightChars="-50"/>
        <w:jc w:val="center"/>
        <w:textAlignment w:val="auto"/>
        <w:outlineLvl w:val="9"/>
        <w:rPr>
          <w:rFonts w:ascii="仿宋_GB2312" w:hAnsi="宋体" w:eastAsia="仿宋_GB2312"/>
          <w:b/>
          <w:sz w:val="32"/>
          <w:szCs w:val="32"/>
        </w:rPr>
      </w:pPr>
      <w:r>
        <w:rPr>
          <w:rFonts w:hint="eastAsia" w:ascii="仿宋_GB2312" w:hAnsi="宋体" w:eastAsia="仿宋_GB2312"/>
          <w:b/>
          <w:sz w:val="32"/>
          <w:szCs w:val="32"/>
          <w:lang w:val="en-US" w:eastAsia="zh-CN"/>
        </w:rPr>
        <w:t>本部门</w:t>
      </w:r>
      <w:r>
        <w:rPr>
          <w:rFonts w:hint="eastAsia" w:ascii="仿宋_GB2312" w:hAnsi="宋体" w:eastAsia="仿宋_GB2312"/>
          <w:b/>
          <w:sz w:val="32"/>
          <w:szCs w:val="32"/>
        </w:rPr>
        <w:t>绩效自评结果统计表</w:t>
      </w:r>
    </w:p>
    <w:tbl>
      <w:tblPr>
        <w:tblStyle w:val="6"/>
        <w:tblW w:w="8238"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63"/>
        <w:gridCol w:w="5515"/>
        <w:gridCol w:w="1000"/>
        <w:gridCol w:w="96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758"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序号</w:t>
            </w:r>
          </w:p>
        </w:tc>
        <w:tc>
          <w:tcPr>
            <w:tcW w:w="5515"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项目名称</w:t>
            </w:r>
          </w:p>
        </w:tc>
        <w:tc>
          <w:tcPr>
            <w:tcW w:w="1000"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自评得分</w:t>
            </w:r>
          </w:p>
        </w:tc>
        <w:tc>
          <w:tcPr>
            <w:tcW w:w="960"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评价等级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1</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val="en-US" w:eastAsia="zh-CN"/>
              </w:rPr>
              <w:t>政协会议费</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100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2</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rPr>
              <w:t>委员报刊杂、志书籍订阅费</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lang w:val="en-US" w:eastAsia="zh-CN"/>
              </w:rPr>
              <w:t>100</w:t>
            </w:r>
            <w:r>
              <w:rPr>
                <w:rFonts w:hint="default" w:ascii="Times New Roman" w:hAnsi="Times New Roman" w:eastAsia="仿宋_GB2312" w:cs="Times New Roman"/>
                <w:kern w:val="0"/>
                <w:sz w:val="22"/>
                <w:szCs w:val="22"/>
              </w:rPr>
              <w:t xml:space="preserve">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3</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val="en-US" w:eastAsia="zh-CN"/>
              </w:rPr>
              <w:t>政协委员专项经费</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lang w:val="en-US" w:eastAsia="zh-CN"/>
              </w:rPr>
              <w:t>100</w:t>
            </w:r>
            <w:r>
              <w:rPr>
                <w:rFonts w:hint="default" w:ascii="Times New Roman" w:hAnsi="Times New Roman" w:eastAsia="仿宋_GB2312" w:cs="Times New Roman"/>
                <w:kern w:val="0"/>
                <w:sz w:val="22"/>
                <w:szCs w:val="22"/>
              </w:rPr>
              <w:t xml:space="preserve">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4</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文史资料编印费</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lang w:val="en-US" w:eastAsia="zh-CN"/>
              </w:rPr>
              <w:t>100</w:t>
            </w:r>
            <w:r>
              <w:rPr>
                <w:rFonts w:hint="default" w:ascii="Times New Roman" w:hAnsi="Times New Roman" w:eastAsia="仿宋_GB2312" w:cs="Times New Roman"/>
                <w:kern w:val="0"/>
                <w:sz w:val="22"/>
                <w:szCs w:val="22"/>
              </w:rPr>
              <w:t xml:space="preserve">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5</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公务接待费</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eastAsia"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100</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eastAsia" w:ascii="Times New Roman" w:hAnsi="Times New Roman" w:eastAsia="仿宋_GB2312" w:cs="Times New Roman"/>
                <w:kern w:val="0"/>
                <w:sz w:val="22"/>
                <w:szCs w:val="22"/>
                <w:lang w:val="en-US" w:eastAsia="zh-CN"/>
              </w:rPr>
            </w:pPr>
            <w:r>
              <w:rPr>
                <w:rFonts w:hint="eastAsia" w:ascii="Times New Roman" w:hAnsi="Times New Roman" w:eastAsia="仿宋_GB2312" w:cs="Times New Roman"/>
                <w:kern w:val="0"/>
                <w:sz w:val="22"/>
                <w:szCs w:val="22"/>
                <w:lang w:val="en-US" w:eastAsia="zh-CN"/>
              </w:rPr>
              <w:t xml:space="preserve"> 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6</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工商联专项业务费</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lang w:val="en-US" w:eastAsia="zh-CN"/>
              </w:rPr>
              <w:t>100</w:t>
            </w:r>
            <w:r>
              <w:rPr>
                <w:rFonts w:hint="default" w:ascii="Times New Roman" w:hAnsi="Times New Roman" w:eastAsia="仿宋_GB2312" w:cs="Times New Roman"/>
                <w:kern w:val="0"/>
                <w:sz w:val="22"/>
                <w:szCs w:val="22"/>
              </w:rPr>
              <w:t xml:space="preserve">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eastAsia" w:ascii="Times New Roman" w:hAnsi="Times New Roman" w:eastAsia="仿宋_GB2312" w:cs="Times New Roman"/>
                <w:kern w:val="0"/>
                <w:sz w:val="22"/>
                <w:szCs w:val="22"/>
                <w:lang w:val="en-US" w:eastAsia="zh-CN"/>
              </w:rPr>
              <w:t xml:space="preserve"> 优</w:t>
            </w:r>
            <w:r>
              <w:rPr>
                <w:rFonts w:hint="default" w:ascii="Times New Roman" w:hAnsi="Times New Roman" w:eastAsia="仿宋_GB2312" w:cs="Times New Roman"/>
                <w:kern w:val="0"/>
                <w:sz w:val="22"/>
                <w:szCs w:val="22"/>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p>
        </w:tc>
        <w:tc>
          <w:tcPr>
            <w:tcW w:w="5515" w:type="dxa"/>
            <w:tcBorders>
              <w:top w:val="nil"/>
              <w:left w:val="nil"/>
              <w:bottom w:val="single" w:color="auto" w:sz="4" w:space="0"/>
              <w:right w:val="single" w:color="auto" w:sz="4" w:space="0"/>
            </w:tcBorders>
            <w:vAlign w:val="center"/>
          </w:tcPr>
          <w:p>
            <w:pPr>
              <w:widowControl/>
              <w:tabs>
                <w:tab w:val="left" w:pos="1190"/>
              </w:tabs>
              <w:wordWrap/>
              <w:adjustRightInd/>
              <w:spacing w:before="0" w:after="0" w:line="360" w:lineRule="auto"/>
              <w:ind w:left="-105" w:leftChars="-50" w:right="-105" w:rightChars="-50"/>
              <w:jc w:val="left"/>
              <w:textAlignment w:val="auto"/>
              <w:outlineLvl w:val="9"/>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lang w:eastAsia="zh-CN"/>
              </w:rPr>
              <w:tab/>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ascii="仿宋_GB2312" w:hAnsi="宋体" w:eastAsia="仿宋_GB2312" w:cs="宋体"/>
                <w:kern w:val="0"/>
                <w:sz w:val="22"/>
                <w:szCs w:val="22"/>
              </w:rPr>
            </w:pP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ascii="仿宋_GB2312" w:hAnsi="宋体" w:eastAsia="仿宋_GB2312" w:cs="宋体"/>
                <w:kern w:val="0"/>
                <w:sz w:val="22"/>
                <w:szCs w:val="22"/>
              </w:rPr>
            </w:pP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ascii="仿宋_GB2312" w:hAnsi="宋体" w:eastAsia="仿宋_GB2312" w:cs="宋体"/>
                <w:kern w:val="0"/>
                <w:sz w:val="22"/>
                <w:szCs w:val="22"/>
              </w:rPr>
            </w:pP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left"/>
              <w:textAlignment w:val="auto"/>
              <w:outlineLvl w:val="9"/>
              <w:rPr>
                <w:rFonts w:ascii="仿宋_GB2312" w:hAnsi="宋体" w:eastAsia="仿宋_GB2312" w:cs="宋体"/>
                <w:kern w:val="0"/>
                <w:sz w:val="22"/>
                <w:szCs w:val="22"/>
              </w:rPr>
            </w:pP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05" w:leftChars="-50" w:right="-105"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w:t>
            </w:r>
          </w:p>
        </w:tc>
      </w:tr>
    </w:tbl>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本部门在今年部门决算公开中反映政协会议</w:t>
      </w:r>
      <w:r>
        <w:rPr>
          <w:rFonts w:hint="eastAsia" w:ascii="仿宋_GB2312" w:hAnsi="Times New Roman" w:eastAsia="仿宋_GB2312" w:cs="DengXian-Regular"/>
          <w:sz w:val="32"/>
          <w:szCs w:val="32"/>
          <w:lang w:val="en-US" w:eastAsia="zh-CN"/>
        </w:rPr>
        <w:t>项目</w:t>
      </w:r>
      <w:r>
        <w:rPr>
          <w:rFonts w:hint="eastAsia" w:ascii="仿宋_GB2312" w:hAnsi="Times New Roman" w:eastAsia="仿宋_GB2312" w:cs="DengXian-Regular"/>
          <w:sz w:val="32"/>
          <w:szCs w:val="32"/>
        </w:rPr>
        <w:t>、政协委员订报项目等</w:t>
      </w:r>
      <w:r>
        <w:rPr>
          <w:rFonts w:hint="eastAsia" w:ascii="仿宋_GB2312" w:hAnsi="Times New Roman" w:eastAsia="仿宋_GB2312" w:cs="DengXian-Regular"/>
          <w:sz w:val="32"/>
          <w:szCs w:val="32"/>
          <w:lang w:val="en-US" w:eastAsia="zh-CN"/>
        </w:rPr>
        <w:t>6</w:t>
      </w:r>
      <w:r>
        <w:rPr>
          <w:rFonts w:hint="eastAsia" w:ascii="仿宋_GB2312" w:hAnsi="Times New Roman" w:eastAsia="仿宋_GB2312" w:cs="DengXian-Regular"/>
          <w:sz w:val="32"/>
          <w:szCs w:val="32"/>
        </w:rPr>
        <w:t>个项目绩效自评结果。</w:t>
      </w:r>
    </w:p>
    <w:p>
      <w:pPr>
        <w:numPr>
          <w:ilvl w:val="0"/>
          <w:numId w:val="3"/>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Times New Roman" w:eastAsia="仿宋_GB2312" w:cs="DengXian-Regular"/>
          <w:sz w:val="32"/>
          <w:szCs w:val="32"/>
        </w:rPr>
        <w:t>政协会议</w:t>
      </w:r>
      <w:r>
        <w:rPr>
          <w:rFonts w:hint="eastAsia" w:ascii="仿宋_GB2312" w:hAnsi="仿宋_GB2312" w:eastAsia="仿宋_GB2312" w:cs="仿宋_GB2312"/>
          <w:sz w:val="32"/>
          <w:szCs w:val="32"/>
        </w:rPr>
        <w:t>项目自评综述：根据年初设定的绩效目标，</w:t>
      </w:r>
      <w:r>
        <w:rPr>
          <w:rFonts w:hint="eastAsia" w:ascii="仿宋_GB2312" w:hAnsi="Times New Roman" w:eastAsia="仿宋_GB2312" w:cs="DengXian-Regular"/>
          <w:sz w:val="32"/>
          <w:szCs w:val="32"/>
        </w:rPr>
        <w:t>政协会议</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分。全年预算数为</w:t>
      </w:r>
      <w:r>
        <w:rPr>
          <w:rFonts w:hint="eastAsia" w:ascii="仿宋_GB2312" w:hAnsi="仿宋_GB2312" w:eastAsia="仿宋_GB2312" w:cs="仿宋_GB2312"/>
          <w:sz w:val="32"/>
          <w:szCs w:val="32"/>
          <w:lang w:val="en-US" w:eastAsia="zh-CN"/>
        </w:rPr>
        <w:t>26</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26</w:t>
      </w:r>
      <w:r>
        <w:rPr>
          <w:rFonts w:hint="eastAsia" w:ascii="仿宋_GB2312" w:hAnsi="仿宋_GB2312" w:eastAsia="仿宋_GB2312" w:cs="仿宋_GB2312"/>
          <w:sz w:val="32"/>
          <w:szCs w:val="32"/>
        </w:rPr>
        <w:t>万元，完成预算的</w:t>
      </w:r>
      <w:r>
        <w:rPr>
          <w:rFonts w:hint="eastAsia" w:ascii="仿宋_GB2312" w:hAnsi="Times New Roman" w:eastAsia="仿宋_GB2312" w:cs="DengXian-Regular"/>
          <w:sz w:val="32"/>
          <w:szCs w:val="32"/>
        </w:rPr>
        <w:t>100</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仿宋_GB2312" w:eastAsia="仿宋_GB2312" w:cs="仿宋_GB2312"/>
          <w:sz w:val="32"/>
          <w:szCs w:val="32"/>
        </w:rPr>
        <w:t>。项目绩效目标完成情况：</w:t>
      </w:r>
      <w:r>
        <w:rPr>
          <w:rFonts w:hint="eastAsia" w:ascii="仿宋_GB2312" w:hAnsi="Times New Roman" w:eastAsia="仿宋_GB2312" w:cs="DengXian-Regular"/>
          <w:sz w:val="32"/>
          <w:szCs w:val="32"/>
        </w:rPr>
        <w:t>完成区政协二届</w:t>
      </w:r>
      <w:r>
        <w:rPr>
          <w:rFonts w:hint="eastAsia" w:ascii="仿宋_GB2312" w:hAnsi="Times New Roman" w:eastAsia="仿宋_GB2312" w:cs="DengXian-Regular"/>
          <w:sz w:val="32"/>
          <w:szCs w:val="32"/>
          <w:lang w:val="en-US" w:eastAsia="zh-CN"/>
        </w:rPr>
        <w:t>三</w:t>
      </w:r>
      <w:r>
        <w:rPr>
          <w:rFonts w:hint="eastAsia" w:ascii="仿宋_GB2312" w:hAnsi="Times New Roman" w:eastAsia="仿宋_GB2312" w:cs="DengXian-Regular"/>
          <w:sz w:val="32"/>
          <w:szCs w:val="32"/>
        </w:rPr>
        <w:t>次全体会顺利召开，</w:t>
      </w:r>
      <w:r>
        <w:rPr>
          <w:rFonts w:hint="eastAsia" w:ascii="仿宋_GB2312" w:hAnsi="Times New Roman" w:eastAsia="仿宋_GB2312" w:cs="DengXian-Regular"/>
          <w:sz w:val="32"/>
          <w:szCs w:val="32"/>
          <w:lang w:val="en-US" w:eastAsia="zh-CN"/>
        </w:rPr>
        <w:t>为顺利</w:t>
      </w:r>
      <w:r>
        <w:rPr>
          <w:rFonts w:hint="eastAsia" w:ascii="仿宋_GB2312" w:hAnsi="Times New Roman" w:eastAsia="仿宋_GB2312" w:cs="DengXian-Regular"/>
          <w:sz w:val="32"/>
          <w:szCs w:val="32"/>
        </w:rPr>
        <w:t>完成政协</w:t>
      </w:r>
      <w:r>
        <w:rPr>
          <w:rFonts w:hint="eastAsia" w:ascii="仿宋_GB2312" w:hAnsi="Times New Roman" w:eastAsia="仿宋_GB2312" w:cs="DengXian-Regular"/>
          <w:sz w:val="32"/>
          <w:szCs w:val="32"/>
          <w:lang w:val="en-US" w:eastAsia="zh-CN"/>
        </w:rPr>
        <w:t>会议</w:t>
      </w:r>
      <w:r>
        <w:rPr>
          <w:rFonts w:hint="eastAsia" w:ascii="仿宋_GB2312" w:hAnsi="Times New Roman" w:eastAsia="仿宋_GB2312" w:cs="DengXian-Regular"/>
          <w:sz w:val="32"/>
          <w:szCs w:val="32"/>
        </w:rPr>
        <w:t>提供后勤保障等工作。</w:t>
      </w:r>
    </w:p>
    <w:p>
      <w:pPr>
        <w:numPr>
          <w:ilvl w:val="0"/>
          <w:numId w:val="3"/>
        </w:numPr>
        <w:adjustRightInd w:val="0"/>
        <w:snapToGrid w:val="0"/>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政协委员订报项目自评综述：根据年初设定的绩效目标，政协委员订报项目绩效自评得分为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分。全年预算数为</w:t>
      </w:r>
      <w:r>
        <w:rPr>
          <w:rFonts w:hint="eastAsia" w:ascii="仿宋_GB2312" w:hAnsi="仿宋_GB2312" w:eastAsia="仿宋_GB2312" w:cs="仿宋_GB2312"/>
          <w:sz w:val="32"/>
          <w:szCs w:val="32"/>
          <w:lang w:val="en-US" w:eastAsia="zh-CN"/>
        </w:rPr>
        <w:t>8.6</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8.6</w:t>
      </w:r>
      <w:r>
        <w:rPr>
          <w:rFonts w:hint="eastAsia" w:ascii="仿宋_GB2312" w:hAnsi="仿宋_GB2312" w:eastAsia="仿宋_GB2312" w:cs="仿宋_GB2312"/>
          <w:sz w:val="32"/>
          <w:szCs w:val="32"/>
        </w:rPr>
        <w:t>万元，完成预算的100</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%。项目绩效目标完成情况：保证为广大政协委员订阅政协相关报刊杂志，提高委员参政议政水平和能力。</w:t>
      </w:r>
    </w:p>
    <w:p>
      <w:pPr>
        <w:numPr>
          <w:ilvl w:val="0"/>
          <w:numId w:val="3"/>
        </w:numPr>
        <w:adjustRightInd w:val="0"/>
        <w:snapToGrid w:val="0"/>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政协文史资料编印费项目自评综述：根据年初设定的绩效目标，政协文史资料编印费项目绩效自评得分为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分。全年预算数为</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万元，完成预算的100</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%。项目绩效目标完成情况：按照区委、区政府要求编辑、撰写鹿泉文化、历史资料等宣传。</w:t>
      </w:r>
    </w:p>
    <w:p>
      <w:pPr>
        <w:numPr>
          <w:ilvl w:val="0"/>
          <w:numId w:val="3"/>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Times New Roman" w:eastAsia="仿宋_GB2312" w:cs="DengXian-Regular"/>
          <w:sz w:val="32"/>
          <w:szCs w:val="32"/>
        </w:rPr>
        <w:t>政协委员专项经费</w:t>
      </w:r>
      <w:r>
        <w:rPr>
          <w:rFonts w:hint="eastAsia" w:ascii="仿宋_GB2312" w:hAnsi="仿宋_GB2312" w:eastAsia="仿宋_GB2312" w:cs="仿宋_GB2312"/>
          <w:sz w:val="32"/>
          <w:szCs w:val="32"/>
        </w:rPr>
        <w:t>项目自评综述：根据年初设定的绩效目标，</w:t>
      </w:r>
      <w:r>
        <w:rPr>
          <w:rFonts w:hint="eastAsia" w:ascii="仿宋_GB2312" w:hAnsi="Times New Roman" w:eastAsia="仿宋_GB2312" w:cs="DengXian-Regular"/>
          <w:sz w:val="32"/>
          <w:szCs w:val="32"/>
        </w:rPr>
        <w:t>政协委员专项经费</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分。全年预算数为</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万元，完成预算的</w:t>
      </w:r>
      <w:r>
        <w:rPr>
          <w:rFonts w:hint="eastAsia" w:ascii="仿宋_GB2312" w:hAnsi="Times New Roman" w:eastAsia="仿宋_GB2312" w:cs="DengXian-Regular"/>
          <w:sz w:val="32"/>
          <w:szCs w:val="32"/>
        </w:rPr>
        <w:t>100</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仿宋_GB2312" w:eastAsia="仿宋_GB2312" w:cs="仿宋_GB2312"/>
          <w:sz w:val="32"/>
          <w:szCs w:val="32"/>
        </w:rPr>
        <w:t>。项目绩效目标完成情况：</w:t>
      </w:r>
      <w:r>
        <w:rPr>
          <w:rFonts w:hint="eastAsia" w:ascii="仿宋_GB2312" w:hAnsi="Times New Roman" w:eastAsia="仿宋_GB2312" w:cs="DengXian-Regular"/>
          <w:sz w:val="32"/>
          <w:szCs w:val="32"/>
        </w:rPr>
        <w:t>根据上级政协及区委、区政府要求，政协委员安排政协委员调研、视察等活动。</w:t>
      </w:r>
    </w:p>
    <w:p>
      <w:pPr>
        <w:numPr>
          <w:ilvl w:val="0"/>
          <w:numId w:val="3"/>
        </w:numPr>
        <w:adjustRightInd w:val="0"/>
        <w:snapToGrid w:val="0"/>
        <w:spacing w:line="580" w:lineRule="exact"/>
        <w:ind w:firstLine="640" w:firstLineChars="200"/>
        <w:rPr>
          <w:rFonts w:hint="eastAsia" w:ascii="仿宋_GB2312" w:hAnsi="仿宋_GB2312" w:eastAsia="仿宋_GB2312" w:cs="仿宋_GB2312"/>
          <w:sz w:val="32"/>
          <w:szCs w:val="32"/>
        </w:rPr>
      </w:pPr>
      <w:r>
        <w:rPr>
          <w:rFonts w:hint="eastAsia" w:ascii="仿宋_GB2312" w:hAnsi="Times New Roman" w:eastAsia="仿宋_GB2312" w:cs="DengXian-Regular"/>
          <w:sz w:val="32"/>
          <w:szCs w:val="32"/>
          <w:lang w:val="en-US" w:eastAsia="zh-CN"/>
        </w:rPr>
        <w:t>公务接待</w:t>
      </w:r>
      <w:r>
        <w:rPr>
          <w:rFonts w:hint="eastAsia" w:ascii="仿宋_GB2312" w:hAnsi="Times New Roman" w:eastAsia="仿宋_GB2312" w:cs="DengXian-Regular"/>
          <w:sz w:val="32"/>
          <w:szCs w:val="32"/>
        </w:rPr>
        <w:t>专项经费</w:t>
      </w:r>
      <w:r>
        <w:rPr>
          <w:rFonts w:hint="eastAsia" w:ascii="仿宋_GB2312" w:hAnsi="仿宋_GB2312" w:eastAsia="仿宋_GB2312" w:cs="仿宋_GB2312"/>
          <w:sz w:val="32"/>
          <w:szCs w:val="32"/>
        </w:rPr>
        <w:t>项目自评综述：根据年初设定的绩效目标，</w:t>
      </w:r>
      <w:r>
        <w:rPr>
          <w:rFonts w:hint="eastAsia" w:ascii="仿宋_GB2312" w:hAnsi="Times New Roman" w:eastAsia="仿宋_GB2312" w:cs="DengXian-Regular"/>
          <w:sz w:val="32"/>
          <w:szCs w:val="32"/>
          <w:lang w:val="en-US" w:eastAsia="zh-CN"/>
        </w:rPr>
        <w:t>公务接待</w:t>
      </w:r>
      <w:r>
        <w:rPr>
          <w:rFonts w:hint="eastAsia" w:ascii="仿宋_GB2312" w:hAnsi="Times New Roman" w:eastAsia="仿宋_GB2312" w:cs="DengXian-Regular"/>
          <w:sz w:val="32"/>
          <w:szCs w:val="32"/>
        </w:rPr>
        <w:t>专项经费</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分。全年预算数为</w:t>
      </w:r>
      <w:r>
        <w:rPr>
          <w:rFonts w:hint="eastAsia" w:ascii="仿宋_GB2312" w:hAnsi="仿宋_GB2312" w:eastAsia="仿宋_GB2312" w:cs="仿宋_GB2312"/>
          <w:sz w:val="32"/>
          <w:szCs w:val="32"/>
          <w:lang w:val="en-US" w:eastAsia="zh-CN"/>
        </w:rPr>
        <w:t>1.33</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1.33</w:t>
      </w:r>
      <w:r>
        <w:rPr>
          <w:rFonts w:hint="eastAsia" w:ascii="仿宋_GB2312" w:hAnsi="仿宋_GB2312" w:eastAsia="仿宋_GB2312" w:cs="仿宋_GB2312"/>
          <w:sz w:val="32"/>
          <w:szCs w:val="32"/>
        </w:rPr>
        <w:t>万元，完成预算的</w:t>
      </w:r>
      <w:r>
        <w:rPr>
          <w:rFonts w:hint="eastAsia" w:ascii="仿宋_GB2312" w:hAnsi="Times New Roman" w:eastAsia="仿宋_GB2312" w:cs="DengXian-Regular"/>
          <w:sz w:val="32"/>
          <w:szCs w:val="32"/>
          <w:lang w:val="en-US" w:eastAsia="zh-CN"/>
        </w:rPr>
        <w:t>14.6</w:t>
      </w:r>
      <w:r>
        <w:rPr>
          <w:rFonts w:hint="eastAsia" w:ascii="仿宋_GB2312" w:hAnsi="Times New Roman" w:eastAsia="仿宋_GB2312" w:cs="DengXian-Regular"/>
          <w:sz w:val="32"/>
          <w:szCs w:val="32"/>
        </w:rPr>
        <w:t>%</w:t>
      </w:r>
      <w:r>
        <w:rPr>
          <w:rFonts w:hint="eastAsia" w:ascii="仿宋_GB2312" w:hAnsi="仿宋_GB2312" w:eastAsia="仿宋_GB2312" w:cs="仿宋_GB2312"/>
          <w:sz w:val="32"/>
          <w:szCs w:val="32"/>
        </w:rPr>
        <w:t>。项目绩效目标完成情况：</w:t>
      </w:r>
      <w:r>
        <w:rPr>
          <w:rFonts w:hint="eastAsia" w:ascii="仿宋_GB2312" w:hAnsi="Times New Roman" w:eastAsia="仿宋_GB2312" w:cs="DengXian-Regular"/>
          <w:sz w:val="32"/>
          <w:szCs w:val="32"/>
        </w:rPr>
        <w:t>政协公务活动接待</w:t>
      </w:r>
      <w:r>
        <w:rPr>
          <w:rFonts w:hint="eastAsia" w:ascii="仿宋_GB2312" w:hAnsi="Times New Roman" w:eastAsia="仿宋_GB2312" w:cs="DengXian-Regular"/>
          <w:sz w:val="32"/>
          <w:szCs w:val="32"/>
          <w:lang w:eastAsia="zh-CN"/>
        </w:rPr>
        <w:t>。</w:t>
      </w:r>
    </w:p>
    <w:p>
      <w:pPr>
        <w:numPr>
          <w:ilvl w:val="0"/>
          <w:numId w:val="3"/>
        </w:num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仿宋_GB2312" w:eastAsia="仿宋_GB2312" w:cs="仿宋_GB2312"/>
          <w:sz w:val="32"/>
          <w:szCs w:val="32"/>
        </w:rPr>
        <w:t>工商联专项业务</w:t>
      </w:r>
      <w:r>
        <w:rPr>
          <w:rFonts w:hint="eastAsia" w:ascii="仿宋_GB2312" w:hAnsi="Times New Roman" w:eastAsia="仿宋_GB2312" w:cs="DengXian-Regular"/>
          <w:sz w:val="32"/>
          <w:szCs w:val="32"/>
        </w:rPr>
        <w:t>经费</w:t>
      </w:r>
      <w:r>
        <w:rPr>
          <w:rFonts w:hint="eastAsia" w:ascii="仿宋_GB2312" w:hAnsi="仿宋_GB2312" w:eastAsia="仿宋_GB2312" w:cs="仿宋_GB2312"/>
          <w:sz w:val="32"/>
          <w:szCs w:val="32"/>
        </w:rPr>
        <w:t>项目自评综述：根据年初设定的绩效目标，工商联专项业务</w:t>
      </w:r>
      <w:r>
        <w:rPr>
          <w:rFonts w:hint="eastAsia" w:ascii="仿宋_GB2312" w:hAnsi="Times New Roman" w:eastAsia="仿宋_GB2312" w:cs="DengXian-Regular"/>
          <w:sz w:val="32"/>
          <w:szCs w:val="32"/>
        </w:rPr>
        <w:t>经费</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分。全年预算数为</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万元，完成预算的</w:t>
      </w:r>
      <w:r>
        <w:rPr>
          <w:rFonts w:hint="eastAsia" w:ascii="仿宋_GB2312" w:hAnsi="Times New Roman" w:eastAsia="仿宋_GB2312" w:cs="DengXian-Regular"/>
          <w:sz w:val="32"/>
          <w:szCs w:val="32"/>
        </w:rPr>
        <w:t>100</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仿宋_GB2312" w:eastAsia="仿宋_GB2312" w:cs="仿宋_GB2312"/>
          <w:sz w:val="32"/>
          <w:szCs w:val="32"/>
        </w:rPr>
        <w:t>。项目绩效目标完成情况：</w:t>
      </w:r>
      <w:r>
        <w:rPr>
          <w:rFonts w:hint="eastAsia" w:ascii="仿宋_GB2312" w:hAnsi="Times New Roman" w:eastAsia="仿宋_GB2312" w:cs="DengXian-Regular"/>
          <w:sz w:val="32"/>
          <w:szCs w:val="32"/>
        </w:rPr>
        <w:t>根据区委、区政府要求，</w:t>
      </w:r>
      <w:r>
        <w:rPr>
          <w:rFonts w:hint="eastAsia" w:ascii="仿宋_GB2312" w:hAnsi="Times New Roman" w:eastAsia="仿宋_GB2312" w:cs="DengXian-Regular"/>
          <w:sz w:val="32"/>
          <w:szCs w:val="32"/>
          <w:lang w:val="en-US" w:eastAsia="zh-CN"/>
        </w:rPr>
        <w:t>完成</w:t>
      </w:r>
      <w:r>
        <w:rPr>
          <w:rFonts w:hint="eastAsia" w:ascii="仿宋_GB2312" w:hAnsi="Times New Roman" w:eastAsia="仿宋_GB2312" w:cs="DengXian-Regular"/>
          <w:sz w:val="32"/>
          <w:szCs w:val="32"/>
        </w:rPr>
        <w:t>专项业务经费。</w:t>
      </w:r>
    </w:p>
    <w:p>
      <w:pPr>
        <w:keepNext/>
        <w:keepLines/>
        <w:snapToGrid w:val="0"/>
        <w:spacing w:line="600" w:lineRule="exact"/>
        <w:ind w:firstLine="640" w:firstLineChars="200"/>
        <w:outlineLvl w:val="1"/>
        <w:rPr>
          <w:rFonts w:ascii="黑体" w:hAnsi="黑体" w:eastAsia="黑体" w:cs="黑体"/>
          <w:b/>
          <w:bCs/>
          <w:sz w:val="32"/>
          <w:szCs w:val="32"/>
        </w:rPr>
      </w:pPr>
      <w:r>
        <w:rPr>
          <w:rFonts w:hint="eastAsia" w:ascii="黑体" w:hAnsi="黑体" w:eastAsia="黑体" w:cs="黑体"/>
          <w:sz w:val="32"/>
          <w:szCs w:val="32"/>
        </w:rPr>
        <w:t>七、机关运行经费情况</w:t>
      </w:r>
    </w:p>
    <w:p>
      <w:pPr>
        <w:adjustRightInd w:val="0"/>
        <w:snapToGrid w:val="0"/>
        <w:spacing w:line="600" w:lineRule="exact"/>
        <w:ind w:firstLine="640" w:firstLineChars="200"/>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lang w:val="en-US" w:eastAsia="zh-CN"/>
        </w:rPr>
        <w:t>本</w:t>
      </w:r>
      <w:r>
        <w:rPr>
          <w:rFonts w:hint="eastAsia" w:ascii="仿宋_GB2312" w:hAnsi="仿宋_GB2312" w:eastAsia="仿宋_GB2312" w:cs="仿宋_GB2312"/>
          <w:sz w:val="32"/>
          <w:szCs w:val="32"/>
          <w:lang w:eastAsia="zh-CN"/>
        </w:rPr>
        <w:t>部门</w:t>
      </w:r>
      <w:r>
        <w:rPr>
          <w:rFonts w:hint="eastAsia" w:ascii="仿宋_GB2312" w:hAnsi="仿宋_GB2312" w:eastAsia="仿宋_GB2312" w:cs="仿宋_GB2312"/>
          <w:sz w:val="32"/>
          <w:szCs w:val="32"/>
        </w:rPr>
        <w:t>2020年度机关运行经费支出</w:t>
      </w:r>
      <w:r>
        <w:rPr>
          <w:rFonts w:hint="eastAsia" w:ascii="仿宋_GB2312" w:hAnsi="仿宋_GB2312" w:eastAsia="仿宋_GB2312" w:cs="仿宋_GB2312"/>
          <w:sz w:val="32"/>
          <w:szCs w:val="32"/>
          <w:lang w:val="en-US" w:eastAsia="zh-CN"/>
        </w:rPr>
        <w:t>98.57</w:t>
      </w:r>
      <w:r>
        <w:rPr>
          <w:rFonts w:hint="eastAsia" w:ascii="仿宋_GB2312" w:hAnsi="仿宋_GB2312" w:eastAsia="仿宋_GB2312" w:cs="仿宋_GB2312"/>
          <w:sz w:val="32"/>
          <w:szCs w:val="32"/>
        </w:rPr>
        <w:t>万元，比2019年度</w:t>
      </w:r>
      <w:r>
        <w:rPr>
          <w:rFonts w:hint="eastAsia" w:ascii="仿宋_GB2312" w:hAnsi="仿宋_GB2312" w:eastAsia="仿宋_GB2312" w:cs="仿宋_GB2312"/>
          <w:sz w:val="32"/>
          <w:szCs w:val="32"/>
          <w:lang w:val="en-US" w:eastAsia="zh-CN"/>
        </w:rPr>
        <w:t>增加1.33</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val="en-US" w:eastAsia="zh-CN"/>
        </w:rPr>
        <w:t>上升1.4</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主要是人员变化公用经费支出略有增加基本持平。</w:t>
      </w:r>
    </w:p>
    <w:p>
      <w:pPr>
        <w:keepNext/>
        <w:keepLines/>
        <w:snapToGrid w:val="0"/>
        <w:spacing w:line="600" w:lineRule="exact"/>
        <w:ind w:firstLine="640" w:firstLineChars="200"/>
        <w:outlineLvl w:val="1"/>
        <w:rPr>
          <w:rFonts w:hint="eastAsia" w:ascii="仿宋_GB2312" w:hAnsi="仿宋_GB2312" w:eastAsia="仿宋_GB2312" w:cs="仿宋_GB2312"/>
          <w:sz w:val="32"/>
          <w:szCs w:val="32"/>
          <w:lang w:val="en-US" w:eastAsia="zh-CN"/>
        </w:rPr>
      </w:pPr>
      <w:r>
        <w:rPr>
          <w:rFonts w:hint="eastAsia" w:ascii="黑体" w:hAnsi="黑体" w:eastAsia="黑体" w:cs="黑体"/>
          <w:sz w:val="32"/>
          <w:szCs w:val="32"/>
        </w:rPr>
        <w:t>八、政府采购情况</w:t>
      </w:r>
    </w:p>
    <w:p>
      <w:pPr>
        <w:snapToGrid w:val="0"/>
        <w:spacing w:line="60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本部门2020年度政府采购支出总额</w:t>
      </w:r>
      <w:r>
        <w:rPr>
          <w:rFonts w:hint="eastAsia" w:ascii="仿宋_GB2312" w:hAnsi="仿宋_GB2312" w:eastAsia="仿宋_GB2312" w:cs="仿宋_GB2312"/>
          <w:sz w:val="32"/>
          <w:szCs w:val="32"/>
          <w:lang w:val="en-US" w:eastAsia="zh-CN"/>
        </w:rPr>
        <w:t>50.68</w:t>
      </w:r>
      <w:r>
        <w:rPr>
          <w:rFonts w:hint="eastAsia" w:ascii="仿宋_GB2312" w:hAnsi="仿宋_GB2312" w:eastAsia="仿宋_GB2312" w:cs="仿宋_GB2312"/>
          <w:sz w:val="32"/>
          <w:szCs w:val="32"/>
        </w:rPr>
        <w:t>万元，从采购类型来看，</w:t>
      </w:r>
      <w:r>
        <w:rPr>
          <w:rFonts w:hint="eastAsia"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lang w:val="en-US" w:eastAsia="zh-CN"/>
        </w:rPr>
        <w:t>18.85</w:t>
      </w:r>
      <w:r>
        <w:rPr>
          <w:rFonts w:hint="eastAsia" w:ascii="仿宋_GB2312" w:hAnsi="仿宋_GB2312" w:eastAsia="仿宋_GB2312" w:cs="仿宋_GB2312"/>
          <w:color w:val="000000"/>
          <w:kern w:val="0"/>
          <w:sz w:val="32"/>
          <w:szCs w:val="32"/>
        </w:rPr>
        <w:t xml:space="preserve">万元、政府采购服务支出 </w:t>
      </w:r>
      <w:r>
        <w:rPr>
          <w:rFonts w:hint="eastAsia" w:ascii="仿宋_GB2312" w:hAnsi="仿宋_GB2312" w:eastAsia="仿宋_GB2312" w:cs="仿宋_GB2312"/>
          <w:color w:val="000000"/>
          <w:kern w:val="0"/>
          <w:sz w:val="32"/>
          <w:szCs w:val="32"/>
          <w:lang w:val="en-US" w:eastAsia="zh-CN"/>
        </w:rPr>
        <w:t>31.83</w:t>
      </w:r>
      <w:r>
        <w:rPr>
          <w:rFonts w:hint="eastAsia"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lang w:val="en-US" w:eastAsia="zh-CN"/>
        </w:rPr>
        <w:t>1.84</w:t>
      </w:r>
      <w:r>
        <w:rPr>
          <w:rFonts w:hint="eastAsia"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lang w:val="en-US" w:eastAsia="zh-CN"/>
        </w:rPr>
        <w:t>4.0</w:t>
      </w:r>
      <w:r>
        <w:rPr>
          <w:rFonts w:hint="eastAsia"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lang w:val="en-US" w:eastAsia="zh-CN"/>
        </w:rPr>
        <w:t>48.84</w:t>
      </w:r>
      <w:r>
        <w:rPr>
          <w:rFonts w:hint="eastAsia"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lang w:val="en-US" w:eastAsia="zh-CN"/>
        </w:rPr>
        <w:t>96.0</w:t>
      </w:r>
      <w:r>
        <w:rPr>
          <w:rFonts w:hint="eastAsia" w:ascii="仿宋_GB2312" w:hAnsi="仿宋_GB2312" w:eastAsia="仿宋_GB2312" w:cs="仿宋_GB2312"/>
          <w:color w:val="000000"/>
          <w:kern w:val="0"/>
          <w:sz w:val="32"/>
          <w:szCs w:val="32"/>
        </w:rPr>
        <w:t>%。</w:t>
      </w:r>
    </w:p>
    <w:p>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九、国有资产占用情况</w:t>
      </w:r>
    </w:p>
    <w:p>
      <w:pPr>
        <w:adjustRightInd w:val="0"/>
        <w:snapToGrid w:val="0"/>
        <w:spacing w:line="60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截至2020年12月31日，</w:t>
      </w:r>
      <w:r>
        <w:rPr>
          <w:rFonts w:hint="eastAsia" w:ascii="仿宋_GB2312" w:hAnsi="仿宋_GB2312" w:eastAsia="仿宋_GB2312" w:cs="仿宋_GB2312"/>
          <w:sz w:val="32"/>
          <w:szCs w:val="32"/>
          <w:lang w:val="en-US" w:eastAsia="zh-CN"/>
        </w:rPr>
        <w:t>本</w:t>
      </w:r>
      <w:r>
        <w:rPr>
          <w:rFonts w:hint="eastAsia" w:ascii="仿宋_GB2312" w:hAnsi="仿宋_GB2312" w:eastAsia="仿宋_GB2312" w:cs="仿宋_GB2312"/>
          <w:sz w:val="32"/>
          <w:szCs w:val="32"/>
          <w:lang w:eastAsia="zh-CN"/>
        </w:rPr>
        <w:t>部门</w:t>
      </w:r>
      <w:r>
        <w:rPr>
          <w:rFonts w:hint="eastAsia" w:ascii="仿宋_GB2312" w:hAnsi="仿宋_GB2312" w:eastAsia="仿宋_GB2312" w:cs="仿宋_GB2312"/>
          <w:sz w:val="32"/>
          <w:szCs w:val="32"/>
        </w:rPr>
        <w:t>共有车辆</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辆，</w:t>
      </w:r>
      <w:r>
        <w:rPr>
          <w:rFonts w:hint="eastAsia" w:ascii="仿宋_GB2312" w:hAnsi="仿宋_GB2312" w:eastAsia="仿宋_GB2312" w:cs="仿宋_GB2312"/>
          <w:sz w:val="32"/>
          <w:szCs w:val="32"/>
          <w:lang w:val="en-US" w:eastAsia="zh-CN"/>
        </w:rPr>
        <w:t>与上年持平</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主要是</w:t>
      </w:r>
      <w:r>
        <w:rPr>
          <w:rFonts w:hint="eastAsia" w:ascii="仿宋_GB2312" w:hAnsi="仿宋_GB2312" w:eastAsia="仿宋_GB2312" w:cs="仿宋_GB2312"/>
          <w:sz w:val="32"/>
          <w:szCs w:val="32"/>
        </w:rPr>
        <w:t>应急保障用车</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辆</w:t>
      </w:r>
      <w:r>
        <w:rPr>
          <w:rFonts w:hint="eastAsia" w:ascii="仿宋_GB2312" w:hAnsi="仿宋_GB2312" w:eastAsia="仿宋_GB2312" w:cs="仿宋_GB2312"/>
          <w:sz w:val="32"/>
          <w:szCs w:val="32"/>
          <w:lang w:eastAsia="zh-CN"/>
        </w:rPr>
        <w:t>。</w:t>
      </w:r>
    </w:p>
    <w:p>
      <w:pPr>
        <w:adjustRightInd w:val="0"/>
        <w:snapToGrid w:val="0"/>
        <w:spacing w:line="600" w:lineRule="exact"/>
        <w:ind w:firstLine="640" w:firstLineChars="200"/>
        <w:rPr>
          <w:rFonts w:ascii="仿宋_GB2312" w:hAnsi="仿宋_GB2312" w:eastAsia="仿宋_GB2312" w:cs="仿宋_GB2312"/>
          <w:b/>
          <w:bCs/>
          <w:sz w:val="32"/>
          <w:szCs w:val="32"/>
        </w:rPr>
      </w:pPr>
      <w:r>
        <w:rPr>
          <w:rFonts w:hint="eastAsia" w:ascii="仿宋_GB2312" w:hAnsi="仿宋_GB2312" w:eastAsia="仿宋_GB2312" w:cs="仿宋_GB2312"/>
          <w:sz w:val="32"/>
          <w:szCs w:val="32"/>
          <w:lang w:val="en-US" w:eastAsia="zh-CN"/>
        </w:rPr>
        <w:t>本部门没有</w:t>
      </w:r>
      <w:r>
        <w:rPr>
          <w:rFonts w:hint="eastAsia" w:ascii="仿宋_GB2312" w:hAnsi="仿宋_GB2312" w:eastAsia="仿宋_GB2312" w:cs="仿宋_GB2312"/>
          <w:sz w:val="32"/>
          <w:szCs w:val="32"/>
        </w:rPr>
        <w:t>单位价值50万元以上通用设备</w:t>
      </w:r>
      <w:r>
        <w:rPr>
          <w:rFonts w:hint="eastAsia" w:ascii="仿宋_GB2312" w:hAnsi="仿宋_GB2312" w:eastAsia="仿宋_GB2312" w:cs="仿宋_GB2312"/>
          <w:sz w:val="32"/>
          <w:szCs w:val="32"/>
          <w:lang w:val="en-US" w:eastAsia="zh-CN"/>
        </w:rPr>
        <w:t>及</w:t>
      </w:r>
      <w:r>
        <w:rPr>
          <w:rFonts w:hint="eastAsia" w:ascii="仿宋_GB2312" w:hAnsi="仿宋_GB2312" w:eastAsia="仿宋_GB2312" w:cs="仿宋_GB2312"/>
          <w:sz w:val="32"/>
          <w:szCs w:val="32"/>
        </w:rPr>
        <w:t>单位价值100万元以上专用设备</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与上年持平</w:t>
      </w:r>
      <w:r>
        <w:rPr>
          <w:rFonts w:hint="eastAsia" w:ascii="仿宋_GB2312" w:hAnsi="仿宋_GB2312" w:eastAsia="仿宋_GB2312" w:cs="仿宋_GB2312"/>
          <w:sz w:val="32"/>
          <w:szCs w:val="32"/>
        </w:rPr>
        <w:t>。</w:t>
      </w:r>
    </w:p>
    <w:p>
      <w:pPr>
        <w:keepNext/>
        <w:keepLines/>
        <w:snapToGrid w:val="0"/>
        <w:spacing w:line="600" w:lineRule="exact"/>
        <w:ind w:firstLine="640" w:firstLineChars="200"/>
        <w:outlineLvl w:val="2"/>
        <w:rPr>
          <w:rFonts w:ascii="黑体" w:hAnsi="黑体" w:eastAsia="黑体" w:cs="黑体"/>
          <w:sz w:val="32"/>
          <w:szCs w:val="32"/>
          <w:highlight w:val="none"/>
        </w:rPr>
      </w:pPr>
      <w:r>
        <w:rPr>
          <w:rFonts w:hint="eastAsia" w:ascii="黑体" w:hAnsi="黑体" w:eastAsia="黑体" w:cs="黑体"/>
          <w:sz w:val="32"/>
          <w:szCs w:val="32"/>
          <w:highlight w:val="none"/>
        </w:rPr>
        <w:t>十、其他需要说明的情况</w:t>
      </w:r>
    </w:p>
    <w:p>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1. </w:t>
      </w:r>
      <w:r>
        <w:rPr>
          <w:rFonts w:hint="eastAsia" w:ascii="仿宋_GB2312" w:hAnsi="仿宋_GB2312" w:eastAsia="仿宋_GB2312" w:cs="仿宋_GB2312"/>
          <w:sz w:val="32"/>
          <w:szCs w:val="32"/>
          <w:highlight w:val="none"/>
          <w:lang w:val="en-US" w:eastAsia="zh-CN"/>
        </w:rPr>
        <w:t>本</w:t>
      </w:r>
      <w:r>
        <w:rPr>
          <w:rFonts w:hint="eastAsia" w:ascii="仿宋_GB2312" w:hAnsi="仿宋_GB2312" w:eastAsia="仿宋_GB2312" w:cs="仿宋_GB2312"/>
          <w:sz w:val="32"/>
          <w:szCs w:val="32"/>
          <w:highlight w:val="none"/>
          <w:lang w:eastAsia="zh-CN"/>
        </w:rPr>
        <w:t>部门</w:t>
      </w:r>
      <w:r>
        <w:rPr>
          <w:rFonts w:hint="eastAsia" w:ascii="仿宋_GB2312" w:hAnsi="仿宋_GB2312" w:eastAsia="仿宋_GB2312" w:cs="仿宋_GB2312"/>
          <w:sz w:val="32"/>
          <w:szCs w:val="32"/>
          <w:highlight w:val="none"/>
        </w:rPr>
        <w:t>2020年度未发生政府性基金预算、国有资金经营预算收支及结转结余情况，故政府性基金预算</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08表）</w:t>
      </w:r>
      <w:r>
        <w:rPr>
          <w:rFonts w:hint="eastAsia" w:ascii="仿宋_GB2312" w:hAnsi="仿宋_GB2312" w:eastAsia="仿宋_GB2312" w:cs="仿宋_GB2312"/>
          <w:sz w:val="32"/>
          <w:szCs w:val="32"/>
          <w:highlight w:val="none"/>
        </w:rPr>
        <w:t>、国有资金经营预算</w:t>
      </w:r>
      <w:r>
        <w:rPr>
          <w:rFonts w:hint="eastAsia" w:ascii="仿宋_GB2312" w:hAnsi="仿宋_GB2312" w:eastAsia="仿宋_GB2312" w:cs="仿宋_GB2312"/>
          <w:sz w:val="32"/>
          <w:szCs w:val="32"/>
          <w:highlight w:val="none"/>
          <w:lang w:val="en-US" w:eastAsia="zh-CN"/>
        </w:rPr>
        <w:t>支出表（09表）两张</w:t>
      </w:r>
      <w:r>
        <w:rPr>
          <w:rFonts w:hint="eastAsia" w:ascii="仿宋_GB2312" w:hAnsi="仿宋_GB2312" w:eastAsia="仿宋_GB2312" w:cs="仿宋_GB2312"/>
          <w:sz w:val="32"/>
          <w:szCs w:val="32"/>
          <w:highlight w:val="none"/>
        </w:rPr>
        <w:t>表以空表列示。</w:t>
      </w:r>
    </w:p>
    <w:p>
      <w:pPr>
        <w:adjustRightInd w:val="0"/>
        <w:snapToGrid w:val="0"/>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 由于决算公开表格中金额数值应当保留两位小数，公开数据为四舍五入计算结果，个别数据合计项与分项之和存在小数点后差额，特此说明。</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br w:type="page"/>
      </w:r>
    </w:p>
    <w:p>
      <w:pPr>
        <w:adjustRightInd w:val="0"/>
        <w:snapToGrid w:val="0"/>
        <w:spacing w:line="600" w:lineRule="exact"/>
        <w:ind w:firstLine="640" w:firstLineChars="200"/>
        <w:rPr>
          <w:rFonts w:hint="eastAsia" w:ascii="仿宋_GB2312" w:hAnsi="仿宋_GB2312" w:eastAsia="仿宋_GB2312" w:cs="仿宋_GB2312"/>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r>
        <w:rPr>
          <w:sz w:val="72"/>
        </w:rPr>
        <mc:AlternateContent>
          <mc:Choice Requires="wps">
            <w:drawing>
              <wp:anchor distT="0" distB="0" distL="114300" distR="114300" simplePos="0" relativeHeight="251662336" behindDoc="0" locked="0" layoutInCell="1" allowOverlap="1">
                <wp:simplePos x="0" y="0"/>
                <wp:positionH relativeFrom="column">
                  <wp:posOffset>-1022350</wp:posOffset>
                </wp:positionH>
                <wp:positionV relativeFrom="paragraph">
                  <wp:posOffset>201930</wp:posOffset>
                </wp:positionV>
                <wp:extent cx="7793355" cy="3341370"/>
                <wp:effectExtent l="4445" t="4445" r="508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6350">
                          <a:solidFill>
                            <a:schemeClr val="bg1">
                              <a:lumMod val="50000"/>
                            </a:schemeClr>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5pt;margin-top:15.9pt;height:263.1pt;width:613.65pt;z-index:251662336;v-text-anchor:middle;mso-width-relative:page;mso-height-relative:page;" fillcolor="#7F7F7F [1612]" filled="t" stroked="t" coordsize="21600,21600" o:gfxdata="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">
                <v:fill type="pattern" on="t" color2="#FFFFFF [3212]" focussize="0,0" r:id="rId11"/>
                <v:stroke weight="0.5pt" color="#7F7F7F [1612]"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highlight w:val="yellow"/>
        </w:rPr>
      </w:pPr>
      <w:r>
        <w:rPr>
          <w:rFonts w:hint="eastAsia" w:ascii="仿宋_GB2312" w:hAnsi="宋体" w:eastAsia="仿宋_GB2312" w:cs="Arial Black"/>
          <w:sz w:val="32"/>
          <w:szCs w:val="32"/>
          <w:highlight w:val="yellow"/>
        </w:rPr>
        <w:br w:type="page"/>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和政府性基金预算财政拨款支出，不包括财政专户管理资金以及各类拼盘自筹资金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spacing w:line="600" w:lineRule="exact"/>
        <w:ind w:firstLine="643" w:firstLineChars="200"/>
        <w:jc w:val="left"/>
        <w:rPr>
          <w:rFonts w:ascii="仿宋_GB2312" w:hAnsi="Cambria" w:eastAsia="仿宋_GB2312" w:cs="Arial Black"/>
          <w:kern w:val="0"/>
          <w:sz w:val="32"/>
          <w:szCs w:val="32"/>
        </w:rPr>
      </w:pPr>
      <w:r>
        <w:rPr>
          <w:rFonts w:hint="eastAsia" w:ascii="仿宋_GB2312" w:hAnsi="宋体" w:eastAsia="仿宋_GB2312" w:cs="Times New Roman"/>
          <w:b/>
          <w:bCs/>
          <w:color w:val="000000"/>
          <w:kern w:val="0"/>
          <w:sz w:val="32"/>
          <w:szCs w:val="32"/>
        </w:rPr>
        <w:t>（十六）经费形式: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 Black"/>
          <w:kern w:val="0"/>
          <w:sz w:val="32"/>
          <w:szCs w:val="32"/>
        </w:rPr>
        <w:t>可分为财政拨款、财政性资金基本保证、财政性资金定额或定项补助、财政性资金零补助四类。</w:t>
      </w: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rPr>
          <w:rFonts w:ascii="Times New Roman" w:hAnsi="Times New Roman" w:eastAsia="黑体" w:cs="Times New Roman"/>
          <w:sz w:val="32"/>
          <w:szCs w:val="32"/>
        </w:rPr>
        <w:sectPr>
          <w:headerReference r:id="rId8" w:type="default"/>
          <w:pgSz w:w="11906" w:h="16838"/>
          <w:pgMar w:top="2098" w:right="1531" w:bottom="1984" w:left="1531" w:header="851" w:footer="992" w:gutter="0"/>
          <w:pgNumType w:fmt="numberInDash"/>
          <w:cols w:space="0" w:num="1"/>
          <w:titlePg/>
          <w:docGrid w:type="lines" w:linePitch="312" w:charSpace="0"/>
        </w:sectPr>
      </w:pPr>
      <w:r>
        <w:rPr>
          <w:rFonts w:ascii="Times New Roman" w:hAnsi="Times New Roman" w:eastAsia="黑体" w:cs="Times New Roman"/>
          <w:sz w:val="32"/>
          <w:szCs w:val="32"/>
        </w:rPr>
        <w:br w:type="page"/>
      </w:r>
    </w:p>
    <w:p>
      <w:pPr>
        <w:rPr>
          <w:sz w:val="72"/>
        </w:rPr>
      </w:pPr>
      <w:r>
        <w:rPr>
          <w:sz w:val="72"/>
        </w:rPr>
        <mc:AlternateContent>
          <mc:Choice Requires="wps">
            <w:drawing>
              <wp:anchor distT="0" distB="0" distL="114300" distR="114300" simplePos="0" relativeHeight="251667456" behindDoc="0" locked="0" layoutInCell="1" allowOverlap="1">
                <wp:simplePos x="0" y="0"/>
                <wp:positionH relativeFrom="column">
                  <wp:posOffset>-1027430</wp:posOffset>
                </wp:positionH>
                <wp:positionV relativeFrom="paragraph">
                  <wp:posOffset>1151255</wp:posOffset>
                </wp:positionV>
                <wp:extent cx="7793355" cy="3341370"/>
                <wp:effectExtent l="6350" t="6350" r="18415" b="20320"/>
                <wp:wrapNone/>
                <wp:docPr id="1" name="文本框 1"/>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ysClr val="window" lastClr="FFFFFF">
                              <a:lumMod val="50000"/>
                            </a:sysClr>
                          </a:fgClr>
                          <a:bgClr>
                            <a:sysClr val="window" lastClr="FFFFFF"/>
                          </a:bgClr>
                        </a:pattFill>
                        <a:ln w="12700" cmpd="sng">
                          <a:solidFill>
                            <a:sysClr val="window" lastClr="FFFFFF">
                              <a:lumMod val="65000"/>
                            </a:sysClr>
                          </a:solidFill>
                          <a:prstDash val="solid"/>
                        </a:ln>
                        <a:effectLst/>
                      </wps:spPr>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2020年度部门决算报表</w:t>
                            </w:r>
                          </w:p>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9pt;margin-top:90.65pt;height:263.1pt;width:613.65pt;z-index:251667456;v-text-anchor:middle;mso-width-relative:page;mso-height-relative:page;" fillcolor="#7F7F7F" filled="t" stroked="t" coordsize="21600,21600" o:gfxdata="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">
                <v:fill type="pattern" on="t" color2="#FFFFFF" focussize="0,0" r:id="rId11"/>
                <v:stroke weight="1pt" color="#A6A6A6"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2020年度部门决算报表</w:t>
                      </w:r>
                    </w:p>
                    <w:p/>
                  </w:txbxContent>
                </v:textbox>
              </v:shape>
            </w:pict>
          </mc:Fallback>
        </mc:AlternateContent>
      </w:r>
    </w:p>
    <w:p>
      <w:pPr>
        <w:bidi w:val="0"/>
        <w:rPr>
          <w:rFonts w:asciiTheme="minorHAnsi" w:hAnsiTheme="minorHAnsi" w:eastAsiaTheme="minorEastAsia" w:cstheme="minorBidi"/>
          <w:kern w:val="2"/>
          <w:sz w:val="21"/>
          <w:szCs w:val="24"/>
          <w:lang w:val="en-US" w:eastAsia="zh-CN" w:bidi="ar-SA"/>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jc w:val="both"/>
        <w:rPr>
          <w:rFonts w:hint="eastAsia"/>
          <w:sz w:val="36"/>
          <w:szCs w:val="36"/>
          <w:lang w:val="en-US" w:eastAsia="zh-CN"/>
        </w:rPr>
      </w:pPr>
      <w:r>
        <w:rPr>
          <w:lang w:val="en-US" w:eastAsia="zh-CN"/>
        </w:rPr>
        <w:br w:type="page"/>
      </w:r>
      <w:r>
        <w:rPr>
          <w:rFonts w:hint="eastAsia"/>
          <w:lang w:val="en-US" w:eastAsia="zh-CN"/>
        </w:rPr>
        <w:t xml:space="preserve">                          </w:t>
      </w:r>
      <w:r>
        <w:rPr>
          <w:rFonts w:hint="eastAsia"/>
          <w:sz w:val="36"/>
          <w:szCs w:val="36"/>
          <w:lang w:val="en-US" w:eastAsia="zh-CN"/>
        </w:rPr>
        <w:t>收入支出决算总表</w:t>
      </w:r>
    </w:p>
    <w:p>
      <w:pPr>
        <w:bidi w:val="0"/>
        <w:jc w:val="center"/>
        <w:rPr>
          <w:rFonts w:hint="default"/>
          <w:sz w:val="21"/>
          <w:szCs w:val="21"/>
          <w:lang w:val="en-US" w:eastAsia="zh-CN"/>
        </w:rPr>
      </w:pPr>
      <w:r>
        <w:rPr>
          <w:rFonts w:hint="eastAsia"/>
          <w:sz w:val="32"/>
          <w:szCs w:val="32"/>
          <w:lang w:val="en-US" w:eastAsia="zh-CN"/>
        </w:rPr>
        <w:t xml:space="preserve">                                                </w:t>
      </w:r>
      <w:r>
        <w:rPr>
          <w:rFonts w:hint="eastAsia"/>
          <w:sz w:val="21"/>
          <w:szCs w:val="21"/>
          <w:lang w:val="en-US" w:eastAsia="zh-CN"/>
        </w:rPr>
        <w:t>公开01表</w:t>
      </w:r>
    </w:p>
    <w:p>
      <w:pPr>
        <w:bidi w:val="0"/>
        <w:jc w:val="left"/>
        <w:rPr>
          <w:rFonts w:hint="default"/>
          <w:sz w:val="21"/>
          <w:szCs w:val="21"/>
          <w:lang w:val="en-US" w:eastAsia="zh-CN"/>
        </w:rPr>
      </w:pPr>
      <w:r>
        <w:rPr>
          <w:rFonts w:hint="eastAsia"/>
          <w:sz w:val="21"/>
          <w:szCs w:val="21"/>
          <w:lang w:val="en-US" w:eastAsia="zh-CN"/>
        </w:rPr>
        <w:t>部门：中国人民政治协商会议河北省石家庄市鹿泉区委员会                   金额单位：万元</w:t>
      </w:r>
    </w:p>
    <w:tbl>
      <w:tblPr>
        <w:tblStyle w:val="6"/>
        <w:tblW w:w="9187"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245"/>
        <w:gridCol w:w="593"/>
        <w:gridCol w:w="895"/>
        <w:gridCol w:w="2946"/>
        <w:gridCol w:w="593"/>
        <w:gridCol w:w="91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13" w:hRule="atLeast"/>
        </w:trPr>
        <w:tc>
          <w:tcPr>
            <w:tcW w:w="473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收入</w:t>
            </w:r>
          </w:p>
        </w:tc>
        <w:tc>
          <w:tcPr>
            <w:tcW w:w="4454" w:type="dxa"/>
            <w:gridSpan w:val="3"/>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13" w:hRule="atLeast"/>
        </w:trPr>
        <w:tc>
          <w:tcPr>
            <w:tcW w:w="324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w:t>
            </w:r>
          </w:p>
        </w:tc>
        <w:tc>
          <w:tcPr>
            <w:tcW w:w="5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行次</w:t>
            </w:r>
          </w:p>
        </w:tc>
        <w:tc>
          <w:tcPr>
            <w:tcW w:w="89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w:t>
            </w:r>
          </w:p>
        </w:tc>
        <w:tc>
          <w:tcPr>
            <w:tcW w:w="294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w:t>
            </w:r>
          </w:p>
        </w:tc>
        <w:tc>
          <w:tcPr>
            <w:tcW w:w="5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行次</w:t>
            </w:r>
          </w:p>
        </w:tc>
        <w:tc>
          <w:tcPr>
            <w:tcW w:w="91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13" w:hRule="atLeast"/>
        </w:trPr>
        <w:tc>
          <w:tcPr>
            <w:tcW w:w="324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栏次</w:t>
            </w:r>
          </w:p>
        </w:tc>
        <w:tc>
          <w:tcPr>
            <w:tcW w:w="593" w:type="dxa"/>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9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94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栏次</w:t>
            </w:r>
          </w:p>
        </w:tc>
        <w:tc>
          <w:tcPr>
            <w:tcW w:w="593" w:type="dxa"/>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91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13" w:hRule="atLeast"/>
        </w:trPr>
        <w:tc>
          <w:tcPr>
            <w:tcW w:w="324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一、一般公共预算财政拨款收入</w:t>
            </w:r>
          </w:p>
        </w:tc>
        <w:tc>
          <w:tcPr>
            <w:tcW w:w="5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89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679.33</w:t>
            </w:r>
          </w:p>
        </w:tc>
        <w:tc>
          <w:tcPr>
            <w:tcW w:w="294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一、一般公共服务支出</w:t>
            </w:r>
          </w:p>
        </w:tc>
        <w:tc>
          <w:tcPr>
            <w:tcW w:w="5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w:t>
            </w:r>
          </w:p>
        </w:tc>
        <w:tc>
          <w:tcPr>
            <w:tcW w:w="91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584.70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13" w:hRule="atLeast"/>
        </w:trPr>
        <w:tc>
          <w:tcPr>
            <w:tcW w:w="324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二、政府性基金预算财政拨款收入</w:t>
            </w:r>
          </w:p>
        </w:tc>
        <w:tc>
          <w:tcPr>
            <w:tcW w:w="5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89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294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二、外交支出</w:t>
            </w:r>
          </w:p>
        </w:tc>
        <w:tc>
          <w:tcPr>
            <w:tcW w:w="5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w:t>
            </w:r>
          </w:p>
        </w:tc>
        <w:tc>
          <w:tcPr>
            <w:tcW w:w="91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13" w:hRule="atLeast"/>
        </w:trPr>
        <w:tc>
          <w:tcPr>
            <w:tcW w:w="324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三、国有资本经营预算财政拨款收入</w:t>
            </w:r>
          </w:p>
        </w:tc>
        <w:tc>
          <w:tcPr>
            <w:tcW w:w="5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89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294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三、国防支出</w:t>
            </w:r>
          </w:p>
        </w:tc>
        <w:tc>
          <w:tcPr>
            <w:tcW w:w="5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w:t>
            </w:r>
          </w:p>
        </w:tc>
        <w:tc>
          <w:tcPr>
            <w:tcW w:w="91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13" w:hRule="atLeast"/>
        </w:trPr>
        <w:tc>
          <w:tcPr>
            <w:tcW w:w="324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四、上级补助收入</w:t>
            </w:r>
          </w:p>
        </w:tc>
        <w:tc>
          <w:tcPr>
            <w:tcW w:w="5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89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294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四、公共安全支出</w:t>
            </w:r>
          </w:p>
        </w:tc>
        <w:tc>
          <w:tcPr>
            <w:tcW w:w="5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w:t>
            </w:r>
          </w:p>
        </w:tc>
        <w:tc>
          <w:tcPr>
            <w:tcW w:w="91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13" w:hRule="atLeast"/>
        </w:trPr>
        <w:tc>
          <w:tcPr>
            <w:tcW w:w="324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五、事业收入</w:t>
            </w:r>
          </w:p>
        </w:tc>
        <w:tc>
          <w:tcPr>
            <w:tcW w:w="5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89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294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五、教育支出</w:t>
            </w:r>
          </w:p>
        </w:tc>
        <w:tc>
          <w:tcPr>
            <w:tcW w:w="5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w:t>
            </w:r>
          </w:p>
        </w:tc>
        <w:tc>
          <w:tcPr>
            <w:tcW w:w="91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13" w:hRule="atLeast"/>
        </w:trPr>
        <w:tc>
          <w:tcPr>
            <w:tcW w:w="324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六、经营收入</w:t>
            </w:r>
          </w:p>
        </w:tc>
        <w:tc>
          <w:tcPr>
            <w:tcW w:w="5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89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294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六、科学技术支出</w:t>
            </w:r>
          </w:p>
        </w:tc>
        <w:tc>
          <w:tcPr>
            <w:tcW w:w="5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37</w:t>
            </w:r>
          </w:p>
        </w:tc>
        <w:tc>
          <w:tcPr>
            <w:tcW w:w="91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13" w:hRule="atLeast"/>
        </w:trPr>
        <w:tc>
          <w:tcPr>
            <w:tcW w:w="324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七、附属单位上缴收入</w:t>
            </w:r>
          </w:p>
        </w:tc>
        <w:tc>
          <w:tcPr>
            <w:tcW w:w="5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w:t>
            </w:r>
          </w:p>
        </w:tc>
        <w:tc>
          <w:tcPr>
            <w:tcW w:w="89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294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七、文化旅游体育与传媒支出</w:t>
            </w:r>
          </w:p>
        </w:tc>
        <w:tc>
          <w:tcPr>
            <w:tcW w:w="5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38</w:t>
            </w:r>
          </w:p>
        </w:tc>
        <w:tc>
          <w:tcPr>
            <w:tcW w:w="91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13" w:hRule="atLeast"/>
        </w:trPr>
        <w:tc>
          <w:tcPr>
            <w:tcW w:w="324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八、其他收入</w:t>
            </w:r>
          </w:p>
        </w:tc>
        <w:tc>
          <w:tcPr>
            <w:tcW w:w="5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c>
          <w:tcPr>
            <w:tcW w:w="89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3.49</w:t>
            </w:r>
          </w:p>
        </w:tc>
        <w:tc>
          <w:tcPr>
            <w:tcW w:w="294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八、社会保障和就业支出</w:t>
            </w:r>
          </w:p>
        </w:tc>
        <w:tc>
          <w:tcPr>
            <w:tcW w:w="5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39</w:t>
            </w:r>
          </w:p>
        </w:tc>
        <w:tc>
          <w:tcPr>
            <w:tcW w:w="91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32.59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13" w:hRule="atLeast"/>
        </w:trPr>
        <w:tc>
          <w:tcPr>
            <w:tcW w:w="3245"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5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w:t>
            </w:r>
          </w:p>
        </w:tc>
        <w:tc>
          <w:tcPr>
            <w:tcW w:w="89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294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九、卫生健康支出</w:t>
            </w:r>
          </w:p>
        </w:tc>
        <w:tc>
          <w:tcPr>
            <w:tcW w:w="5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c>
          <w:tcPr>
            <w:tcW w:w="91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30.35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13" w:hRule="atLeast"/>
        </w:trPr>
        <w:tc>
          <w:tcPr>
            <w:tcW w:w="3245"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5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89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294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十、节能环保支出</w:t>
            </w:r>
          </w:p>
        </w:tc>
        <w:tc>
          <w:tcPr>
            <w:tcW w:w="5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41</w:t>
            </w:r>
          </w:p>
        </w:tc>
        <w:tc>
          <w:tcPr>
            <w:tcW w:w="91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13" w:hRule="atLeast"/>
        </w:trPr>
        <w:tc>
          <w:tcPr>
            <w:tcW w:w="3245"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5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89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294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十一、城乡社区支出</w:t>
            </w:r>
          </w:p>
        </w:tc>
        <w:tc>
          <w:tcPr>
            <w:tcW w:w="5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42</w:t>
            </w:r>
          </w:p>
        </w:tc>
        <w:tc>
          <w:tcPr>
            <w:tcW w:w="91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13" w:hRule="atLeast"/>
        </w:trPr>
        <w:tc>
          <w:tcPr>
            <w:tcW w:w="3245"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5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89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294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十二、农林水支出</w:t>
            </w:r>
          </w:p>
        </w:tc>
        <w:tc>
          <w:tcPr>
            <w:tcW w:w="5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43</w:t>
            </w:r>
          </w:p>
        </w:tc>
        <w:tc>
          <w:tcPr>
            <w:tcW w:w="91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13" w:hRule="atLeast"/>
        </w:trPr>
        <w:tc>
          <w:tcPr>
            <w:tcW w:w="3245"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5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w:t>
            </w:r>
          </w:p>
        </w:tc>
        <w:tc>
          <w:tcPr>
            <w:tcW w:w="89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294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十三、交通运输支出</w:t>
            </w:r>
          </w:p>
        </w:tc>
        <w:tc>
          <w:tcPr>
            <w:tcW w:w="5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44</w:t>
            </w:r>
          </w:p>
        </w:tc>
        <w:tc>
          <w:tcPr>
            <w:tcW w:w="91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13" w:hRule="atLeast"/>
        </w:trPr>
        <w:tc>
          <w:tcPr>
            <w:tcW w:w="3245"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5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w:t>
            </w:r>
          </w:p>
        </w:tc>
        <w:tc>
          <w:tcPr>
            <w:tcW w:w="89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294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十四、资源勘探工业信息等支出</w:t>
            </w:r>
          </w:p>
        </w:tc>
        <w:tc>
          <w:tcPr>
            <w:tcW w:w="5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45</w:t>
            </w:r>
          </w:p>
        </w:tc>
        <w:tc>
          <w:tcPr>
            <w:tcW w:w="91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shd w:val="clear" w:color="auto" w:fill="auto"/>
          <w:tblLayout w:type="fixed"/>
          <w:tblCellMar>
            <w:top w:w="0" w:type="dxa"/>
            <w:left w:w="108" w:type="dxa"/>
            <w:bottom w:w="0" w:type="dxa"/>
            <w:right w:w="108" w:type="dxa"/>
          </w:tblCellMar>
        </w:tblPrEx>
        <w:trPr>
          <w:trHeight w:val="113" w:hRule="atLeast"/>
        </w:trPr>
        <w:tc>
          <w:tcPr>
            <w:tcW w:w="3245"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5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89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294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十五、商业服务业等支出</w:t>
            </w:r>
          </w:p>
        </w:tc>
        <w:tc>
          <w:tcPr>
            <w:tcW w:w="5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46</w:t>
            </w:r>
          </w:p>
        </w:tc>
        <w:tc>
          <w:tcPr>
            <w:tcW w:w="91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13" w:hRule="atLeast"/>
        </w:trPr>
        <w:tc>
          <w:tcPr>
            <w:tcW w:w="3245"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5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w:t>
            </w:r>
          </w:p>
        </w:tc>
        <w:tc>
          <w:tcPr>
            <w:tcW w:w="89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294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十六、金融支出</w:t>
            </w:r>
          </w:p>
        </w:tc>
        <w:tc>
          <w:tcPr>
            <w:tcW w:w="5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47</w:t>
            </w:r>
          </w:p>
        </w:tc>
        <w:tc>
          <w:tcPr>
            <w:tcW w:w="91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13" w:hRule="atLeast"/>
        </w:trPr>
        <w:tc>
          <w:tcPr>
            <w:tcW w:w="3245"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5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w:t>
            </w:r>
          </w:p>
        </w:tc>
        <w:tc>
          <w:tcPr>
            <w:tcW w:w="89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294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十七、援助其他地区支出</w:t>
            </w:r>
          </w:p>
        </w:tc>
        <w:tc>
          <w:tcPr>
            <w:tcW w:w="5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w:t>
            </w:r>
          </w:p>
        </w:tc>
        <w:tc>
          <w:tcPr>
            <w:tcW w:w="91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13" w:hRule="atLeast"/>
        </w:trPr>
        <w:tc>
          <w:tcPr>
            <w:tcW w:w="3245"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5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w:t>
            </w:r>
          </w:p>
        </w:tc>
        <w:tc>
          <w:tcPr>
            <w:tcW w:w="89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294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十八、自然资源海洋气象等支出</w:t>
            </w:r>
          </w:p>
        </w:tc>
        <w:tc>
          <w:tcPr>
            <w:tcW w:w="5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49</w:t>
            </w:r>
          </w:p>
        </w:tc>
        <w:tc>
          <w:tcPr>
            <w:tcW w:w="91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13" w:hRule="atLeast"/>
        </w:trPr>
        <w:tc>
          <w:tcPr>
            <w:tcW w:w="3245"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5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w:t>
            </w:r>
          </w:p>
        </w:tc>
        <w:tc>
          <w:tcPr>
            <w:tcW w:w="89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294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十九、住房保障支出</w:t>
            </w:r>
          </w:p>
        </w:tc>
        <w:tc>
          <w:tcPr>
            <w:tcW w:w="5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91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34.91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13" w:hRule="atLeast"/>
        </w:trPr>
        <w:tc>
          <w:tcPr>
            <w:tcW w:w="3245"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5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89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294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二十、粮油物资储备支出</w:t>
            </w:r>
          </w:p>
        </w:tc>
        <w:tc>
          <w:tcPr>
            <w:tcW w:w="5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51</w:t>
            </w:r>
          </w:p>
        </w:tc>
        <w:tc>
          <w:tcPr>
            <w:tcW w:w="91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13" w:hRule="atLeast"/>
        </w:trPr>
        <w:tc>
          <w:tcPr>
            <w:tcW w:w="3245"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5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w:t>
            </w:r>
          </w:p>
        </w:tc>
        <w:tc>
          <w:tcPr>
            <w:tcW w:w="89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294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二十一、国有资本经营预算支出</w:t>
            </w:r>
          </w:p>
        </w:tc>
        <w:tc>
          <w:tcPr>
            <w:tcW w:w="5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52</w:t>
            </w:r>
          </w:p>
        </w:tc>
        <w:tc>
          <w:tcPr>
            <w:tcW w:w="91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13" w:hRule="atLeast"/>
        </w:trPr>
        <w:tc>
          <w:tcPr>
            <w:tcW w:w="3245"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5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w:t>
            </w:r>
          </w:p>
        </w:tc>
        <w:tc>
          <w:tcPr>
            <w:tcW w:w="89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294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二十二、灾害防治及应急管理支出</w:t>
            </w:r>
          </w:p>
        </w:tc>
        <w:tc>
          <w:tcPr>
            <w:tcW w:w="5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53</w:t>
            </w:r>
          </w:p>
        </w:tc>
        <w:tc>
          <w:tcPr>
            <w:tcW w:w="91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13" w:hRule="atLeast"/>
        </w:trPr>
        <w:tc>
          <w:tcPr>
            <w:tcW w:w="3245"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5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w:t>
            </w:r>
          </w:p>
        </w:tc>
        <w:tc>
          <w:tcPr>
            <w:tcW w:w="89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294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二十三、其他支出</w:t>
            </w:r>
          </w:p>
        </w:tc>
        <w:tc>
          <w:tcPr>
            <w:tcW w:w="5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54</w:t>
            </w:r>
          </w:p>
        </w:tc>
        <w:tc>
          <w:tcPr>
            <w:tcW w:w="91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13" w:hRule="atLeast"/>
        </w:trPr>
        <w:tc>
          <w:tcPr>
            <w:tcW w:w="3245" w:type="dxa"/>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5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89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294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二十四、债务还本支出</w:t>
            </w:r>
          </w:p>
        </w:tc>
        <w:tc>
          <w:tcPr>
            <w:tcW w:w="5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55</w:t>
            </w:r>
          </w:p>
        </w:tc>
        <w:tc>
          <w:tcPr>
            <w:tcW w:w="91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13" w:hRule="atLeast"/>
        </w:trPr>
        <w:tc>
          <w:tcPr>
            <w:tcW w:w="3245"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5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89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294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二十五、债务付息支出</w:t>
            </w:r>
          </w:p>
        </w:tc>
        <w:tc>
          <w:tcPr>
            <w:tcW w:w="5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56</w:t>
            </w:r>
          </w:p>
        </w:tc>
        <w:tc>
          <w:tcPr>
            <w:tcW w:w="91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13" w:hRule="atLeast"/>
        </w:trPr>
        <w:tc>
          <w:tcPr>
            <w:tcW w:w="3245"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5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w:t>
            </w:r>
          </w:p>
        </w:tc>
        <w:tc>
          <w:tcPr>
            <w:tcW w:w="89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294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二十六、抗疫特别国债安排的支出</w:t>
            </w:r>
          </w:p>
        </w:tc>
        <w:tc>
          <w:tcPr>
            <w:tcW w:w="5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57</w:t>
            </w:r>
          </w:p>
        </w:tc>
        <w:tc>
          <w:tcPr>
            <w:tcW w:w="91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13" w:hRule="atLeast"/>
        </w:trPr>
        <w:tc>
          <w:tcPr>
            <w:tcW w:w="324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本年收入合计</w:t>
            </w:r>
          </w:p>
        </w:tc>
        <w:tc>
          <w:tcPr>
            <w:tcW w:w="5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w:t>
            </w:r>
          </w:p>
        </w:tc>
        <w:tc>
          <w:tcPr>
            <w:tcW w:w="89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682.82</w:t>
            </w:r>
          </w:p>
        </w:tc>
        <w:tc>
          <w:tcPr>
            <w:tcW w:w="294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本年支出合计</w:t>
            </w:r>
          </w:p>
        </w:tc>
        <w:tc>
          <w:tcPr>
            <w:tcW w:w="5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58</w:t>
            </w:r>
          </w:p>
        </w:tc>
        <w:tc>
          <w:tcPr>
            <w:tcW w:w="91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682.55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13" w:hRule="atLeast"/>
        </w:trPr>
        <w:tc>
          <w:tcPr>
            <w:tcW w:w="324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使用非财政拨款结余</w:t>
            </w:r>
          </w:p>
        </w:tc>
        <w:tc>
          <w:tcPr>
            <w:tcW w:w="5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w:t>
            </w:r>
          </w:p>
        </w:tc>
        <w:tc>
          <w:tcPr>
            <w:tcW w:w="89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294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结余分配</w:t>
            </w:r>
          </w:p>
        </w:tc>
        <w:tc>
          <w:tcPr>
            <w:tcW w:w="5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59</w:t>
            </w:r>
          </w:p>
        </w:tc>
        <w:tc>
          <w:tcPr>
            <w:tcW w:w="91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13" w:hRule="atLeast"/>
        </w:trPr>
        <w:tc>
          <w:tcPr>
            <w:tcW w:w="324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年初结转和结余</w:t>
            </w:r>
          </w:p>
        </w:tc>
        <w:tc>
          <w:tcPr>
            <w:tcW w:w="5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w:t>
            </w:r>
          </w:p>
        </w:tc>
        <w:tc>
          <w:tcPr>
            <w:tcW w:w="89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2.64</w:t>
            </w:r>
          </w:p>
        </w:tc>
        <w:tc>
          <w:tcPr>
            <w:tcW w:w="294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年末结转和结余</w:t>
            </w:r>
          </w:p>
        </w:tc>
        <w:tc>
          <w:tcPr>
            <w:tcW w:w="5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w:t>
            </w:r>
          </w:p>
        </w:tc>
        <w:tc>
          <w:tcPr>
            <w:tcW w:w="91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13" w:hRule="atLeast"/>
        </w:trPr>
        <w:tc>
          <w:tcPr>
            <w:tcW w:w="3245"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5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89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2946" w:type="dxa"/>
            <w:tcBorders>
              <w:top w:val="nil"/>
              <w:left w:val="nil"/>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5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61</w:t>
            </w:r>
          </w:p>
        </w:tc>
        <w:tc>
          <w:tcPr>
            <w:tcW w:w="915" w:type="dxa"/>
            <w:tcBorders>
              <w:top w:val="nil"/>
              <w:left w:val="nil"/>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13" w:hRule="atLeast"/>
        </w:trPr>
        <w:tc>
          <w:tcPr>
            <w:tcW w:w="324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总计</w:t>
            </w:r>
          </w:p>
        </w:tc>
        <w:tc>
          <w:tcPr>
            <w:tcW w:w="593" w:type="dxa"/>
            <w:tcBorders>
              <w:top w:val="nil"/>
              <w:left w:val="nil"/>
              <w:bottom w:val="single" w:color="000000" w:sz="8"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w:t>
            </w:r>
          </w:p>
        </w:tc>
        <w:tc>
          <w:tcPr>
            <w:tcW w:w="89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685.46</w:t>
            </w:r>
          </w:p>
        </w:tc>
        <w:tc>
          <w:tcPr>
            <w:tcW w:w="294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总计</w:t>
            </w:r>
          </w:p>
        </w:tc>
        <w:tc>
          <w:tcPr>
            <w:tcW w:w="59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62</w:t>
            </w:r>
          </w:p>
        </w:tc>
        <w:tc>
          <w:tcPr>
            <w:tcW w:w="91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685.46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113" w:hRule="atLeast"/>
        </w:trPr>
        <w:tc>
          <w:tcPr>
            <w:tcW w:w="9187" w:type="dxa"/>
            <w:gridSpan w:val="6"/>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注：本表反映部门本年度的总收支和年末结转结余情况。本套报表金额单位转换时可能存在尾数误差。</w:t>
            </w:r>
          </w:p>
        </w:tc>
      </w:tr>
    </w:tbl>
    <w:p>
      <w:pPr>
        <w:bidi w:val="0"/>
        <w:jc w:val="left"/>
        <w:rPr>
          <w:rFonts w:hint="eastAsia"/>
          <w:sz w:val="18"/>
          <w:szCs w:val="18"/>
          <w:lang w:val="en-US" w:eastAsia="zh-CN"/>
        </w:rPr>
      </w:pPr>
    </w:p>
    <w:p>
      <w:pPr>
        <w:bidi w:val="0"/>
        <w:jc w:val="center"/>
        <w:rPr>
          <w:rFonts w:hint="eastAsia"/>
          <w:sz w:val="36"/>
          <w:szCs w:val="36"/>
          <w:lang w:val="en-US" w:eastAsia="zh-CN"/>
        </w:rPr>
      </w:pPr>
    </w:p>
    <w:p>
      <w:pPr>
        <w:bidi w:val="0"/>
        <w:jc w:val="center"/>
        <w:rPr>
          <w:rFonts w:hint="eastAsia"/>
          <w:sz w:val="36"/>
          <w:szCs w:val="36"/>
          <w:lang w:val="en-US" w:eastAsia="zh-CN"/>
        </w:rPr>
      </w:pPr>
    </w:p>
    <w:p>
      <w:pPr>
        <w:bidi w:val="0"/>
        <w:jc w:val="center"/>
        <w:rPr>
          <w:rFonts w:hint="eastAsia"/>
          <w:sz w:val="36"/>
          <w:szCs w:val="36"/>
          <w:lang w:val="en-US" w:eastAsia="zh-CN"/>
        </w:rPr>
      </w:pPr>
    </w:p>
    <w:p>
      <w:pPr>
        <w:bidi w:val="0"/>
        <w:jc w:val="center"/>
        <w:rPr>
          <w:rFonts w:hint="eastAsia"/>
          <w:sz w:val="36"/>
          <w:szCs w:val="36"/>
          <w:lang w:val="en-US" w:eastAsia="zh-CN"/>
        </w:rPr>
      </w:pPr>
    </w:p>
    <w:p>
      <w:pPr>
        <w:bidi w:val="0"/>
        <w:jc w:val="center"/>
        <w:rPr>
          <w:rFonts w:hint="eastAsia"/>
          <w:sz w:val="36"/>
          <w:szCs w:val="36"/>
          <w:lang w:val="en-US" w:eastAsia="zh-CN"/>
        </w:rPr>
      </w:pPr>
    </w:p>
    <w:p>
      <w:pPr>
        <w:bidi w:val="0"/>
        <w:jc w:val="center"/>
        <w:rPr>
          <w:rFonts w:hint="eastAsia"/>
          <w:sz w:val="36"/>
          <w:szCs w:val="36"/>
          <w:lang w:val="en-US" w:eastAsia="zh-CN"/>
        </w:rPr>
      </w:pPr>
    </w:p>
    <w:p>
      <w:pPr>
        <w:bidi w:val="0"/>
        <w:jc w:val="center"/>
        <w:rPr>
          <w:rFonts w:hint="eastAsia"/>
          <w:sz w:val="36"/>
          <w:szCs w:val="36"/>
          <w:lang w:val="en-US" w:eastAsia="zh-CN"/>
        </w:rPr>
      </w:pPr>
    </w:p>
    <w:p>
      <w:pPr>
        <w:bidi w:val="0"/>
        <w:jc w:val="center"/>
        <w:rPr>
          <w:rFonts w:hint="eastAsia"/>
          <w:sz w:val="36"/>
          <w:szCs w:val="36"/>
          <w:lang w:val="en-US" w:eastAsia="zh-CN"/>
        </w:rPr>
      </w:pPr>
    </w:p>
    <w:p>
      <w:pPr>
        <w:bidi w:val="0"/>
        <w:jc w:val="center"/>
        <w:rPr>
          <w:rFonts w:hint="eastAsia"/>
          <w:sz w:val="36"/>
          <w:szCs w:val="36"/>
          <w:lang w:val="en-US" w:eastAsia="zh-CN"/>
        </w:rPr>
      </w:pPr>
    </w:p>
    <w:p>
      <w:pPr>
        <w:bidi w:val="0"/>
        <w:jc w:val="center"/>
        <w:rPr>
          <w:rFonts w:hint="eastAsia"/>
          <w:sz w:val="36"/>
          <w:szCs w:val="36"/>
          <w:lang w:val="en-US" w:eastAsia="zh-CN"/>
        </w:rPr>
      </w:pPr>
    </w:p>
    <w:p>
      <w:pPr>
        <w:bidi w:val="0"/>
        <w:jc w:val="center"/>
        <w:rPr>
          <w:rFonts w:hint="eastAsia"/>
          <w:sz w:val="36"/>
          <w:szCs w:val="36"/>
          <w:lang w:val="en-US" w:eastAsia="zh-CN"/>
        </w:rPr>
      </w:pPr>
    </w:p>
    <w:p>
      <w:pPr>
        <w:bidi w:val="0"/>
        <w:jc w:val="center"/>
        <w:rPr>
          <w:rFonts w:hint="eastAsia"/>
          <w:sz w:val="36"/>
          <w:szCs w:val="36"/>
          <w:lang w:val="en-US" w:eastAsia="zh-CN"/>
        </w:rPr>
      </w:pPr>
    </w:p>
    <w:p>
      <w:pPr>
        <w:bidi w:val="0"/>
        <w:jc w:val="center"/>
        <w:rPr>
          <w:rFonts w:hint="eastAsia"/>
          <w:sz w:val="36"/>
          <w:szCs w:val="36"/>
          <w:lang w:val="en-US" w:eastAsia="zh-CN"/>
        </w:rPr>
      </w:pPr>
    </w:p>
    <w:p>
      <w:pPr>
        <w:bidi w:val="0"/>
        <w:jc w:val="center"/>
        <w:rPr>
          <w:rFonts w:hint="eastAsia"/>
          <w:sz w:val="36"/>
          <w:szCs w:val="36"/>
          <w:lang w:val="en-US" w:eastAsia="zh-CN"/>
        </w:rPr>
      </w:pPr>
    </w:p>
    <w:p>
      <w:pPr>
        <w:bidi w:val="0"/>
        <w:jc w:val="center"/>
        <w:rPr>
          <w:rFonts w:hint="eastAsia"/>
          <w:sz w:val="36"/>
          <w:szCs w:val="36"/>
          <w:lang w:val="en-US" w:eastAsia="zh-CN"/>
        </w:rPr>
      </w:pPr>
    </w:p>
    <w:p>
      <w:pPr>
        <w:bidi w:val="0"/>
        <w:jc w:val="center"/>
        <w:rPr>
          <w:rFonts w:hint="eastAsia"/>
          <w:sz w:val="36"/>
          <w:szCs w:val="36"/>
          <w:lang w:val="en-US" w:eastAsia="zh-CN"/>
        </w:rPr>
      </w:pPr>
    </w:p>
    <w:p>
      <w:pPr>
        <w:bidi w:val="0"/>
        <w:jc w:val="center"/>
        <w:rPr>
          <w:rFonts w:hint="eastAsia"/>
          <w:sz w:val="36"/>
          <w:szCs w:val="36"/>
          <w:lang w:val="en-US" w:eastAsia="zh-CN"/>
        </w:rPr>
      </w:pPr>
    </w:p>
    <w:p>
      <w:pPr>
        <w:bidi w:val="0"/>
        <w:jc w:val="center"/>
        <w:rPr>
          <w:rFonts w:hint="eastAsia"/>
          <w:sz w:val="36"/>
          <w:szCs w:val="36"/>
          <w:lang w:val="en-US" w:eastAsia="zh-CN"/>
        </w:rPr>
      </w:pPr>
    </w:p>
    <w:p>
      <w:pPr>
        <w:bidi w:val="0"/>
        <w:jc w:val="center"/>
        <w:rPr>
          <w:rFonts w:hint="eastAsia"/>
          <w:sz w:val="36"/>
          <w:szCs w:val="36"/>
          <w:lang w:val="en-US" w:eastAsia="zh-CN"/>
        </w:rPr>
      </w:pPr>
    </w:p>
    <w:p>
      <w:pPr>
        <w:bidi w:val="0"/>
        <w:jc w:val="center"/>
        <w:rPr>
          <w:rFonts w:hint="eastAsia"/>
          <w:sz w:val="36"/>
          <w:szCs w:val="36"/>
          <w:lang w:val="en-US" w:eastAsia="zh-CN"/>
        </w:rPr>
      </w:pPr>
      <w:r>
        <w:rPr>
          <w:rFonts w:hint="eastAsia"/>
          <w:sz w:val="36"/>
          <w:szCs w:val="36"/>
          <w:lang w:val="en-US" w:eastAsia="zh-CN"/>
        </w:rPr>
        <w:t>收入决算表</w:t>
      </w:r>
    </w:p>
    <w:p>
      <w:pPr>
        <w:bidi w:val="0"/>
        <w:jc w:val="center"/>
        <w:rPr>
          <w:rFonts w:hint="default"/>
          <w:sz w:val="21"/>
          <w:szCs w:val="21"/>
          <w:lang w:val="en-US" w:eastAsia="zh-CN"/>
        </w:rPr>
      </w:pPr>
      <w:r>
        <w:rPr>
          <w:rFonts w:hint="eastAsia"/>
          <w:sz w:val="18"/>
          <w:szCs w:val="18"/>
          <w:lang w:val="en-US" w:eastAsia="zh-CN"/>
        </w:rPr>
        <w:t xml:space="preserve">                                                                                   </w:t>
      </w:r>
      <w:r>
        <w:rPr>
          <w:rFonts w:hint="eastAsia"/>
          <w:sz w:val="21"/>
          <w:szCs w:val="21"/>
          <w:lang w:val="en-US" w:eastAsia="zh-CN"/>
        </w:rPr>
        <w:t>公开02表</w:t>
      </w:r>
    </w:p>
    <w:p>
      <w:pPr>
        <w:bidi w:val="0"/>
        <w:jc w:val="left"/>
        <w:rPr>
          <w:rFonts w:hint="default"/>
          <w:sz w:val="21"/>
          <w:szCs w:val="21"/>
          <w:lang w:val="en-US" w:eastAsia="zh-CN"/>
        </w:rPr>
      </w:pPr>
      <w:r>
        <w:rPr>
          <w:rFonts w:hint="eastAsia"/>
          <w:sz w:val="21"/>
          <w:szCs w:val="21"/>
          <w:lang w:val="en-US" w:eastAsia="zh-CN"/>
        </w:rPr>
        <w:t>部门：中国人民政治协商会议河北省石家庄市鹿泉区委员会                   金额单位：万元</w:t>
      </w:r>
    </w:p>
    <w:tbl>
      <w:tblPr>
        <w:tblStyle w:val="6"/>
        <w:tblW w:w="960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192"/>
        <w:gridCol w:w="3031"/>
        <w:gridCol w:w="989"/>
        <w:gridCol w:w="889"/>
        <w:gridCol w:w="642"/>
        <w:gridCol w:w="675"/>
        <w:gridCol w:w="780"/>
        <w:gridCol w:w="705"/>
        <w:gridCol w:w="70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422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989"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本年收入合计</w:t>
            </w:r>
          </w:p>
        </w:tc>
        <w:tc>
          <w:tcPr>
            <w:tcW w:w="889"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财政拨款收入</w:t>
            </w:r>
          </w:p>
        </w:tc>
        <w:tc>
          <w:tcPr>
            <w:tcW w:w="642"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上级补助收入</w:t>
            </w:r>
          </w:p>
        </w:tc>
        <w:tc>
          <w:tcPr>
            <w:tcW w:w="675"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事业收入</w:t>
            </w:r>
          </w:p>
        </w:tc>
        <w:tc>
          <w:tcPr>
            <w:tcW w:w="780"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经营收入</w:t>
            </w:r>
          </w:p>
        </w:tc>
        <w:tc>
          <w:tcPr>
            <w:tcW w:w="705"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附属单位上缴收入</w:t>
            </w:r>
          </w:p>
        </w:tc>
        <w:tc>
          <w:tcPr>
            <w:tcW w:w="705"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trPr>
        <w:tc>
          <w:tcPr>
            <w:tcW w:w="1192" w:type="dxa"/>
            <w:vMerge w:val="restar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功能分类科目编码</w:t>
            </w:r>
          </w:p>
        </w:tc>
        <w:tc>
          <w:tcPr>
            <w:tcW w:w="3031"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989"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889"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42"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75"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780"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705"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705"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trPr>
        <w:tc>
          <w:tcPr>
            <w:tcW w:w="1192" w:type="dxa"/>
            <w:vMerge w:val="continue"/>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031"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89"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889"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42"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75"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780"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705"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705"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trPr>
        <w:tc>
          <w:tcPr>
            <w:tcW w:w="1192" w:type="dxa"/>
            <w:vMerge w:val="continue"/>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031"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89"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889"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42"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75"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780"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705"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705"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4223" w:type="dxa"/>
            <w:gridSpan w:val="2"/>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98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88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6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67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78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70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70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4223" w:type="dxa"/>
            <w:gridSpan w:val="2"/>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98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682.82</w:t>
            </w:r>
          </w:p>
        </w:tc>
        <w:tc>
          <w:tcPr>
            <w:tcW w:w="88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679.33</w:t>
            </w:r>
          </w:p>
        </w:tc>
        <w:tc>
          <w:tcPr>
            <w:tcW w:w="6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c>
          <w:tcPr>
            <w:tcW w:w="67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c>
          <w:tcPr>
            <w:tcW w:w="78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c>
          <w:tcPr>
            <w:tcW w:w="70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c>
          <w:tcPr>
            <w:tcW w:w="70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3.49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192"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w:t>
            </w:r>
          </w:p>
        </w:tc>
        <w:tc>
          <w:tcPr>
            <w:tcW w:w="3031"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一般公共服务支出</w:t>
            </w:r>
          </w:p>
        </w:tc>
        <w:tc>
          <w:tcPr>
            <w:tcW w:w="98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584.97</w:t>
            </w:r>
          </w:p>
        </w:tc>
        <w:tc>
          <w:tcPr>
            <w:tcW w:w="88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581.48</w:t>
            </w:r>
          </w:p>
        </w:tc>
        <w:tc>
          <w:tcPr>
            <w:tcW w:w="6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67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8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0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0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trPr>
        <w:tc>
          <w:tcPr>
            <w:tcW w:w="1192"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20102</w:t>
            </w:r>
          </w:p>
        </w:tc>
        <w:tc>
          <w:tcPr>
            <w:tcW w:w="3031"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政协事务</w:t>
            </w:r>
          </w:p>
        </w:tc>
        <w:tc>
          <w:tcPr>
            <w:tcW w:w="98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584.97</w:t>
            </w:r>
          </w:p>
        </w:tc>
        <w:tc>
          <w:tcPr>
            <w:tcW w:w="88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581.48</w:t>
            </w:r>
          </w:p>
        </w:tc>
        <w:tc>
          <w:tcPr>
            <w:tcW w:w="6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67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8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0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0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trPr>
        <w:tc>
          <w:tcPr>
            <w:tcW w:w="1192"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2010201</w:t>
            </w:r>
          </w:p>
        </w:tc>
        <w:tc>
          <w:tcPr>
            <w:tcW w:w="3031"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行政运行</w:t>
            </w:r>
          </w:p>
        </w:tc>
        <w:tc>
          <w:tcPr>
            <w:tcW w:w="98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520.55</w:t>
            </w:r>
          </w:p>
        </w:tc>
        <w:tc>
          <w:tcPr>
            <w:tcW w:w="88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520.55</w:t>
            </w:r>
          </w:p>
        </w:tc>
        <w:tc>
          <w:tcPr>
            <w:tcW w:w="6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67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8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0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0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192"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2010202</w:t>
            </w:r>
          </w:p>
        </w:tc>
        <w:tc>
          <w:tcPr>
            <w:tcW w:w="3031"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98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34.93</w:t>
            </w:r>
          </w:p>
        </w:tc>
        <w:tc>
          <w:tcPr>
            <w:tcW w:w="88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34.93</w:t>
            </w:r>
          </w:p>
        </w:tc>
        <w:tc>
          <w:tcPr>
            <w:tcW w:w="6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67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8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0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0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192"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2010204</w:t>
            </w:r>
          </w:p>
        </w:tc>
        <w:tc>
          <w:tcPr>
            <w:tcW w:w="3031"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政协会议</w:t>
            </w:r>
          </w:p>
        </w:tc>
        <w:tc>
          <w:tcPr>
            <w:tcW w:w="98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26.00</w:t>
            </w:r>
          </w:p>
        </w:tc>
        <w:tc>
          <w:tcPr>
            <w:tcW w:w="88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26.00</w:t>
            </w:r>
          </w:p>
        </w:tc>
        <w:tc>
          <w:tcPr>
            <w:tcW w:w="6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67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8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0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0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192"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2010299</w:t>
            </w:r>
          </w:p>
        </w:tc>
        <w:tc>
          <w:tcPr>
            <w:tcW w:w="3031"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其他政协事务支出</w:t>
            </w:r>
          </w:p>
        </w:tc>
        <w:tc>
          <w:tcPr>
            <w:tcW w:w="98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3.49</w:t>
            </w:r>
          </w:p>
        </w:tc>
        <w:tc>
          <w:tcPr>
            <w:tcW w:w="88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6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67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8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0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0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192"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w:t>
            </w:r>
          </w:p>
        </w:tc>
        <w:tc>
          <w:tcPr>
            <w:tcW w:w="3031"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社会保障和就业支出</w:t>
            </w:r>
          </w:p>
        </w:tc>
        <w:tc>
          <w:tcPr>
            <w:tcW w:w="98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32.59</w:t>
            </w:r>
          </w:p>
        </w:tc>
        <w:tc>
          <w:tcPr>
            <w:tcW w:w="88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32.59</w:t>
            </w:r>
          </w:p>
        </w:tc>
        <w:tc>
          <w:tcPr>
            <w:tcW w:w="6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67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8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0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0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192"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w:t>
            </w:r>
          </w:p>
        </w:tc>
        <w:tc>
          <w:tcPr>
            <w:tcW w:w="3031"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行政事业单位养老支出</w:t>
            </w:r>
          </w:p>
        </w:tc>
        <w:tc>
          <w:tcPr>
            <w:tcW w:w="98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32.59</w:t>
            </w:r>
          </w:p>
        </w:tc>
        <w:tc>
          <w:tcPr>
            <w:tcW w:w="88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32.59</w:t>
            </w:r>
          </w:p>
        </w:tc>
        <w:tc>
          <w:tcPr>
            <w:tcW w:w="6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67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8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0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0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192"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2080505</w:t>
            </w:r>
          </w:p>
        </w:tc>
        <w:tc>
          <w:tcPr>
            <w:tcW w:w="3031"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机关事业单位基本养老保险缴费支出</w:t>
            </w:r>
          </w:p>
        </w:tc>
        <w:tc>
          <w:tcPr>
            <w:tcW w:w="98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32.59</w:t>
            </w:r>
          </w:p>
        </w:tc>
        <w:tc>
          <w:tcPr>
            <w:tcW w:w="88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32.59</w:t>
            </w:r>
          </w:p>
        </w:tc>
        <w:tc>
          <w:tcPr>
            <w:tcW w:w="6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67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8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0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0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192"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w:t>
            </w:r>
          </w:p>
        </w:tc>
        <w:tc>
          <w:tcPr>
            <w:tcW w:w="3031"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卫生健康支出</w:t>
            </w:r>
          </w:p>
        </w:tc>
        <w:tc>
          <w:tcPr>
            <w:tcW w:w="98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30.35</w:t>
            </w:r>
          </w:p>
        </w:tc>
        <w:tc>
          <w:tcPr>
            <w:tcW w:w="88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30.35</w:t>
            </w:r>
          </w:p>
        </w:tc>
        <w:tc>
          <w:tcPr>
            <w:tcW w:w="6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67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8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0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0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trPr>
        <w:tc>
          <w:tcPr>
            <w:tcW w:w="1192"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w:t>
            </w:r>
          </w:p>
        </w:tc>
        <w:tc>
          <w:tcPr>
            <w:tcW w:w="3031"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行政事业单位医疗</w:t>
            </w:r>
          </w:p>
        </w:tc>
        <w:tc>
          <w:tcPr>
            <w:tcW w:w="98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30.35</w:t>
            </w:r>
          </w:p>
        </w:tc>
        <w:tc>
          <w:tcPr>
            <w:tcW w:w="88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30.35</w:t>
            </w:r>
          </w:p>
        </w:tc>
        <w:tc>
          <w:tcPr>
            <w:tcW w:w="6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67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8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0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0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192"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2101101</w:t>
            </w:r>
          </w:p>
        </w:tc>
        <w:tc>
          <w:tcPr>
            <w:tcW w:w="3031"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行政单位医疗</w:t>
            </w:r>
          </w:p>
        </w:tc>
        <w:tc>
          <w:tcPr>
            <w:tcW w:w="98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30.35</w:t>
            </w:r>
          </w:p>
        </w:tc>
        <w:tc>
          <w:tcPr>
            <w:tcW w:w="88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30.35</w:t>
            </w:r>
          </w:p>
        </w:tc>
        <w:tc>
          <w:tcPr>
            <w:tcW w:w="6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67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8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0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0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trPr>
        <w:tc>
          <w:tcPr>
            <w:tcW w:w="1192"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w:t>
            </w:r>
          </w:p>
        </w:tc>
        <w:tc>
          <w:tcPr>
            <w:tcW w:w="3031"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住房保障支出</w:t>
            </w:r>
          </w:p>
        </w:tc>
        <w:tc>
          <w:tcPr>
            <w:tcW w:w="98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34.91</w:t>
            </w:r>
          </w:p>
        </w:tc>
        <w:tc>
          <w:tcPr>
            <w:tcW w:w="88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34.91</w:t>
            </w:r>
          </w:p>
        </w:tc>
        <w:tc>
          <w:tcPr>
            <w:tcW w:w="6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67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8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0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0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trPr>
        <w:tc>
          <w:tcPr>
            <w:tcW w:w="1192"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22102</w:t>
            </w:r>
          </w:p>
        </w:tc>
        <w:tc>
          <w:tcPr>
            <w:tcW w:w="3031"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住房改革支出</w:t>
            </w:r>
          </w:p>
        </w:tc>
        <w:tc>
          <w:tcPr>
            <w:tcW w:w="98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34.91</w:t>
            </w:r>
          </w:p>
        </w:tc>
        <w:tc>
          <w:tcPr>
            <w:tcW w:w="88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34.91</w:t>
            </w:r>
          </w:p>
        </w:tc>
        <w:tc>
          <w:tcPr>
            <w:tcW w:w="6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67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8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0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0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trPr>
        <w:tc>
          <w:tcPr>
            <w:tcW w:w="1192"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2210201</w:t>
            </w:r>
          </w:p>
        </w:tc>
        <w:tc>
          <w:tcPr>
            <w:tcW w:w="3031"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住房公积金</w:t>
            </w:r>
          </w:p>
        </w:tc>
        <w:tc>
          <w:tcPr>
            <w:tcW w:w="98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34.91</w:t>
            </w:r>
          </w:p>
        </w:tc>
        <w:tc>
          <w:tcPr>
            <w:tcW w:w="889"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34.91</w:t>
            </w:r>
          </w:p>
        </w:tc>
        <w:tc>
          <w:tcPr>
            <w:tcW w:w="64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67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8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0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0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trPr>
        <w:tc>
          <w:tcPr>
            <w:tcW w:w="9608" w:type="dxa"/>
            <w:gridSpan w:val="9"/>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注：本表反映部门本年度取得的各项收入情况。</w:t>
            </w:r>
          </w:p>
        </w:tc>
      </w:tr>
    </w:tbl>
    <w:p>
      <w:pPr>
        <w:bidi w:val="0"/>
        <w:jc w:val="center"/>
        <w:rPr>
          <w:rFonts w:hint="eastAsia"/>
          <w:sz w:val="28"/>
          <w:szCs w:val="28"/>
          <w:lang w:val="en-US" w:eastAsia="zh-CN"/>
        </w:rPr>
      </w:pPr>
    </w:p>
    <w:p>
      <w:pPr>
        <w:bidi w:val="0"/>
        <w:jc w:val="both"/>
        <w:rPr>
          <w:rFonts w:hint="eastAsia"/>
          <w:sz w:val="72"/>
          <w:szCs w:val="144"/>
          <w:lang w:val="en-US" w:eastAsia="zh-CN"/>
        </w:rPr>
      </w:pPr>
    </w:p>
    <w:p>
      <w:pPr>
        <w:bidi w:val="0"/>
        <w:jc w:val="both"/>
        <w:rPr>
          <w:rFonts w:hint="eastAsia"/>
          <w:sz w:val="72"/>
          <w:szCs w:val="144"/>
          <w:lang w:val="en-US" w:eastAsia="zh-CN"/>
        </w:rPr>
      </w:pPr>
    </w:p>
    <w:p>
      <w:pPr>
        <w:bidi w:val="0"/>
        <w:jc w:val="center"/>
        <w:rPr>
          <w:rFonts w:hint="eastAsia"/>
          <w:sz w:val="28"/>
          <w:szCs w:val="28"/>
          <w:lang w:val="en-US" w:eastAsia="zh-CN"/>
        </w:rPr>
      </w:pPr>
      <w:r>
        <w:rPr>
          <w:rFonts w:hint="eastAsia"/>
          <w:sz w:val="36"/>
          <w:szCs w:val="36"/>
          <w:lang w:val="en-US" w:eastAsia="zh-CN"/>
        </w:rPr>
        <w:t>支出决算表</w:t>
      </w:r>
    </w:p>
    <w:p>
      <w:pPr>
        <w:bidi w:val="0"/>
        <w:jc w:val="center"/>
        <w:rPr>
          <w:rFonts w:hint="default"/>
          <w:sz w:val="21"/>
          <w:szCs w:val="21"/>
          <w:lang w:val="en-US" w:eastAsia="zh-CN"/>
        </w:rPr>
      </w:pPr>
      <w:r>
        <w:rPr>
          <w:rFonts w:hint="eastAsia"/>
          <w:sz w:val="18"/>
          <w:szCs w:val="18"/>
          <w:lang w:val="en-US" w:eastAsia="zh-CN"/>
        </w:rPr>
        <w:t xml:space="preserve">                                                                                        </w:t>
      </w:r>
      <w:r>
        <w:rPr>
          <w:rFonts w:hint="eastAsia"/>
          <w:sz w:val="21"/>
          <w:szCs w:val="21"/>
          <w:lang w:val="en-US" w:eastAsia="zh-CN"/>
        </w:rPr>
        <w:t>公开03表</w:t>
      </w:r>
    </w:p>
    <w:p>
      <w:pPr>
        <w:bidi w:val="0"/>
        <w:jc w:val="left"/>
        <w:rPr>
          <w:rFonts w:hint="default"/>
          <w:sz w:val="21"/>
          <w:szCs w:val="21"/>
          <w:lang w:val="en-US" w:eastAsia="zh-CN"/>
        </w:rPr>
      </w:pPr>
      <w:r>
        <w:rPr>
          <w:rFonts w:hint="eastAsia"/>
          <w:sz w:val="21"/>
          <w:szCs w:val="21"/>
          <w:lang w:val="en-US" w:eastAsia="zh-CN"/>
        </w:rPr>
        <w:t>部门：中国人民政治协商会议河北省石家庄市鹿泉区委员会                   金额单位：万元</w:t>
      </w:r>
    </w:p>
    <w:tbl>
      <w:tblPr>
        <w:tblStyle w:val="6"/>
        <w:tblW w:w="9849"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049"/>
        <w:gridCol w:w="3660"/>
        <w:gridCol w:w="1150"/>
        <w:gridCol w:w="945"/>
        <w:gridCol w:w="885"/>
        <w:gridCol w:w="660"/>
        <w:gridCol w:w="690"/>
        <w:gridCol w:w="81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470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1150"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本年支出合计</w:t>
            </w:r>
          </w:p>
        </w:tc>
        <w:tc>
          <w:tcPr>
            <w:tcW w:w="945"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885"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c>
          <w:tcPr>
            <w:tcW w:w="660"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上缴上级支出</w:t>
            </w:r>
          </w:p>
        </w:tc>
        <w:tc>
          <w:tcPr>
            <w:tcW w:w="690"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经营支出</w:t>
            </w:r>
          </w:p>
        </w:tc>
        <w:tc>
          <w:tcPr>
            <w:tcW w:w="810"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9" w:type="dxa"/>
            <w:vMerge w:val="restar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功能分类科目编码</w:t>
            </w:r>
          </w:p>
        </w:tc>
        <w:tc>
          <w:tcPr>
            <w:tcW w:w="3660"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150"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45"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885"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60"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90"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810"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9" w:type="dxa"/>
            <w:vMerge w:val="continue"/>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660"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50"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45"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885"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60"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90"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810"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9" w:type="dxa"/>
            <w:vMerge w:val="continue"/>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660"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150"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945"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885"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60"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690"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810"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jc w:val="center"/>
        </w:trPr>
        <w:tc>
          <w:tcPr>
            <w:tcW w:w="4709" w:type="dxa"/>
            <w:gridSpan w:val="2"/>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115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94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88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66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69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8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jc w:val="center"/>
        </w:trPr>
        <w:tc>
          <w:tcPr>
            <w:tcW w:w="4709" w:type="dxa"/>
            <w:gridSpan w:val="2"/>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115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682.55</w:t>
            </w:r>
          </w:p>
        </w:tc>
        <w:tc>
          <w:tcPr>
            <w:tcW w:w="94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618.13</w:t>
            </w:r>
          </w:p>
        </w:tc>
        <w:tc>
          <w:tcPr>
            <w:tcW w:w="88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64.42</w:t>
            </w:r>
          </w:p>
        </w:tc>
        <w:tc>
          <w:tcPr>
            <w:tcW w:w="66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c>
          <w:tcPr>
            <w:tcW w:w="69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c>
          <w:tcPr>
            <w:tcW w:w="8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w:t>
            </w:r>
          </w:p>
        </w:tc>
        <w:tc>
          <w:tcPr>
            <w:tcW w:w="366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一般公共服务支出</w:t>
            </w:r>
          </w:p>
        </w:tc>
        <w:tc>
          <w:tcPr>
            <w:tcW w:w="115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584.70</w:t>
            </w:r>
          </w:p>
        </w:tc>
        <w:tc>
          <w:tcPr>
            <w:tcW w:w="94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520.28</w:t>
            </w:r>
          </w:p>
        </w:tc>
        <w:tc>
          <w:tcPr>
            <w:tcW w:w="88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64.42</w:t>
            </w:r>
          </w:p>
        </w:tc>
        <w:tc>
          <w:tcPr>
            <w:tcW w:w="66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69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jc w:val="center"/>
        </w:trPr>
        <w:tc>
          <w:tcPr>
            <w:tcW w:w="104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20102</w:t>
            </w:r>
          </w:p>
        </w:tc>
        <w:tc>
          <w:tcPr>
            <w:tcW w:w="366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政协事务</w:t>
            </w:r>
          </w:p>
        </w:tc>
        <w:tc>
          <w:tcPr>
            <w:tcW w:w="115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584.70</w:t>
            </w:r>
          </w:p>
        </w:tc>
        <w:tc>
          <w:tcPr>
            <w:tcW w:w="94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520.28</w:t>
            </w:r>
          </w:p>
        </w:tc>
        <w:tc>
          <w:tcPr>
            <w:tcW w:w="88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64.42</w:t>
            </w:r>
          </w:p>
        </w:tc>
        <w:tc>
          <w:tcPr>
            <w:tcW w:w="66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69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jc w:val="center"/>
        </w:trPr>
        <w:tc>
          <w:tcPr>
            <w:tcW w:w="104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2010201</w:t>
            </w:r>
          </w:p>
        </w:tc>
        <w:tc>
          <w:tcPr>
            <w:tcW w:w="366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行政运行</w:t>
            </w:r>
          </w:p>
        </w:tc>
        <w:tc>
          <w:tcPr>
            <w:tcW w:w="115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520.28</w:t>
            </w:r>
          </w:p>
        </w:tc>
        <w:tc>
          <w:tcPr>
            <w:tcW w:w="94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520.28</w:t>
            </w:r>
          </w:p>
        </w:tc>
        <w:tc>
          <w:tcPr>
            <w:tcW w:w="88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66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69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jc w:val="center"/>
        </w:trPr>
        <w:tc>
          <w:tcPr>
            <w:tcW w:w="104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2010202</w:t>
            </w:r>
          </w:p>
        </w:tc>
        <w:tc>
          <w:tcPr>
            <w:tcW w:w="366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115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34.93</w:t>
            </w:r>
          </w:p>
        </w:tc>
        <w:tc>
          <w:tcPr>
            <w:tcW w:w="94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8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34.93</w:t>
            </w:r>
          </w:p>
        </w:tc>
        <w:tc>
          <w:tcPr>
            <w:tcW w:w="66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69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2010204</w:t>
            </w:r>
          </w:p>
        </w:tc>
        <w:tc>
          <w:tcPr>
            <w:tcW w:w="366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政协会议</w:t>
            </w:r>
          </w:p>
        </w:tc>
        <w:tc>
          <w:tcPr>
            <w:tcW w:w="115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26.00</w:t>
            </w:r>
          </w:p>
        </w:tc>
        <w:tc>
          <w:tcPr>
            <w:tcW w:w="94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8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26.00</w:t>
            </w:r>
          </w:p>
        </w:tc>
        <w:tc>
          <w:tcPr>
            <w:tcW w:w="66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69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jc w:val="center"/>
        </w:trPr>
        <w:tc>
          <w:tcPr>
            <w:tcW w:w="104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2010299</w:t>
            </w:r>
          </w:p>
        </w:tc>
        <w:tc>
          <w:tcPr>
            <w:tcW w:w="366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其他政协事务支出</w:t>
            </w:r>
          </w:p>
        </w:tc>
        <w:tc>
          <w:tcPr>
            <w:tcW w:w="115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3.49</w:t>
            </w:r>
          </w:p>
        </w:tc>
        <w:tc>
          <w:tcPr>
            <w:tcW w:w="94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8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3.49</w:t>
            </w:r>
          </w:p>
        </w:tc>
        <w:tc>
          <w:tcPr>
            <w:tcW w:w="66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69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jc w:val="center"/>
        </w:trPr>
        <w:tc>
          <w:tcPr>
            <w:tcW w:w="104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w:t>
            </w:r>
          </w:p>
        </w:tc>
        <w:tc>
          <w:tcPr>
            <w:tcW w:w="366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社会保障和就业支出</w:t>
            </w:r>
          </w:p>
        </w:tc>
        <w:tc>
          <w:tcPr>
            <w:tcW w:w="115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32.59</w:t>
            </w:r>
          </w:p>
        </w:tc>
        <w:tc>
          <w:tcPr>
            <w:tcW w:w="94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32.59</w:t>
            </w:r>
          </w:p>
        </w:tc>
        <w:tc>
          <w:tcPr>
            <w:tcW w:w="88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66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69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jc w:val="center"/>
        </w:trPr>
        <w:tc>
          <w:tcPr>
            <w:tcW w:w="104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w:t>
            </w:r>
          </w:p>
        </w:tc>
        <w:tc>
          <w:tcPr>
            <w:tcW w:w="366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行政事业单位养老支出</w:t>
            </w:r>
          </w:p>
        </w:tc>
        <w:tc>
          <w:tcPr>
            <w:tcW w:w="115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32.59</w:t>
            </w:r>
          </w:p>
        </w:tc>
        <w:tc>
          <w:tcPr>
            <w:tcW w:w="94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32.59</w:t>
            </w:r>
          </w:p>
        </w:tc>
        <w:tc>
          <w:tcPr>
            <w:tcW w:w="88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66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69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2080505</w:t>
            </w:r>
          </w:p>
        </w:tc>
        <w:tc>
          <w:tcPr>
            <w:tcW w:w="366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机关事业单位基本养老保险缴费支出</w:t>
            </w:r>
          </w:p>
        </w:tc>
        <w:tc>
          <w:tcPr>
            <w:tcW w:w="115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32.59</w:t>
            </w:r>
          </w:p>
        </w:tc>
        <w:tc>
          <w:tcPr>
            <w:tcW w:w="94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32.59</w:t>
            </w:r>
          </w:p>
        </w:tc>
        <w:tc>
          <w:tcPr>
            <w:tcW w:w="88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66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69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w:t>
            </w:r>
          </w:p>
        </w:tc>
        <w:tc>
          <w:tcPr>
            <w:tcW w:w="366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卫生健康支出</w:t>
            </w:r>
          </w:p>
        </w:tc>
        <w:tc>
          <w:tcPr>
            <w:tcW w:w="115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30.35</w:t>
            </w:r>
          </w:p>
        </w:tc>
        <w:tc>
          <w:tcPr>
            <w:tcW w:w="94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30.35</w:t>
            </w:r>
          </w:p>
        </w:tc>
        <w:tc>
          <w:tcPr>
            <w:tcW w:w="88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66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69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w:t>
            </w:r>
          </w:p>
        </w:tc>
        <w:tc>
          <w:tcPr>
            <w:tcW w:w="366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行政事业单位医疗</w:t>
            </w:r>
          </w:p>
        </w:tc>
        <w:tc>
          <w:tcPr>
            <w:tcW w:w="115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30.35</w:t>
            </w:r>
          </w:p>
        </w:tc>
        <w:tc>
          <w:tcPr>
            <w:tcW w:w="94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30.35</w:t>
            </w:r>
          </w:p>
        </w:tc>
        <w:tc>
          <w:tcPr>
            <w:tcW w:w="88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66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69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2101101</w:t>
            </w:r>
          </w:p>
        </w:tc>
        <w:tc>
          <w:tcPr>
            <w:tcW w:w="366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行政单位医疗</w:t>
            </w:r>
          </w:p>
        </w:tc>
        <w:tc>
          <w:tcPr>
            <w:tcW w:w="115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30.35</w:t>
            </w:r>
          </w:p>
        </w:tc>
        <w:tc>
          <w:tcPr>
            <w:tcW w:w="94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30.35</w:t>
            </w:r>
          </w:p>
        </w:tc>
        <w:tc>
          <w:tcPr>
            <w:tcW w:w="88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66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69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w:t>
            </w:r>
          </w:p>
        </w:tc>
        <w:tc>
          <w:tcPr>
            <w:tcW w:w="366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住房保障支出</w:t>
            </w:r>
          </w:p>
        </w:tc>
        <w:tc>
          <w:tcPr>
            <w:tcW w:w="115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34.91</w:t>
            </w:r>
          </w:p>
        </w:tc>
        <w:tc>
          <w:tcPr>
            <w:tcW w:w="94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34.91</w:t>
            </w:r>
          </w:p>
        </w:tc>
        <w:tc>
          <w:tcPr>
            <w:tcW w:w="88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66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69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22102</w:t>
            </w:r>
          </w:p>
        </w:tc>
        <w:tc>
          <w:tcPr>
            <w:tcW w:w="366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住房改革支出</w:t>
            </w:r>
          </w:p>
        </w:tc>
        <w:tc>
          <w:tcPr>
            <w:tcW w:w="115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34.91</w:t>
            </w:r>
          </w:p>
        </w:tc>
        <w:tc>
          <w:tcPr>
            <w:tcW w:w="94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34.91</w:t>
            </w:r>
          </w:p>
        </w:tc>
        <w:tc>
          <w:tcPr>
            <w:tcW w:w="88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66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69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9"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2210201</w:t>
            </w:r>
          </w:p>
        </w:tc>
        <w:tc>
          <w:tcPr>
            <w:tcW w:w="366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住房公积金</w:t>
            </w:r>
          </w:p>
        </w:tc>
        <w:tc>
          <w:tcPr>
            <w:tcW w:w="115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34.91</w:t>
            </w:r>
          </w:p>
        </w:tc>
        <w:tc>
          <w:tcPr>
            <w:tcW w:w="94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34.91</w:t>
            </w:r>
          </w:p>
        </w:tc>
        <w:tc>
          <w:tcPr>
            <w:tcW w:w="88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66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69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81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jc w:val="center"/>
        </w:trPr>
        <w:tc>
          <w:tcPr>
            <w:tcW w:w="9849" w:type="dxa"/>
            <w:gridSpan w:val="8"/>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注：本表反映部门本年度各项支出情况。</w:t>
            </w:r>
          </w:p>
        </w:tc>
      </w:tr>
    </w:tbl>
    <w:p>
      <w:pPr>
        <w:bidi w:val="0"/>
        <w:jc w:val="center"/>
        <w:rPr>
          <w:rFonts w:hint="eastAsia"/>
          <w:sz w:val="72"/>
          <w:szCs w:val="144"/>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rPr>
          <w:lang w:val="en-US" w:eastAsia="zh-CN"/>
        </w:rPr>
      </w:pPr>
    </w:p>
    <w:p>
      <w:pPr>
        <w:bidi w:val="0"/>
        <w:jc w:val="center"/>
        <w:rPr>
          <w:sz w:val="36"/>
          <w:szCs w:val="36"/>
          <w:lang w:val="en-US" w:eastAsia="zh-CN"/>
        </w:rPr>
      </w:pPr>
      <w:r>
        <w:rPr>
          <w:rFonts w:hint="eastAsia"/>
          <w:sz w:val="36"/>
          <w:szCs w:val="36"/>
          <w:lang w:val="en-US" w:eastAsia="zh-CN"/>
        </w:rPr>
        <w:t>财政拨款收入支出决算总表</w:t>
      </w:r>
    </w:p>
    <w:p>
      <w:pPr>
        <w:bidi w:val="0"/>
        <w:jc w:val="center"/>
        <w:rPr>
          <w:rFonts w:hint="default"/>
          <w:sz w:val="21"/>
          <w:szCs w:val="21"/>
          <w:lang w:val="en-US" w:eastAsia="zh-CN"/>
        </w:rPr>
      </w:pPr>
      <w:r>
        <w:rPr>
          <w:rFonts w:hint="eastAsia"/>
          <w:sz w:val="18"/>
          <w:szCs w:val="18"/>
          <w:lang w:val="en-US" w:eastAsia="zh-CN"/>
        </w:rPr>
        <w:t xml:space="preserve">                                                                                       </w:t>
      </w:r>
      <w:r>
        <w:rPr>
          <w:rFonts w:hint="eastAsia"/>
          <w:sz w:val="21"/>
          <w:szCs w:val="21"/>
          <w:lang w:val="en-US" w:eastAsia="zh-CN"/>
        </w:rPr>
        <w:t xml:space="preserve"> 公开04表</w:t>
      </w:r>
    </w:p>
    <w:p>
      <w:pPr>
        <w:bidi w:val="0"/>
        <w:jc w:val="left"/>
        <w:rPr>
          <w:rFonts w:hint="default"/>
          <w:sz w:val="21"/>
          <w:szCs w:val="21"/>
          <w:lang w:val="en-US" w:eastAsia="zh-CN"/>
        </w:rPr>
      </w:pPr>
      <w:r>
        <w:rPr>
          <w:rFonts w:hint="eastAsia"/>
          <w:sz w:val="21"/>
          <w:szCs w:val="21"/>
          <w:lang w:val="en-US" w:eastAsia="zh-CN"/>
        </w:rPr>
        <w:t>部门：中国人民政治协商会议河北省石家庄市鹿泉区委员会                   金额单位：万元</w:t>
      </w:r>
    </w:p>
    <w:tbl>
      <w:tblPr>
        <w:tblStyle w:val="6"/>
        <w:tblW w:w="9756"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872"/>
        <w:gridCol w:w="384"/>
        <w:gridCol w:w="964"/>
        <w:gridCol w:w="2470"/>
        <w:gridCol w:w="587"/>
        <w:gridCol w:w="1037"/>
        <w:gridCol w:w="915"/>
        <w:gridCol w:w="732"/>
        <w:gridCol w:w="79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jc w:val="center"/>
        </w:trPr>
        <w:tc>
          <w:tcPr>
            <w:tcW w:w="32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收     入</w:t>
            </w:r>
          </w:p>
        </w:tc>
        <w:tc>
          <w:tcPr>
            <w:tcW w:w="6536" w:type="dxa"/>
            <w:gridSpan w:val="6"/>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支     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2" w:hRule="atLeast"/>
          <w:jc w:val="center"/>
        </w:trPr>
        <w:tc>
          <w:tcPr>
            <w:tcW w:w="1872" w:type="dxa"/>
            <w:vMerge w:val="restar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w:t>
            </w:r>
          </w:p>
        </w:tc>
        <w:tc>
          <w:tcPr>
            <w:tcW w:w="384"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行次</w:t>
            </w:r>
          </w:p>
        </w:tc>
        <w:tc>
          <w:tcPr>
            <w:tcW w:w="964"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金额</w:t>
            </w:r>
          </w:p>
        </w:tc>
        <w:tc>
          <w:tcPr>
            <w:tcW w:w="2470"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项目</w:t>
            </w:r>
          </w:p>
        </w:tc>
        <w:tc>
          <w:tcPr>
            <w:tcW w:w="587"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行次</w:t>
            </w:r>
          </w:p>
        </w:tc>
        <w:tc>
          <w:tcPr>
            <w:tcW w:w="1037"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合计</w:t>
            </w:r>
          </w:p>
        </w:tc>
        <w:tc>
          <w:tcPr>
            <w:tcW w:w="915"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一般公共预算财政拨款</w:t>
            </w:r>
          </w:p>
        </w:tc>
        <w:tc>
          <w:tcPr>
            <w:tcW w:w="732"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政府性基金预算财政拨款</w:t>
            </w:r>
          </w:p>
        </w:tc>
        <w:tc>
          <w:tcPr>
            <w:tcW w:w="795"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615" w:hRule="atLeast"/>
          <w:jc w:val="center"/>
        </w:trPr>
        <w:tc>
          <w:tcPr>
            <w:tcW w:w="1872" w:type="dxa"/>
            <w:vMerge w:val="continue"/>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384"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964"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2470"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587"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37"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915"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32"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95"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jc w:val="center"/>
        </w:trPr>
        <w:tc>
          <w:tcPr>
            <w:tcW w:w="1872"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栏次</w:t>
            </w:r>
          </w:p>
        </w:tc>
        <w:tc>
          <w:tcPr>
            <w:tcW w:w="384" w:type="dxa"/>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96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247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栏次</w:t>
            </w:r>
          </w:p>
        </w:tc>
        <w:tc>
          <w:tcPr>
            <w:tcW w:w="587" w:type="dxa"/>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03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91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73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79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jc w:val="center"/>
        </w:trPr>
        <w:tc>
          <w:tcPr>
            <w:tcW w:w="1872"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一、一般公共预算财政拨款</w:t>
            </w:r>
          </w:p>
        </w:tc>
        <w:tc>
          <w:tcPr>
            <w:tcW w:w="38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96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679.33</w:t>
            </w:r>
          </w:p>
        </w:tc>
        <w:tc>
          <w:tcPr>
            <w:tcW w:w="247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一、一般公共服务支出</w:t>
            </w:r>
          </w:p>
        </w:tc>
        <w:tc>
          <w:tcPr>
            <w:tcW w:w="58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33</w:t>
            </w:r>
          </w:p>
        </w:tc>
        <w:tc>
          <w:tcPr>
            <w:tcW w:w="103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581.21</w:t>
            </w:r>
          </w:p>
        </w:tc>
        <w:tc>
          <w:tcPr>
            <w:tcW w:w="91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581.21</w:t>
            </w:r>
          </w:p>
        </w:tc>
        <w:tc>
          <w:tcPr>
            <w:tcW w:w="73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79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jc w:val="center"/>
        </w:trPr>
        <w:tc>
          <w:tcPr>
            <w:tcW w:w="1872"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二、政府性基金预算财政拨款</w:t>
            </w:r>
          </w:p>
        </w:tc>
        <w:tc>
          <w:tcPr>
            <w:tcW w:w="38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96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247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二、外交支出</w:t>
            </w:r>
          </w:p>
        </w:tc>
        <w:tc>
          <w:tcPr>
            <w:tcW w:w="58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w:t>
            </w:r>
          </w:p>
        </w:tc>
        <w:tc>
          <w:tcPr>
            <w:tcW w:w="103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91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73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79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872"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三、国有资本经营财政拨款</w:t>
            </w:r>
          </w:p>
        </w:tc>
        <w:tc>
          <w:tcPr>
            <w:tcW w:w="38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96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247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三、国防支出</w:t>
            </w:r>
          </w:p>
        </w:tc>
        <w:tc>
          <w:tcPr>
            <w:tcW w:w="58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w:t>
            </w:r>
          </w:p>
        </w:tc>
        <w:tc>
          <w:tcPr>
            <w:tcW w:w="103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91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73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79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jc w:val="center"/>
        </w:trPr>
        <w:tc>
          <w:tcPr>
            <w:tcW w:w="1872"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38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964"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247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四、公共安全支出</w:t>
            </w:r>
          </w:p>
        </w:tc>
        <w:tc>
          <w:tcPr>
            <w:tcW w:w="58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36</w:t>
            </w:r>
          </w:p>
        </w:tc>
        <w:tc>
          <w:tcPr>
            <w:tcW w:w="103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91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73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79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jc w:val="center"/>
        </w:trPr>
        <w:tc>
          <w:tcPr>
            <w:tcW w:w="1872"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38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964"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247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五、教育支出</w:t>
            </w:r>
          </w:p>
        </w:tc>
        <w:tc>
          <w:tcPr>
            <w:tcW w:w="58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37</w:t>
            </w:r>
          </w:p>
        </w:tc>
        <w:tc>
          <w:tcPr>
            <w:tcW w:w="103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91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73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79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872"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38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964"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247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六、科学技术支出</w:t>
            </w:r>
          </w:p>
        </w:tc>
        <w:tc>
          <w:tcPr>
            <w:tcW w:w="58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38</w:t>
            </w:r>
          </w:p>
        </w:tc>
        <w:tc>
          <w:tcPr>
            <w:tcW w:w="103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91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73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79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jc w:val="center"/>
        </w:trPr>
        <w:tc>
          <w:tcPr>
            <w:tcW w:w="1872"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38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w:t>
            </w:r>
          </w:p>
        </w:tc>
        <w:tc>
          <w:tcPr>
            <w:tcW w:w="964"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247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七、文化旅游体育与传媒支出</w:t>
            </w:r>
          </w:p>
        </w:tc>
        <w:tc>
          <w:tcPr>
            <w:tcW w:w="58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39</w:t>
            </w:r>
          </w:p>
        </w:tc>
        <w:tc>
          <w:tcPr>
            <w:tcW w:w="103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91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73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79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872"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38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w:t>
            </w:r>
          </w:p>
        </w:tc>
        <w:tc>
          <w:tcPr>
            <w:tcW w:w="964"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247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八、社会保障和就业支出</w:t>
            </w:r>
          </w:p>
        </w:tc>
        <w:tc>
          <w:tcPr>
            <w:tcW w:w="58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w:t>
            </w:r>
          </w:p>
        </w:tc>
        <w:tc>
          <w:tcPr>
            <w:tcW w:w="103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32.59</w:t>
            </w:r>
          </w:p>
        </w:tc>
        <w:tc>
          <w:tcPr>
            <w:tcW w:w="91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32.59</w:t>
            </w:r>
          </w:p>
        </w:tc>
        <w:tc>
          <w:tcPr>
            <w:tcW w:w="73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79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872"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38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w:t>
            </w:r>
          </w:p>
        </w:tc>
        <w:tc>
          <w:tcPr>
            <w:tcW w:w="964"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247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九、卫生健康支出</w:t>
            </w:r>
          </w:p>
        </w:tc>
        <w:tc>
          <w:tcPr>
            <w:tcW w:w="58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41</w:t>
            </w:r>
          </w:p>
        </w:tc>
        <w:tc>
          <w:tcPr>
            <w:tcW w:w="103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30.35</w:t>
            </w:r>
          </w:p>
        </w:tc>
        <w:tc>
          <w:tcPr>
            <w:tcW w:w="91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30.35</w:t>
            </w:r>
          </w:p>
        </w:tc>
        <w:tc>
          <w:tcPr>
            <w:tcW w:w="73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79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jc w:val="center"/>
        </w:trPr>
        <w:tc>
          <w:tcPr>
            <w:tcW w:w="1872"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38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964"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247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十、节能环保支出</w:t>
            </w:r>
          </w:p>
        </w:tc>
        <w:tc>
          <w:tcPr>
            <w:tcW w:w="58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42</w:t>
            </w:r>
          </w:p>
        </w:tc>
        <w:tc>
          <w:tcPr>
            <w:tcW w:w="103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91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73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79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872"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38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964"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247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十一、城乡社区支出</w:t>
            </w:r>
          </w:p>
        </w:tc>
        <w:tc>
          <w:tcPr>
            <w:tcW w:w="58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43</w:t>
            </w:r>
          </w:p>
        </w:tc>
        <w:tc>
          <w:tcPr>
            <w:tcW w:w="103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91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73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79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jc w:val="center"/>
        </w:trPr>
        <w:tc>
          <w:tcPr>
            <w:tcW w:w="1872"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38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12</w:t>
            </w:r>
          </w:p>
        </w:tc>
        <w:tc>
          <w:tcPr>
            <w:tcW w:w="964"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247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十二、农林水支出</w:t>
            </w:r>
          </w:p>
        </w:tc>
        <w:tc>
          <w:tcPr>
            <w:tcW w:w="58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44</w:t>
            </w:r>
          </w:p>
        </w:tc>
        <w:tc>
          <w:tcPr>
            <w:tcW w:w="103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91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73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79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jc w:val="center"/>
        </w:trPr>
        <w:tc>
          <w:tcPr>
            <w:tcW w:w="1872"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38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w:t>
            </w:r>
          </w:p>
        </w:tc>
        <w:tc>
          <w:tcPr>
            <w:tcW w:w="964"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247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十三、交通运输支出</w:t>
            </w:r>
          </w:p>
        </w:tc>
        <w:tc>
          <w:tcPr>
            <w:tcW w:w="58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45</w:t>
            </w:r>
          </w:p>
        </w:tc>
        <w:tc>
          <w:tcPr>
            <w:tcW w:w="103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91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73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79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872"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38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w:t>
            </w:r>
          </w:p>
        </w:tc>
        <w:tc>
          <w:tcPr>
            <w:tcW w:w="964"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247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十四、资源勘探工业信息等支出</w:t>
            </w:r>
          </w:p>
        </w:tc>
        <w:tc>
          <w:tcPr>
            <w:tcW w:w="58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46</w:t>
            </w:r>
          </w:p>
        </w:tc>
        <w:tc>
          <w:tcPr>
            <w:tcW w:w="103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91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73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79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872"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38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w:t>
            </w:r>
          </w:p>
        </w:tc>
        <w:tc>
          <w:tcPr>
            <w:tcW w:w="964"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247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十五、商业服务业等支出</w:t>
            </w:r>
          </w:p>
        </w:tc>
        <w:tc>
          <w:tcPr>
            <w:tcW w:w="58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47</w:t>
            </w:r>
          </w:p>
        </w:tc>
        <w:tc>
          <w:tcPr>
            <w:tcW w:w="103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91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73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79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872"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38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w:t>
            </w:r>
          </w:p>
        </w:tc>
        <w:tc>
          <w:tcPr>
            <w:tcW w:w="964"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247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十六、金融支出</w:t>
            </w:r>
          </w:p>
        </w:tc>
        <w:tc>
          <w:tcPr>
            <w:tcW w:w="58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w:t>
            </w:r>
          </w:p>
        </w:tc>
        <w:tc>
          <w:tcPr>
            <w:tcW w:w="103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91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73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79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jc w:val="center"/>
        </w:trPr>
        <w:tc>
          <w:tcPr>
            <w:tcW w:w="1872"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38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w:t>
            </w:r>
          </w:p>
        </w:tc>
        <w:tc>
          <w:tcPr>
            <w:tcW w:w="964"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247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十七、援助其他地区支出</w:t>
            </w:r>
          </w:p>
        </w:tc>
        <w:tc>
          <w:tcPr>
            <w:tcW w:w="58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49</w:t>
            </w:r>
          </w:p>
        </w:tc>
        <w:tc>
          <w:tcPr>
            <w:tcW w:w="103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91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73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79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jc w:val="center"/>
        </w:trPr>
        <w:tc>
          <w:tcPr>
            <w:tcW w:w="1872"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38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18</w:t>
            </w:r>
          </w:p>
        </w:tc>
        <w:tc>
          <w:tcPr>
            <w:tcW w:w="964"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247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十八、自然资源海洋气象等支出</w:t>
            </w:r>
          </w:p>
        </w:tc>
        <w:tc>
          <w:tcPr>
            <w:tcW w:w="58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50</w:t>
            </w:r>
          </w:p>
        </w:tc>
        <w:tc>
          <w:tcPr>
            <w:tcW w:w="103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91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73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79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jc w:val="center"/>
        </w:trPr>
        <w:tc>
          <w:tcPr>
            <w:tcW w:w="1872"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38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19</w:t>
            </w:r>
          </w:p>
        </w:tc>
        <w:tc>
          <w:tcPr>
            <w:tcW w:w="964"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247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十九、住房保障支出</w:t>
            </w:r>
          </w:p>
        </w:tc>
        <w:tc>
          <w:tcPr>
            <w:tcW w:w="58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51</w:t>
            </w:r>
          </w:p>
        </w:tc>
        <w:tc>
          <w:tcPr>
            <w:tcW w:w="103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34.91</w:t>
            </w:r>
          </w:p>
        </w:tc>
        <w:tc>
          <w:tcPr>
            <w:tcW w:w="91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34.91</w:t>
            </w:r>
          </w:p>
        </w:tc>
        <w:tc>
          <w:tcPr>
            <w:tcW w:w="73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79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jc w:val="center"/>
        </w:trPr>
        <w:tc>
          <w:tcPr>
            <w:tcW w:w="1872"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38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w:t>
            </w:r>
          </w:p>
        </w:tc>
        <w:tc>
          <w:tcPr>
            <w:tcW w:w="964"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247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二十、粮油物资储备支出</w:t>
            </w:r>
          </w:p>
        </w:tc>
        <w:tc>
          <w:tcPr>
            <w:tcW w:w="58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52</w:t>
            </w:r>
          </w:p>
        </w:tc>
        <w:tc>
          <w:tcPr>
            <w:tcW w:w="103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91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73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79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872"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38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w:t>
            </w:r>
          </w:p>
        </w:tc>
        <w:tc>
          <w:tcPr>
            <w:tcW w:w="964"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247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二十一、国有资本经营预算支出</w:t>
            </w:r>
          </w:p>
        </w:tc>
        <w:tc>
          <w:tcPr>
            <w:tcW w:w="58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53</w:t>
            </w:r>
          </w:p>
        </w:tc>
        <w:tc>
          <w:tcPr>
            <w:tcW w:w="103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91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73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79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872"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38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w:t>
            </w:r>
          </w:p>
        </w:tc>
        <w:tc>
          <w:tcPr>
            <w:tcW w:w="964"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247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二十二、灾害防治及应急管理支出</w:t>
            </w:r>
          </w:p>
        </w:tc>
        <w:tc>
          <w:tcPr>
            <w:tcW w:w="58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54</w:t>
            </w:r>
          </w:p>
        </w:tc>
        <w:tc>
          <w:tcPr>
            <w:tcW w:w="103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91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73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79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jc w:val="center"/>
        </w:trPr>
        <w:tc>
          <w:tcPr>
            <w:tcW w:w="1872"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38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23</w:t>
            </w:r>
          </w:p>
        </w:tc>
        <w:tc>
          <w:tcPr>
            <w:tcW w:w="964"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247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二十三、其他支出</w:t>
            </w:r>
          </w:p>
        </w:tc>
        <w:tc>
          <w:tcPr>
            <w:tcW w:w="58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55</w:t>
            </w:r>
          </w:p>
        </w:tc>
        <w:tc>
          <w:tcPr>
            <w:tcW w:w="103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91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73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79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jc w:val="center"/>
        </w:trPr>
        <w:tc>
          <w:tcPr>
            <w:tcW w:w="1872" w:type="dxa"/>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000000"/>
                <w:sz w:val="20"/>
                <w:szCs w:val="20"/>
                <w:u w:val="none"/>
              </w:rPr>
            </w:pPr>
          </w:p>
        </w:tc>
        <w:tc>
          <w:tcPr>
            <w:tcW w:w="38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24</w:t>
            </w:r>
          </w:p>
        </w:tc>
        <w:tc>
          <w:tcPr>
            <w:tcW w:w="964"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247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二十四、债务还本支出</w:t>
            </w:r>
          </w:p>
        </w:tc>
        <w:tc>
          <w:tcPr>
            <w:tcW w:w="58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56</w:t>
            </w:r>
          </w:p>
        </w:tc>
        <w:tc>
          <w:tcPr>
            <w:tcW w:w="103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91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73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79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jc w:val="center"/>
        </w:trPr>
        <w:tc>
          <w:tcPr>
            <w:tcW w:w="1872"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38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25</w:t>
            </w:r>
          </w:p>
        </w:tc>
        <w:tc>
          <w:tcPr>
            <w:tcW w:w="964"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247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二十五、债务付息支出</w:t>
            </w:r>
          </w:p>
        </w:tc>
        <w:tc>
          <w:tcPr>
            <w:tcW w:w="58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57</w:t>
            </w:r>
          </w:p>
        </w:tc>
        <w:tc>
          <w:tcPr>
            <w:tcW w:w="103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91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73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79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872"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38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w:t>
            </w:r>
          </w:p>
        </w:tc>
        <w:tc>
          <w:tcPr>
            <w:tcW w:w="964"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247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二十六、抗疫特别国债安排的支出</w:t>
            </w:r>
          </w:p>
        </w:tc>
        <w:tc>
          <w:tcPr>
            <w:tcW w:w="58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58</w:t>
            </w:r>
          </w:p>
        </w:tc>
        <w:tc>
          <w:tcPr>
            <w:tcW w:w="103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91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73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79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872"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本年收入合计</w:t>
            </w:r>
          </w:p>
        </w:tc>
        <w:tc>
          <w:tcPr>
            <w:tcW w:w="38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27</w:t>
            </w:r>
          </w:p>
        </w:tc>
        <w:tc>
          <w:tcPr>
            <w:tcW w:w="96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679.33</w:t>
            </w:r>
          </w:p>
        </w:tc>
        <w:tc>
          <w:tcPr>
            <w:tcW w:w="247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本年支出合计</w:t>
            </w:r>
          </w:p>
        </w:tc>
        <w:tc>
          <w:tcPr>
            <w:tcW w:w="58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59</w:t>
            </w:r>
          </w:p>
        </w:tc>
        <w:tc>
          <w:tcPr>
            <w:tcW w:w="103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679.06</w:t>
            </w:r>
          </w:p>
        </w:tc>
        <w:tc>
          <w:tcPr>
            <w:tcW w:w="91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679.06</w:t>
            </w:r>
          </w:p>
        </w:tc>
        <w:tc>
          <w:tcPr>
            <w:tcW w:w="73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79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872"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年初财政拨款结转和结余</w:t>
            </w:r>
          </w:p>
        </w:tc>
        <w:tc>
          <w:tcPr>
            <w:tcW w:w="38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w:t>
            </w:r>
          </w:p>
        </w:tc>
        <w:tc>
          <w:tcPr>
            <w:tcW w:w="96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2.64</w:t>
            </w:r>
          </w:p>
        </w:tc>
        <w:tc>
          <w:tcPr>
            <w:tcW w:w="247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年末财政拨款结转和结余</w:t>
            </w:r>
          </w:p>
        </w:tc>
        <w:tc>
          <w:tcPr>
            <w:tcW w:w="58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w:t>
            </w:r>
          </w:p>
        </w:tc>
        <w:tc>
          <w:tcPr>
            <w:tcW w:w="103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2.91</w:t>
            </w:r>
          </w:p>
        </w:tc>
        <w:tc>
          <w:tcPr>
            <w:tcW w:w="91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2.91</w:t>
            </w:r>
          </w:p>
        </w:tc>
        <w:tc>
          <w:tcPr>
            <w:tcW w:w="73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79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872"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一般公共预算财政拨款</w:t>
            </w:r>
          </w:p>
        </w:tc>
        <w:tc>
          <w:tcPr>
            <w:tcW w:w="38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w:t>
            </w:r>
          </w:p>
        </w:tc>
        <w:tc>
          <w:tcPr>
            <w:tcW w:w="96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2.64</w:t>
            </w:r>
          </w:p>
        </w:tc>
        <w:tc>
          <w:tcPr>
            <w:tcW w:w="2470" w:type="dxa"/>
            <w:tcBorders>
              <w:top w:val="nil"/>
              <w:left w:val="nil"/>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58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61</w:t>
            </w:r>
          </w:p>
        </w:tc>
        <w:tc>
          <w:tcPr>
            <w:tcW w:w="1037"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91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732"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79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872"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政府性基金预算财政拨款</w:t>
            </w:r>
          </w:p>
        </w:tc>
        <w:tc>
          <w:tcPr>
            <w:tcW w:w="38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w:t>
            </w:r>
          </w:p>
        </w:tc>
        <w:tc>
          <w:tcPr>
            <w:tcW w:w="96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2470" w:type="dxa"/>
            <w:tcBorders>
              <w:top w:val="nil"/>
              <w:left w:val="nil"/>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58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62</w:t>
            </w:r>
          </w:p>
        </w:tc>
        <w:tc>
          <w:tcPr>
            <w:tcW w:w="1037"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91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732"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79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872"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国有资本经营预算财政拨款</w:t>
            </w:r>
          </w:p>
        </w:tc>
        <w:tc>
          <w:tcPr>
            <w:tcW w:w="38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w:t>
            </w:r>
          </w:p>
        </w:tc>
        <w:tc>
          <w:tcPr>
            <w:tcW w:w="96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0.00</w:t>
            </w:r>
          </w:p>
        </w:tc>
        <w:tc>
          <w:tcPr>
            <w:tcW w:w="2470" w:type="dxa"/>
            <w:tcBorders>
              <w:top w:val="nil"/>
              <w:left w:val="nil"/>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58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63</w:t>
            </w:r>
          </w:p>
        </w:tc>
        <w:tc>
          <w:tcPr>
            <w:tcW w:w="1037"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91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732"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79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872"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总计</w:t>
            </w:r>
          </w:p>
        </w:tc>
        <w:tc>
          <w:tcPr>
            <w:tcW w:w="384" w:type="dxa"/>
            <w:tcBorders>
              <w:top w:val="nil"/>
              <w:left w:val="nil"/>
              <w:bottom w:val="single" w:color="000000" w:sz="8"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w:t>
            </w:r>
          </w:p>
        </w:tc>
        <w:tc>
          <w:tcPr>
            <w:tcW w:w="964"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681.97</w:t>
            </w:r>
          </w:p>
        </w:tc>
        <w:tc>
          <w:tcPr>
            <w:tcW w:w="247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总计</w:t>
            </w:r>
          </w:p>
        </w:tc>
        <w:tc>
          <w:tcPr>
            <w:tcW w:w="58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64</w:t>
            </w:r>
          </w:p>
        </w:tc>
        <w:tc>
          <w:tcPr>
            <w:tcW w:w="103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681.97</w:t>
            </w:r>
          </w:p>
        </w:tc>
        <w:tc>
          <w:tcPr>
            <w:tcW w:w="91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681.97</w:t>
            </w:r>
          </w:p>
        </w:tc>
        <w:tc>
          <w:tcPr>
            <w:tcW w:w="73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79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8961" w:type="dxa"/>
            <w:gridSpan w:val="8"/>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注：本表反映部门本年度一般公共预算财政拨款、政府性基金预算财政拨款和国有资本经营预算财政拨款的总收支和年末结转结余情况。</w:t>
            </w:r>
          </w:p>
        </w:tc>
        <w:tc>
          <w:tcPr>
            <w:tcW w:w="795" w:type="dxa"/>
            <w:tcBorders>
              <w:top w:val="nil"/>
              <w:left w:val="nil"/>
              <w:bottom w:val="nil"/>
              <w:right w:val="nil"/>
            </w:tcBorders>
            <w:shd w:val="clear" w:color="auto" w:fill="auto"/>
            <w:vAlign w:val="center"/>
          </w:tcPr>
          <w:p>
            <w:pPr>
              <w:jc w:val="left"/>
              <w:rPr>
                <w:rFonts w:hint="eastAsia" w:ascii="宋体" w:hAnsi="宋体" w:eastAsia="宋体" w:cs="宋体"/>
                <w:i w:val="0"/>
                <w:iCs w:val="0"/>
                <w:color w:val="000000"/>
                <w:sz w:val="20"/>
                <w:szCs w:val="20"/>
                <w:u w:val="none"/>
              </w:rPr>
            </w:pPr>
          </w:p>
        </w:tc>
      </w:tr>
    </w:tbl>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center"/>
        <w:rPr>
          <w:rFonts w:hint="eastAsia"/>
          <w:sz w:val="36"/>
          <w:szCs w:val="36"/>
          <w:lang w:val="en-US" w:eastAsia="zh-CN"/>
        </w:rPr>
      </w:pPr>
      <w:r>
        <w:rPr>
          <w:rFonts w:hint="eastAsia"/>
          <w:sz w:val="36"/>
          <w:szCs w:val="36"/>
          <w:lang w:val="en-US" w:eastAsia="zh-CN"/>
        </w:rPr>
        <w:t>一般公共预算财政拨款支出决算表</w:t>
      </w:r>
    </w:p>
    <w:p>
      <w:pPr>
        <w:bidi w:val="0"/>
        <w:jc w:val="center"/>
        <w:rPr>
          <w:rFonts w:hint="default"/>
          <w:sz w:val="21"/>
          <w:szCs w:val="21"/>
          <w:lang w:val="en-US" w:eastAsia="zh-CN"/>
        </w:rPr>
      </w:pPr>
      <w:r>
        <w:rPr>
          <w:rFonts w:hint="eastAsia"/>
          <w:sz w:val="18"/>
          <w:szCs w:val="18"/>
          <w:lang w:val="en-US" w:eastAsia="zh-CN"/>
        </w:rPr>
        <w:t xml:space="preserve">                                                                                   </w:t>
      </w:r>
      <w:r>
        <w:rPr>
          <w:rFonts w:hint="eastAsia"/>
          <w:sz w:val="21"/>
          <w:szCs w:val="21"/>
          <w:lang w:val="en-US" w:eastAsia="zh-CN"/>
        </w:rPr>
        <w:t xml:space="preserve"> 公开05表</w:t>
      </w:r>
    </w:p>
    <w:p>
      <w:pPr>
        <w:bidi w:val="0"/>
        <w:jc w:val="left"/>
        <w:rPr>
          <w:rFonts w:hint="eastAsia"/>
          <w:sz w:val="21"/>
          <w:szCs w:val="21"/>
          <w:lang w:val="en-US" w:eastAsia="zh-CN"/>
        </w:rPr>
      </w:pPr>
      <w:r>
        <w:rPr>
          <w:rFonts w:hint="eastAsia"/>
          <w:sz w:val="21"/>
          <w:szCs w:val="21"/>
          <w:lang w:val="en-US" w:eastAsia="zh-CN"/>
        </w:rPr>
        <w:t>部门：中国人民政治协商会议河北省石家庄市鹿泉区委员会                   金额单位：万元</w:t>
      </w:r>
    </w:p>
    <w:tbl>
      <w:tblPr>
        <w:tblStyle w:val="6"/>
        <w:tblW w:w="905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986"/>
        <w:gridCol w:w="3956"/>
        <w:gridCol w:w="1371"/>
        <w:gridCol w:w="1372"/>
        <w:gridCol w:w="137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trPr>
        <w:tc>
          <w:tcPr>
            <w:tcW w:w="494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4116" w:type="dxa"/>
            <w:gridSpan w:val="3"/>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986" w:type="dxa"/>
            <w:vMerge w:val="restar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功能分类科目编码</w:t>
            </w:r>
          </w:p>
        </w:tc>
        <w:tc>
          <w:tcPr>
            <w:tcW w:w="3956"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371"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小计</w:t>
            </w:r>
          </w:p>
        </w:tc>
        <w:tc>
          <w:tcPr>
            <w:tcW w:w="1372"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1373"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7" w:hRule="atLeast"/>
        </w:trPr>
        <w:tc>
          <w:tcPr>
            <w:tcW w:w="986" w:type="dxa"/>
            <w:vMerge w:val="continue"/>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956"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371"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372"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373"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986" w:type="dxa"/>
            <w:vMerge w:val="continue"/>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956"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371"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372"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373"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trPr>
        <w:tc>
          <w:tcPr>
            <w:tcW w:w="4942" w:type="dxa"/>
            <w:gridSpan w:val="2"/>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1371"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37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37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4942" w:type="dxa"/>
            <w:gridSpan w:val="2"/>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1371"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679.06</w:t>
            </w:r>
          </w:p>
        </w:tc>
        <w:tc>
          <w:tcPr>
            <w:tcW w:w="137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618.13</w:t>
            </w:r>
          </w:p>
        </w:tc>
        <w:tc>
          <w:tcPr>
            <w:tcW w:w="137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60.93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986"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w:t>
            </w:r>
          </w:p>
        </w:tc>
        <w:tc>
          <w:tcPr>
            <w:tcW w:w="395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一般公共服务支出</w:t>
            </w:r>
          </w:p>
        </w:tc>
        <w:tc>
          <w:tcPr>
            <w:tcW w:w="1371"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581.21</w:t>
            </w:r>
          </w:p>
        </w:tc>
        <w:tc>
          <w:tcPr>
            <w:tcW w:w="137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520.28</w:t>
            </w:r>
          </w:p>
        </w:tc>
        <w:tc>
          <w:tcPr>
            <w:tcW w:w="137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60.93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986"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20102</w:t>
            </w:r>
          </w:p>
        </w:tc>
        <w:tc>
          <w:tcPr>
            <w:tcW w:w="395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政协事务</w:t>
            </w:r>
          </w:p>
        </w:tc>
        <w:tc>
          <w:tcPr>
            <w:tcW w:w="1371"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581.21</w:t>
            </w:r>
          </w:p>
        </w:tc>
        <w:tc>
          <w:tcPr>
            <w:tcW w:w="137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520.28</w:t>
            </w:r>
          </w:p>
        </w:tc>
        <w:tc>
          <w:tcPr>
            <w:tcW w:w="137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60.93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trPr>
        <w:tc>
          <w:tcPr>
            <w:tcW w:w="986"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2010201</w:t>
            </w:r>
          </w:p>
        </w:tc>
        <w:tc>
          <w:tcPr>
            <w:tcW w:w="395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行政运行</w:t>
            </w:r>
          </w:p>
        </w:tc>
        <w:tc>
          <w:tcPr>
            <w:tcW w:w="1371"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520.28</w:t>
            </w:r>
          </w:p>
        </w:tc>
        <w:tc>
          <w:tcPr>
            <w:tcW w:w="137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520.28</w:t>
            </w:r>
          </w:p>
        </w:tc>
        <w:tc>
          <w:tcPr>
            <w:tcW w:w="137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986"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2010202</w:t>
            </w:r>
          </w:p>
        </w:tc>
        <w:tc>
          <w:tcPr>
            <w:tcW w:w="395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一般行政管理事务</w:t>
            </w:r>
          </w:p>
        </w:tc>
        <w:tc>
          <w:tcPr>
            <w:tcW w:w="1371"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34.93</w:t>
            </w:r>
          </w:p>
        </w:tc>
        <w:tc>
          <w:tcPr>
            <w:tcW w:w="137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7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34.93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trPr>
        <w:tc>
          <w:tcPr>
            <w:tcW w:w="986"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2010204</w:t>
            </w:r>
          </w:p>
        </w:tc>
        <w:tc>
          <w:tcPr>
            <w:tcW w:w="395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政协会议</w:t>
            </w:r>
          </w:p>
        </w:tc>
        <w:tc>
          <w:tcPr>
            <w:tcW w:w="1371"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26.00</w:t>
            </w:r>
          </w:p>
        </w:tc>
        <w:tc>
          <w:tcPr>
            <w:tcW w:w="137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137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trPr>
        <w:tc>
          <w:tcPr>
            <w:tcW w:w="986"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w:t>
            </w:r>
          </w:p>
        </w:tc>
        <w:tc>
          <w:tcPr>
            <w:tcW w:w="395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社会保障和就业支出</w:t>
            </w:r>
          </w:p>
        </w:tc>
        <w:tc>
          <w:tcPr>
            <w:tcW w:w="1371"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32.59</w:t>
            </w:r>
          </w:p>
        </w:tc>
        <w:tc>
          <w:tcPr>
            <w:tcW w:w="137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32.59</w:t>
            </w:r>
          </w:p>
        </w:tc>
        <w:tc>
          <w:tcPr>
            <w:tcW w:w="137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trPr>
        <w:tc>
          <w:tcPr>
            <w:tcW w:w="986"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w:t>
            </w:r>
          </w:p>
        </w:tc>
        <w:tc>
          <w:tcPr>
            <w:tcW w:w="395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行政事业单位养老支出</w:t>
            </w:r>
          </w:p>
        </w:tc>
        <w:tc>
          <w:tcPr>
            <w:tcW w:w="1371"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32.59</w:t>
            </w:r>
          </w:p>
        </w:tc>
        <w:tc>
          <w:tcPr>
            <w:tcW w:w="137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32.59</w:t>
            </w:r>
          </w:p>
        </w:tc>
        <w:tc>
          <w:tcPr>
            <w:tcW w:w="137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986"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2080505</w:t>
            </w:r>
          </w:p>
        </w:tc>
        <w:tc>
          <w:tcPr>
            <w:tcW w:w="395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机关事业单位基本养老保险缴费支出</w:t>
            </w:r>
          </w:p>
        </w:tc>
        <w:tc>
          <w:tcPr>
            <w:tcW w:w="1371"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32.59</w:t>
            </w:r>
          </w:p>
        </w:tc>
        <w:tc>
          <w:tcPr>
            <w:tcW w:w="137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32.59</w:t>
            </w:r>
          </w:p>
        </w:tc>
        <w:tc>
          <w:tcPr>
            <w:tcW w:w="137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986"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w:t>
            </w:r>
          </w:p>
        </w:tc>
        <w:tc>
          <w:tcPr>
            <w:tcW w:w="395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卫生健康支出</w:t>
            </w:r>
          </w:p>
        </w:tc>
        <w:tc>
          <w:tcPr>
            <w:tcW w:w="1371"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30.35</w:t>
            </w:r>
          </w:p>
        </w:tc>
        <w:tc>
          <w:tcPr>
            <w:tcW w:w="137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30.35</w:t>
            </w:r>
          </w:p>
        </w:tc>
        <w:tc>
          <w:tcPr>
            <w:tcW w:w="137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trPr>
        <w:tc>
          <w:tcPr>
            <w:tcW w:w="986"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w:t>
            </w:r>
          </w:p>
        </w:tc>
        <w:tc>
          <w:tcPr>
            <w:tcW w:w="395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行政事业单位医疗</w:t>
            </w:r>
          </w:p>
        </w:tc>
        <w:tc>
          <w:tcPr>
            <w:tcW w:w="1371"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30.35</w:t>
            </w:r>
          </w:p>
        </w:tc>
        <w:tc>
          <w:tcPr>
            <w:tcW w:w="137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30.35</w:t>
            </w:r>
          </w:p>
        </w:tc>
        <w:tc>
          <w:tcPr>
            <w:tcW w:w="137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986"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2101101</w:t>
            </w:r>
          </w:p>
        </w:tc>
        <w:tc>
          <w:tcPr>
            <w:tcW w:w="395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行政单位医疗</w:t>
            </w:r>
          </w:p>
        </w:tc>
        <w:tc>
          <w:tcPr>
            <w:tcW w:w="1371"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30.35</w:t>
            </w:r>
          </w:p>
        </w:tc>
        <w:tc>
          <w:tcPr>
            <w:tcW w:w="137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30.35</w:t>
            </w:r>
          </w:p>
        </w:tc>
        <w:tc>
          <w:tcPr>
            <w:tcW w:w="137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trPr>
        <w:tc>
          <w:tcPr>
            <w:tcW w:w="986"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w:t>
            </w:r>
          </w:p>
        </w:tc>
        <w:tc>
          <w:tcPr>
            <w:tcW w:w="395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住房保障支出</w:t>
            </w:r>
          </w:p>
        </w:tc>
        <w:tc>
          <w:tcPr>
            <w:tcW w:w="1371"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34.91</w:t>
            </w:r>
          </w:p>
        </w:tc>
        <w:tc>
          <w:tcPr>
            <w:tcW w:w="137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34.91</w:t>
            </w:r>
          </w:p>
        </w:tc>
        <w:tc>
          <w:tcPr>
            <w:tcW w:w="137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trPr>
        <w:tc>
          <w:tcPr>
            <w:tcW w:w="986"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22102</w:t>
            </w:r>
          </w:p>
        </w:tc>
        <w:tc>
          <w:tcPr>
            <w:tcW w:w="395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住房改革支出</w:t>
            </w:r>
          </w:p>
        </w:tc>
        <w:tc>
          <w:tcPr>
            <w:tcW w:w="1371"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34.91</w:t>
            </w:r>
          </w:p>
        </w:tc>
        <w:tc>
          <w:tcPr>
            <w:tcW w:w="137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34.91</w:t>
            </w:r>
          </w:p>
        </w:tc>
        <w:tc>
          <w:tcPr>
            <w:tcW w:w="137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986"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2210201</w:t>
            </w:r>
          </w:p>
        </w:tc>
        <w:tc>
          <w:tcPr>
            <w:tcW w:w="395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  住房公积金</w:t>
            </w:r>
          </w:p>
        </w:tc>
        <w:tc>
          <w:tcPr>
            <w:tcW w:w="1371"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34.91</w:t>
            </w:r>
          </w:p>
        </w:tc>
        <w:tc>
          <w:tcPr>
            <w:tcW w:w="1372"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34.91</w:t>
            </w:r>
          </w:p>
        </w:tc>
        <w:tc>
          <w:tcPr>
            <w:tcW w:w="137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r>
    </w:tbl>
    <w:p>
      <w:pPr>
        <w:bidi w:val="0"/>
        <w:jc w:val="left"/>
        <w:rPr>
          <w:rFonts w:hint="default"/>
          <w:sz w:val="18"/>
          <w:szCs w:val="18"/>
          <w:lang w:val="en-US" w:eastAsia="zh-CN"/>
        </w:rPr>
      </w:pPr>
      <w:r>
        <w:rPr>
          <w:rFonts w:hint="eastAsia" w:ascii="宋体" w:hAnsi="宋体" w:eastAsia="宋体" w:cs="宋体"/>
          <w:i w:val="0"/>
          <w:iCs w:val="0"/>
          <w:color w:val="000000"/>
          <w:kern w:val="0"/>
          <w:sz w:val="20"/>
          <w:szCs w:val="20"/>
          <w:u w:val="none"/>
          <w:lang w:val="en-US" w:eastAsia="zh-CN" w:bidi="ar"/>
        </w:rPr>
        <w:t>注：本表反映部门本年度一般公共预算财政拨款支出情况。</w:t>
      </w:r>
    </w:p>
    <w:p>
      <w:pPr>
        <w:tabs>
          <w:tab w:val="left" w:pos="682"/>
        </w:tabs>
        <w:bidi w:val="0"/>
        <w:jc w:val="center"/>
        <w:rPr>
          <w:rFonts w:hint="eastAsia"/>
          <w:sz w:val="28"/>
          <w:szCs w:val="28"/>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left"/>
        <w:rPr>
          <w:rFonts w:hint="eastAsia"/>
          <w:lang w:val="en-US" w:eastAsia="zh-CN"/>
        </w:rPr>
      </w:pPr>
    </w:p>
    <w:p>
      <w:pPr>
        <w:tabs>
          <w:tab w:val="left" w:pos="682"/>
        </w:tabs>
        <w:bidi w:val="0"/>
        <w:jc w:val="center"/>
        <w:rPr>
          <w:rFonts w:hint="eastAsia"/>
          <w:sz w:val="36"/>
          <w:szCs w:val="36"/>
          <w:lang w:val="en-US" w:eastAsia="zh-CN"/>
        </w:rPr>
      </w:pPr>
      <w:r>
        <w:rPr>
          <w:rFonts w:hint="eastAsia"/>
          <w:sz w:val="36"/>
          <w:szCs w:val="36"/>
          <w:lang w:val="en-US" w:eastAsia="zh-CN"/>
        </w:rPr>
        <w:t>一般公共预算财政拨款基本支出决算表</w:t>
      </w:r>
    </w:p>
    <w:p>
      <w:pPr>
        <w:bidi w:val="0"/>
        <w:jc w:val="center"/>
        <w:rPr>
          <w:rFonts w:hint="default"/>
          <w:sz w:val="21"/>
          <w:szCs w:val="21"/>
          <w:lang w:val="en-US" w:eastAsia="zh-CN"/>
        </w:rPr>
      </w:pPr>
      <w:r>
        <w:rPr>
          <w:rFonts w:hint="eastAsia"/>
          <w:sz w:val="18"/>
          <w:szCs w:val="18"/>
          <w:lang w:val="en-US" w:eastAsia="zh-CN"/>
        </w:rPr>
        <w:t xml:space="preserve">                                                                                   </w:t>
      </w:r>
      <w:r>
        <w:rPr>
          <w:rFonts w:hint="eastAsia"/>
          <w:sz w:val="21"/>
          <w:szCs w:val="21"/>
          <w:lang w:val="en-US" w:eastAsia="zh-CN"/>
        </w:rPr>
        <w:t xml:space="preserve"> 公开06表</w:t>
      </w:r>
    </w:p>
    <w:p>
      <w:pPr>
        <w:bidi w:val="0"/>
        <w:jc w:val="left"/>
        <w:rPr>
          <w:rFonts w:hint="eastAsia"/>
          <w:sz w:val="21"/>
          <w:szCs w:val="21"/>
          <w:lang w:val="en-US" w:eastAsia="zh-CN"/>
        </w:rPr>
      </w:pPr>
      <w:r>
        <w:rPr>
          <w:rFonts w:hint="eastAsia"/>
          <w:sz w:val="21"/>
          <w:szCs w:val="21"/>
          <w:lang w:val="en-US" w:eastAsia="zh-CN"/>
        </w:rPr>
        <w:t>部门：中国人民政治协商会议河北省石家庄市鹿泉区委员会                   金额单位：万元</w:t>
      </w:r>
    </w:p>
    <w:tbl>
      <w:tblPr>
        <w:tblStyle w:val="6"/>
        <w:tblW w:w="9219"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34"/>
        <w:gridCol w:w="1275"/>
        <w:gridCol w:w="945"/>
        <w:gridCol w:w="825"/>
        <w:gridCol w:w="1155"/>
        <w:gridCol w:w="857"/>
        <w:gridCol w:w="765"/>
        <w:gridCol w:w="1887"/>
        <w:gridCol w:w="67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trPr>
        <w:tc>
          <w:tcPr>
            <w:tcW w:w="305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人员经费</w:t>
            </w:r>
          </w:p>
        </w:tc>
        <w:tc>
          <w:tcPr>
            <w:tcW w:w="6165" w:type="dxa"/>
            <w:gridSpan w:val="6"/>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trPr>
        <w:tc>
          <w:tcPr>
            <w:tcW w:w="834" w:type="dxa"/>
            <w:vMerge w:val="restar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科目编码</w:t>
            </w:r>
          </w:p>
        </w:tc>
        <w:tc>
          <w:tcPr>
            <w:tcW w:w="1275"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科目名称</w:t>
            </w:r>
          </w:p>
        </w:tc>
        <w:tc>
          <w:tcPr>
            <w:tcW w:w="945"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决算数</w:t>
            </w:r>
          </w:p>
        </w:tc>
        <w:tc>
          <w:tcPr>
            <w:tcW w:w="825"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科目编码</w:t>
            </w:r>
          </w:p>
        </w:tc>
        <w:tc>
          <w:tcPr>
            <w:tcW w:w="1155"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科目名称</w:t>
            </w:r>
          </w:p>
        </w:tc>
        <w:tc>
          <w:tcPr>
            <w:tcW w:w="857"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决算数</w:t>
            </w:r>
          </w:p>
        </w:tc>
        <w:tc>
          <w:tcPr>
            <w:tcW w:w="765"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科目编码</w:t>
            </w:r>
          </w:p>
        </w:tc>
        <w:tc>
          <w:tcPr>
            <w:tcW w:w="1887"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科目名称</w:t>
            </w:r>
          </w:p>
        </w:tc>
        <w:tc>
          <w:tcPr>
            <w:tcW w:w="676"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trPr>
        <w:tc>
          <w:tcPr>
            <w:tcW w:w="834" w:type="dxa"/>
            <w:vMerge w:val="continue"/>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275"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945"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25"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155"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857"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765"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1887"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c>
          <w:tcPr>
            <w:tcW w:w="676"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trPr>
        <w:tc>
          <w:tcPr>
            <w:tcW w:w="834"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301</w:t>
            </w:r>
          </w:p>
        </w:tc>
        <w:tc>
          <w:tcPr>
            <w:tcW w:w="127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工资福利支出</w:t>
            </w:r>
          </w:p>
        </w:tc>
        <w:tc>
          <w:tcPr>
            <w:tcW w:w="94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401.72</w:t>
            </w:r>
          </w:p>
        </w:tc>
        <w:tc>
          <w:tcPr>
            <w:tcW w:w="82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w:t>
            </w:r>
          </w:p>
        </w:tc>
        <w:tc>
          <w:tcPr>
            <w:tcW w:w="115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商品和服务支出</w:t>
            </w:r>
          </w:p>
        </w:tc>
        <w:tc>
          <w:tcPr>
            <w:tcW w:w="85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92.38</w:t>
            </w:r>
          </w:p>
        </w:tc>
        <w:tc>
          <w:tcPr>
            <w:tcW w:w="76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307</w:t>
            </w:r>
          </w:p>
        </w:tc>
        <w:tc>
          <w:tcPr>
            <w:tcW w:w="188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债务利息及费用支出</w:t>
            </w:r>
          </w:p>
        </w:tc>
        <w:tc>
          <w:tcPr>
            <w:tcW w:w="67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834"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30101</w:t>
            </w:r>
          </w:p>
        </w:tc>
        <w:tc>
          <w:tcPr>
            <w:tcW w:w="127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基本工资</w:t>
            </w:r>
          </w:p>
        </w:tc>
        <w:tc>
          <w:tcPr>
            <w:tcW w:w="94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143.85</w:t>
            </w:r>
          </w:p>
        </w:tc>
        <w:tc>
          <w:tcPr>
            <w:tcW w:w="82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30201</w:t>
            </w:r>
          </w:p>
        </w:tc>
        <w:tc>
          <w:tcPr>
            <w:tcW w:w="115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办公费</w:t>
            </w:r>
          </w:p>
        </w:tc>
        <w:tc>
          <w:tcPr>
            <w:tcW w:w="85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14.72</w:t>
            </w:r>
          </w:p>
        </w:tc>
        <w:tc>
          <w:tcPr>
            <w:tcW w:w="76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30701</w:t>
            </w:r>
          </w:p>
        </w:tc>
        <w:tc>
          <w:tcPr>
            <w:tcW w:w="188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国内债务付息</w:t>
            </w:r>
          </w:p>
        </w:tc>
        <w:tc>
          <w:tcPr>
            <w:tcW w:w="67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834"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30102</w:t>
            </w:r>
          </w:p>
        </w:tc>
        <w:tc>
          <w:tcPr>
            <w:tcW w:w="127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津贴补贴</w:t>
            </w:r>
          </w:p>
        </w:tc>
        <w:tc>
          <w:tcPr>
            <w:tcW w:w="94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75.59</w:t>
            </w:r>
          </w:p>
        </w:tc>
        <w:tc>
          <w:tcPr>
            <w:tcW w:w="82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30202</w:t>
            </w:r>
          </w:p>
        </w:tc>
        <w:tc>
          <w:tcPr>
            <w:tcW w:w="115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印刷费</w:t>
            </w:r>
          </w:p>
        </w:tc>
        <w:tc>
          <w:tcPr>
            <w:tcW w:w="85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3.51</w:t>
            </w:r>
          </w:p>
        </w:tc>
        <w:tc>
          <w:tcPr>
            <w:tcW w:w="76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30702</w:t>
            </w:r>
          </w:p>
        </w:tc>
        <w:tc>
          <w:tcPr>
            <w:tcW w:w="188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国外债务付息</w:t>
            </w:r>
          </w:p>
        </w:tc>
        <w:tc>
          <w:tcPr>
            <w:tcW w:w="67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trPr>
        <w:tc>
          <w:tcPr>
            <w:tcW w:w="834"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30103</w:t>
            </w:r>
          </w:p>
        </w:tc>
        <w:tc>
          <w:tcPr>
            <w:tcW w:w="127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奖金</w:t>
            </w:r>
          </w:p>
        </w:tc>
        <w:tc>
          <w:tcPr>
            <w:tcW w:w="94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83.44</w:t>
            </w:r>
          </w:p>
        </w:tc>
        <w:tc>
          <w:tcPr>
            <w:tcW w:w="82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30203</w:t>
            </w:r>
          </w:p>
        </w:tc>
        <w:tc>
          <w:tcPr>
            <w:tcW w:w="115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咨询费</w:t>
            </w:r>
          </w:p>
        </w:tc>
        <w:tc>
          <w:tcPr>
            <w:tcW w:w="85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76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310</w:t>
            </w:r>
          </w:p>
        </w:tc>
        <w:tc>
          <w:tcPr>
            <w:tcW w:w="188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资本性支出</w:t>
            </w:r>
          </w:p>
        </w:tc>
        <w:tc>
          <w:tcPr>
            <w:tcW w:w="67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6.19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trPr>
        <w:tc>
          <w:tcPr>
            <w:tcW w:w="834"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30106</w:t>
            </w:r>
          </w:p>
        </w:tc>
        <w:tc>
          <w:tcPr>
            <w:tcW w:w="127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伙食补助费</w:t>
            </w:r>
          </w:p>
        </w:tc>
        <w:tc>
          <w:tcPr>
            <w:tcW w:w="94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82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30204</w:t>
            </w:r>
          </w:p>
        </w:tc>
        <w:tc>
          <w:tcPr>
            <w:tcW w:w="115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手续费</w:t>
            </w:r>
          </w:p>
        </w:tc>
        <w:tc>
          <w:tcPr>
            <w:tcW w:w="85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76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31001</w:t>
            </w:r>
          </w:p>
        </w:tc>
        <w:tc>
          <w:tcPr>
            <w:tcW w:w="188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房屋建筑物购建</w:t>
            </w:r>
          </w:p>
        </w:tc>
        <w:tc>
          <w:tcPr>
            <w:tcW w:w="67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trPr>
        <w:tc>
          <w:tcPr>
            <w:tcW w:w="834"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30107</w:t>
            </w:r>
          </w:p>
        </w:tc>
        <w:tc>
          <w:tcPr>
            <w:tcW w:w="127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绩效工资</w:t>
            </w:r>
          </w:p>
        </w:tc>
        <w:tc>
          <w:tcPr>
            <w:tcW w:w="94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82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30205</w:t>
            </w:r>
          </w:p>
        </w:tc>
        <w:tc>
          <w:tcPr>
            <w:tcW w:w="115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水费</w:t>
            </w:r>
          </w:p>
        </w:tc>
        <w:tc>
          <w:tcPr>
            <w:tcW w:w="85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76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31002</w:t>
            </w:r>
          </w:p>
        </w:tc>
        <w:tc>
          <w:tcPr>
            <w:tcW w:w="188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办公设备购置</w:t>
            </w:r>
          </w:p>
        </w:tc>
        <w:tc>
          <w:tcPr>
            <w:tcW w:w="67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6.19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trPr>
        <w:tc>
          <w:tcPr>
            <w:tcW w:w="834"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30108</w:t>
            </w:r>
          </w:p>
        </w:tc>
        <w:tc>
          <w:tcPr>
            <w:tcW w:w="127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机关事业单位基本养老保险缴费</w:t>
            </w:r>
          </w:p>
        </w:tc>
        <w:tc>
          <w:tcPr>
            <w:tcW w:w="94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32.59</w:t>
            </w:r>
          </w:p>
        </w:tc>
        <w:tc>
          <w:tcPr>
            <w:tcW w:w="82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30206</w:t>
            </w:r>
          </w:p>
        </w:tc>
        <w:tc>
          <w:tcPr>
            <w:tcW w:w="115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电费</w:t>
            </w:r>
          </w:p>
        </w:tc>
        <w:tc>
          <w:tcPr>
            <w:tcW w:w="85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76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31003</w:t>
            </w:r>
          </w:p>
        </w:tc>
        <w:tc>
          <w:tcPr>
            <w:tcW w:w="188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专用设备购置</w:t>
            </w:r>
          </w:p>
        </w:tc>
        <w:tc>
          <w:tcPr>
            <w:tcW w:w="67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trPr>
        <w:tc>
          <w:tcPr>
            <w:tcW w:w="834"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30109</w:t>
            </w:r>
          </w:p>
        </w:tc>
        <w:tc>
          <w:tcPr>
            <w:tcW w:w="127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职业年金缴费</w:t>
            </w:r>
          </w:p>
        </w:tc>
        <w:tc>
          <w:tcPr>
            <w:tcW w:w="94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82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30207</w:t>
            </w:r>
          </w:p>
        </w:tc>
        <w:tc>
          <w:tcPr>
            <w:tcW w:w="115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邮电费</w:t>
            </w:r>
          </w:p>
        </w:tc>
        <w:tc>
          <w:tcPr>
            <w:tcW w:w="85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16.49</w:t>
            </w:r>
          </w:p>
        </w:tc>
        <w:tc>
          <w:tcPr>
            <w:tcW w:w="76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31005</w:t>
            </w:r>
          </w:p>
        </w:tc>
        <w:tc>
          <w:tcPr>
            <w:tcW w:w="188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基础设施建设</w:t>
            </w:r>
          </w:p>
        </w:tc>
        <w:tc>
          <w:tcPr>
            <w:tcW w:w="67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834"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30110</w:t>
            </w:r>
          </w:p>
        </w:tc>
        <w:tc>
          <w:tcPr>
            <w:tcW w:w="127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职工基本医疗保险缴费</w:t>
            </w:r>
          </w:p>
        </w:tc>
        <w:tc>
          <w:tcPr>
            <w:tcW w:w="94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30.35</w:t>
            </w:r>
          </w:p>
        </w:tc>
        <w:tc>
          <w:tcPr>
            <w:tcW w:w="82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30208</w:t>
            </w:r>
          </w:p>
        </w:tc>
        <w:tc>
          <w:tcPr>
            <w:tcW w:w="115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取暖费</w:t>
            </w:r>
          </w:p>
        </w:tc>
        <w:tc>
          <w:tcPr>
            <w:tcW w:w="85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76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31006</w:t>
            </w:r>
          </w:p>
        </w:tc>
        <w:tc>
          <w:tcPr>
            <w:tcW w:w="188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大型修缮</w:t>
            </w:r>
          </w:p>
        </w:tc>
        <w:tc>
          <w:tcPr>
            <w:tcW w:w="67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834"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30111</w:t>
            </w:r>
          </w:p>
        </w:tc>
        <w:tc>
          <w:tcPr>
            <w:tcW w:w="127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公务员医疗补助缴费</w:t>
            </w:r>
          </w:p>
        </w:tc>
        <w:tc>
          <w:tcPr>
            <w:tcW w:w="94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82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30209</w:t>
            </w:r>
          </w:p>
        </w:tc>
        <w:tc>
          <w:tcPr>
            <w:tcW w:w="115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物业管理费</w:t>
            </w:r>
          </w:p>
        </w:tc>
        <w:tc>
          <w:tcPr>
            <w:tcW w:w="85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76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31007</w:t>
            </w:r>
          </w:p>
        </w:tc>
        <w:tc>
          <w:tcPr>
            <w:tcW w:w="188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信息网络及软件购置更新</w:t>
            </w:r>
          </w:p>
        </w:tc>
        <w:tc>
          <w:tcPr>
            <w:tcW w:w="67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trPr>
        <w:tc>
          <w:tcPr>
            <w:tcW w:w="834"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30112</w:t>
            </w:r>
          </w:p>
        </w:tc>
        <w:tc>
          <w:tcPr>
            <w:tcW w:w="127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其他社会保障缴费</w:t>
            </w:r>
          </w:p>
        </w:tc>
        <w:tc>
          <w:tcPr>
            <w:tcW w:w="94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0.99</w:t>
            </w:r>
          </w:p>
        </w:tc>
        <w:tc>
          <w:tcPr>
            <w:tcW w:w="82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30211</w:t>
            </w:r>
          </w:p>
        </w:tc>
        <w:tc>
          <w:tcPr>
            <w:tcW w:w="115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差旅费</w:t>
            </w:r>
          </w:p>
        </w:tc>
        <w:tc>
          <w:tcPr>
            <w:tcW w:w="85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76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31008</w:t>
            </w:r>
          </w:p>
        </w:tc>
        <w:tc>
          <w:tcPr>
            <w:tcW w:w="188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物资储备</w:t>
            </w:r>
          </w:p>
        </w:tc>
        <w:tc>
          <w:tcPr>
            <w:tcW w:w="67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834"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30113</w:t>
            </w:r>
          </w:p>
        </w:tc>
        <w:tc>
          <w:tcPr>
            <w:tcW w:w="127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住房公积金</w:t>
            </w:r>
          </w:p>
        </w:tc>
        <w:tc>
          <w:tcPr>
            <w:tcW w:w="94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34.91</w:t>
            </w:r>
          </w:p>
        </w:tc>
        <w:tc>
          <w:tcPr>
            <w:tcW w:w="82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30212</w:t>
            </w:r>
          </w:p>
        </w:tc>
        <w:tc>
          <w:tcPr>
            <w:tcW w:w="115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因公出国（境）费用</w:t>
            </w:r>
          </w:p>
        </w:tc>
        <w:tc>
          <w:tcPr>
            <w:tcW w:w="85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76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31009</w:t>
            </w:r>
          </w:p>
        </w:tc>
        <w:tc>
          <w:tcPr>
            <w:tcW w:w="188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土地补偿</w:t>
            </w:r>
          </w:p>
        </w:tc>
        <w:tc>
          <w:tcPr>
            <w:tcW w:w="67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834"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30114</w:t>
            </w:r>
          </w:p>
        </w:tc>
        <w:tc>
          <w:tcPr>
            <w:tcW w:w="127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医疗费</w:t>
            </w:r>
          </w:p>
        </w:tc>
        <w:tc>
          <w:tcPr>
            <w:tcW w:w="94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82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30213</w:t>
            </w:r>
          </w:p>
        </w:tc>
        <w:tc>
          <w:tcPr>
            <w:tcW w:w="115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维修（护）费</w:t>
            </w:r>
          </w:p>
        </w:tc>
        <w:tc>
          <w:tcPr>
            <w:tcW w:w="85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1.03</w:t>
            </w:r>
          </w:p>
        </w:tc>
        <w:tc>
          <w:tcPr>
            <w:tcW w:w="76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31010</w:t>
            </w:r>
          </w:p>
        </w:tc>
        <w:tc>
          <w:tcPr>
            <w:tcW w:w="188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安置补助</w:t>
            </w:r>
          </w:p>
        </w:tc>
        <w:tc>
          <w:tcPr>
            <w:tcW w:w="67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834"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30199</w:t>
            </w:r>
          </w:p>
        </w:tc>
        <w:tc>
          <w:tcPr>
            <w:tcW w:w="127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其他工资福利支出</w:t>
            </w:r>
          </w:p>
        </w:tc>
        <w:tc>
          <w:tcPr>
            <w:tcW w:w="94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82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30214</w:t>
            </w:r>
          </w:p>
        </w:tc>
        <w:tc>
          <w:tcPr>
            <w:tcW w:w="115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租赁费</w:t>
            </w:r>
          </w:p>
        </w:tc>
        <w:tc>
          <w:tcPr>
            <w:tcW w:w="85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76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31011</w:t>
            </w:r>
          </w:p>
        </w:tc>
        <w:tc>
          <w:tcPr>
            <w:tcW w:w="188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地上附着物和青苗补偿</w:t>
            </w:r>
          </w:p>
        </w:tc>
        <w:tc>
          <w:tcPr>
            <w:tcW w:w="67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trPr>
        <w:tc>
          <w:tcPr>
            <w:tcW w:w="834"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303</w:t>
            </w:r>
          </w:p>
        </w:tc>
        <w:tc>
          <w:tcPr>
            <w:tcW w:w="127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对个人和家庭的补助</w:t>
            </w:r>
          </w:p>
        </w:tc>
        <w:tc>
          <w:tcPr>
            <w:tcW w:w="94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117.84</w:t>
            </w:r>
          </w:p>
        </w:tc>
        <w:tc>
          <w:tcPr>
            <w:tcW w:w="82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30215</w:t>
            </w:r>
          </w:p>
        </w:tc>
        <w:tc>
          <w:tcPr>
            <w:tcW w:w="115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会议费</w:t>
            </w:r>
          </w:p>
        </w:tc>
        <w:tc>
          <w:tcPr>
            <w:tcW w:w="85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76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31012</w:t>
            </w:r>
          </w:p>
        </w:tc>
        <w:tc>
          <w:tcPr>
            <w:tcW w:w="188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拆迁补偿</w:t>
            </w:r>
          </w:p>
        </w:tc>
        <w:tc>
          <w:tcPr>
            <w:tcW w:w="67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834"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30301</w:t>
            </w:r>
          </w:p>
        </w:tc>
        <w:tc>
          <w:tcPr>
            <w:tcW w:w="127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离休费</w:t>
            </w:r>
          </w:p>
        </w:tc>
        <w:tc>
          <w:tcPr>
            <w:tcW w:w="94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41.27</w:t>
            </w:r>
          </w:p>
        </w:tc>
        <w:tc>
          <w:tcPr>
            <w:tcW w:w="82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30216</w:t>
            </w:r>
          </w:p>
        </w:tc>
        <w:tc>
          <w:tcPr>
            <w:tcW w:w="115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培训费</w:t>
            </w:r>
          </w:p>
        </w:tc>
        <w:tc>
          <w:tcPr>
            <w:tcW w:w="85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76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31013</w:t>
            </w:r>
          </w:p>
        </w:tc>
        <w:tc>
          <w:tcPr>
            <w:tcW w:w="188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公务用车购置</w:t>
            </w:r>
          </w:p>
        </w:tc>
        <w:tc>
          <w:tcPr>
            <w:tcW w:w="67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834"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30302</w:t>
            </w:r>
          </w:p>
        </w:tc>
        <w:tc>
          <w:tcPr>
            <w:tcW w:w="127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退休费</w:t>
            </w:r>
          </w:p>
        </w:tc>
        <w:tc>
          <w:tcPr>
            <w:tcW w:w="94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82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30217</w:t>
            </w:r>
          </w:p>
        </w:tc>
        <w:tc>
          <w:tcPr>
            <w:tcW w:w="115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公务接待费</w:t>
            </w:r>
          </w:p>
        </w:tc>
        <w:tc>
          <w:tcPr>
            <w:tcW w:w="85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宋体" w:hAnsi="宋体" w:eastAsia="宋体" w:cs="宋体"/>
                <w:i w:val="0"/>
                <w:iCs w:val="0"/>
                <w:color w:val="000000"/>
                <w:sz w:val="20"/>
                <w:szCs w:val="20"/>
                <w:u w:val="none"/>
              </w:rPr>
            </w:pPr>
          </w:p>
        </w:tc>
        <w:tc>
          <w:tcPr>
            <w:tcW w:w="76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31019</w:t>
            </w:r>
          </w:p>
        </w:tc>
        <w:tc>
          <w:tcPr>
            <w:tcW w:w="188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其他交通工具购置</w:t>
            </w:r>
          </w:p>
        </w:tc>
        <w:tc>
          <w:tcPr>
            <w:tcW w:w="67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834"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30303</w:t>
            </w:r>
          </w:p>
        </w:tc>
        <w:tc>
          <w:tcPr>
            <w:tcW w:w="127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退职（役）费</w:t>
            </w:r>
          </w:p>
        </w:tc>
        <w:tc>
          <w:tcPr>
            <w:tcW w:w="94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82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30218</w:t>
            </w:r>
          </w:p>
        </w:tc>
        <w:tc>
          <w:tcPr>
            <w:tcW w:w="115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专用材料费</w:t>
            </w:r>
          </w:p>
        </w:tc>
        <w:tc>
          <w:tcPr>
            <w:tcW w:w="85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76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31021</w:t>
            </w:r>
          </w:p>
        </w:tc>
        <w:tc>
          <w:tcPr>
            <w:tcW w:w="188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文物和陈列品购置</w:t>
            </w:r>
          </w:p>
        </w:tc>
        <w:tc>
          <w:tcPr>
            <w:tcW w:w="67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trPr>
        <w:tc>
          <w:tcPr>
            <w:tcW w:w="834"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30304</w:t>
            </w:r>
          </w:p>
        </w:tc>
        <w:tc>
          <w:tcPr>
            <w:tcW w:w="127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抚恤金</w:t>
            </w:r>
          </w:p>
        </w:tc>
        <w:tc>
          <w:tcPr>
            <w:tcW w:w="94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82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30224</w:t>
            </w:r>
          </w:p>
        </w:tc>
        <w:tc>
          <w:tcPr>
            <w:tcW w:w="115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被装购置费</w:t>
            </w:r>
          </w:p>
        </w:tc>
        <w:tc>
          <w:tcPr>
            <w:tcW w:w="85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76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31022</w:t>
            </w:r>
          </w:p>
        </w:tc>
        <w:tc>
          <w:tcPr>
            <w:tcW w:w="188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无形资产购置</w:t>
            </w:r>
          </w:p>
        </w:tc>
        <w:tc>
          <w:tcPr>
            <w:tcW w:w="67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trPr>
        <w:tc>
          <w:tcPr>
            <w:tcW w:w="834"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30305</w:t>
            </w:r>
          </w:p>
        </w:tc>
        <w:tc>
          <w:tcPr>
            <w:tcW w:w="127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生活补助</w:t>
            </w:r>
          </w:p>
        </w:tc>
        <w:tc>
          <w:tcPr>
            <w:tcW w:w="94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6.84</w:t>
            </w:r>
          </w:p>
        </w:tc>
        <w:tc>
          <w:tcPr>
            <w:tcW w:w="82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30225</w:t>
            </w:r>
          </w:p>
        </w:tc>
        <w:tc>
          <w:tcPr>
            <w:tcW w:w="115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专用燃料费</w:t>
            </w:r>
          </w:p>
        </w:tc>
        <w:tc>
          <w:tcPr>
            <w:tcW w:w="85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76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31099</w:t>
            </w:r>
          </w:p>
        </w:tc>
        <w:tc>
          <w:tcPr>
            <w:tcW w:w="188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其他资本性支出</w:t>
            </w:r>
          </w:p>
        </w:tc>
        <w:tc>
          <w:tcPr>
            <w:tcW w:w="67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trPr>
        <w:tc>
          <w:tcPr>
            <w:tcW w:w="834"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30306</w:t>
            </w:r>
          </w:p>
        </w:tc>
        <w:tc>
          <w:tcPr>
            <w:tcW w:w="127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救济费</w:t>
            </w:r>
          </w:p>
        </w:tc>
        <w:tc>
          <w:tcPr>
            <w:tcW w:w="94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82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30226</w:t>
            </w:r>
          </w:p>
        </w:tc>
        <w:tc>
          <w:tcPr>
            <w:tcW w:w="115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劳务费</w:t>
            </w:r>
          </w:p>
        </w:tc>
        <w:tc>
          <w:tcPr>
            <w:tcW w:w="85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76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399</w:t>
            </w:r>
          </w:p>
        </w:tc>
        <w:tc>
          <w:tcPr>
            <w:tcW w:w="188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其他支出</w:t>
            </w:r>
          </w:p>
        </w:tc>
        <w:tc>
          <w:tcPr>
            <w:tcW w:w="67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trPr>
        <w:tc>
          <w:tcPr>
            <w:tcW w:w="834"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30307</w:t>
            </w:r>
          </w:p>
        </w:tc>
        <w:tc>
          <w:tcPr>
            <w:tcW w:w="127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医疗费补助</w:t>
            </w:r>
          </w:p>
        </w:tc>
        <w:tc>
          <w:tcPr>
            <w:tcW w:w="94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82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30227</w:t>
            </w:r>
          </w:p>
        </w:tc>
        <w:tc>
          <w:tcPr>
            <w:tcW w:w="115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委托业务费</w:t>
            </w:r>
          </w:p>
        </w:tc>
        <w:tc>
          <w:tcPr>
            <w:tcW w:w="85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15.23</w:t>
            </w:r>
          </w:p>
        </w:tc>
        <w:tc>
          <w:tcPr>
            <w:tcW w:w="76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39906</w:t>
            </w:r>
          </w:p>
        </w:tc>
        <w:tc>
          <w:tcPr>
            <w:tcW w:w="188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赠与</w:t>
            </w:r>
          </w:p>
        </w:tc>
        <w:tc>
          <w:tcPr>
            <w:tcW w:w="67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trPr>
        <w:tc>
          <w:tcPr>
            <w:tcW w:w="834"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30308</w:t>
            </w:r>
          </w:p>
        </w:tc>
        <w:tc>
          <w:tcPr>
            <w:tcW w:w="127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助学金</w:t>
            </w:r>
          </w:p>
        </w:tc>
        <w:tc>
          <w:tcPr>
            <w:tcW w:w="94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82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30228</w:t>
            </w:r>
          </w:p>
        </w:tc>
        <w:tc>
          <w:tcPr>
            <w:tcW w:w="115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工会经费</w:t>
            </w:r>
          </w:p>
        </w:tc>
        <w:tc>
          <w:tcPr>
            <w:tcW w:w="85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2.91</w:t>
            </w:r>
          </w:p>
        </w:tc>
        <w:tc>
          <w:tcPr>
            <w:tcW w:w="76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39907</w:t>
            </w:r>
          </w:p>
        </w:tc>
        <w:tc>
          <w:tcPr>
            <w:tcW w:w="188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国家赔偿费用支出</w:t>
            </w:r>
          </w:p>
        </w:tc>
        <w:tc>
          <w:tcPr>
            <w:tcW w:w="67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834"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30309</w:t>
            </w:r>
          </w:p>
        </w:tc>
        <w:tc>
          <w:tcPr>
            <w:tcW w:w="127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奖励金</w:t>
            </w:r>
          </w:p>
        </w:tc>
        <w:tc>
          <w:tcPr>
            <w:tcW w:w="94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69.72</w:t>
            </w:r>
          </w:p>
        </w:tc>
        <w:tc>
          <w:tcPr>
            <w:tcW w:w="82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30229</w:t>
            </w:r>
          </w:p>
        </w:tc>
        <w:tc>
          <w:tcPr>
            <w:tcW w:w="115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福利费</w:t>
            </w:r>
          </w:p>
        </w:tc>
        <w:tc>
          <w:tcPr>
            <w:tcW w:w="85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4.85</w:t>
            </w:r>
          </w:p>
        </w:tc>
        <w:tc>
          <w:tcPr>
            <w:tcW w:w="76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39908</w:t>
            </w:r>
          </w:p>
        </w:tc>
        <w:tc>
          <w:tcPr>
            <w:tcW w:w="188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对民间非营利组织和群众性自治组织补贴</w:t>
            </w:r>
          </w:p>
        </w:tc>
        <w:tc>
          <w:tcPr>
            <w:tcW w:w="67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trPr>
        <w:tc>
          <w:tcPr>
            <w:tcW w:w="834"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30310</w:t>
            </w:r>
          </w:p>
        </w:tc>
        <w:tc>
          <w:tcPr>
            <w:tcW w:w="127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个人农业生产补贴</w:t>
            </w:r>
          </w:p>
        </w:tc>
        <w:tc>
          <w:tcPr>
            <w:tcW w:w="94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c>
          <w:tcPr>
            <w:tcW w:w="82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30231</w:t>
            </w:r>
          </w:p>
        </w:tc>
        <w:tc>
          <w:tcPr>
            <w:tcW w:w="115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公务用车运行维护费</w:t>
            </w:r>
          </w:p>
        </w:tc>
        <w:tc>
          <w:tcPr>
            <w:tcW w:w="85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13.07</w:t>
            </w:r>
          </w:p>
        </w:tc>
        <w:tc>
          <w:tcPr>
            <w:tcW w:w="76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39999</w:t>
            </w:r>
          </w:p>
        </w:tc>
        <w:tc>
          <w:tcPr>
            <w:tcW w:w="188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其他支出</w:t>
            </w:r>
          </w:p>
        </w:tc>
        <w:tc>
          <w:tcPr>
            <w:tcW w:w="67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trPr>
        <w:tc>
          <w:tcPr>
            <w:tcW w:w="834"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30311</w:t>
            </w:r>
          </w:p>
        </w:tc>
        <w:tc>
          <w:tcPr>
            <w:tcW w:w="127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代缴社会保险费</w:t>
            </w:r>
          </w:p>
        </w:tc>
        <w:tc>
          <w:tcPr>
            <w:tcW w:w="94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82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30239</w:t>
            </w:r>
          </w:p>
        </w:tc>
        <w:tc>
          <w:tcPr>
            <w:tcW w:w="115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其他交通费用</w:t>
            </w:r>
          </w:p>
        </w:tc>
        <w:tc>
          <w:tcPr>
            <w:tcW w:w="85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20.54</w:t>
            </w:r>
          </w:p>
        </w:tc>
        <w:tc>
          <w:tcPr>
            <w:tcW w:w="765" w:type="dxa"/>
            <w:tcBorders>
              <w:top w:val="nil"/>
              <w:left w:val="nil"/>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887" w:type="dxa"/>
            <w:tcBorders>
              <w:top w:val="nil"/>
              <w:left w:val="nil"/>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676"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trPr>
        <w:tc>
          <w:tcPr>
            <w:tcW w:w="834"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30399</w:t>
            </w:r>
          </w:p>
        </w:tc>
        <w:tc>
          <w:tcPr>
            <w:tcW w:w="127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  其他对个人和家庭的补助</w:t>
            </w:r>
          </w:p>
        </w:tc>
        <w:tc>
          <w:tcPr>
            <w:tcW w:w="94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82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30240</w:t>
            </w:r>
          </w:p>
        </w:tc>
        <w:tc>
          <w:tcPr>
            <w:tcW w:w="115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税金及附加费用</w:t>
            </w:r>
          </w:p>
        </w:tc>
        <w:tc>
          <w:tcPr>
            <w:tcW w:w="85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p>
        </w:tc>
        <w:tc>
          <w:tcPr>
            <w:tcW w:w="765" w:type="dxa"/>
            <w:tcBorders>
              <w:top w:val="nil"/>
              <w:left w:val="nil"/>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887" w:type="dxa"/>
            <w:tcBorders>
              <w:top w:val="nil"/>
              <w:left w:val="nil"/>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676"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834"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275" w:type="dxa"/>
            <w:tcBorders>
              <w:top w:val="nil"/>
              <w:left w:val="nil"/>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945"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c>
          <w:tcPr>
            <w:tcW w:w="82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30299</w:t>
            </w:r>
          </w:p>
        </w:tc>
        <w:tc>
          <w:tcPr>
            <w:tcW w:w="115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其他商品和服务支出</w:t>
            </w:r>
          </w:p>
        </w:tc>
        <w:tc>
          <w:tcPr>
            <w:tcW w:w="85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0.02</w:t>
            </w:r>
          </w:p>
        </w:tc>
        <w:tc>
          <w:tcPr>
            <w:tcW w:w="765" w:type="dxa"/>
            <w:tcBorders>
              <w:top w:val="nil"/>
              <w:left w:val="nil"/>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1887" w:type="dxa"/>
            <w:tcBorders>
              <w:top w:val="nil"/>
              <w:left w:val="nil"/>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0"/>
                <w:szCs w:val="20"/>
                <w:u w:val="none"/>
              </w:rPr>
            </w:pPr>
          </w:p>
        </w:tc>
        <w:tc>
          <w:tcPr>
            <w:tcW w:w="676"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0"/>
                <w:szCs w:val="20"/>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109" w:type="dxa"/>
            <w:gridSpan w:val="2"/>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人员经费合计</w:t>
            </w:r>
          </w:p>
        </w:tc>
        <w:tc>
          <w:tcPr>
            <w:tcW w:w="94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519.56</w:t>
            </w:r>
          </w:p>
        </w:tc>
        <w:tc>
          <w:tcPr>
            <w:tcW w:w="5489" w:type="dxa"/>
            <w:gridSpan w:val="5"/>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公用经费合计</w:t>
            </w:r>
          </w:p>
        </w:tc>
        <w:tc>
          <w:tcPr>
            <w:tcW w:w="67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98.57</w:t>
            </w:r>
          </w:p>
        </w:tc>
      </w:tr>
    </w:tbl>
    <w:p>
      <w:pPr>
        <w:bidi w:val="0"/>
        <w:jc w:val="left"/>
        <w:rPr>
          <w:rFonts w:hint="default"/>
          <w:sz w:val="18"/>
          <w:szCs w:val="18"/>
          <w:lang w:val="en-US" w:eastAsia="zh-CN"/>
        </w:rPr>
      </w:pPr>
      <w:r>
        <w:rPr>
          <w:rFonts w:hint="eastAsia" w:ascii="宋体" w:hAnsi="宋体" w:eastAsia="宋体" w:cs="宋体"/>
          <w:i w:val="0"/>
          <w:iCs w:val="0"/>
          <w:color w:val="000000"/>
          <w:kern w:val="0"/>
          <w:sz w:val="20"/>
          <w:szCs w:val="20"/>
          <w:u w:val="none"/>
          <w:lang w:val="en-US" w:eastAsia="zh-CN" w:bidi="ar"/>
        </w:rPr>
        <w:t>注：本表反映部门本年度一般公共预算财政拨款基本支出明细情况。</w:t>
      </w:r>
    </w:p>
    <w:p>
      <w:pPr>
        <w:tabs>
          <w:tab w:val="left" w:pos="682"/>
        </w:tabs>
        <w:bidi w:val="0"/>
        <w:jc w:val="center"/>
        <w:rPr>
          <w:rFonts w:hint="eastAsia"/>
          <w:sz w:val="28"/>
          <w:szCs w:val="28"/>
          <w:lang w:val="en-US" w:eastAsia="zh-CN"/>
        </w:rPr>
      </w:pPr>
    </w:p>
    <w:p>
      <w:pPr>
        <w:tabs>
          <w:tab w:val="left" w:pos="682"/>
        </w:tabs>
        <w:bidi w:val="0"/>
        <w:jc w:val="both"/>
        <w:rPr>
          <w:rFonts w:hint="eastAsia"/>
          <w:sz w:val="28"/>
          <w:szCs w:val="28"/>
          <w:lang w:val="en-US" w:eastAsia="zh-CN"/>
        </w:rPr>
      </w:pPr>
    </w:p>
    <w:p>
      <w:pPr>
        <w:tabs>
          <w:tab w:val="left" w:pos="682"/>
        </w:tabs>
        <w:bidi w:val="0"/>
        <w:jc w:val="center"/>
        <w:rPr>
          <w:rFonts w:hint="eastAsia"/>
          <w:sz w:val="28"/>
          <w:szCs w:val="28"/>
          <w:lang w:val="en-US" w:eastAsia="zh-CN"/>
        </w:rPr>
      </w:pPr>
    </w:p>
    <w:p>
      <w:pPr>
        <w:tabs>
          <w:tab w:val="left" w:pos="682"/>
        </w:tabs>
        <w:bidi w:val="0"/>
        <w:jc w:val="center"/>
        <w:rPr>
          <w:rFonts w:hint="eastAsia"/>
          <w:sz w:val="28"/>
          <w:szCs w:val="28"/>
          <w:lang w:val="en-US" w:eastAsia="zh-CN"/>
        </w:rPr>
      </w:pPr>
    </w:p>
    <w:p>
      <w:pPr>
        <w:tabs>
          <w:tab w:val="left" w:pos="682"/>
        </w:tabs>
        <w:bidi w:val="0"/>
        <w:jc w:val="center"/>
        <w:rPr>
          <w:rFonts w:hint="eastAsia"/>
          <w:sz w:val="28"/>
          <w:szCs w:val="28"/>
          <w:lang w:val="en-US" w:eastAsia="zh-CN"/>
        </w:rPr>
      </w:pPr>
    </w:p>
    <w:p>
      <w:pPr>
        <w:tabs>
          <w:tab w:val="left" w:pos="682"/>
        </w:tabs>
        <w:bidi w:val="0"/>
        <w:jc w:val="both"/>
        <w:rPr>
          <w:rFonts w:hint="eastAsia"/>
          <w:sz w:val="28"/>
          <w:szCs w:val="28"/>
          <w:lang w:val="en-US" w:eastAsia="zh-CN"/>
        </w:rPr>
      </w:pPr>
    </w:p>
    <w:p>
      <w:pPr>
        <w:tabs>
          <w:tab w:val="left" w:pos="682"/>
        </w:tabs>
        <w:bidi w:val="0"/>
        <w:jc w:val="center"/>
        <w:rPr>
          <w:rFonts w:hint="eastAsia"/>
          <w:sz w:val="36"/>
          <w:szCs w:val="36"/>
          <w:lang w:val="en-US" w:eastAsia="zh-CN"/>
        </w:rPr>
      </w:pPr>
      <w:r>
        <w:rPr>
          <w:rFonts w:hint="eastAsia"/>
          <w:sz w:val="36"/>
          <w:szCs w:val="36"/>
          <w:lang w:val="en-US" w:eastAsia="zh-CN"/>
        </w:rPr>
        <w:t>一般公共预算财政拨款“三公”经费支出决算表</w:t>
      </w:r>
    </w:p>
    <w:p>
      <w:pPr>
        <w:bidi w:val="0"/>
        <w:jc w:val="center"/>
        <w:rPr>
          <w:rFonts w:hint="default"/>
          <w:sz w:val="21"/>
          <w:szCs w:val="21"/>
          <w:lang w:val="en-US" w:eastAsia="zh-CN"/>
        </w:rPr>
      </w:pPr>
      <w:r>
        <w:rPr>
          <w:rFonts w:hint="eastAsia"/>
          <w:sz w:val="18"/>
          <w:szCs w:val="18"/>
          <w:lang w:val="en-US" w:eastAsia="zh-CN"/>
        </w:rPr>
        <w:t xml:space="preserve">                                                                    </w:t>
      </w:r>
      <w:r>
        <w:rPr>
          <w:rFonts w:hint="eastAsia"/>
          <w:sz w:val="21"/>
          <w:szCs w:val="21"/>
          <w:lang w:val="en-US" w:eastAsia="zh-CN"/>
        </w:rPr>
        <w:t xml:space="preserve">               公开07表</w:t>
      </w:r>
    </w:p>
    <w:p>
      <w:pPr>
        <w:bidi w:val="0"/>
        <w:jc w:val="left"/>
        <w:rPr>
          <w:rFonts w:hint="eastAsia"/>
          <w:sz w:val="21"/>
          <w:szCs w:val="21"/>
          <w:lang w:val="en-US" w:eastAsia="zh-CN"/>
        </w:rPr>
      </w:pPr>
      <w:r>
        <w:rPr>
          <w:rFonts w:hint="eastAsia"/>
          <w:sz w:val="21"/>
          <w:szCs w:val="21"/>
          <w:lang w:val="en-US" w:eastAsia="zh-CN"/>
        </w:rPr>
        <w:t>部门：中国人民政治协商会议河北省石家庄市鹿泉区委员会                   金额单位：万元</w:t>
      </w:r>
    </w:p>
    <w:tbl>
      <w:tblPr>
        <w:tblStyle w:val="6"/>
        <w:tblW w:w="906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66"/>
        <w:gridCol w:w="876"/>
        <w:gridCol w:w="766"/>
        <w:gridCol w:w="676"/>
        <w:gridCol w:w="766"/>
        <w:gridCol w:w="683"/>
        <w:gridCol w:w="766"/>
        <w:gridCol w:w="876"/>
        <w:gridCol w:w="766"/>
        <w:gridCol w:w="676"/>
        <w:gridCol w:w="766"/>
        <w:gridCol w:w="67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trPr>
        <w:tc>
          <w:tcPr>
            <w:tcW w:w="4533"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预算数</w:t>
            </w:r>
          </w:p>
        </w:tc>
        <w:tc>
          <w:tcPr>
            <w:tcW w:w="4527" w:type="dxa"/>
            <w:gridSpan w:val="6"/>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trPr>
        <w:tc>
          <w:tcPr>
            <w:tcW w:w="766" w:type="dxa"/>
            <w:vMerge w:val="restar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876"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因公出国（境）费</w:t>
            </w:r>
          </w:p>
        </w:tc>
        <w:tc>
          <w:tcPr>
            <w:tcW w:w="2208" w:type="dxa"/>
            <w:gridSpan w:val="3"/>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公务用车购置及运行费</w:t>
            </w:r>
          </w:p>
        </w:tc>
        <w:tc>
          <w:tcPr>
            <w:tcW w:w="683"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公务接待费</w:t>
            </w:r>
          </w:p>
        </w:tc>
        <w:tc>
          <w:tcPr>
            <w:tcW w:w="766"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876"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因公出国（境）费</w:t>
            </w:r>
          </w:p>
        </w:tc>
        <w:tc>
          <w:tcPr>
            <w:tcW w:w="2208" w:type="dxa"/>
            <w:gridSpan w:val="3"/>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公务用车购置及运行费</w:t>
            </w:r>
          </w:p>
        </w:tc>
        <w:tc>
          <w:tcPr>
            <w:tcW w:w="677"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615" w:hRule="atLeast"/>
        </w:trPr>
        <w:tc>
          <w:tcPr>
            <w:tcW w:w="766" w:type="dxa"/>
            <w:vMerge w:val="continue"/>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876"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76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小计</w:t>
            </w:r>
          </w:p>
        </w:tc>
        <w:tc>
          <w:tcPr>
            <w:tcW w:w="67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公务用车购置费</w:t>
            </w:r>
          </w:p>
        </w:tc>
        <w:tc>
          <w:tcPr>
            <w:tcW w:w="76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公务用车运行费</w:t>
            </w:r>
          </w:p>
        </w:tc>
        <w:tc>
          <w:tcPr>
            <w:tcW w:w="683"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766"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876"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76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小计</w:t>
            </w:r>
          </w:p>
        </w:tc>
        <w:tc>
          <w:tcPr>
            <w:tcW w:w="67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公务用车购置费</w:t>
            </w:r>
          </w:p>
        </w:tc>
        <w:tc>
          <w:tcPr>
            <w:tcW w:w="76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公务用车运行费</w:t>
            </w:r>
          </w:p>
        </w:tc>
        <w:tc>
          <w:tcPr>
            <w:tcW w:w="677"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trPr>
        <w:tc>
          <w:tcPr>
            <w:tcW w:w="766"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87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76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67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76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68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76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87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76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67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76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67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trPr>
        <w:tc>
          <w:tcPr>
            <w:tcW w:w="766"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21.20</w:t>
            </w:r>
          </w:p>
        </w:tc>
        <w:tc>
          <w:tcPr>
            <w:tcW w:w="87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16.20</w:t>
            </w:r>
          </w:p>
        </w:tc>
        <w:tc>
          <w:tcPr>
            <w:tcW w:w="67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16.20</w:t>
            </w:r>
          </w:p>
        </w:tc>
        <w:tc>
          <w:tcPr>
            <w:tcW w:w="68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w:t>
            </w:r>
          </w:p>
        </w:tc>
        <w:tc>
          <w:tcPr>
            <w:tcW w:w="76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14.40</w:t>
            </w:r>
          </w:p>
        </w:tc>
        <w:tc>
          <w:tcPr>
            <w:tcW w:w="87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13.07</w:t>
            </w:r>
          </w:p>
        </w:tc>
        <w:tc>
          <w:tcPr>
            <w:tcW w:w="67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6"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13.07</w:t>
            </w:r>
          </w:p>
        </w:tc>
        <w:tc>
          <w:tcPr>
            <w:tcW w:w="677"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1.33</w:t>
            </w:r>
          </w:p>
        </w:tc>
      </w:tr>
    </w:tbl>
    <w:p>
      <w:pPr>
        <w:tabs>
          <w:tab w:val="left" w:pos="682"/>
        </w:tabs>
        <w:bidi w:val="0"/>
        <w:jc w:val="left"/>
        <w:rPr>
          <w:rFonts w:hint="eastAsia"/>
          <w:sz w:val="28"/>
          <w:szCs w:val="28"/>
          <w:lang w:val="en-US" w:eastAsia="zh-CN"/>
        </w:rPr>
      </w:pPr>
      <w:r>
        <w:rPr>
          <w:rFonts w:hint="eastAsia" w:ascii="宋体" w:hAnsi="宋体" w:eastAsia="宋体" w:cs="宋体"/>
          <w:i w:val="0"/>
          <w:iCs w:val="0"/>
          <w:color w:val="000000"/>
          <w:kern w:val="0"/>
          <w:sz w:val="20"/>
          <w:szCs w:val="20"/>
          <w:u w:val="none"/>
          <w:lang w:val="en-US" w:eastAsia="zh-CN" w:bidi="ar"/>
        </w:rPr>
        <w:t>注：本表反映部门本年度“三公”经费支出预决算情况。其中：预算数为“三公”经费全年预算数，反映按规定程序调整后的预算数；决算数是包括当年一般公共预算财政拨款和以前年度结转资金安排的实际支出。</w:t>
      </w:r>
    </w:p>
    <w:p>
      <w:pPr>
        <w:tabs>
          <w:tab w:val="left" w:pos="682"/>
        </w:tabs>
        <w:bidi w:val="0"/>
        <w:jc w:val="center"/>
        <w:rPr>
          <w:rFonts w:hint="eastAsia"/>
          <w:sz w:val="28"/>
          <w:szCs w:val="28"/>
          <w:lang w:val="en-US" w:eastAsia="zh-CN"/>
        </w:rPr>
      </w:pPr>
    </w:p>
    <w:p>
      <w:pPr>
        <w:tabs>
          <w:tab w:val="left" w:pos="682"/>
        </w:tabs>
        <w:bidi w:val="0"/>
        <w:jc w:val="center"/>
        <w:rPr>
          <w:rFonts w:hint="eastAsia"/>
          <w:sz w:val="28"/>
          <w:szCs w:val="28"/>
          <w:lang w:val="en-US" w:eastAsia="zh-CN"/>
        </w:rPr>
      </w:pPr>
    </w:p>
    <w:p>
      <w:pPr>
        <w:tabs>
          <w:tab w:val="left" w:pos="682"/>
        </w:tabs>
        <w:bidi w:val="0"/>
        <w:jc w:val="center"/>
        <w:rPr>
          <w:rFonts w:hint="eastAsia"/>
          <w:sz w:val="28"/>
          <w:szCs w:val="28"/>
          <w:lang w:val="en-US" w:eastAsia="zh-CN"/>
        </w:rPr>
      </w:pPr>
    </w:p>
    <w:p>
      <w:pPr>
        <w:tabs>
          <w:tab w:val="left" w:pos="682"/>
        </w:tabs>
        <w:bidi w:val="0"/>
        <w:jc w:val="center"/>
        <w:rPr>
          <w:rFonts w:hint="eastAsia"/>
          <w:sz w:val="28"/>
          <w:szCs w:val="28"/>
          <w:lang w:val="en-US" w:eastAsia="zh-CN"/>
        </w:rPr>
      </w:pPr>
    </w:p>
    <w:p>
      <w:pPr>
        <w:tabs>
          <w:tab w:val="left" w:pos="682"/>
        </w:tabs>
        <w:bidi w:val="0"/>
        <w:jc w:val="center"/>
        <w:rPr>
          <w:rFonts w:hint="eastAsia"/>
          <w:sz w:val="28"/>
          <w:szCs w:val="28"/>
          <w:lang w:val="en-US" w:eastAsia="zh-CN"/>
        </w:rPr>
      </w:pPr>
    </w:p>
    <w:p>
      <w:pPr>
        <w:tabs>
          <w:tab w:val="left" w:pos="682"/>
        </w:tabs>
        <w:bidi w:val="0"/>
        <w:jc w:val="center"/>
        <w:rPr>
          <w:rFonts w:hint="eastAsia"/>
          <w:sz w:val="28"/>
          <w:szCs w:val="28"/>
          <w:lang w:val="en-US" w:eastAsia="zh-CN"/>
        </w:rPr>
      </w:pPr>
    </w:p>
    <w:p>
      <w:pPr>
        <w:tabs>
          <w:tab w:val="left" w:pos="682"/>
        </w:tabs>
        <w:bidi w:val="0"/>
        <w:jc w:val="center"/>
        <w:rPr>
          <w:rFonts w:hint="eastAsia"/>
          <w:sz w:val="28"/>
          <w:szCs w:val="28"/>
          <w:lang w:val="en-US" w:eastAsia="zh-CN"/>
        </w:rPr>
      </w:pPr>
    </w:p>
    <w:p>
      <w:pPr>
        <w:tabs>
          <w:tab w:val="left" w:pos="682"/>
        </w:tabs>
        <w:bidi w:val="0"/>
        <w:jc w:val="center"/>
        <w:rPr>
          <w:rFonts w:hint="eastAsia"/>
          <w:sz w:val="28"/>
          <w:szCs w:val="28"/>
          <w:lang w:val="en-US" w:eastAsia="zh-CN"/>
        </w:rPr>
      </w:pPr>
    </w:p>
    <w:p>
      <w:pPr>
        <w:tabs>
          <w:tab w:val="left" w:pos="682"/>
        </w:tabs>
        <w:bidi w:val="0"/>
        <w:jc w:val="center"/>
        <w:rPr>
          <w:rFonts w:hint="eastAsia"/>
          <w:sz w:val="28"/>
          <w:szCs w:val="28"/>
          <w:lang w:val="en-US" w:eastAsia="zh-CN"/>
        </w:rPr>
      </w:pPr>
    </w:p>
    <w:p>
      <w:pPr>
        <w:tabs>
          <w:tab w:val="left" w:pos="682"/>
        </w:tabs>
        <w:bidi w:val="0"/>
        <w:jc w:val="center"/>
        <w:rPr>
          <w:rFonts w:hint="eastAsia"/>
          <w:sz w:val="28"/>
          <w:szCs w:val="28"/>
          <w:lang w:val="en-US" w:eastAsia="zh-CN"/>
        </w:rPr>
      </w:pPr>
    </w:p>
    <w:p>
      <w:pPr>
        <w:tabs>
          <w:tab w:val="left" w:pos="682"/>
        </w:tabs>
        <w:bidi w:val="0"/>
        <w:jc w:val="center"/>
        <w:rPr>
          <w:rFonts w:hint="eastAsia"/>
          <w:sz w:val="28"/>
          <w:szCs w:val="28"/>
          <w:lang w:val="en-US" w:eastAsia="zh-CN"/>
        </w:rPr>
      </w:pPr>
    </w:p>
    <w:p>
      <w:pPr>
        <w:tabs>
          <w:tab w:val="left" w:pos="682"/>
        </w:tabs>
        <w:bidi w:val="0"/>
        <w:jc w:val="both"/>
        <w:rPr>
          <w:rFonts w:hint="eastAsia"/>
          <w:sz w:val="28"/>
          <w:szCs w:val="28"/>
          <w:lang w:val="en-US" w:eastAsia="zh-CN"/>
        </w:rPr>
      </w:pPr>
    </w:p>
    <w:p>
      <w:pPr>
        <w:tabs>
          <w:tab w:val="left" w:pos="682"/>
        </w:tabs>
        <w:bidi w:val="0"/>
        <w:jc w:val="center"/>
        <w:rPr>
          <w:rFonts w:hint="eastAsia"/>
          <w:sz w:val="36"/>
          <w:szCs w:val="36"/>
          <w:lang w:val="en-US" w:eastAsia="zh-CN"/>
        </w:rPr>
      </w:pPr>
      <w:r>
        <w:rPr>
          <w:rFonts w:hint="eastAsia"/>
          <w:sz w:val="36"/>
          <w:szCs w:val="36"/>
          <w:lang w:val="en-US" w:eastAsia="zh-CN"/>
        </w:rPr>
        <w:t>政府性基金预算财政拨款收入支出决算表</w:t>
      </w:r>
    </w:p>
    <w:p>
      <w:pPr>
        <w:bidi w:val="0"/>
        <w:jc w:val="center"/>
        <w:rPr>
          <w:rFonts w:hint="default"/>
          <w:sz w:val="21"/>
          <w:szCs w:val="21"/>
          <w:lang w:val="en-US" w:eastAsia="zh-CN"/>
        </w:rPr>
      </w:pPr>
      <w:r>
        <w:rPr>
          <w:rFonts w:hint="eastAsia"/>
          <w:sz w:val="18"/>
          <w:szCs w:val="18"/>
          <w:lang w:val="en-US" w:eastAsia="zh-CN"/>
        </w:rPr>
        <w:t xml:space="preserve">                                                                             </w:t>
      </w:r>
      <w:r>
        <w:rPr>
          <w:rFonts w:hint="eastAsia"/>
          <w:sz w:val="21"/>
          <w:szCs w:val="21"/>
          <w:lang w:val="en-US" w:eastAsia="zh-CN"/>
        </w:rPr>
        <w:t xml:space="preserve"> 公开08表</w:t>
      </w:r>
    </w:p>
    <w:p>
      <w:pPr>
        <w:bidi w:val="0"/>
        <w:jc w:val="left"/>
        <w:rPr>
          <w:rFonts w:hint="eastAsia"/>
          <w:sz w:val="18"/>
          <w:szCs w:val="18"/>
          <w:lang w:val="en-US" w:eastAsia="zh-CN"/>
        </w:rPr>
      </w:pPr>
      <w:r>
        <w:rPr>
          <w:rFonts w:hint="eastAsia"/>
          <w:sz w:val="21"/>
          <w:szCs w:val="21"/>
          <w:lang w:val="en-US" w:eastAsia="zh-CN"/>
        </w:rPr>
        <w:t>部门：中国人民政治协商会议河北省石家庄市鹿泉区委员会                  金额单位：万元</w:t>
      </w:r>
    </w:p>
    <w:tbl>
      <w:tblPr>
        <w:tblStyle w:val="6"/>
        <w:tblW w:w="905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63"/>
        <w:gridCol w:w="2109"/>
        <w:gridCol w:w="1013"/>
        <w:gridCol w:w="1013"/>
        <w:gridCol w:w="1013"/>
        <w:gridCol w:w="1013"/>
        <w:gridCol w:w="1018"/>
        <w:gridCol w:w="101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trPr>
        <w:tc>
          <w:tcPr>
            <w:tcW w:w="2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1013"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年初结转和结余</w:t>
            </w:r>
          </w:p>
        </w:tc>
        <w:tc>
          <w:tcPr>
            <w:tcW w:w="1013"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本年收入</w:t>
            </w:r>
          </w:p>
        </w:tc>
        <w:tc>
          <w:tcPr>
            <w:tcW w:w="3044" w:type="dxa"/>
            <w:gridSpan w:val="3"/>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本年支出</w:t>
            </w:r>
          </w:p>
        </w:tc>
        <w:tc>
          <w:tcPr>
            <w:tcW w:w="1013"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trPr>
        <w:tc>
          <w:tcPr>
            <w:tcW w:w="863" w:type="dxa"/>
            <w:vMerge w:val="restar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功能分类科目编码</w:t>
            </w:r>
          </w:p>
        </w:tc>
        <w:tc>
          <w:tcPr>
            <w:tcW w:w="2109"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013"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13"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13"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小计</w:t>
            </w:r>
          </w:p>
        </w:tc>
        <w:tc>
          <w:tcPr>
            <w:tcW w:w="1013"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1018"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c>
          <w:tcPr>
            <w:tcW w:w="1013"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863" w:type="dxa"/>
            <w:vMerge w:val="continue"/>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2109"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13"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13"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13"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13"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18"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13"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trPr>
        <w:tc>
          <w:tcPr>
            <w:tcW w:w="863" w:type="dxa"/>
            <w:vMerge w:val="continue"/>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2109"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13"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13"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13"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13"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18"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013"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trPr>
        <w:tc>
          <w:tcPr>
            <w:tcW w:w="2972" w:type="dxa"/>
            <w:gridSpan w:val="2"/>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101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1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01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01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018"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013"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trPr>
        <w:tc>
          <w:tcPr>
            <w:tcW w:w="2972" w:type="dxa"/>
            <w:gridSpan w:val="2"/>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1013"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b/>
                <w:bCs/>
                <w:i w:val="0"/>
                <w:iCs w:val="0"/>
                <w:color w:val="000000"/>
                <w:sz w:val="22"/>
                <w:szCs w:val="22"/>
                <w:u w:val="none"/>
              </w:rPr>
            </w:pPr>
          </w:p>
        </w:tc>
        <w:tc>
          <w:tcPr>
            <w:tcW w:w="1013"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b/>
                <w:bCs/>
                <w:i w:val="0"/>
                <w:iCs w:val="0"/>
                <w:color w:val="000000"/>
                <w:sz w:val="22"/>
                <w:szCs w:val="22"/>
                <w:u w:val="none"/>
              </w:rPr>
            </w:pPr>
          </w:p>
        </w:tc>
        <w:tc>
          <w:tcPr>
            <w:tcW w:w="1013"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b/>
                <w:bCs/>
                <w:i w:val="0"/>
                <w:iCs w:val="0"/>
                <w:color w:val="000000"/>
                <w:sz w:val="22"/>
                <w:szCs w:val="22"/>
                <w:u w:val="none"/>
              </w:rPr>
            </w:pPr>
          </w:p>
        </w:tc>
        <w:tc>
          <w:tcPr>
            <w:tcW w:w="1013"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b/>
                <w:bCs/>
                <w:i w:val="0"/>
                <w:iCs w:val="0"/>
                <w:color w:val="000000"/>
                <w:sz w:val="22"/>
                <w:szCs w:val="22"/>
                <w:u w:val="none"/>
              </w:rPr>
            </w:pPr>
          </w:p>
        </w:tc>
        <w:tc>
          <w:tcPr>
            <w:tcW w:w="1018"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b/>
                <w:bCs/>
                <w:i w:val="0"/>
                <w:iCs w:val="0"/>
                <w:color w:val="000000"/>
                <w:sz w:val="22"/>
                <w:szCs w:val="22"/>
                <w:u w:val="none"/>
              </w:rPr>
            </w:pPr>
          </w:p>
        </w:tc>
        <w:tc>
          <w:tcPr>
            <w:tcW w:w="1013"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b/>
                <w:bCs/>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863"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2109" w:type="dxa"/>
            <w:tcBorders>
              <w:top w:val="nil"/>
              <w:left w:val="nil"/>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1013"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1013"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1013"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1013"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1018"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1013"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trPr>
        <w:tc>
          <w:tcPr>
            <w:tcW w:w="863"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2109" w:type="dxa"/>
            <w:tcBorders>
              <w:top w:val="nil"/>
              <w:left w:val="nil"/>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1013"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1013"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1013"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1013"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1018"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1013"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trPr>
        <w:tc>
          <w:tcPr>
            <w:tcW w:w="863"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2109" w:type="dxa"/>
            <w:tcBorders>
              <w:top w:val="nil"/>
              <w:left w:val="nil"/>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1013"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1013"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1013"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1013"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1018"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1013"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trPr>
        <w:tc>
          <w:tcPr>
            <w:tcW w:w="863"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2109" w:type="dxa"/>
            <w:tcBorders>
              <w:top w:val="nil"/>
              <w:left w:val="nil"/>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1013"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1013"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1013"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1013"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1018"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1013"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trPr>
        <w:tc>
          <w:tcPr>
            <w:tcW w:w="863"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2109" w:type="dxa"/>
            <w:tcBorders>
              <w:top w:val="nil"/>
              <w:left w:val="nil"/>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1013"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1013"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1013"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1013"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1018"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1013"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trPr>
        <w:tc>
          <w:tcPr>
            <w:tcW w:w="863"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2109" w:type="dxa"/>
            <w:tcBorders>
              <w:top w:val="nil"/>
              <w:left w:val="nil"/>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1013"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1013"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1013"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1013"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1018"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1013"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r>
    </w:tbl>
    <w:p>
      <w:pPr>
        <w:tabs>
          <w:tab w:val="left" w:pos="682"/>
        </w:tabs>
        <w:bidi w:val="0"/>
        <w:jc w:val="left"/>
        <w:rPr>
          <w:rFonts w:hint="default"/>
          <w:sz w:val="22"/>
          <w:szCs w:val="22"/>
          <w:lang w:val="en-US" w:eastAsia="zh-CN"/>
        </w:rPr>
      </w:pPr>
      <w:r>
        <w:rPr>
          <w:rFonts w:hint="eastAsia"/>
          <w:sz w:val="22"/>
          <w:szCs w:val="22"/>
          <w:lang w:val="en-US" w:eastAsia="zh-CN"/>
        </w:rPr>
        <w:t>注：本表反映部门本年度政府性基金预算财政拨款收入、支出及结转和结余情况。本部门本年度无相关支出，按要求以空表列示。</w:t>
      </w:r>
    </w:p>
    <w:p>
      <w:pPr>
        <w:tabs>
          <w:tab w:val="left" w:pos="682"/>
        </w:tabs>
        <w:bidi w:val="0"/>
        <w:jc w:val="center"/>
        <w:rPr>
          <w:rFonts w:hint="eastAsia"/>
          <w:sz w:val="28"/>
          <w:szCs w:val="28"/>
          <w:lang w:val="en-US" w:eastAsia="zh-CN"/>
        </w:rPr>
      </w:pPr>
    </w:p>
    <w:p>
      <w:pPr>
        <w:tabs>
          <w:tab w:val="left" w:pos="682"/>
        </w:tabs>
        <w:bidi w:val="0"/>
        <w:jc w:val="center"/>
        <w:rPr>
          <w:rFonts w:hint="eastAsia"/>
          <w:sz w:val="28"/>
          <w:szCs w:val="28"/>
          <w:lang w:val="en-US" w:eastAsia="zh-CN"/>
        </w:rPr>
      </w:pPr>
    </w:p>
    <w:p>
      <w:pPr>
        <w:tabs>
          <w:tab w:val="left" w:pos="682"/>
        </w:tabs>
        <w:bidi w:val="0"/>
        <w:jc w:val="center"/>
        <w:rPr>
          <w:rFonts w:hint="eastAsia"/>
          <w:sz w:val="28"/>
          <w:szCs w:val="28"/>
          <w:lang w:val="en-US" w:eastAsia="zh-CN"/>
        </w:rPr>
      </w:pPr>
    </w:p>
    <w:p>
      <w:pPr>
        <w:tabs>
          <w:tab w:val="left" w:pos="682"/>
        </w:tabs>
        <w:bidi w:val="0"/>
        <w:jc w:val="center"/>
        <w:rPr>
          <w:rFonts w:hint="eastAsia"/>
          <w:sz w:val="28"/>
          <w:szCs w:val="28"/>
          <w:lang w:val="en-US" w:eastAsia="zh-CN"/>
        </w:rPr>
      </w:pPr>
    </w:p>
    <w:p>
      <w:pPr>
        <w:tabs>
          <w:tab w:val="left" w:pos="682"/>
        </w:tabs>
        <w:bidi w:val="0"/>
        <w:jc w:val="center"/>
        <w:rPr>
          <w:rFonts w:hint="eastAsia"/>
          <w:sz w:val="28"/>
          <w:szCs w:val="28"/>
          <w:lang w:val="en-US" w:eastAsia="zh-CN"/>
        </w:rPr>
      </w:pPr>
    </w:p>
    <w:p>
      <w:pPr>
        <w:tabs>
          <w:tab w:val="left" w:pos="682"/>
        </w:tabs>
        <w:bidi w:val="0"/>
        <w:jc w:val="center"/>
        <w:rPr>
          <w:rFonts w:hint="eastAsia"/>
          <w:sz w:val="28"/>
          <w:szCs w:val="28"/>
          <w:lang w:val="en-US" w:eastAsia="zh-CN"/>
        </w:rPr>
      </w:pPr>
    </w:p>
    <w:p>
      <w:pPr>
        <w:tabs>
          <w:tab w:val="left" w:pos="682"/>
        </w:tabs>
        <w:bidi w:val="0"/>
        <w:jc w:val="center"/>
        <w:rPr>
          <w:rFonts w:hint="eastAsia"/>
          <w:sz w:val="28"/>
          <w:szCs w:val="28"/>
          <w:lang w:val="en-US" w:eastAsia="zh-CN"/>
        </w:rPr>
      </w:pPr>
    </w:p>
    <w:p>
      <w:pPr>
        <w:tabs>
          <w:tab w:val="left" w:pos="682"/>
        </w:tabs>
        <w:bidi w:val="0"/>
        <w:jc w:val="center"/>
        <w:rPr>
          <w:rFonts w:hint="eastAsia"/>
          <w:sz w:val="28"/>
          <w:szCs w:val="28"/>
          <w:lang w:val="en-US" w:eastAsia="zh-CN"/>
        </w:rPr>
      </w:pPr>
    </w:p>
    <w:p>
      <w:pPr>
        <w:tabs>
          <w:tab w:val="left" w:pos="682"/>
        </w:tabs>
        <w:bidi w:val="0"/>
        <w:jc w:val="both"/>
        <w:rPr>
          <w:rFonts w:hint="eastAsia"/>
          <w:sz w:val="28"/>
          <w:szCs w:val="28"/>
          <w:lang w:val="en-US" w:eastAsia="zh-CN"/>
        </w:rPr>
      </w:pPr>
    </w:p>
    <w:p>
      <w:pPr>
        <w:tabs>
          <w:tab w:val="left" w:pos="682"/>
        </w:tabs>
        <w:bidi w:val="0"/>
        <w:jc w:val="both"/>
        <w:rPr>
          <w:rFonts w:hint="eastAsia"/>
          <w:sz w:val="28"/>
          <w:szCs w:val="28"/>
          <w:lang w:val="en-US" w:eastAsia="zh-CN"/>
        </w:rPr>
      </w:pPr>
    </w:p>
    <w:p>
      <w:pPr>
        <w:tabs>
          <w:tab w:val="left" w:pos="682"/>
        </w:tabs>
        <w:bidi w:val="0"/>
        <w:jc w:val="center"/>
        <w:rPr>
          <w:rFonts w:hint="eastAsia"/>
          <w:sz w:val="36"/>
          <w:szCs w:val="36"/>
          <w:lang w:val="en-US" w:eastAsia="zh-CN"/>
        </w:rPr>
      </w:pPr>
      <w:r>
        <w:rPr>
          <w:rFonts w:hint="eastAsia"/>
          <w:sz w:val="36"/>
          <w:szCs w:val="36"/>
          <w:lang w:val="en-US" w:eastAsia="zh-CN"/>
        </w:rPr>
        <w:t>国有资本经营预算财政拨款支出决算表</w:t>
      </w:r>
    </w:p>
    <w:p>
      <w:pPr>
        <w:bidi w:val="0"/>
        <w:jc w:val="center"/>
        <w:rPr>
          <w:rFonts w:hint="default"/>
          <w:sz w:val="21"/>
          <w:szCs w:val="21"/>
          <w:lang w:val="en-US" w:eastAsia="zh-CN"/>
        </w:rPr>
      </w:pPr>
      <w:r>
        <w:rPr>
          <w:rFonts w:hint="eastAsia"/>
          <w:sz w:val="18"/>
          <w:szCs w:val="18"/>
          <w:lang w:val="en-US" w:eastAsia="zh-CN"/>
        </w:rPr>
        <w:t xml:space="preserve">                                                                             </w:t>
      </w:r>
      <w:r>
        <w:rPr>
          <w:rFonts w:hint="eastAsia"/>
          <w:sz w:val="21"/>
          <w:szCs w:val="21"/>
          <w:lang w:val="en-US" w:eastAsia="zh-CN"/>
        </w:rPr>
        <w:t xml:space="preserve">   公开09表</w:t>
      </w:r>
    </w:p>
    <w:p>
      <w:pPr>
        <w:bidi w:val="0"/>
        <w:jc w:val="left"/>
        <w:rPr>
          <w:rFonts w:hint="eastAsia"/>
          <w:sz w:val="21"/>
          <w:szCs w:val="21"/>
          <w:lang w:val="en-US" w:eastAsia="zh-CN"/>
        </w:rPr>
      </w:pPr>
      <w:r>
        <w:rPr>
          <w:rFonts w:hint="eastAsia"/>
          <w:sz w:val="21"/>
          <w:szCs w:val="21"/>
          <w:lang w:val="en-US" w:eastAsia="zh-CN"/>
        </w:rPr>
        <w:t>部门：中国人民政治协商会议河北省石家庄市鹿泉区委员会                 金额单位：万元</w:t>
      </w:r>
    </w:p>
    <w:tbl>
      <w:tblPr>
        <w:tblStyle w:val="6"/>
        <w:tblW w:w="9960"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990"/>
        <w:gridCol w:w="3930"/>
        <w:gridCol w:w="1680"/>
        <w:gridCol w:w="1680"/>
        <w:gridCol w:w="168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jc w:val="center"/>
        </w:trPr>
        <w:tc>
          <w:tcPr>
            <w:tcW w:w="49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w:t>
            </w:r>
          </w:p>
        </w:tc>
        <w:tc>
          <w:tcPr>
            <w:tcW w:w="5040" w:type="dxa"/>
            <w:gridSpan w:val="3"/>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jc w:val="center"/>
        </w:trPr>
        <w:tc>
          <w:tcPr>
            <w:tcW w:w="990" w:type="dxa"/>
            <w:vMerge w:val="restart"/>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功能分类科目编码</w:t>
            </w:r>
          </w:p>
        </w:tc>
        <w:tc>
          <w:tcPr>
            <w:tcW w:w="3930"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科目名称</w:t>
            </w:r>
          </w:p>
        </w:tc>
        <w:tc>
          <w:tcPr>
            <w:tcW w:w="1680"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1680"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基本支出</w:t>
            </w:r>
          </w:p>
        </w:tc>
        <w:tc>
          <w:tcPr>
            <w:tcW w:w="1680" w:type="dxa"/>
            <w:vMerge w:val="restart"/>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jc w:val="center"/>
        </w:trPr>
        <w:tc>
          <w:tcPr>
            <w:tcW w:w="990" w:type="dxa"/>
            <w:vMerge w:val="continue"/>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930"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680"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680"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680"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990" w:type="dxa"/>
            <w:vMerge w:val="continue"/>
            <w:tcBorders>
              <w:top w:val="nil"/>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3930"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680"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680"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c>
          <w:tcPr>
            <w:tcW w:w="1680" w:type="dxa"/>
            <w:vMerge w:val="continue"/>
            <w:tcBorders>
              <w:top w:val="nil"/>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4920" w:type="dxa"/>
            <w:gridSpan w:val="2"/>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栏次</w:t>
            </w:r>
          </w:p>
        </w:tc>
        <w:tc>
          <w:tcPr>
            <w:tcW w:w="168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68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68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jc w:val="center"/>
        </w:trPr>
        <w:tc>
          <w:tcPr>
            <w:tcW w:w="4920" w:type="dxa"/>
            <w:gridSpan w:val="2"/>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1680"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b/>
                <w:bCs/>
                <w:i w:val="0"/>
                <w:iCs w:val="0"/>
                <w:color w:val="000000"/>
                <w:sz w:val="22"/>
                <w:szCs w:val="22"/>
                <w:u w:val="none"/>
              </w:rPr>
            </w:pPr>
          </w:p>
        </w:tc>
        <w:tc>
          <w:tcPr>
            <w:tcW w:w="1680"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b/>
                <w:bCs/>
                <w:i w:val="0"/>
                <w:iCs w:val="0"/>
                <w:color w:val="000000"/>
                <w:sz w:val="22"/>
                <w:szCs w:val="22"/>
                <w:u w:val="none"/>
              </w:rPr>
            </w:pPr>
          </w:p>
        </w:tc>
        <w:tc>
          <w:tcPr>
            <w:tcW w:w="1680"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b/>
                <w:bCs/>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jc w:val="center"/>
        </w:trPr>
        <w:tc>
          <w:tcPr>
            <w:tcW w:w="990"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3930" w:type="dxa"/>
            <w:tcBorders>
              <w:top w:val="nil"/>
              <w:left w:val="nil"/>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1680"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1680"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1680"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jc w:val="center"/>
        </w:trPr>
        <w:tc>
          <w:tcPr>
            <w:tcW w:w="990"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3930" w:type="dxa"/>
            <w:tcBorders>
              <w:top w:val="nil"/>
              <w:left w:val="nil"/>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1680"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1680"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1680"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jc w:val="center"/>
        </w:trPr>
        <w:tc>
          <w:tcPr>
            <w:tcW w:w="990"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3930" w:type="dxa"/>
            <w:tcBorders>
              <w:top w:val="nil"/>
              <w:left w:val="nil"/>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1680"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1680"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1680"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jc w:val="center"/>
        </w:trPr>
        <w:tc>
          <w:tcPr>
            <w:tcW w:w="990"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3930" w:type="dxa"/>
            <w:tcBorders>
              <w:top w:val="nil"/>
              <w:left w:val="nil"/>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1680"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1680"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1680"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990"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3930" w:type="dxa"/>
            <w:tcBorders>
              <w:top w:val="nil"/>
              <w:left w:val="nil"/>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1680"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1680"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1680"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308" w:hRule="atLeast"/>
          <w:jc w:val="center"/>
        </w:trPr>
        <w:tc>
          <w:tcPr>
            <w:tcW w:w="990" w:type="dxa"/>
            <w:tcBorders>
              <w:top w:val="nil"/>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3930" w:type="dxa"/>
            <w:tcBorders>
              <w:top w:val="nil"/>
              <w:left w:val="nil"/>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2"/>
                <w:szCs w:val="22"/>
                <w:u w:val="none"/>
              </w:rPr>
            </w:pPr>
          </w:p>
        </w:tc>
        <w:tc>
          <w:tcPr>
            <w:tcW w:w="1680"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1680"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c>
          <w:tcPr>
            <w:tcW w:w="1680" w:type="dxa"/>
            <w:tcBorders>
              <w:top w:val="nil"/>
              <w:left w:val="nil"/>
              <w:bottom w:val="single" w:color="000000" w:sz="4" w:space="0"/>
              <w:right w:val="single" w:color="000000" w:sz="4" w:space="0"/>
            </w:tcBorders>
            <w:shd w:val="clear" w:color="auto" w:fill="auto"/>
            <w:vAlign w:val="center"/>
          </w:tcPr>
          <w:p>
            <w:pPr>
              <w:jc w:val="right"/>
              <w:rPr>
                <w:rFonts w:hint="eastAsia" w:ascii="宋体" w:hAnsi="宋体" w:eastAsia="宋体" w:cs="宋体"/>
                <w:i w:val="0"/>
                <w:iCs w:val="0"/>
                <w:color w:val="000000"/>
                <w:sz w:val="22"/>
                <w:szCs w:val="22"/>
                <w:u w:val="none"/>
              </w:rPr>
            </w:pPr>
          </w:p>
        </w:tc>
      </w:tr>
    </w:tbl>
    <w:p>
      <w:pPr>
        <w:tabs>
          <w:tab w:val="left" w:pos="682"/>
        </w:tabs>
        <w:bidi w:val="0"/>
        <w:jc w:val="left"/>
        <w:rPr>
          <w:rFonts w:ascii="仿宋_GB2312" w:hAnsi="Cambria" w:eastAsia="仿宋_GB2312" w:cs="Arial Black"/>
          <w:kern w:val="0"/>
          <w:sz w:val="32"/>
          <w:szCs w:val="32"/>
        </w:rPr>
      </w:pPr>
      <w:r>
        <w:rPr>
          <w:rFonts w:hint="eastAsia"/>
          <w:sz w:val="22"/>
          <w:szCs w:val="22"/>
          <w:lang w:val="en-US" w:eastAsia="zh-CN"/>
        </w:rPr>
        <w:t>注：本表反映部门本年度国有资本经营预算财政拨款支出情况。本部门本年度无相关支出情况，按要求以空表列示。</w:t>
      </w:r>
    </w:p>
    <w:sectPr>
      <w:pgSz w:w="11906" w:h="16838"/>
      <w:pgMar w:top="2098" w:right="1531" w:bottom="1984"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0002AFF" w:usb1="C000247B" w:usb2="00000009" w:usb3="00000000" w:csb0="200001FF" w:csb1="00000000"/>
  </w:font>
  <w:font w:name="楷体_GB2312">
    <w:panose1 w:val="02010609030101010101"/>
    <w:charset w:val="86"/>
    <w:family w:val="modern"/>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Arial Black">
    <w:panose1 w:val="020B0A04020102020204"/>
    <w:charset w:val="00"/>
    <w:family w:val="swiss"/>
    <w:pitch w:val="default"/>
    <w:sig w:usb0="A00002AF" w:usb1="400078FB" w:usb2="00000000" w:usb3="00000000" w:csb0="6000009F" w:csb1="DFD7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02F" w:usb1="29D77CFB" w:usb2="00000012" w:usb3="00000000" w:csb0="00080001" w:csb1="00000000"/>
  </w:font>
  <w:font w:name="Mongolian Baiti">
    <w:panose1 w:val="03000500000000000000"/>
    <w:charset w:val="00"/>
    <w:family w:val="script"/>
    <w:pitch w:val="default"/>
    <w:sig w:usb0="80000023" w:usb1="00000000" w:usb2="00020000" w:usb3="00000000" w:csb0="00000001" w:csb1="00000000"/>
  </w:font>
  <w:font w:name="仿宋">
    <w:panose1 w:val="02010609060101010101"/>
    <w:charset w:val="86"/>
    <w:family w:val="auto"/>
    <w:pitch w:val="default"/>
    <w:sig w:usb0="800002BF" w:usb1="38CF7CFA" w:usb2="00000016" w:usb3="00000000" w:csb0="00040001" w:csb1="00000000"/>
  </w:font>
  <w:font w:name="Arial">
    <w:panose1 w:val="020B0604020202020204"/>
    <w:charset w:val="00"/>
    <w:family w:val="auto"/>
    <w:pitch w:val="default"/>
    <w:sig w:usb0="E0002EFF" w:usb1="C000785B" w:usb2="00000009" w:usb3="00000000" w:csb0="400001FF" w:csb1="FFFF0000"/>
  </w:font>
  <w:font w:name="等线">
    <w:panose1 w:val="02010600030101010101"/>
    <w:charset w:val="86"/>
    <w:family w:val="auto"/>
    <w:pitch w:val="default"/>
    <w:sig w:usb0="A00002BF" w:usb1="38CF7CFA" w:usb2="00000016" w:usb3="00000000" w:csb0="0004000F" w:csb1="00000000"/>
  </w:font>
  <w:font w:name="Yu Gothic UI Semibold">
    <w:panose1 w:val="020B0700000000000000"/>
    <w:charset w:val="80"/>
    <w:family w:val="swiss"/>
    <w:pitch w:val="default"/>
    <w:sig w:usb0="E00002FF" w:usb1="2AC7FDFF"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ACF3C50" w:usb2="00000016" w:usb3="00000000" w:csb0="0004001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Gulim">
    <w:altName w:val="Malgun Gothic"/>
    <w:panose1 w:val="020B0600000101010101"/>
    <w:charset w:val="81"/>
    <w:family w:val="auto"/>
    <w:pitch w:val="default"/>
    <w:sig w:usb0="00000000" w:usb1="00000000" w:usb2="00000030" w:usb3="00000000" w:csb0="4008009F" w:csb1="DFD70000"/>
  </w:font>
  <w:font w:name="等线 Light">
    <w:panose1 w:val="02010600030101010101"/>
    <w:charset w:val="86"/>
    <w:family w:val="auto"/>
    <w:pitch w:val="default"/>
    <w:sig w:usb0="A00002BF" w:usb1="38CF7CFA" w:usb2="00000016" w:usb3="00000000" w:csb0="0004000F" w:csb1="00000000"/>
  </w:font>
  <w:font w:name="Segoe Print">
    <w:panose1 w:val="02000600000000000000"/>
    <w:charset w:val="00"/>
    <w:family w:val="auto"/>
    <w:pitch w:val="default"/>
    <w:sig w:usb0="0000028F" w:usb1="00000000" w:usb2="00000000" w:usb3="00000000" w:csb0="2000009F" w:csb1="47010000"/>
  </w:font>
  <w:font w:name="Meiryo UI">
    <w:altName w:val="Yu Gothic UI"/>
    <w:panose1 w:val="020B0604030504040204"/>
    <w:charset w:val="80"/>
    <w:family w:val="auto"/>
    <w:pitch w:val="default"/>
    <w:sig w:usb0="00000000" w:usb1="00000000" w:usb2="00010012" w:usb3="00000000" w:csb0="6002009F" w:csb1="DFD70000"/>
  </w:font>
  <w:font w:name="Yu Gothic UI">
    <w:panose1 w:val="020B0500000000000000"/>
    <w:charset w:val="80"/>
    <w:family w:val="auto"/>
    <w:pitch w:val="default"/>
    <w:sig w:usb0="E00002FF" w:usb1="2AC7FDFF" w:usb2="00000016" w:usb3="00000000" w:csb0="2002009F" w:csb1="00000000"/>
  </w:font>
  <w:font w:name="Calibri Light">
    <w:panose1 w:val="020F0302020204030204"/>
    <w:charset w:val="00"/>
    <w:family w:val="auto"/>
    <w:pitch w:val="default"/>
    <w:sig w:usb0="E0002AFF" w:usb1="C0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5F222FFA"/>
    <w:multiLevelType w:val="singleLevel"/>
    <w:tmpl w:val="5F222FFA"/>
    <w:lvl w:ilvl="0" w:tentative="0">
      <w:start w:val="1"/>
      <w:numFmt w:val="decimal"/>
      <w:suff w:val="nothing"/>
      <w:lvlText w:val="（%1）"/>
      <w:lvlJc w:val="left"/>
    </w:lvl>
  </w:abstractNum>
  <w:abstractNum w:abstractNumId="2">
    <w:nsid w:val="61517115"/>
    <w:multiLevelType w:val="singleLevel"/>
    <w:tmpl w:val="61517115"/>
    <w:lvl w:ilvl="0" w:tentative="0">
      <w:start w:val="2"/>
      <w:numFmt w:val="chineseCounting"/>
      <w:suff w:val="nothing"/>
      <w:lvlText w:val="（%1）"/>
      <w:lvlJc w:val="left"/>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val="1"/>
  <w:embedSystemFonts/>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4C45458"/>
    <w:rsid w:val="00061A05"/>
    <w:rsid w:val="0018668E"/>
    <w:rsid w:val="001B73D2"/>
    <w:rsid w:val="001E62BF"/>
    <w:rsid w:val="00293E7B"/>
    <w:rsid w:val="002D1F4F"/>
    <w:rsid w:val="00366D90"/>
    <w:rsid w:val="003D678E"/>
    <w:rsid w:val="00801F66"/>
    <w:rsid w:val="008B172C"/>
    <w:rsid w:val="009334BF"/>
    <w:rsid w:val="00E20C3F"/>
    <w:rsid w:val="00E31647"/>
    <w:rsid w:val="00F000CD"/>
    <w:rsid w:val="012E3CFC"/>
    <w:rsid w:val="017F2681"/>
    <w:rsid w:val="01873CF3"/>
    <w:rsid w:val="022B0CCD"/>
    <w:rsid w:val="04D75401"/>
    <w:rsid w:val="05D23211"/>
    <w:rsid w:val="07FC3232"/>
    <w:rsid w:val="086E76C4"/>
    <w:rsid w:val="09A909AD"/>
    <w:rsid w:val="0A364AAE"/>
    <w:rsid w:val="0B8E1B4A"/>
    <w:rsid w:val="0BA3745A"/>
    <w:rsid w:val="0BD156CF"/>
    <w:rsid w:val="0C32135B"/>
    <w:rsid w:val="0C936E03"/>
    <w:rsid w:val="0C9D0B60"/>
    <w:rsid w:val="0CB16DD5"/>
    <w:rsid w:val="0EA325C9"/>
    <w:rsid w:val="0F1569C3"/>
    <w:rsid w:val="0F6B789C"/>
    <w:rsid w:val="0FE35B91"/>
    <w:rsid w:val="106D6137"/>
    <w:rsid w:val="120F501B"/>
    <w:rsid w:val="12C83E38"/>
    <w:rsid w:val="12FB6A4C"/>
    <w:rsid w:val="13026800"/>
    <w:rsid w:val="132C747A"/>
    <w:rsid w:val="13455655"/>
    <w:rsid w:val="13666C2D"/>
    <w:rsid w:val="13687DAE"/>
    <w:rsid w:val="13785816"/>
    <w:rsid w:val="14562DB6"/>
    <w:rsid w:val="14CD3197"/>
    <w:rsid w:val="15EC54DE"/>
    <w:rsid w:val="16085A49"/>
    <w:rsid w:val="16A57A46"/>
    <w:rsid w:val="171F0E1F"/>
    <w:rsid w:val="17501CE1"/>
    <w:rsid w:val="18070B6E"/>
    <w:rsid w:val="18C018DB"/>
    <w:rsid w:val="18C4118C"/>
    <w:rsid w:val="1A676E28"/>
    <w:rsid w:val="1AF714B4"/>
    <w:rsid w:val="1B4A78A0"/>
    <w:rsid w:val="1BF20136"/>
    <w:rsid w:val="1E507BBA"/>
    <w:rsid w:val="1F671D62"/>
    <w:rsid w:val="1FB95DE3"/>
    <w:rsid w:val="1FD61320"/>
    <w:rsid w:val="20327A7D"/>
    <w:rsid w:val="20847922"/>
    <w:rsid w:val="20DB701A"/>
    <w:rsid w:val="21AC0B93"/>
    <w:rsid w:val="21F7654A"/>
    <w:rsid w:val="226566DA"/>
    <w:rsid w:val="23BF1774"/>
    <w:rsid w:val="2443229E"/>
    <w:rsid w:val="252813A0"/>
    <w:rsid w:val="25343FC4"/>
    <w:rsid w:val="25E011F4"/>
    <w:rsid w:val="267B70D3"/>
    <w:rsid w:val="2803445A"/>
    <w:rsid w:val="29412449"/>
    <w:rsid w:val="299B1A70"/>
    <w:rsid w:val="2AB15B56"/>
    <w:rsid w:val="2AF1022C"/>
    <w:rsid w:val="2BA03365"/>
    <w:rsid w:val="2BBF3145"/>
    <w:rsid w:val="2BD10013"/>
    <w:rsid w:val="2C87011E"/>
    <w:rsid w:val="2E3D6F77"/>
    <w:rsid w:val="2E8F268B"/>
    <w:rsid w:val="2ECD333B"/>
    <w:rsid w:val="2EE35B89"/>
    <w:rsid w:val="2F6E0A27"/>
    <w:rsid w:val="30AC79D6"/>
    <w:rsid w:val="30AF7C84"/>
    <w:rsid w:val="31D278F0"/>
    <w:rsid w:val="324B79F3"/>
    <w:rsid w:val="33F94C12"/>
    <w:rsid w:val="34AD1D7F"/>
    <w:rsid w:val="34C45458"/>
    <w:rsid w:val="34E06019"/>
    <w:rsid w:val="34F35450"/>
    <w:rsid w:val="35C715E1"/>
    <w:rsid w:val="36540BF9"/>
    <w:rsid w:val="36EF142E"/>
    <w:rsid w:val="37345016"/>
    <w:rsid w:val="373F1807"/>
    <w:rsid w:val="38226149"/>
    <w:rsid w:val="385A3A60"/>
    <w:rsid w:val="38D50E43"/>
    <w:rsid w:val="38D96858"/>
    <w:rsid w:val="39007266"/>
    <w:rsid w:val="3ACB636C"/>
    <w:rsid w:val="3B304753"/>
    <w:rsid w:val="3C0C5644"/>
    <w:rsid w:val="3C855EE8"/>
    <w:rsid w:val="3D230BAD"/>
    <w:rsid w:val="3E0F615D"/>
    <w:rsid w:val="3F38294E"/>
    <w:rsid w:val="3F9B5F0E"/>
    <w:rsid w:val="4147669F"/>
    <w:rsid w:val="421B62B8"/>
    <w:rsid w:val="424C2610"/>
    <w:rsid w:val="425237D0"/>
    <w:rsid w:val="43231D49"/>
    <w:rsid w:val="432F2C5B"/>
    <w:rsid w:val="43E24B36"/>
    <w:rsid w:val="4422497B"/>
    <w:rsid w:val="44E558CC"/>
    <w:rsid w:val="467763DD"/>
    <w:rsid w:val="46A10398"/>
    <w:rsid w:val="46A34AEA"/>
    <w:rsid w:val="479E6CFC"/>
    <w:rsid w:val="483112B7"/>
    <w:rsid w:val="483E041E"/>
    <w:rsid w:val="48EA1B84"/>
    <w:rsid w:val="490515CE"/>
    <w:rsid w:val="49BD7C79"/>
    <w:rsid w:val="4A827962"/>
    <w:rsid w:val="4ACC315B"/>
    <w:rsid w:val="4BBB3E47"/>
    <w:rsid w:val="4BC43213"/>
    <w:rsid w:val="4BF971E1"/>
    <w:rsid w:val="4C3D75E4"/>
    <w:rsid w:val="4C9021A4"/>
    <w:rsid w:val="4CAB4E52"/>
    <w:rsid w:val="4D9472CF"/>
    <w:rsid w:val="4E66634E"/>
    <w:rsid w:val="4EED5703"/>
    <w:rsid w:val="4F9A0255"/>
    <w:rsid w:val="4FCF15EB"/>
    <w:rsid w:val="50167315"/>
    <w:rsid w:val="51972F65"/>
    <w:rsid w:val="51B46F58"/>
    <w:rsid w:val="51D6155E"/>
    <w:rsid w:val="53BB5232"/>
    <w:rsid w:val="55F03AD6"/>
    <w:rsid w:val="560F1660"/>
    <w:rsid w:val="56A43C75"/>
    <w:rsid w:val="56CE00FC"/>
    <w:rsid w:val="57BE202A"/>
    <w:rsid w:val="57DC25DB"/>
    <w:rsid w:val="59590A89"/>
    <w:rsid w:val="5B1B2C38"/>
    <w:rsid w:val="5B9837DB"/>
    <w:rsid w:val="5BB17B26"/>
    <w:rsid w:val="5CD10296"/>
    <w:rsid w:val="5D0401EC"/>
    <w:rsid w:val="5D5248EC"/>
    <w:rsid w:val="5DE079DC"/>
    <w:rsid w:val="5EE65844"/>
    <w:rsid w:val="5F331FF5"/>
    <w:rsid w:val="5F6A3433"/>
    <w:rsid w:val="60682133"/>
    <w:rsid w:val="60F85020"/>
    <w:rsid w:val="61123964"/>
    <w:rsid w:val="615A2A2A"/>
    <w:rsid w:val="61B671D9"/>
    <w:rsid w:val="62CC7E86"/>
    <w:rsid w:val="62CE3501"/>
    <w:rsid w:val="62D31EE2"/>
    <w:rsid w:val="6335024F"/>
    <w:rsid w:val="63D66EC8"/>
    <w:rsid w:val="6426432C"/>
    <w:rsid w:val="654D11F2"/>
    <w:rsid w:val="658C643E"/>
    <w:rsid w:val="661A2B55"/>
    <w:rsid w:val="671C750F"/>
    <w:rsid w:val="672746B9"/>
    <w:rsid w:val="685A229A"/>
    <w:rsid w:val="6868391A"/>
    <w:rsid w:val="691967DE"/>
    <w:rsid w:val="6A1E43D2"/>
    <w:rsid w:val="6A257275"/>
    <w:rsid w:val="6A5A133F"/>
    <w:rsid w:val="6BB54506"/>
    <w:rsid w:val="6BD45C8C"/>
    <w:rsid w:val="6BE84365"/>
    <w:rsid w:val="6DE3431C"/>
    <w:rsid w:val="6DE52ECA"/>
    <w:rsid w:val="6DF5026B"/>
    <w:rsid w:val="6E0125E5"/>
    <w:rsid w:val="6FBE2729"/>
    <w:rsid w:val="70E832D0"/>
    <w:rsid w:val="715E7CEC"/>
    <w:rsid w:val="71DF2158"/>
    <w:rsid w:val="727C775A"/>
    <w:rsid w:val="73186BC7"/>
    <w:rsid w:val="73373354"/>
    <w:rsid w:val="73974596"/>
    <w:rsid w:val="757C6EB6"/>
    <w:rsid w:val="75962B41"/>
    <w:rsid w:val="75F84DA8"/>
    <w:rsid w:val="78072985"/>
    <w:rsid w:val="783E3541"/>
    <w:rsid w:val="7865256D"/>
    <w:rsid w:val="78B70475"/>
    <w:rsid w:val="78E702C6"/>
    <w:rsid w:val="7A5410C2"/>
    <w:rsid w:val="7B337381"/>
    <w:rsid w:val="7E511027"/>
    <w:rsid w:val="7EA277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1"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5">
    <w:name w:val="Default Paragraph Font"/>
    <w:unhideWhenUsed/>
    <w:qFormat/>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3">
    <w:name w:val="footer"/>
    <w:basedOn w:val="1"/>
    <w:unhideWhenUsed/>
    <w:qFormat/>
    <w:uiPriority w:val="99"/>
    <w:pPr>
      <w:tabs>
        <w:tab w:val="center" w:pos="4153"/>
        <w:tab w:val="right" w:pos="8306"/>
      </w:tabs>
      <w:snapToGrid w:val="0"/>
      <w:jc w:val="left"/>
    </w:pPr>
    <w:rPr>
      <w:sz w:val="18"/>
      <w:szCs w:val="18"/>
    </w:rPr>
  </w:style>
  <w:style w:type="paragraph" w:styleId="4">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numbering" Target="numbering.xml"/><Relationship Id="rId18" Type="http://schemas.openxmlformats.org/officeDocument/2006/relationships/customXml" Target="../customXml/item1.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image" Target="media/image3.png"/><Relationship Id="rId12" Type="http://schemas.openxmlformats.org/officeDocument/2006/relationships/chart" Target="charts/chart1.xml"/><Relationship Id="rId11" Type="http://schemas.openxmlformats.org/officeDocument/2006/relationships/image" Target="media/image2.bmp"/><Relationship Id="rId10" Type="http://schemas.openxmlformats.org/officeDocument/2006/relationships/image" Target="media/image1.jpeg"/><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5.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8436516264428"/>
          <c:y val="0.105349746215087"/>
          <c:w val="0.778757141191559"/>
          <c:h val="0.695572576125537"/>
        </c:manualLayout>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2019年</c:v>
                </c:pt>
                <c:pt idx="1">
                  <c:v>2020年</c:v>
                </c:pt>
              </c:strCache>
            </c:strRef>
          </c:cat>
          <c:val>
            <c:numRef>
              <c:f>Sheet1!$B$2:$B$3</c:f>
              <c:numCache>
                <c:formatCode>General</c:formatCode>
                <c:ptCount val="2"/>
                <c:pt idx="0">
                  <c:v>645.14</c:v>
                </c:pt>
                <c:pt idx="1">
                  <c:v>685.46</c:v>
                </c:pt>
              </c:numCache>
            </c:numRef>
          </c:val>
        </c:ser>
        <c:dLbls>
          <c:showLegendKey val="0"/>
          <c:showVal val="1"/>
          <c:showCatName val="0"/>
          <c:showSerName val="0"/>
          <c:showPercent val="0"/>
          <c:showBubbleSize val="0"/>
        </c:dLbls>
        <c:gapWidth val="219"/>
        <c:overlap val="-27"/>
        <c:axId val="462451782"/>
        <c:axId val="737457775"/>
      </c:barChart>
      <c:catAx>
        <c:axId val="46245178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crossAx val="737457775"/>
        <c:crosses val="autoZero"/>
        <c:auto val="1"/>
        <c:lblAlgn val="ctr"/>
        <c:lblOffset val="100"/>
        <c:noMultiLvlLbl val="0"/>
      </c:catAx>
      <c:valAx>
        <c:axId val="737457775"/>
        <c:scaling>
          <c:orientation val="minMax"/>
        </c:scaling>
        <c:delete val="0"/>
        <c:axPos val="l"/>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crossAx val="462451782"/>
        <c:crosses val="autoZero"/>
        <c:crossBetween val="between"/>
      </c:valAx>
      <c:spPr>
        <a:noFill/>
        <a:ln>
          <a:noFill/>
        </a:ln>
        <a:effectLst/>
      </c:spPr>
    </c:plotArea>
    <c:legend>
      <c:legendPos val="b"/>
      <c:legendEntry>
        <c:idx val="0"/>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legendEntry>
      <c:layout>
        <c:manualLayout>
          <c:xMode val="edge"/>
          <c:yMode val="edge"/>
          <c:x val="0.830312807730552"/>
          <c:y val="0.363173169828043"/>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legend>
    <c:plotVisOnly val="1"/>
    <c:dispBlanksAs val="gap"/>
    <c:showDLblsOverMax val="0"/>
  </c:chart>
  <c:spPr>
    <a:solidFill>
      <a:schemeClr val="bg1"/>
    </a:solidFill>
    <a:ln w="9525" cap="flat" cmpd="sng" algn="ctr">
      <a:noFill/>
      <a:round/>
    </a:ln>
    <a:effectLst/>
  </c:spPr>
  <c:txPr>
    <a:bodyPr/>
    <a:lstStyle/>
    <a:p>
      <a:pPr>
        <a:defRPr 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列1</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Pt>
            <c:idx val="5"/>
            <c:bubble3D val="0"/>
            <c:spPr>
              <a:solidFill>
                <a:schemeClr val="accent6"/>
              </a:solidFill>
              <a:ln w="19050">
                <a:solidFill>
                  <a:schemeClr val="lt1"/>
                </a:solidFill>
              </a:ln>
              <a:effectLst/>
            </c:spPr>
          </c:dPt>
          <c:dLbls>
            <c:dLbl>
              <c:idx val="0"/>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76</a:t>
                    </a:r>
                    <a:r>
                      <a:rPr lang="en-US" altLang="zh-CN"/>
                      <a:t>.2</a:t>
                    </a:r>
                    <a:r>
                      <a:t>%</a:t>
                    </a:r>
                  </a:p>
                </c:rich>
              </c:tx>
              <c:numFmt formatCode="General" sourceLinked="1"/>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0"/>
              <c:showSerName val="0"/>
              <c:showPercent val="1"/>
              <c:showBubbleSize val="0"/>
              <c:extLst>
                <c:ext xmlns:c15="http://schemas.microsoft.com/office/drawing/2012/chart" uri="{CE6537A1-D6FC-4f65-9D91-7224C49458BB}"/>
              </c:extLst>
            </c:dLbl>
            <c:dLbl>
              <c:idx val="1"/>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rPr lang="en-US" altLang="zh-CN"/>
                      <a:t>8.9</a:t>
                    </a:r>
                    <a:r>
                      <a:t>%</a:t>
                    </a:r>
                  </a:p>
                </c:rich>
              </c:tx>
              <c:numFmt formatCode="General" sourceLinked="1"/>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0"/>
              <c:showSerName val="0"/>
              <c:showPercent val="1"/>
              <c:showBubbleSize val="0"/>
              <c:extLst>
                <c:ext xmlns:c15="http://schemas.microsoft.com/office/drawing/2012/chart" uri="{CE6537A1-D6FC-4f65-9D91-7224C49458BB}"/>
              </c:extLst>
            </c:dLbl>
            <c:dLbl>
              <c:idx val="2"/>
              <c:layout>
                <c:manualLayout>
                  <c:x val="0.0616339315185761"/>
                  <c:y val="0.0603274750543251"/>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rPr lang="en-US" altLang="zh-CN"/>
                      <a:t>0.5</a:t>
                    </a:r>
                    <a:r>
                      <a:t>%</a:t>
                    </a:r>
                  </a:p>
                </c:rich>
              </c:tx>
              <c:numFmt formatCode="General" sourceLinked="1"/>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0"/>
              <c:showCatName val="0"/>
              <c:showSerName val="0"/>
              <c:showPercent val="1"/>
              <c:showBubbleSize val="0"/>
              <c:extLst>
                <c:ext xmlns:c15="http://schemas.microsoft.com/office/drawing/2012/chart" uri="{CE6537A1-D6FC-4f65-9D91-7224C49458BB}">
                  <c15:layout/>
                </c:ext>
              </c:extLst>
            </c:dLbl>
            <c:dLbl>
              <c:idx val="3"/>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rPr lang="en-US" altLang="zh-CN"/>
                      <a:t>4.8</a:t>
                    </a:r>
                    <a:r>
                      <a:t>%</a:t>
                    </a:r>
                  </a:p>
                </c:rich>
              </c:tx>
              <c:numFmt formatCode="General" sourceLinked="1"/>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0"/>
              <c:showSerName val="0"/>
              <c:showPercent val="1"/>
              <c:showBubbleSize val="0"/>
              <c:extLst>
                <c:ext xmlns:c15="http://schemas.microsoft.com/office/drawing/2012/chart" uri="{CE6537A1-D6FC-4f65-9D91-7224C49458BB}"/>
              </c:extLst>
            </c:dLbl>
            <c:dLbl>
              <c:idx val="4"/>
              <c:layout>
                <c:manualLayout>
                  <c:x val="0.0345459663129822"/>
                  <c:y val="0.0903691536763647"/>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4</a:t>
                    </a:r>
                    <a:r>
                      <a:rPr lang="en-US" altLang="zh-CN"/>
                      <a:t>.4</a:t>
                    </a:r>
                    <a:r>
                      <a:t>%</a:t>
                    </a:r>
                  </a:p>
                </c:rich>
              </c:tx>
              <c:numFmt formatCode="General" sourceLinked="1"/>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0"/>
              <c:showCatName val="0"/>
              <c:showSerName val="0"/>
              <c:showPercent val="1"/>
              <c:showBubbleSize val="0"/>
              <c:extLst>
                <c:ext xmlns:c15="http://schemas.microsoft.com/office/drawing/2012/chart" uri="{CE6537A1-D6FC-4f65-9D91-7224C49458BB}">
                  <c15:layout/>
                </c:ext>
              </c:extLst>
            </c:dLbl>
            <c:dLbl>
              <c:idx val="5"/>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mn-lt"/>
                        <a:ea typeface="+mn-ea"/>
                        <a:cs typeface="+mn-cs"/>
                      </a:defRPr>
                    </a:pPr>
                    <a:r>
                      <a:t>5</a:t>
                    </a:r>
                    <a:r>
                      <a:rPr lang="en-US" altLang="zh-CN"/>
                      <a:t>.2</a:t>
                    </a:r>
                    <a:r>
                      <a:t>%</a:t>
                    </a:r>
                  </a:p>
                </c:rich>
              </c:tx>
              <c:numFmt formatCode="General" sourceLinked="1"/>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行政运行</c:v>
                </c:pt>
                <c:pt idx="1">
                  <c:v>一般行政事务管理</c:v>
                </c:pt>
                <c:pt idx="2">
                  <c:v>其他政协事务支出</c:v>
                </c:pt>
                <c:pt idx="3">
                  <c:v>社会保障就业支出</c:v>
                </c:pt>
                <c:pt idx="4">
                  <c:v>卫生健康支出</c:v>
                </c:pt>
                <c:pt idx="5">
                  <c:v>住房保障支出</c:v>
                </c:pt>
              </c:strCache>
            </c:strRef>
          </c:cat>
          <c:val>
            <c:numRef>
              <c:f>Sheet1!$B$2:$B$7</c:f>
              <c:numCache>
                <c:formatCode>General</c:formatCode>
                <c:ptCount val="6"/>
                <c:pt idx="0">
                  <c:v>520.55</c:v>
                </c:pt>
                <c:pt idx="1">
                  <c:v>60.93</c:v>
                </c:pt>
                <c:pt idx="2">
                  <c:v>3.49</c:v>
                </c:pt>
                <c:pt idx="3">
                  <c:v>32.59</c:v>
                </c:pt>
                <c:pt idx="4">
                  <c:v>30.35</c:v>
                </c:pt>
                <c:pt idx="5">
                  <c:v>34.91</c:v>
                </c:pt>
              </c:numCache>
            </c:numRef>
          </c:val>
        </c:ser>
        <c:ser>
          <c:idx val="1"/>
          <c:order val="1"/>
          <c:tx>
            <c:strRef>
              <c:f>Sheet1!$C$1</c:f>
              <c:strCache>
                <c:ptCount val="1"/>
                <c:pt idx="0">
                  <c:v>列3</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Pt>
            <c:idx val="5"/>
            <c:bubble3D val="0"/>
            <c:spPr>
              <a:solidFill>
                <a:schemeClr val="accent6"/>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行政运行</c:v>
                </c:pt>
                <c:pt idx="1">
                  <c:v>一般行政事务管理</c:v>
                </c:pt>
                <c:pt idx="2">
                  <c:v>其他政协事务支出</c:v>
                </c:pt>
                <c:pt idx="3">
                  <c:v>社会保障就业支出</c:v>
                </c:pt>
                <c:pt idx="4">
                  <c:v>卫生健康支出</c:v>
                </c:pt>
                <c:pt idx="5">
                  <c:v>住房保障支出</c:v>
                </c:pt>
              </c:strCache>
            </c:strRef>
          </c:cat>
          <c:val>
            <c:numRef>
              <c:f>Sheet1!$C$2:$C$7</c:f>
              <c:numCache>
                <c:formatCode>0.00%</c:formatCode>
                <c:ptCount val="6"/>
                <c:pt idx="0">
                  <c:v>0.762</c:v>
                </c:pt>
                <c:pt idx="1">
                  <c:v>0.089</c:v>
                </c:pt>
                <c:pt idx="2">
                  <c:v>0.005</c:v>
                </c:pt>
                <c:pt idx="3">
                  <c:v>0.048</c:v>
                </c:pt>
                <c:pt idx="4">
                  <c:v>0.044</c:v>
                </c:pt>
                <c:pt idx="5">
                  <c:v>0.0511</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912262872628726"/>
          <c:y val="0.0415151074534404"/>
          <c:w val="0.871510840108401"/>
          <c:h val="0.644933920704846"/>
        </c:manualLayout>
      </c:layout>
      <c:barChart>
        <c:barDir val="col"/>
        <c:grouping val="clustered"/>
        <c:varyColors val="0"/>
        <c:ser>
          <c:idx val="0"/>
          <c:order val="0"/>
          <c:tx>
            <c:strRef>
              <c:f>Sheet1!$B$1</c:f>
              <c:strCache>
                <c:ptCount val="1"/>
                <c:pt idx="0">
                  <c:v>基本支出</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人员经费</c:v>
                </c:pt>
                <c:pt idx="1">
                  <c:v>公用经费</c:v>
                </c:pt>
                <c:pt idx="2">
                  <c:v>基本建设类项目</c:v>
                </c:pt>
                <c:pt idx="3">
                  <c:v>行政事业类项目</c:v>
                </c:pt>
                <c:pt idx="4">
                  <c:v>其他支出</c:v>
                </c:pt>
              </c:strCache>
            </c:strRef>
          </c:cat>
          <c:val>
            <c:numRef>
              <c:f>Sheet1!$B$2:$B$6</c:f>
              <c:numCache>
                <c:formatCode>General</c:formatCode>
                <c:ptCount val="5"/>
                <c:pt idx="0">
                  <c:v>519.56</c:v>
                </c:pt>
                <c:pt idx="1">
                  <c:v>98.57</c:v>
                </c:pt>
              </c:numCache>
            </c:numRef>
          </c:val>
        </c:ser>
        <c:ser>
          <c:idx val="1"/>
          <c:order val="1"/>
          <c:tx>
            <c:strRef>
              <c:f>Sheet1!$C$1</c:f>
              <c:strCache>
                <c:ptCount val="1"/>
                <c:pt idx="0">
                  <c:v>项目支出</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人员经费</c:v>
                </c:pt>
                <c:pt idx="1">
                  <c:v>公用经费</c:v>
                </c:pt>
                <c:pt idx="2">
                  <c:v>基本建设类项目</c:v>
                </c:pt>
                <c:pt idx="3">
                  <c:v>行政事业类项目</c:v>
                </c:pt>
                <c:pt idx="4">
                  <c:v>其他支出</c:v>
                </c:pt>
              </c:strCache>
            </c:strRef>
          </c:cat>
          <c:val>
            <c:numRef>
              <c:f>Sheet1!$C$2:$C$6</c:f>
              <c:numCache>
                <c:formatCode>General</c:formatCode>
                <c:ptCount val="5"/>
                <c:pt idx="2">
                  <c:v>0</c:v>
                </c:pt>
                <c:pt idx="3">
                  <c:v>60.92</c:v>
                </c:pt>
              </c:numCache>
            </c:numRef>
          </c:val>
        </c:ser>
        <c:ser>
          <c:idx val="2"/>
          <c:order val="2"/>
          <c:tx>
            <c:strRef>
              <c:f>Sheet1!$D$1</c:f>
              <c:strCache>
                <c:ptCount val="1"/>
                <c:pt idx="0">
                  <c:v>其他支出</c:v>
                </c:pt>
              </c:strCache>
            </c:strRef>
          </c:tx>
          <c:spPr>
            <a:solidFill>
              <a:schemeClr val="accent3"/>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人员经费</c:v>
                </c:pt>
                <c:pt idx="1">
                  <c:v>公用经费</c:v>
                </c:pt>
                <c:pt idx="2">
                  <c:v>基本建设类项目</c:v>
                </c:pt>
                <c:pt idx="3">
                  <c:v>行政事业类项目</c:v>
                </c:pt>
                <c:pt idx="4">
                  <c:v>其他支出</c:v>
                </c:pt>
              </c:strCache>
            </c:strRef>
          </c:cat>
          <c:val>
            <c:numRef>
              <c:f>Sheet1!$D$2:$D$6</c:f>
              <c:numCache>
                <c:formatCode>General</c:formatCode>
                <c:ptCount val="5"/>
                <c:pt idx="4">
                  <c:v>3.49</c:v>
                </c:pt>
              </c:numCache>
            </c:numRef>
          </c:val>
        </c:ser>
        <c:dLbls>
          <c:showLegendKey val="0"/>
          <c:showVal val="1"/>
          <c:showCatName val="0"/>
          <c:showSerName val="0"/>
          <c:showPercent val="0"/>
          <c:showBubbleSize val="0"/>
        </c:dLbls>
        <c:gapWidth val="102"/>
        <c:overlap val="100"/>
        <c:axId val="868492090"/>
        <c:axId val="994688068"/>
      </c:barChart>
      <c:catAx>
        <c:axId val="868492090"/>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800" b="0" i="0" u="none" strike="noStrike" kern="1200" cap="none" spc="0" normalizeH="0" baseline="0">
                <a:solidFill>
                  <a:schemeClr val="tx1">
                    <a:lumMod val="65000"/>
                    <a:lumOff val="35000"/>
                  </a:schemeClr>
                </a:solidFill>
                <a:uFill>
                  <a:solidFill>
                    <a:schemeClr val="tx1">
                      <a:lumMod val="65000"/>
                      <a:lumOff val="35000"/>
                    </a:schemeClr>
                  </a:solidFill>
                </a:uFill>
                <a:latin typeface="+mn-lt"/>
                <a:ea typeface="+mn-ea"/>
                <a:cs typeface="+mn-cs"/>
              </a:defRPr>
            </a:pPr>
          </a:p>
        </c:txPr>
        <c:crossAx val="994688068"/>
        <c:crosses val="autoZero"/>
        <c:auto val="1"/>
        <c:lblAlgn val="ctr"/>
        <c:lblOffset val="100"/>
        <c:noMultiLvlLbl val="0"/>
      </c:catAx>
      <c:valAx>
        <c:axId val="9946880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68492090"/>
        <c:crosses val="autoZero"/>
        <c:crossBetween val="between"/>
      </c:valAx>
      <c:spPr>
        <a:noFill/>
        <a:ln>
          <a:noFill/>
        </a:ln>
        <a:effectLst/>
      </c:spPr>
    </c:plotArea>
    <c:legend>
      <c:legendPos val="b"/>
      <c:layout>
        <c:manualLayout>
          <c:xMode val="edge"/>
          <c:yMode val="edge"/>
          <c:x val="0.322707010671349"/>
          <c:y val="0.883394211857264"/>
          <c:w val="0.4962852897474"/>
          <c:h val="0.108176454060129"/>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2020年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收入</c:v>
                </c:pt>
                <c:pt idx="1">
                  <c:v>支出</c:v>
                </c:pt>
              </c:strCache>
            </c:strRef>
          </c:cat>
          <c:val>
            <c:numRef>
              <c:f>Sheet1!$B$2:$B$3</c:f>
              <c:numCache>
                <c:formatCode>General</c:formatCode>
                <c:ptCount val="2"/>
                <c:pt idx="0">
                  <c:v>679.33</c:v>
                </c:pt>
                <c:pt idx="1">
                  <c:v>679.06</c:v>
                </c:pt>
              </c:numCache>
            </c:numRef>
          </c:val>
        </c:ser>
        <c:ser>
          <c:idx val="1"/>
          <c:order val="1"/>
          <c:tx>
            <c:strRef>
              <c:f>Sheet1!$C$1</c:f>
              <c:strCache>
                <c:ptCount val="1"/>
                <c:pt idx="0">
                  <c:v>2019年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收入</c:v>
                </c:pt>
                <c:pt idx="1">
                  <c:v>支出</c:v>
                </c:pt>
              </c:strCache>
            </c:strRef>
          </c:cat>
          <c:val>
            <c:numRef>
              <c:f>Sheet1!$C$2:$C$3</c:f>
              <c:numCache>
                <c:formatCode>General</c:formatCode>
                <c:ptCount val="2"/>
                <c:pt idx="0">
                  <c:v>617.4</c:v>
                </c:pt>
                <c:pt idx="1">
                  <c:v>641.88</c:v>
                </c:pt>
              </c:numCache>
            </c:numRef>
          </c:val>
        </c:ser>
        <c:dLbls>
          <c:showLegendKey val="0"/>
          <c:showVal val="1"/>
          <c:showCatName val="0"/>
          <c:showSerName val="0"/>
          <c:showPercent val="0"/>
          <c:showBubbleSize val="0"/>
        </c:dLbls>
        <c:gapWidth val="219"/>
        <c:overlap val="-27"/>
        <c:axId val="452427927"/>
        <c:axId val="825766038"/>
      </c:barChart>
      <c:catAx>
        <c:axId val="452427927"/>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25766038"/>
        <c:crosses val="autoZero"/>
        <c:auto val="1"/>
        <c:lblAlgn val="ctr"/>
        <c:lblOffset val="100"/>
        <c:noMultiLvlLbl val="0"/>
      </c:catAx>
      <c:valAx>
        <c:axId val="82576603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52427927"/>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列1</c:v>
                </c:pt>
              </c:strCache>
            </c:strRef>
          </c:tx>
          <c:spPr>
            <a:scene3d>
              <a:camera prst="orthographicFront"/>
              <a:lightRig rig="threePt" dir="t"/>
            </a:scene3d>
            <a:sp3d contourW="19050"/>
          </c:spPr>
          <c:explosion val="0"/>
          <c:dPt>
            <c:idx val="0"/>
            <c:bubble3D val="0"/>
            <c:spPr>
              <a:solidFill>
                <a:schemeClr val="accent1">
                  <a:alpha val="90000"/>
                </a:schemeClr>
              </a:solidFill>
              <a:ln w="19050">
                <a:solidFill>
                  <a:schemeClr val="accent1">
                    <a:lumMod val="75000"/>
                  </a:schemeClr>
                </a:solidFill>
              </a:ln>
              <a:effectLst>
                <a:innerShdw blurRad="114300">
                  <a:schemeClr val="accent1">
                    <a:lumMod val="75000"/>
                  </a:schemeClr>
                </a:innerShdw>
              </a:effectLst>
              <a:scene3d>
                <a:camera prst="orthographicFront"/>
                <a:lightRig rig="threePt" dir="t"/>
              </a:scene3d>
              <a:sp3d contourW="19050"/>
            </c:spPr>
          </c:dPt>
          <c:dPt>
            <c:idx val="1"/>
            <c:bubble3D val="0"/>
            <c:spPr>
              <a:solidFill>
                <a:schemeClr val="accent2">
                  <a:alpha val="90000"/>
                </a:schemeClr>
              </a:solidFill>
              <a:ln w="19050">
                <a:solidFill>
                  <a:schemeClr val="accent2">
                    <a:lumMod val="75000"/>
                  </a:schemeClr>
                </a:solidFill>
              </a:ln>
              <a:effectLst>
                <a:innerShdw blurRad="114300">
                  <a:schemeClr val="accent2">
                    <a:lumMod val="75000"/>
                  </a:schemeClr>
                </a:innerShdw>
              </a:effectLst>
              <a:scene3d>
                <a:camera prst="orthographicFront"/>
                <a:lightRig rig="threePt" dir="t"/>
              </a:scene3d>
              <a:sp3d contourW="19050"/>
            </c:spPr>
          </c:dPt>
          <c:dPt>
            <c:idx val="2"/>
            <c:bubble3D val="0"/>
            <c:spPr>
              <a:solidFill>
                <a:schemeClr val="accent3">
                  <a:alpha val="90000"/>
                </a:schemeClr>
              </a:solidFill>
              <a:ln w="19050">
                <a:solidFill>
                  <a:schemeClr val="accent3">
                    <a:lumMod val="75000"/>
                  </a:schemeClr>
                </a:solidFill>
              </a:ln>
              <a:effectLst>
                <a:innerShdw blurRad="114300">
                  <a:schemeClr val="accent3">
                    <a:lumMod val="75000"/>
                  </a:schemeClr>
                </a:innerShdw>
              </a:effectLst>
              <a:scene3d>
                <a:camera prst="orthographicFront"/>
                <a:lightRig rig="threePt" dir="t"/>
              </a:scene3d>
              <a:sp3d contourW="19050"/>
            </c:spPr>
          </c:dPt>
          <c:dPt>
            <c:idx val="3"/>
            <c:bubble3D val="0"/>
            <c:spPr>
              <a:solidFill>
                <a:schemeClr val="accent4">
                  <a:alpha val="90000"/>
                </a:schemeClr>
              </a:solidFill>
              <a:ln w="19050">
                <a:solidFill>
                  <a:schemeClr val="accent4">
                    <a:lumMod val="75000"/>
                  </a:schemeClr>
                </a:solidFill>
              </a:ln>
              <a:effectLst>
                <a:innerShdw blurRad="114300">
                  <a:schemeClr val="accent4">
                    <a:lumMod val="75000"/>
                  </a:schemeClr>
                </a:innerShdw>
              </a:effectLst>
              <a:scene3d>
                <a:camera prst="orthographicFront"/>
                <a:lightRig rig="threePt" dir="t"/>
              </a:scene3d>
              <a:sp3d contourW="19050"/>
            </c:spPr>
          </c:dPt>
          <c:dLbls>
            <c:dLbl>
              <c:idx val="0"/>
              <c:layout/>
              <c:tx>
                <c:rich>
                  <a:bodyPr rot="0" spcFirstLastPara="1" vertOverflow="clip" horzOverflow="clip" vert="horz" wrap="square" lIns="38100" tIns="19050" rIns="38100" bIns="19050" anchor="ctr" anchorCtr="1">
                    <a:spAutoFit/>
                  </a:bodyPr>
                  <a:lstStyle/>
                  <a:p>
                    <a:pPr defTabSz="914400">
                      <a:defRPr lang="zh-CN" sz="750" b="0" i="0" u="none" strike="noStrike" kern="1200" baseline="0">
                        <a:solidFill>
                          <a:schemeClr val="tx1"/>
                        </a:solidFill>
                        <a:effectLst/>
                        <a:latin typeface="+mn-lt"/>
                        <a:ea typeface="+mn-ea"/>
                        <a:cs typeface="+mn-cs"/>
                      </a:defRPr>
                    </a:pPr>
                    <a:r>
                      <a:t>工资福利支出</a:t>
                    </a:r>
                    <a:r>
                      <a:rPr lang="en-US" altLang="zh-CN"/>
                      <a:t>401.72</a:t>
                    </a:r>
                    <a:endParaRPr lang="en-US" altLang="zh-CN"/>
                  </a:p>
                </c:rich>
              </c:tx>
              <c:numFmt formatCode="General" sourceLinked="1"/>
              <c:spPr>
                <a:solidFill>
                  <a:schemeClr val="lt1">
                    <a:alpha val="90000"/>
                  </a:schemeClr>
                </a:solidFill>
                <a:ln w="12700" cap="flat" cmpd="sng" algn="ctr">
                  <a:solidFill>
                    <a:schemeClr val="accent1"/>
                  </a:solidFill>
                  <a:round/>
                </a:ln>
                <a:effectLst>
                  <a:outerShdw blurRad="50800" dist="38100" dir="2700000" algn="tl" rotWithShape="0">
                    <a:schemeClr val="accent1">
                      <a:lumMod val="75000"/>
                      <a:alpha val="40000"/>
                    </a:schemeClr>
                  </a:outerShdw>
                </a:effectLst>
              </c:spPr>
              <c:txPr>
                <a:bodyPr rot="0" spcFirstLastPara="1" vertOverflow="clip" horzOverflow="clip" vert="horz" wrap="square" lIns="38100" tIns="19050" rIns="38100" bIns="19050" anchor="ctr" anchorCtr="1">
                  <a:spAutoFit/>
                </a:bodyPr>
                <a:lstStyle/>
                <a:p>
                  <a:pPr>
                    <a:defRPr lang="zh-CN" sz="750" b="0" i="0" u="none" strike="noStrike" kern="1200" baseline="0">
                      <a:solidFill>
                        <a:schemeClr val="tx1"/>
                      </a:solidFill>
                      <a:effectLst/>
                      <a:latin typeface="+mn-lt"/>
                      <a:ea typeface="+mn-ea"/>
                      <a:cs typeface="+mn-cs"/>
                    </a:defRPr>
                  </a:pPr>
                </a:p>
              </c:txPr>
              <c:dLblPos val="inEnd"/>
              <c:showLegendKey val="0"/>
              <c:showVal val="0"/>
              <c:showCatName val="1"/>
              <c:showSerName val="0"/>
              <c:showPercent val="0"/>
              <c:showBubbleSize val="0"/>
              <c:extLst>
                <c:ext xmlns:c15="http://schemas.microsoft.com/office/drawing/2012/chart" uri="{CE6537A1-D6FC-4f65-9D91-7224C49458BB}"/>
              </c:extLst>
            </c:dLbl>
            <c:dLbl>
              <c:idx val="1"/>
              <c:layout/>
              <c:tx>
                <c:rich>
                  <a:bodyPr rot="0" spcFirstLastPara="1" vertOverflow="clip" horzOverflow="clip" vert="horz" wrap="square" lIns="38100" tIns="19050" rIns="38100" bIns="19050" anchor="ctr" anchorCtr="1">
                    <a:spAutoFit/>
                  </a:bodyPr>
                  <a:lstStyle/>
                  <a:p>
                    <a:pPr defTabSz="914400">
                      <a:defRPr lang="zh-CN" sz="750" b="0" i="0" u="none" strike="noStrike" kern="1200" baseline="0">
                        <a:solidFill>
                          <a:schemeClr val="tx1"/>
                        </a:solidFill>
                        <a:effectLst/>
                        <a:latin typeface="+mn-lt"/>
                        <a:ea typeface="+mn-ea"/>
                        <a:cs typeface="+mn-cs"/>
                      </a:defRPr>
                    </a:pPr>
                    <a:r>
                      <a:t>商品和服务支出</a:t>
                    </a:r>
                    <a:r>
                      <a:rPr lang="en-US" altLang="zh-CN"/>
                      <a:t>153.31</a:t>
                    </a:r>
                    <a:endParaRPr lang="en-US" altLang="zh-CN"/>
                  </a:p>
                </c:rich>
              </c:tx>
              <c:numFmt formatCode="General" sourceLinked="1"/>
              <c:spPr>
                <a:solidFill>
                  <a:schemeClr val="lt1">
                    <a:alpha val="90000"/>
                  </a:schemeClr>
                </a:solidFill>
                <a:ln w="12700" cap="flat" cmpd="sng" algn="ctr">
                  <a:solidFill>
                    <a:schemeClr val="accent1"/>
                  </a:solidFill>
                  <a:round/>
                </a:ln>
                <a:effectLst>
                  <a:outerShdw blurRad="50800" dist="38100" dir="2700000" algn="tl" rotWithShape="0">
                    <a:schemeClr val="accent1">
                      <a:lumMod val="75000"/>
                      <a:alpha val="40000"/>
                    </a:schemeClr>
                  </a:outerShdw>
                </a:effectLst>
              </c:spPr>
              <c:txPr>
                <a:bodyPr rot="0" spcFirstLastPara="1" vertOverflow="clip" horzOverflow="clip" vert="horz" wrap="square" lIns="38100" tIns="19050" rIns="38100" bIns="19050" anchor="ctr" anchorCtr="1">
                  <a:spAutoFit/>
                </a:bodyPr>
                <a:lstStyle/>
                <a:p>
                  <a:pPr>
                    <a:defRPr lang="zh-CN" sz="750" b="0" i="0" u="none" strike="noStrike" kern="1200" baseline="0">
                      <a:solidFill>
                        <a:schemeClr val="tx1"/>
                      </a:solidFill>
                      <a:effectLst/>
                      <a:latin typeface="+mn-lt"/>
                      <a:ea typeface="+mn-ea"/>
                      <a:cs typeface="+mn-cs"/>
                    </a:defRPr>
                  </a:pPr>
                </a:p>
              </c:txPr>
              <c:dLblPos val="inEnd"/>
              <c:showLegendKey val="0"/>
              <c:showVal val="0"/>
              <c:showCatName val="1"/>
              <c:showSerName val="0"/>
              <c:showPercent val="0"/>
              <c:showBubbleSize val="0"/>
              <c:extLst>
                <c:ext xmlns:c15="http://schemas.microsoft.com/office/drawing/2012/chart" uri="{CE6537A1-D6FC-4f65-9D91-7224C49458BB}"/>
              </c:extLst>
            </c:dLbl>
            <c:dLbl>
              <c:idx val="2"/>
              <c:layout/>
              <c:tx>
                <c:rich>
                  <a:bodyPr rot="0" spcFirstLastPara="1" vertOverflow="clip" horzOverflow="clip" vert="horz" wrap="square" lIns="38100" tIns="19050" rIns="38100" bIns="19050" anchor="ctr" anchorCtr="1">
                    <a:spAutoFit/>
                  </a:bodyPr>
                  <a:lstStyle/>
                  <a:p>
                    <a:pPr defTabSz="914400">
                      <a:defRPr lang="zh-CN" sz="750" b="0" i="0" u="none" strike="noStrike" kern="1200" baseline="0">
                        <a:solidFill>
                          <a:schemeClr val="tx1"/>
                        </a:solidFill>
                        <a:effectLst/>
                        <a:latin typeface="+mn-lt"/>
                        <a:ea typeface="+mn-ea"/>
                        <a:cs typeface="+mn-cs"/>
                      </a:defRPr>
                    </a:pPr>
                    <a:r>
                      <a:t>资本性支出</a:t>
                    </a:r>
                    <a:r>
                      <a:rPr lang="en-US" altLang="zh-CN"/>
                      <a:t>6.19</a:t>
                    </a:r>
                    <a:endParaRPr lang="en-US" altLang="zh-CN"/>
                  </a:p>
                </c:rich>
              </c:tx>
              <c:numFmt formatCode="General" sourceLinked="1"/>
              <c:spPr>
                <a:solidFill>
                  <a:schemeClr val="lt1">
                    <a:alpha val="90000"/>
                  </a:schemeClr>
                </a:solidFill>
                <a:ln w="12700" cap="flat" cmpd="sng" algn="ctr">
                  <a:solidFill>
                    <a:schemeClr val="accent1"/>
                  </a:solidFill>
                  <a:round/>
                </a:ln>
                <a:effectLst>
                  <a:outerShdw blurRad="50800" dist="38100" dir="2700000" algn="tl" rotWithShape="0">
                    <a:schemeClr val="accent1">
                      <a:lumMod val="75000"/>
                      <a:alpha val="40000"/>
                    </a:schemeClr>
                  </a:outerShdw>
                </a:effectLst>
              </c:spPr>
              <c:txPr>
                <a:bodyPr rot="0" spcFirstLastPara="1" vertOverflow="clip" horzOverflow="clip" vert="horz" wrap="square" lIns="38100" tIns="19050" rIns="38100" bIns="19050" anchor="ctr" anchorCtr="1">
                  <a:spAutoFit/>
                </a:bodyPr>
                <a:lstStyle/>
                <a:p>
                  <a:pPr>
                    <a:defRPr lang="zh-CN" sz="750" b="0" i="0" u="none" strike="noStrike" kern="1200" baseline="0">
                      <a:solidFill>
                        <a:schemeClr val="tx1"/>
                      </a:solidFill>
                      <a:effectLst/>
                      <a:latin typeface="+mn-lt"/>
                      <a:ea typeface="+mn-ea"/>
                      <a:cs typeface="+mn-cs"/>
                    </a:defRPr>
                  </a:pPr>
                </a:p>
              </c:txPr>
              <c:dLblPos val="inEnd"/>
              <c:showLegendKey val="0"/>
              <c:showVal val="0"/>
              <c:showCatName val="1"/>
              <c:showSerName val="0"/>
              <c:showPercent val="0"/>
              <c:showBubbleSize val="0"/>
              <c:extLst>
                <c:ext xmlns:c15="http://schemas.microsoft.com/office/drawing/2012/chart" uri="{CE6537A1-D6FC-4f65-9D91-7224C49458BB}"/>
              </c:extLst>
            </c:dLbl>
            <c:dLbl>
              <c:idx val="3"/>
              <c:layout/>
              <c:tx>
                <c:rich>
                  <a:bodyPr rot="0" spcFirstLastPara="1" vertOverflow="clip" horzOverflow="clip" vert="horz" wrap="square" lIns="38100" tIns="19050" rIns="38100" bIns="19050" anchor="ctr" anchorCtr="1">
                    <a:spAutoFit/>
                  </a:bodyPr>
                  <a:lstStyle/>
                  <a:p>
                    <a:pPr defTabSz="914400">
                      <a:defRPr lang="zh-CN" sz="750" b="0" i="0" u="none" strike="noStrike" kern="1200" baseline="0">
                        <a:solidFill>
                          <a:schemeClr val="tx1"/>
                        </a:solidFill>
                        <a:effectLst/>
                        <a:latin typeface="+mn-lt"/>
                        <a:ea typeface="+mn-ea"/>
                        <a:cs typeface="+mn-cs"/>
                      </a:defRPr>
                    </a:pPr>
                    <a:r>
                      <a:t>对个人和家庭的补助</a:t>
                    </a:r>
                    <a:r>
                      <a:rPr lang="en-US" altLang="zh-CN"/>
                      <a:t>117.84</a:t>
                    </a:r>
                    <a:endParaRPr lang="en-US" altLang="zh-CN"/>
                  </a:p>
                </c:rich>
              </c:tx>
              <c:numFmt formatCode="General" sourceLinked="1"/>
              <c:spPr>
                <a:solidFill>
                  <a:schemeClr val="lt1">
                    <a:alpha val="90000"/>
                  </a:schemeClr>
                </a:solidFill>
                <a:ln w="12700" cap="flat" cmpd="sng" algn="ctr">
                  <a:solidFill>
                    <a:schemeClr val="accent1"/>
                  </a:solidFill>
                  <a:round/>
                </a:ln>
                <a:effectLst>
                  <a:outerShdw blurRad="50800" dist="38100" dir="2700000" algn="tl" rotWithShape="0">
                    <a:schemeClr val="accent1">
                      <a:lumMod val="75000"/>
                      <a:alpha val="40000"/>
                    </a:schemeClr>
                  </a:outerShdw>
                </a:effectLst>
              </c:spPr>
              <c:txPr>
                <a:bodyPr rot="0" spcFirstLastPara="1" vertOverflow="clip" horzOverflow="clip" vert="horz" wrap="square" lIns="38100" tIns="19050" rIns="38100" bIns="19050" anchor="ctr" anchorCtr="1">
                  <a:spAutoFit/>
                </a:bodyPr>
                <a:lstStyle/>
                <a:p>
                  <a:pPr>
                    <a:defRPr lang="zh-CN" sz="750" b="0" i="0" u="none" strike="noStrike" kern="1200" baseline="0">
                      <a:solidFill>
                        <a:schemeClr val="tx1"/>
                      </a:solidFill>
                      <a:effectLst/>
                      <a:latin typeface="+mn-lt"/>
                      <a:ea typeface="+mn-ea"/>
                      <a:cs typeface="+mn-cs"/>
                    </a:defRPr>
                  </a:pPr>
                </a:p>
              </c:txPr>
              <c:dLblPos val="inEnd"/>
              <c:showLegendKey val="0"/>
              <c:showVal val="0"/>
              <c:showCatName val="1"/>
              <c:showSerName val="0"/>
              <c:showPercent val="0"/>
              <c:showBubbleSize val="0"/>
              <c:extLst>
                <c:ext xmlns:c15="http://schemas.microsoft.com/office/drawing/2012/chart" uri="{CE6537A1-D6FC-4f65-9D91-7224C49458BB}"/>
              </c:extLst>
            </c:dLbl>
            <c:spPr>
              <a:solidFill>
                <a:schemeClr val="lt1">
                  <a:alpha val="90000"/>
                </a:schemeClr>
              </a:solidFill>
              <a:ln w="12700" cap="flat" cmpd="sng" algn="ctr">
                <a:solidFill>
                  <a:schemeClr val="accent1"/>
                </a:solidFill>
                <a:round/>
              </a:ln>
              <a:effectLst>
                <a:outerShdw blurRad="50800" dist="38100" dir="2700000" algn="tl" rotWithShape="0">
                  <a:schemeClr val="accent1">
                    <a:lumMod val="75000"/>
                    <a:alpha val="40000"/>
                  </a:schemeClr>
                </a:outerShdw>
              </a:effectLst>
            </c:spPr>
            <c:txPr>
              <a:bodyPr rot="0" spcFirstLastPara="1" vertOverflow="clip" horzOverflow="clip" vert="horz" wrap="square" lIns="38100" tIns="19050" rIns="38100" bIns="19050" anchor="ctr" anchorCtr="1">
                <a:spAutoFit/>
              </a:bodyPr>
              <a:lstStyle/>
              <a:p>
                <a:pPr>
                  <a:defRPr lang="zh-CN" sz="750" b="0" i="0" u="none" strike="noStrike" kern="1200" baseline="0">
                    <a:solidFill>
                      <a:schemeClr val="tx1"/>
                    </a:solidFill>
                    <a:effectLst/>
                    <a:latin typeface="+mn-lt"/>
                    <a:ea typeface="+mn-ea"/>
                    <a:cs typeface="+mn-cs"/>
                  </a:defRPr>
                </a:pPr>
              </a:p>
            </c:txPr>
            <c:dLblPos val="inEnd"/>
            <c:showLegendKey val="0"/>
            <c:showVal val="0"/>
            <c:showCatName val="1"/>
            <c:showSerName val="0"/>
            <c:showPercent val="0"/>
            <c:showBubbleSize val="0"/>
            <c:showLeaderLines val="1"/>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Sheet1!$A$2:$A$5</c:f>
              <c:strCache>
                <c:ptCount val="4"/>
                <c:pt idx="0">
                  <c:v>工资福利支出</c:v>
                </c:pt>
                <c:pt idx="1">
                  <c:v>商品和服务支出</c:v>
                </c:pt>
                <c:pt idx="2">
                  <c:v>资本性支出</c:v>
                </c:pt>
                <c:pt idx="3">
                  <c:v>对个人和家庭的补助</c:v>
                </c:pt>
              </c:strCache>
            </c:strRef>
          </c:cat>
          <c:val>
            <c:numRef>
              <c:f>Sheet1!$B$2:$B$5</c:f>
              <c:numCache>
                <c:formatCode>General</c:formatCode>
                <c:ptCount val="4"/>
                <c:pt idx="0">
                  <c:v>401.72</c:v>
                </c:pt>
                <c:pt idx="1">
                  <c:v>153.31</c:v>
                </c:pt>
                <c:pt idx="2">
                  <c:v>6.19</c:v>
                </c:pt>
                <c:pt idx="3">
                  <c:v>117.84</c:v>
                </c:pt>
              </c:numCache>
            </c:numRef>
          </c:val>
        </c:ser>
        <c:dLbls>
          <c:showLegendKey val="0"/>
          <c:showVal val="0"/>
          <c:showCatName val="1"/>
          <c:showSerName val="0"/>
          <c:showPercent val="0"/>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sz="750">
          <a:solidFill>
            <a:schemeClr val="tx1"/>
          </a:solidFill>
        </a:defRPr>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3">
  <cs:axisTitle>
    <cs:lnRef idx="0"/>
    <cs:fillRef idx="0"/>
    <cs:effectRef idx="0"/>
    <cs:fontRef idx="minor">
      <a:schemeClr val="tx1">
        <a:lumMod val="50000"/>
        <a:lumOff val="50000"/>
      </a:schemeClr>
    </cs:fontRef>
    <cs:defRPr sz="900" kern="1200"/>
  </cs:axisTitle>
  <cs:categoryAxis>
    <cs:lnRef idx="0"/>
    <cs:fillRef idx="0"/>
    <cs:effectRef idx="0"/>
    <cs:fontRef idx="minor">
      <a:schemeClr val="tx1">
        <a:lumMod val="65000"/>
        <a:lumOff val="35000"/>
      </a:schemeClr>
    </cs:fontRef>
    <cs:spPr>
      <a:ln w="1587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8100" tIns="19050" rIns="38100" bIns="19050" anchor="ctr" anchorCtr="1">
      <a:spAutoFit/>
    </cs:bodyPr>
  </cs:dataLabel>
  <cs:dataLabelCallout>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alpha val="70000"/>
        </a:schemeClr>
      </a:solidFill>
    </cs:spPr>
  </cs:dataPoint>
  <cs:dataPoint3D>
    <cs:lnRef idx="0">
      <cs:styleClr val="auto"/>
    </cs:lnRef>
    <cs:fillRef idx="0">
      <cs:styleClr val="auto"/>
    </cs:fillRef>
    <cs:effectRef idx="0">
      <cs:styleClr val="auto"/>
    </cs:effectRef>
    <cs:fontRef idx="minor">
      <a:schemeClr val="tx1"/>
    </cs:fontRef>
    <cs:spPr>
      <a:solidFill>
        <a:schemeClr val="phClr">
          <a:alpha val="90000"/>
        </a:schemeClr>
      </a:solidFill>
      <a:ln w="19050">
        <a:solidFill>
          <a:schemeClr val="phClr">
            <a:lumMod val="75000"/>
          </a:schemeClr>
        </a:solidFill>
      </a:ln>
      <a:effectLst>
        <a:innerShdw blurRad="114300">
          <a:schemeClr val="phClr">
            <a:lumMod val="75000"/>
          </a:schemeClr>
        </a:innerShdw>
      </a:effectLst>
      <a:scene3d>
        <a:camera prst="orthographicFront"/>
        <a:lightRig rig="threePt" dir="t"/>
      </a:scene3d>
      <a:sp3d contourW="19050" prstMaterial="flat">
        <a:contourClr>
          <a:schemeClr val="accent4">
            <a:lumMod val="75000"/>
          </a:schemeClr>
        </a:contourClr>
      </a:sp3d>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32</Pages>
  <Words>4942</Words>
  <Characters>5518</Characters>
  <Lines>82</Lines>
  <Paragraphs>23</Paragraphs>
  <ScaleCrop>false</ScaleCrop>
  <LinksUpToDate>false</LinksUpToDate>
  <CharactersWithSpaces>5712</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2021-07-27T05:10:00Z</dcterms:created>
  <dc:creator>王明新TIAD</dc:creator>
  <cp:lastModifiedBy>Administrator</cp:lastModifiedBy>
  <dcterms:modified xsi:type="dcterms:W3CDTF">2022-09-12T10:03:00Z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y fmtid="{D5CDD505-2E9C-101B-9397-08002B2CF9AE}" pid="3" name="ICV">
    <vt:lpwstr>EEB0AF1058714613A8329AFD3B1DD3FB</vt:lpwstr>
  </property>
</Properties>
</file>