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rFonts w:hint="default" w:asciiTheme="minorEastAsia" w:hAnsiTheme="minorEastAsia" w:eastAsiaTheme="minorEastAsia"/>
          <w:b/>
          <w:sz w:val="72"/>
          <w:szCs w:val="72"/>
          <w:lang w:val="en-US"/>
        </w:rPr>
        <w:drawing>
          <wp:anchor distT="0" distB="0" distL="114300" distR="114300" simplePos="0" relativeHeight="251687936" behindDoc="1" locked="0" layoutInCell="1" allowOverlap="1">
            <wp:simplePos x="0" y="0"/>
            <wp:positionH relativeFrom="column">
              <wp:posOffset>-958215</wp:posOffset>
            </wp:positionH>
            <wp:positionV relativeFrom="paragraph">
              <wp:posOffset>-1320165</wp:posOffset>
            </wp:positionV>
            <wp:extent cx="7429500" cy="10496550"/>
            <wp:effectExtent l="0" t="0" r="0" b="0"/>
            <wp:wrapTight wrapText="bothSides">
              <wp:wrapPolygon>
                <wp:start x="0" y="0"/>
                <wp:lineTo x="0" y="21561"/>
                <wp:lineTo x="21545" y="21561"/>
                <wp:lineTo x="21545" y="0"/>
                <wp:lineTo x="0" y="0"/>
              </wp:wrapPolygon>
            </wp:wrapTight>
            <wp:docPr id="1" name="图片 1" descr="D:\Desktop\微信图片_20210618165420.jpg微信图片_20210618165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Desktop\微信图片_20210618165420.jpg微信图片_20210618165420"/>
                    <pic:cNvPicPr>
                      <a:picLocks noChangeAspect="1"/>
                    </pic:cNvPicPr>
                  </pic:nvPicPr>
                  <pic:blipFill>
                    <a:blip r:embed="rId4"/>
                    <a:srcRect/>
                    <a:stretch>
                      <a:fillRect/>
                    </a:stretch>
                  </pic:blipFill>
                  <pic:spPr>
                    <a:xfrm>
                      <a:off x="0" y="0"/>
                      <a:ext cx="7429500" cy="10496550"/>
                    </a:xfrm>
                    <a:prstGeom prst="rect">
                      <a:avLst/>
                    </a:prstGeom>
                  </pic:spPr>
                </pic:pic>
              </a:graphicData>
            </a:graphic>
          </wp:anchor>
        </w:drawing>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5516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5516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鹿泉区政协</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5414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5414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209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4083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4083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1、政治协商</w:t>
      </w:r>
      <w:r>
        <w:rPr>
          <w:rFonts w:hint="eastAsia" w:ascii="仿宋_GB2312" w:eastAsia="仿宋_GB2312" w:hAnsiTheme="majorEastAsia"/>
          <w:color w:val="000000"/>
          <w:kern w:val="0"/>
          <w:sz w:val="32"/>
          <w:szCs w:val="32"/>
        </w:rPr>
        <w:tab/>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w:t>
      </w:r>
      <w:r>
        <w:rPr>
          <w:rFonts w:hint="eastAsia" w:ascii="仿宋_GB2312" w:eastAsia="仿宋_GB2312" w:hAnsiTheme="majorEastAsia"/>
          <w:color w:val="000000"/>
          <w:kern w:val="0"/>
          <w:sz w:val="32"/>
          <w:szCs w:val="32"/>
          <w:lang w:val="en-US" w:eastAsia="zh-CN"/>
        </w:rPr>
        <w:t>著</w:t>
      </w:r>
      <w:r>
        <w:rPr>
          <w:rFonts w:hint="eastAsia" w:ascii="仿宋_GB2312" w:eastAsia="仿宋_GB2312" w:hAnsiTheme="majorEastAsia"/>
          <w:color w:val="000000"/>
          <w:kern w:val="0"/>
          <w:sz w:val="32"/>
          <w:szCs w:val="32"/>
        </w:rPr>
        <w:t>。</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2、民主监督</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通过参加党委政府组织的调查和检查活动实施监督。对政协委员和参加政协的各党派团体以及各专委会（提案者）的提案进行审查立案，立案后交承办单位办理，适时督办。</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完善民主监督机制，畅通民主监督渠道，建立健全知情、沟通制度，加强工作协调配合，提高民主监督的质量和成效。</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完善提案审查、办理和反馈机制，做到提案程序更加规范，制度更加完善，提案质量和办理质量不断提高，政协履职作用更加突出。</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3、参政议政</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通过对重大问题以及人民群众普遍关心的问题，开展调查研究，向区委、区政府提出意见和建议，发挥政协作为扩大社会各界有序参与的重要渠道作用，探索开展活动的新方法</w:t>
      </w:r>
      <w:r>
        <w:rPr>
          <w:rFonts w:hint="eastAsia" w:ascii="仿宋_GB2312" w:eastAsia="仿宋_GB2312" w:hAnsiTheme="majorEastAsia"/>
          <w:color w:val="000000"/>
          <w:kern w:val="0"/>
          <w:sz w:val="32"/>
          <w:szCs w:val="32"/>
          <w:lang w:val="en-US" w:eastAsia="zh-CN"/>
        </w:rPr>
        <w:t>新</w:t>
      </w:r>
      <w:r>
        <w:rPr>
          <w:rFonts w:hint="eastAsia" w:ascii="仿宋_GB2312" w:eastAsia="仿宋_GB2312" w:hAnsiTheme="majorEastAsia"/>
          <w:color w:val="000000"/>
          <w:kern w:val="0"/>
          <w:sz w:val="32"/>
          <w:szCs w:val="32"/>
        </w:rPr>
        <w:t>途径，充分调动委员参政议政积极，向区委、区政府提出高质量的建议案。</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通过界别渠道密切联系群众，反映社情民意，努力做到协调关系、化解矛盾、理顺情绪，增进社会各阶层不同利益群体的和谐和稳定。</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4、政协事务管理</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加强区政协机关自身建设和宣传工作，扩大政协与区委、区人大常委会、区政府、各民主党派、工商联、人民团体、区直有关部门和市、县（区）政协的联系、协调工作。</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区政协机关的外事工作，机构编制、人事任免、调配及人员培训、考核奖惩、工资福利，后勤保障、机关经费管理、资产管理、基建和审计，机关接待、离退休人员服务，以及承办区政协主席、副主席、交办的其它事项，机关基本设施设备正常运转、信息化保障、老干部服务保障能力进一步提高。</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从决算编报单位构成看，纳入2018 年度本部门决算汇编范围的独立核算单位（以下简称“单位”）共1 个，具体情况如下：</w:t>
      </w:r>
    </w:p>
    <w:tbl>
      <w:tblPr>
        <w:tblStyle w:val="14"/>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3511"/>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59"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511"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59"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511"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鹿泉区政协</w:t>
            </w:r>
          </w:p>
        </w:tc>
        <w:tc>
          <w:tcPr>
            <w:tcW w:w="2445" w:type="dxa"/>
          </w:tcPr>
          <w:p>
            <w:pPr>
              <w:spacing w:after="0" w:line="560" w:lineRule="exact"/>
              <w:jc w:val="center"/>
              <w:rPr>
                <w:rFonts w:ascii="仿宋_GB2312" w:eastAsia="仿宋_GB2312" w:cs="ArialUnicodeMS" w:hAnsiTheme="minorHAnsi"/>
                <w:kern w:val="0"/>
                <w:sz w:val="28"/>
                <w:szCs w:val="28"/>
              </w:rPr>
            </w:pPr>
            <w:r>
              <w:rPr>
                <w:rFonts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jc w:val="left"/>
              <w:rPr>
                <w:rFonts w:ascii="仿宋_GB2312" w:eastAsia="仿宋_GB2312" w:cs="ArialUnicodeMS" w:hAnsiTheme="minorHAnsi"/>
                <w:kern w:val="0"/>
                <w:sz w:val="28"/>
                <w:szCs w:val="28"/>
                <w:highlight w:val="yellow"/>
              </w:rPr>
            </w:pPr>
          </w:p>
        </w:tc>
      </w:tr>
    </w:tbl>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 xml:space="preserve">区政协机关设科级综合办事机构及工作委员会4个：即办公室、提案委员会、文史委员会、经济技术委员会。   </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区政协办公室是在区政协常委会和主席会议领导下，为机关领导和委员服务的综合办事机构，承担信息传递、决策辅助、综合协调、运转保障职能。</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 xml:space="preserve">   提案委员会负责研究拟定本委员会年度工作计划并组织实施，组织开展提案征集、审核、登记、办理、视察、表彰等工作。</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文史教育委员会负责研究拟定文史和学习委员会年度工作计划，做好年度工作总结，并做好年度工作计划的组织实施，负责文史资料的选题策划、征稿、编辑、出版等工作。</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经济技术委负责研究拟定经委员会年度工作计划和年度工作总结，并组织年度工作计划的实施。负责经济委员会日常活动的组织、筹备、服务工作，负责经济委员会委员调研、视察、考察的组织协调工作。</w:t>
      </w:r>
    </w:p>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4185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3"/>
        <w:tblW w:w="9300" w:type="dxa"/>
        <w:jc w:val="center"/>
        <w:tblInd w:w="-213" w:type="dxa"/>
        <w:tblLayout w:type="fixed"/>
        <w:tblCellMar>
          <w:top w:w="0" w:type="dxa"/>
          <w:left w:w="0" w:type="dxa"/>
          <w:bottom w:w="0" w:type="dxa"/>
          <w:right w:w="0" w:type="dxa"/>
        </w:tblCellMar>
      </w:tblPr>
      <w:tblGrid>
        <w:gridCol w:w="2700"/>
        <w:gridCol w:w="567"/>
        <w:gridCol w:w="1336"/>
        <w:gridCol w:w="2700"/>
        <w:gridCol w:w="567"/>
        <w:gridCol w:w="1430"/>
      </w:tblGrid>
      <w:tr>
        <w:tblPrEx>
          <w:tblLayout w:type="fixed"/>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56192"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56192;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Layout w:type="fixed"/>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部门：中国人民政治协商会议河北省石家庄市鹿泉区委员会</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Layout w:type="fixed"/>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Layout w:type="fixed"/>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right="400"/>
              <w:jc w:val="right"/>
              <w:rPr>
                <w:rFonts w:ascii="宋体" w:hAnsi="宋体" w:cs="宋体"/>
                <w:color w:val="000000"/>
                <w:sz w:val="20"/>
                <w:szCs w:val="20"/>
              </w:rPr>
            </w:pPr>
            <w:r>
              <w:rPr>
                <w:rFonts w:hint="eastAsia" w:ascii="宋体" w:hAnsi="宋体" w:cs="宋体"/>
                <w:color w:val="000000"/>
                <w:sz w:val="20"/>
                <w:szCs w:val="20"/>
              </w:rPr>
              <w:t>615.51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578.14</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right="200"/>
              <w:jc w:val="right"/>
              <w:rPr>
                <w:rFonts w:ascii="宋体" w:hAnsi="宋体" w:cs="宋体"/>
                <w:color w:val="000000"/>
                <w:sz w:val="20"/>
                <w:szCs w:val="20"/>
              </w:rPr>
            </w:pPr>
            <w:r>
              <w:rPr>
                <w:rFonts w:hint="eastAsia" w:ascii="宋体" w:hAnsi="宋体" w:cs="宋体"/>
                <w:color w:val="000000"/>
                <w:sz w:val="20"/>
                <w:szCs w:val="20"/>
              </w:rPr>
              <w:t>30.04.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wordWrap w:val="0"/>
              <w:spacing w:after="0" w:line="200" w:lineRule="exact"/>
              <w:jc w:val="right"/>
              <w:rPr>
                <w:rFonts w:ascii="宋体" w:hAnsi="宋体" w:cs="宋体"/>
                <w:color w:val="000000"/>
                <w:sz w:val="20"/>
                <w:szCs w:val="20"/>
              </w:rPr>
            </w:pPr>
            <w:r>
              <w:rPr>
                <w:rFonts w:hint="eastAsia" w:ascii="宋体" w:hAnsi="宋体" w:cs="宋体"/>
                <w:color w:val="000000"/>
                <w:sz w:val="20"/>
                <w:szCs w:val="20"/>
              </w:rPr>
              <w:t xml:space="preserve">27.35 </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22.55</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18</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wordWrap w:val="0"/>
              <w:spacing w:after="0" w:line="200" w:lineRule="exact"/>
              <w:jc w:val="right"/>
              <w:rPr>
                <w:rFonts w:ascii="宋体" w:hAnsi="宋体" w:cs="宋体"/>
                <w:color w:val="000000"/>
                <w:sz w:val="18"/>
                <w:szCs w:val="18"/>
              </w:rPr>
            </w:pPr>
            <w:r>
              <w:rPr>
                <w:rFonts w:hint="eastAsia" w:ascii="宋体" w:hAnsi="宋体" w:cs="宋体"/>
                <w:color w:val="000000"/>
                <w:sz w:val="18"/>
                <w:szCs w:val="18"/>
              </w:rPr>
              <w:t xml:space="preserve">645.55  </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646.04</w:t>
            </w:r>
          </w:p>
        </w:tc>
      </w:tr>
      <w:tr>
        <w:tblPrEx>
          <w:tblLayout w:type="fixed"/>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41.66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41.17</w:t>
            </w:r>
          </w:p>
        </w:tc>
      </w:tr>
      <w:tr>
        <w:tblPrEx>
          <w:tblLayout w:type="fixed"/>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wordWrap w:val="0"/>
              <w:spacing w:after="0" w:line="200" w:lineRule="exact"/>
              <w:jc w:val="right"/>
              <w:rPr>
                <w:rFonts w:ascii="宋体" w:hAnsi="宋体" w:cs="宋体"/>
                <w:color w:val="000000"/>
                <w:sz w:val="18"/>
                <w:szCs w:val="18"/>
              </w:rPr>
            </w:pPr>
            <w:r>
              <w:rPr>
                <w:rFonts w:hint="eastAsia" w:ascii="宋体" w:hAnsi="宋体" w:cs="宋体"/>
                <w:color w:val="000000"/>
                <w:sz w:val="18"/>
                <w:szCs w:val="18"/>
              </w:rPr>
              <w:t xml:space="preserve">687.21  </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687.21</w:t>
            </w:r>
          </w:p>
        </w:tc>
      </w:tr>
      <w:tr>
        <w:tblPrEx>
          <w:tblLayout w:type="fixed"/>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531" w:type="dxa"/>
        <w:jc w:val="center"/>
        <w:tblInd w:w="-731" w:type="dxa"/>
        <w:tblLayout w:type="fixed"/>
        <w:tblCellMar>
          <w:top w:w="0" w:type="dxa"/>
          <w:left w:w="0" w:type="dxa"/>
          <w:bottom w:w="0" w:type="dxa"/>
          <w:right w:w="0" w:type="dxa"/>
        </w:tblCellMar>
      </w:tblPr>
      <w:tblGrid>
        <w:gridCol w:w="911"/>
        <w:gridCol w:w="155"/>
        <w:gridCol w:w="179"/>
        <w:gridCol w:w="50"/>
        <w:gridCol w:w="2026"/>
        <w:gridCol w:w="295"/>
        <w:gridCol w:w="260"/>
        <w:gridCol w:w="437"/>
        <w:gridCol w:w="378"/>
        <w:gridCol w:w="816"/>
        <w:gridCol w:w="366"/>
        <w:gridCol w:w="425"/>
        <w:gridCol w:w="24"/>
        <w:gridCol w:w="442"/>
        <w:gridCol w:w="373"/>
        <w:gridCol w:w="548"/>
        <w:gridCol w:w="920"/>
        <w:gridCol w:w="926"/>
      </w:tblGrid>
      <w:tr>
        <w:tblPrEx>
          <w:tblLayout w:type="fixed"/>
          <w:tblCellMar>
            <w:top w:w="0" w:type="dxa"/>
            <w:left w:w="0" w:type="dxa"/>
            <w:bottom w:w="0" w:type="dxa"/>
            <w:right w:w="0" w:type="dxa"/>
          </w:tblCellMar>
        </w:tblPrEx>
        <w:trPr>
          <w:trHeight w:val="770" w:hRule="atLeast"/>
          <w:jc w:val="center"/>
        </w:trPr>
        <w:tc>
          <w:tcPr>
            <w:tcW w:w="9531" w:type="dxa"/>
            <w:gridSpan w:val="18"/>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5721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5721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Layout w:type="fixed"/>
          <w:tblCellMar>
            <w:top w:w="0" w:type="dxa"/>
            <w:left w:w="0" w:type="dxa"/>
            <w:bottom w:w="0" w:type="dxa"/>
            <w:right w:w="0" w:type="dxa"/>
          </w:tblCellMar>
        </w:tblPrEx>
        <w:trPr>
          <w:trHeight w:val="362" w:hRule="atLeast"/>
          <w:jc w:val="center"/>
        </w:trPr>
        <w:tc>
          <w:tcPr>
            <w:tcW w:w="106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02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9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Layout w:type="fixed"/>
          <w:tblCellMar>
            <w:top w:w="0" w:type="dxa"/>
            <w:left w:w="0" w:type="dxa"/>
            <w:bottom w:w="0" w:type="dxa"/>
            <w:right w:w="0" w:type="dxa"/>
          </w:tblCellMar>
        </w:tblPrEx>
        <w:trPr>
          <w:trHeight w:val="362" w:hRule="atLeast"/>
          <w:jc w:val="center"/>
        </w:trPr>
        <w:tc>
          <w:tcPr>
            <w:tcW w:w="3616"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部门：中国人民政治协商会议河北省石家庄市鹿泉区委员会</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25" w:hRule="atLeast"/>
          <w:jc w:val="center"/>
        </w:trPr>
        <w:tc>
          <w:tcPr>
            <w:tcW w:w="3321" w:type="dxa"/>
            <w:gridSpan w:val="5"/>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92"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1560"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425"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466"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Layout w:type="fixed"/>
          <w:tblCellMar>
            <w:top w:w="0" w:type="dxa"/>
            <w:left w:w="0" w:type="dxa"/>
            <w:bottom w:w="0" w:type="dxa"/>
            <w:right w:w="0" w:type="dxa"/>
          </w:tblCellMar>
        </w:tblPrEx>
        <w:trPr>
          <w:trHeight w:val="626"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2410" w:type="dxa"/>
            <w:gridSpan w:val="4"/>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92"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560"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425"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466"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Layout w:type="fixed"/>
          <w:tblCellMar>
            <w:top w:w="0" w:type="dxa"/>
            <w:left w:w="0" w:type="dxa"/>
            <w:bottom w:w="0" w:type="dxa"/>
            <w:right w:w="0" w:type="dxa"/>
          </w:tblCellMar>
        </w:tblPrEx>
        <w:trPr>
          <w:trHeight w:val="391" w:hRule="atLeast"/>
          <w:jc w:val="center"/>
        </w:trPr>
        <w:tc>
          <w:tcPr>
            <w:tcW w:w="332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5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Layout w:type="fixed"/>
          <w:tblCellMar>
            <w:top w:w="0" w:type="dxa"/>
            <w:left w:w="0" w:type="dxa"/>
            <w:bottom w:w="0" w:type="dxa"/>
            <w:right w:w="0" w:type="dxa"/>
          </w:tblCellMar>
        </w:tblPrEx>
        <w:trPr>
          <w:trHeight w:val="90" w:hRule="atLeast"/>
          <w:jc w:val="center"/>
        </w:trPr>
        <w:tc>
          <w:tcPr>
            <w:tcW w:w="332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9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645.55</w:t>
            </w:r>
          </w:p>
        </w:tc>
        <w:tc>
          <w:tcPr>
            <w:tcW w:w="156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615.51</w:t>
            </w:r>
          </w:p>
        </w:tc>
        <w:tc>
          <w:tcPr>
            <w:tcW w:w="42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6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30.04</w:t>
            </w: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一般公共服务支出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569.83</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 xml:space="preserve">     539.79</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30.04</w:t>
            </w: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政协事务</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569.83</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539.79</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30.04</w:t>
            </w: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2010201</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行政运行</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447.19</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447.19</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2010202</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一般行政事务管理</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122.64</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92.6</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30.04</w:t>
            </w: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社会保障和就业支出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32.45</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32.45</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行政事业单位离退休</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32.45</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32.45</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机关事业单位基本养老保险</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32.45</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32.45</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医疗卫生与计划生育支出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23.88</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23.88</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行政事业单位医疗</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23.88</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23.88</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行政单位医疗</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23.88</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23.88</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住房保障支出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19.39</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19.39</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住房改革支出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19.39</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19.39</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71" w:hRule="atLeast"/>
          <w:jc w:val="center"/>
        </w:trPr>
        <w:tc>
          <w:tcPr>
            <w:tcW w:w="91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41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住房公积金</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19.39</w:t>
            </w:r>
          </w:p>
        </w:tc>
        <w:tc>
          <w:tcPr>
            <w:tcW w:w="156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19.39</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81" w:hRule="atLeast"/>
          <w:jc w:val="center"/>
        </w:trPr>
        <w:tc>
          <w:tcPr>
            <w:tcW w:w="9531" w:type="dxa"/>
            <w:gridSpan w:val="1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10119" w:type="dxa"/>
        <w:tblInd w:w="-1119" w:type="dxa"/>
        <w:tblLayout w:type="fixed"/>
        <w:tblCellMar>
          <w:top w:w="0" w:type="dxa"/>
          <w:left w:w="0" w:type="dxa"/>
          <w:bottom w:w="0" w:type="dxa"/>
          <w:right w:w="0" w:type="dxa"/>
        </w:tblCellMar>
      </w:tblPr>
      <w:tblGrid>
        <w:gridCol w:w="1119"/>
        <w:gridCol w:w="15"/>
        <w:gridCol w:w="275"/>
        <w:gridCol w:w="289"/>
        <w:gridCol w:w="803"/>
        <w:gridCol w:w="1117"/>
        <w:gridCol w:w="647"/>
        <w:gridCol w:w="436"/>
        <w:gridCol w:w="682"/>
        <w:gridCol w:w="429"/>
        <w:gridCol w:w="691"/>
        <w:gridCol w:w="365"/>
        <w:gridCol w:w="753"/>
        <w:gridCol w:w="331"/>
        <w:gridCol w:w="789"/>
        <w:gridCol w:w="294"/>
        <w:gridCol w:w="1084"/>
      </w:tblGrid>
      <w:tr>
        <w:tblPrEx>
          <w:tblLayout w:type="fixed"/>
          <w:tblCellMar>
            <w:top w:w="0" w:type="dxa"/>
            <w:left w:w="0" w:type="dxa"/>
            <w:bottom w:w="0" w:type="dxa"/>
            <w:right w:w="0" w:type="dxa"/>
          </w:tblCellMar>
        </w:tblPrEx>
        <w:trPr>
          <w:gridBefore w:val="1"/>
          <w:wBefore w:w="1119" w:type="dxa"/>
          <w:trHeight w:val="79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582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582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Layout w:type="fixed"/>
          <w:tblCellMar>
            <w:top w:w="0" w:type="dxa"/>
            <w:left w:w="0" w:type="dxa"/>
            <w:bottom w:w="0" w:type="dxa"/>
            <w:right w:w="0" w:type="dxa"/>
          </w:tblCellMar>
        </w:tblPrEx>
        <w:trPr>
          <w:gridBefore w:val="1"/>
          <w:wBefore w:w="1119" w:type="dxa"/>
          <w:trHeight w:val="605" w:hRule="atLeast"/>
        </w:trPr>
        <w:tc>
          <w:tcPr>
            <w:tcW w:w="29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Layout w:type="fixed"/>
          <w:tblCellMar>
            <w:top w:w="0" w:type="dxa"/>
            <w:left w:w="0" w:type="dxa"/>
            <w:bottom w:w="0" w:type="dxa"/>
            <w:right w:w="0" w:type="dxa"/>
          </w:tblCellMar>
        </w:tblPrEx>
        <w:trPr>
          <w:gridBefore w:val="1"/>
          <w:wBefore w:w="1119" w:type="dxa"/>
          <w:trHeight w:val="380" w:hRule="atLeast"/>
        </w:trPr>
        <w:tc>
          <w:tcPr>
            <w:tcW w:w="3146"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部门：中国人民政治协商会议河北省石家庄市鹿泉区委员会</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837" w:hRule="atLeast"/>
        </w:trPr>
        <w:tc>
          <w:tcPr>
            <w:tcW w:w="361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11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56"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Layout w:type="fixed"/>
          <w:tblCellMar>
            <w:top w:w="0" w:type="dxa"/>
            <w:left w:w="0" w:type="dxa"/>
            <w:bottom w:w="0" w:type="dxa"/>
            <w:right w:w="0" w:type="dxa"/>
          </w:tblCellMar>
        </w:tblPrEx>
        <w:trPr>
          <w:trHeight w:val="782"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1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56"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95" w:hRule="atLeast"/>
        </w:trPr>
        <w:tc>
          <w:tcPr>
            <w:tcW w:w="3618"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440" w:hRule="atLeast"/>
        </w:trPr>
        <w:tc>
          <w:tcPr>
            <w:tcW w:w="3618"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646.04</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518.42</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127.62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578.14</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450.52</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政协事务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578.14</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450.52</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2010201</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450.52</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450.52</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right="420"/>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2010202</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一般行政事务管理</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127.62</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机关事业单位基本养老保</w:t>
            </w:r>
            <w:r>
              <w:rPr>
                <w:rFonts w:hint="eastAsia" w:ascii="宋体" w:hAnsi="宋体" w:cs="宋体"/>
                <w:color w:val="000000"/>
                <w:szCs w:val="21"/>
              </w:rPr>
              <w:t>险</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468" w:hRule="atLeast"/>
        </w:trPr>
        <w:tc>
          <w:tcPr>
            <w:tcW w:w="113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48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1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0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748" w:hRule="atLeast"/>
        </w:trPr>
        <w:tc>
          <w:tcPr>
            <w:tcW w:w="10119"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Layout w:type="fixed"/>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5926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5926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Layout w:type="fixed"/>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Cs w:val="21"/>
                <w:lang w:bidi="ar"/>
              </w:rPr>
              <w:t>中国人民政治协商会议河北省石家庄市鹿泉区委员会</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Layout w:type="fixed"/>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615.51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548.1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548.1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27.35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22.55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615.51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41.66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41.17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41.17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41.66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657.17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657.17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657.17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Layout w:type="fixed"/>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554" w:type="dxa"/>
        <w:tblInd w:w="-694" w:type="dxa"/>
        <w:tblLayout w:type="fixed"/>
        <w:tblCellMar>
          <w:top w:w="0" w:type="dxa"/>
          <w:left w:w="0" w:type="dxa"/>
          <w:bottom w:w="0" w:type="dxa"/>
          <w:right w:w="0" w:type="dxa"/>
        </w:tblCellMar>
      </w:tblPr>
      <w:tblGrid>
        <w:gridCol w:w="993"/>
        <w:gridCol w:w="18"/>
        <w:gridCol w:w="319"/>
        <w:gridCol w:w="357"/>
        <w:gridCol w:w="2109"/>
        <w:gridCol w:w="745"/>
        <w:gridCol w:w="1174"/>
        <w:gridCol w:w="718"/>
        <w:gridCol w:w="1201"/>
        <w:gridCol w:w="1920"/>
      </w:tblGrid>
      <w:tr>
        <w:tblPrEx>
          <w:tblLayout w:type="fixed"/>
          <w:tblCellMar>
            <w:top w:w="0" w:type="dxa"/>
            <w:left w:w="0" w:type="dxa"/>
            <w:bottom w:w="0" w:type="dxa"/>
            <w:right w:w="0" w:type="dxa"/>
          </w:tblCellMar>
        </w:tblPrEx>
        <w:trPr>
          <w:trHeight w:val="600" w:hRule="atLeast"/>
        </w:trPr>
        <w:tc>
          <w:tcPr>
            <w:tcW w:w="9554" w:type="dxa"/>
            <w:gridSpan w:val="10"/>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6028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028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Layout w:type="fixed"/>
          <w:tblCellMar>
            <w:top w:w="0" w:type="dxa"/>
            <w:left w:w="0" w:type="dxa"/>
            <w:bottom w:w="0" w:type="dxa"/>
            <w:right w:w="0" w:type="dxa"/>
          </w:tblCellMar>
        </w:tblPrEx>
        <w:trPr>
          <w:trHeight w:val="334" w:hRule="atLeast"/>
        </w:trPr>
        <w:tc>
          <w:tcPr>
            <w:tcW w:w="101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Layout w:type="fixed"/>
          <w:tblCellMar>
            <w:top w:w="0" w:type="dxa"/>
            <w:left w:w="0" w:type="dxa"/>
            <w:bottom w:w="0" w:type="dxa"/>
            <w:right w:w="0" w:type="dxa"/>
          </w:tblCellMar>
        </w:tblPrEx>
        <w:trPr>
          <w:trHeight w:val="334" w:hRule="atLeast"/>
        </w:trPr>
        <w:tc>
          <w:tcPr>
            <w:tcW w:w="4541"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部门：中国人民政治协商会议河北省石家庄市鹿泉区委员会</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51" w:hRule="atLeast"/>
        </w:trPr>
        <w:tc>
          <w:tcPr>
            <w:tcW w:w="379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Layout w:type="fixed"/>
          <w:tblCellMar>
            <w:top w:w="0" w:type="dxa"/>
            <w:left w:w="0" w:type="dxa"/>
            <w:bottom w:w="0" w:type="dxa"/>
            <w:right w:w="0" w:type="dxa"/>
          </w:tblCellMar>
        </w:tblPrEx>
        <w:trPr>
          <w:trHeight w:val="334" w:hRule="atLeast"/>
        </w:trPr>
        <w:tc>
          <w:tcPr>
            <w:tcW w:w="1687"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Layout w:type="fixed"/>
          <w:tblCellMar>
            <w:top w:w="0" w:type="dxa"/>
            <w:left w:w="0" w:type="dxa"/>
            <w:bottom w:w="0" w:type="dxa"/>
            <w:right w:w="0" w:type="dxa"/>
          </w:tblCellMar>
        </w:tblPrEx>
        <w:trPr>
          <w:trHeight w:val="334" w:hRule="atLeast"/>
        </w:trPr>
        <w:tc>
          <w:tcPr>
            <w:tcW w:w="1687"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1687"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3796"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Layout w:type="fixed"/>
          <w:tblCellMar>
            <w:top w:w="0" w:type="dxa"/>
            <w:left w:w="0" w:type="dxa"/>
            <w:bottom w:w="0" w:type="dxa"/>
            <w:right w:w="0" w:type="dxa"/>
          </w:tblCellMar>
        </w:tblPrEx>
        <w:trPr>
          <w:trHeight w:val="368" w:hRule="atLeast"/>
        </w:trPr>
        <w:tc>
          <w:tcPr>
            <w:tcW w:w="3796"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616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518.42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97.58</w:t>
            </w: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548.1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 xml:space="preserve">  450.52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97.58</w:t>
            </w: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政协事务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548.1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450.52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97.58</w:t>
            </w: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2010201</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450.52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450.52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2010202</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一般行政事务管理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97.58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97.58</w:t>
            </w: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机关事业单位基本养老保险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27.35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22.55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80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68" w:hRule="atLeast"/>
        </w:trPr>
        <w:tc>
          <w:tcPr>
            <w:tcW w:w="9554" w:type="dxa"/>
            <w:gridSpan w:val="10"/>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Ind w:w="0" w:type="dxa"/>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Layout w:type="fixed"/>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Layout w:type="fixed"/>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Layout w:type="fixed"/>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rFonts w:hint="eastAsia" w:ascii="宋体" w:hAnsi="宋体" w:cs="宋体"/>
                <w:color w:val="000000"/>
                <w:kern w:val="0"/>
                <w:szCs w:val="21"/>
                <w:lang w:bidi="ar"/>
              </w:rPr>
              <w:t>中国人民政治协商会议河北省石家庄市鹿泉区委员会</w:t>
            </w:r>
            <w:r>
              <w:rPr>
                <w:sz w:val="44"/>
              </w:rPr>
              <mc:AlternateContent>
                <mc:Choice Requires="wpg">
                  <w:drawing>
                    <wp:anchor distT="0" distB="0" distL="114300" distR="114300" simplePos="0" relativeHeight="251661312"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61312;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Layout w:type="fixed"/>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Layout w:type="fixed"/>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Layout w:type="fixed"/>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401.2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71.81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88.65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5.45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104.99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139.66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1.84</w:t>
            </w: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1.19</w:t>
            </w: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27.35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0.65</w:t>
            </w: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27.26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22.55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43.57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10.79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14.99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14.53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16.82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444.77</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73.65</w:t>
            </w:r>
          </w:p>
        </w:tc>
      </w:tr>
      <w:tr>
        <w:tblPrEx>
          <w:tblLayout w:type="fixed"/>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50" w:type="dxa"/>
        <w:jc w:val="center"/>
        <w:tblInd w:w="37" w:type="dxa"/>
        <w:tblLayout w:type="fixed"/>
        <w:tblCellMar>
          <w:top w:w="0" w:type="dxa"/>
          <w:left w:w="0" w:type="dxa"/>
          <w:bottom w:w="0" w:type="dxa"/>
          <w:right w:w="0" w:type="dxa"/>
        </w:tblCellMar>
      </w:tblPr>
      <w:tblGrid>
        <w:gridCol w:w="1158"/>
        <w:gridCol w:w="1527"/>
        <w:gridCol w:w="1528"/>
        <w:gridCol w:w="1530"/>
        <w:gridCol w:w="1530"/>
        <w:gridCol w:w="1777"/>
      </w:tblGrid>
      <w:tr>
        <w:tblPrEx>
          <w:tblLayout w:type="fixed"/>
          <w:tblCellMar>
            <w:top w:w="0" w:type="dxa"/>
            <w:left w:w="0" w:type="dxa"/>
            <w:bottom w:w="0" w:type="dxa"/>
            <w:right w:w="0" w:type="dxa"/>
          </w:tblCellMar>
        </w:tblPrEx>
        <w:trPr>
          <w:trHeight w:val="584" w:hRule="atLeast"/>
          <w:jc w:val="center"/>
        </w:trPr>
        <w:tc>
          <w:tcPr>
            <w:tcW w:w="905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6233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6233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Layout w:type="fixed"/>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77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Cs w:val="21"/>
                <w:lang w:bidi="ar"/>
              </w:rPr>
              <w:t>中国人民政治协商会议河北省石家庄市鹿泉区委员会</w:t>
            </w:r>
          </w:p>
        </w:tc>
        <w:tc>
          <w:tcPr>
            <w:tcW w:w="177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82" w:hRule="atLeast"/>
          <w:jc w:val="center"/>
        </w:trPr>
        <w:tc>
          <w:tcPr>
            <w:tcW w:w="905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7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Layout w:type="fixed"/>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7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16.2</w:t>
            </w:r>
          </w:p>
        </w:tc>
        <w:tc>
          <w:tcPr>
            <w:tcW w:w="17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w:t>
            </w:r>
          </w:p>
        </w:tc>
      </w:tr>
      <w:tr>
        <w:tblPrEx>
          <w:tblLayout w:type="fixed"/>
          <w:tblCellMar>
            <w:top w:w="0" w:type="dxa"/>
            <w:left w:w="0" w:type="dxa"/>
            <w:bottom w:w="0" w:type="dxa"/>
            <w:right w:w="0" w:type="dxa"/>
          </w:tblCellMar>
        </w:tblPrEx>
        <w:trPr>
          <w:trHeight w:val="498" w:hRule="atLeast"/>
          <w:jc w:val="center"/>
        </w:trPr>
        <w:tc>
          <w:tcPr>
            <w:tcW w:w="905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Layout w:type="fixed"/>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7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Layout w:type="fixed"/>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7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Layout w:type="fixed"/>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16.13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16.13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14.53</w:t>
            </w:r>
          </w:p>
        </w:tc>
        <w:tc>
          <w:tcPr>
            <w:tcW w:w="17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 xml:space="preserve">1.6     </w:t>
            </w:r>
          </w:p>
        </w:tc>
      </w:tr>
      <w:tr>
        <w:tblPrEx>
          <w:tblLayout w:type="fixed"/>
          <w:tblCellMar>
            <w:top w:w="0" w:type="dxa"/>
            <w:left w:w="0" w:type="dxa"/>
            <w:bottom w:w="0" w:type="dxa"/>
            <w:right w:w="0" w:type="dxa"/>
          </w:tblCellMar>
        </w:tblPrEx>
        <w:trPr>
          <w:trHeight w:val="782" w:hRule="atLeast"/>
          <w:jc w:val="center"/>
        </w:trPr>
        <w:tc>
          <w:tcPr>
            <w:tcW w:w="905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Layout w:type="fixed"/>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6336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336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Layout w:type="fixed"/>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Layout w:type="fixed"/>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部门：中国人民政治协商会议河北省石家庄市鹿泉区委员会</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Layout w:type="fixed"/>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注：本表反映部门本年度政府性基金预算财政拨款收入、支出及结转和结余情况</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本部门无政府性基金收入支出情况，按要求空表列示。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Layout w:type="fixed"/>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6438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438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Layout w:type="fixed"/>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Layout w:type="fixed"/>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r>
              <w:rPr>
                <w:rFonts w:hint="eastAsia" w:ascii="宋体" w:hAnsi="宋体" w:cs="宋体"/>
                <w:color w:val="000000"/>
                <w:kern w:val="0"/>
                <w:szCs w:val="21"/>
                <w:lang w:bidi="ar"/>
              </w:rPr>
              <w:t>中国人民政治协商会议河北省石家庄市鹿泉区委员会</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Layout w:type="fixed"/>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Layout w:type="fixed"/>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Layout w:type="fixed"/>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注：本表反映部门本年度国有资本经营预算财政拨款支出情况</w:t>
            </w:r>
          </w:p>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本部门无国有资本经营预算财政拨款支出情况，按要求空表列示。。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Layout w:type="fixed"/>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6540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540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Layout w:type="fixed"/>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Layout w:type="fixed"/>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编制单位：中国人民政治协商会议河北省石家庄市鹿泉区委员会</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Layout w:type="fixed"/>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Layout w:type="fixed"/>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Layout w:type="fixed"/>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Layout w:type="fixed"/>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Layout w:type="fixed"/>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Layout w:type="fixed"/>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Layout w:type="fixed"/>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 xml:space="preserve">注：本表反映部门本年度纳入部门预算范围的政府采购预算及支出情况。 </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本部门无政府采购情况，按要求空表列示。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39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7667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石家庄市鹿泉区政协2018年度年初结转和结余41.66万元，本年综合收入645.55万元，支出646.04万元，年末结转和结余41.17万元。其中收入比2017年605.17万元增加82.04万元增长13.55%、支出比2017年558.59万元增加87.45万元增长15.65%，主要原因2018人员调入工资奖金增加项目支出增加。</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一般公共预算财政拨款收入657.17万元，支出616万元，其中收入比2017年580.17万元增加77万元增长13.27%、支出比2017年533.59万元增加82.41万元增长15.44%，主要原因人员增加工资奖金增加、项目支出增加。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本部门2018年度本年收入合计687.21万元，其中：财政拨款收入687.21万元，占100%；如图所示：</w:t>
      </w:r>
    </w:p>
    <w:p>
      <w:pPr>
        <w:adjustRightInd w:val="0"/>
        <w:snapToGrid w:val="0"/>
        <w:spacing w:after="0" w:line="580" w:lineRule="exact"/>
        <w:rPr>
          <w:rFonts w:ascii="仿宋_GB2312" w:eastAsia="仿宋_GB2312" w:cs="DengXian-Regular"/>
          <w:sz w:val="32"/>
          <w:szCs w:val="32"/>
        </w:rPr>
      </w:pPr>
    </w:p>
    <w:p>
      <w:pPr>
        <w:tabs>
          <w:tab w:val="left" w:pos="1354"/>
        </w:tabs>
        <w:rPr>
          <w:rFonts w:ascii="仿宋_GB2312" w:eastAsia="仿宋_GB2312" w:cs="DengXian-Regular"/>
          <w:sz w:val="32"/>
          <w:szCs w:val="32"/>
        </w:rPr>
      </w:pPr>
      <w:r>
        <w:rPr>
          <w:rFonts w:ascii="仿宋_GB2312" w:eastAsia="仿宋_GB2312" w:cs="DengXian-Regular"/>
          <w:sz w:val="32"/>
          <w:szCs w:val="32"/>
        </w:rPr>
        <w:tab/>
      </w:r>
      <w:r>
        <w:rPr>
          <w:rFonts w:ascii="仿宋_GB2312" w:eastAsia="仿宋_GB2312" w:cs="DengXian-Regular"/>
          <w:sz w:val="32"/>
          <w:szCs w:val="32"/>
        </w:rPr>
        <w:drawing>
          <wp:inline distT="0" distB="0" distL="0" distR="0">
            <wp:extent cx="3206750" cy="1828800"/>
            <wp:effectExtent l="0" t="0" r="12700" b="19050"/>
            <wp:docPr id="69" name="图表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tabs>
          <w:tab w:val="left" w:pos="1354"/>
        </w:tabs>
        <w:jc w:val="center"/>
        <w:rPr>
          <w:rFonts w:ascii="仿宋_GB2312" w:eastAsia="仿宋_GB2312" w:cs="DengXian-Regular"/>
          <w:sz w:val="28"/>
          <w:szCs w:val="28"/>
        </w:rPr>
      </w:pPr>
      <w:r>
        <w:rPr>
          <w:rFonts w:hint="eastAsia" w:ascii="仿宋_GB2312" w:eastAsia="仿宋_GB2312" w:cs="DengXian-Regular"/>
          <w:sz w:val="28"/>
          <w:szCs w:val="28"/>
        </w:rPr>
        <w:t>图1：收入构成图</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drawing>
          <wp:anchor distT="0" distB="0" distL="114300" distR="114300" simplePos="0" relativeHeight="251683840" behindDoc="0" locked="0" layoutInCell="1" allowOverlap="1">
            <wp:simplePos x="0" y="0"/>
            <wp:positionH relativeFrom="column">
              <wp:posOffset>55245</wp:posOffset>
            </wp:positionH>
            <wp:positionV relativeFrom="paragraph">
              <wp:posOffset>1259840</wp:posOffset>
            </wp:positionV>
            <wp:extent cx="5486400" cy="3200400"/>
            <wp:effectExtent l="0" t="0" r="19050" b="19050"/>
            <wp:wrapSquare wrapText="bothSides"/>
            <wp:docPr id="78" name="图表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rFonts w:hint="eastAsia" w:ascii="仿宋_GB2312" w:eastAsia="仿宋_GB2312" w:hAnsiTheme="majorEastAsia"/>
          <w:color w:val="000000"/>
          <w:kern w:val="0"/>
          <w:sz w:val="32"/>
          <w:szCs w:val="32"/>
        </w:rPr>
        <w:t>本部门2018年度本年支出合计646.04万元，其中：基本支出518.42万元，占80.25%；项目支出127.62万元，占19.75%；如图所示：</w:t>
      </w:r>
    </w:p>
    <w:p>
      <w:pPr>
        <w:widowControl/>
        <w:spacing w:after="0" w:line="560" w:lineRule="exact"/>
        <w:ind w:firstLine="640" w:firstLineChars="200"/>
        <w:rPr>
          <w:rFonts w:hint="eastAsia" w:ascii="仿宋_GB2312" w:eastAsia="仿宋_GB2312" w:hAnsiTheme="majorEastAsia"/>
          <w:color w:val="000000"/>
          <w:kern w:val="0"/>
          <w:sz w:val="32"/>
          <w:szCs w:val="32"/>
        </w:rPr>
      </w:pPr>
    </w:p>
    <w:p>
      <w:pPr>
        <w:adjustRightInd w:val="0"/>
        <w:snapToGrid w:val="0"/>
        <w:spacing w:after="0" w:line="580" w:lineRule="exact"/>
        <w:rPr>
          <w:rFonts w:ascii="仿宋_GB2312" w:eastAsia="仿宋_GB2312" w:cs="DengXian-Regular"/>
          <w:sz w:val="32"/>
          <w:szCs w:val="32"/>
        </w:rPr>
      </w:pPr>
      <w:r>
        <w:rPr>
          <w:sz w:val="44"/>
        </w:rPr>
        <mc:AlternateContent>
          <mc:Choice Requires="wpg">
            <w:drawing>
              <wp:anchor distT="0" distB="0" distL="114300" distR="114300" simplePos="0" relativeHeight="25166643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643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ascii="黑体" w:eastAsia="黑体"/>
          <w:b/>
          <w:bCs/>
        </w:rPr>
        <mc:AlternateContent>
          <mc:Choice Requires="wps">
            <w:drawing>
              <wp:anchor distT="0" distB="0" distL="114300" distR="114300" simplePos="0" relativeHeight="251649024" behindDoc="1" locked="0" layoutInCell="1" allowOverlap="1">
                <wp:simplePos x="0" y="0"/>
                <wp:positionH relativeFrom="column">
                  <wp:posOffset>946785</wp:posOffset>
                </wp:positionH>
                <wp:positionV relativeFrom="paragraph">
                  <wp:posOffset>269875</wp:posOffset>
                </wp:positionV>
                <wp:extent cx="3159125" cy="535940"/>
                <wp:effectExtent l="0" t="0" r="3810" b="0"/>
                <wp:wrapNone/>
                <wp:docPr id="30" name="文本框 30"/>
                <wp:cNvGraphicFramePr/>
                <a:graphic xmlns:a="http://schemas.openxmlformats.org/drawingml/2006/main">
                  <a:graphicData uri="http://schemas.microsoft.com/office/word/2010/wordprocessingShape">
                    <wps:wsp>
                      <wps:cNvSpPr txBox="1"/>
                      <wps:spPr>
                        <a:xfrm>
                          <a:off x="0" y="0"/>
                          <a:ext cx="3158937" cy="535784"/>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55pt;margin-top:21.25pt;height:42.2pt;width:248.75pt;z-index:-251667456;mso-width-relative:page;mso-height-relative:page;" fillcolor="#FFFFFF [3201]" filled="t" stroked="f" coordsize="21600,21600" o:gfxdata="UEsDBAoAAAAAAIdO4kAAAAAAAAAAAAAAAAAEAAAAZHJzL1BLAwQUAAAACACHTuJAX+LqrNUAAAAK&#10;AQAADwAAAGRycy9kb3ducmV2LnhtbE2Py07DMBBF90j8gzVI7KiTKERtiNMFElsk2tK1Gw9xhD2O&#10;bPf59QwrWF7doztnuvXFO3HCmKZACspFAQJpCGaiUcFu+/a0BJGyJqNdIFRwxQTr/v6u060JZ/rA&#10;0yaPgkcotVqBzXlupUyDRa/TIsxI3H2F6HXmGEdpoj7zuHeyKopGej0RX7B6xleLw/fm6BXsR3/b&#10;f5ZztMa7mt5v1+0uTEo9PpTFC4iMl/wHw68+q0PPTodwJJOE41yvSkYV1NUzCAaaumlAHLipmhXI&#10;vpP/X+h/AFBLAwQUAAAACACHTuJANwzb3TQCAABDBAAADgAAAGRycy9lMm9Eb2MueG1srVPNjtow&#10;EL5X6jtYvpfwu7CIsKKsqCqh7kq06tk4DrHkeFzbkNAHaN9gT7303ufiOTp2Akt/TlU5mPnLNzPf&#10;zMzu6lKRg7BOgk5pr9OlRGgOmdS7lH54v3o1ocR5pjOmQIuUHoWjd/OXL2aVmYo+FKAyYQmCaDet&#10;TEoL7800SRwvRMlcB4zQ6MzBlsyjandJZlmF6KVK+t3uTVKBzYwFLpxD633jpPOIn+eC+4c8d8IT&#10;lVKszcfXxncb3mQ+Y9OdZaaQvC2D/UMVJZMak16g7plnZG/lH1Cl5BYc5L7DoUwgzyUXsQfsptf9&#10;rZtNwYyIvSA5zlxocv8Plr87PFois5QOkB7NSpzR6enr6duP0/cvBG1IUGXcFOM2BiN9/RpqHPTZ&#10;7tAY+q5zW4Z/7IigH7GOF3pF7QlH46A3mtwOxpRw9I0Go/FkGGCS56+Ndf6NgJIEIaUWxxdZZYe1&#10;803oOSQkc6BktpJKRcXutktlyYHhqFfx16L/EqY0qVJ6Mxh1I7KG8H0DrTQWE5ptmgqSr7d1y8AW&#10;siMSYKHZIWf4SmKVa+b8I7O4NNgzHoJ/wCdXgEmglSgpwH7+mz3E4yzRS0mFS5hS92nPrKBEvdU4&#10;5dvecBi2NirD0biPir32bK89el8uAZvv4ckZHsUQ79VZzC2UH/FeFiErupjmmDul/iwufXMaeG9c&#10;LBYxCPfUML/WG8MDdKBaw2LvIZdxJIGmhpuWPdzUONT2qsIpXOsx6vn25z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X+LqrNUAAAAKAQAADwAAAAAAAAABACAAAAAiAAAAZHJzL2Rvd25yZXYueG1s&#10;UEsBAhQAFAAAAAgAh07iQDcM2900AgAAQwQAAA4AAAAAAAAAAQAgAAAAJAEAAGRycy9lMm9Eb2Mu&#10;eG1sUEsFBgAAAAAGAAYAWQEAAMo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w:pict>
          </mc:Fallback>
        </mc:AlternateConten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（一）财政拨款收支与2017 年度决算对比情况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本部门2018年度形成的财政拨款收支均为一般公共预算财政拨款，其中一般公共预算财政拨款本年收入657.17万元、其中年初结转结余41.66万元，比2017年度增加77万元，增长13.27%，主要是人员增加项目增加；本年支出616万元，增加</w:t>
      </w:r>
      <w:r>
        <w:rPr>
          <w:rFonts w:hint="eastAsia" w:ascii="仿宋_GB2312" w:eastAsia="仿宋_GB2312" w:hAnsiTheme="majorEastAsia"/>
          <w:color w:val="000000"/>
          <w:kern w:val="0"/>
          <w:sz w:val="32"/>
          <w:szCs w:val="32"/>
        </w:rPr>
        <w:drawing>
          <wp:anchor distT="0" distB="0" distL="114300" distR="114300" simplePos="0" relativeHeight="251684864" behindDoc="0" locked="0" layoutInCell="1" allowOverlap="1">
            <wp:simplePos x="0" y="0"/>
            <wp:positionH relativeFrom="column">
              <wp:posOffset>259715</wp:posOffset>
            </wp:positionH>
            <wp:positionV relativeFrom="paragraph">
              <wp:posOffset>1219200</wp:posOffset>
            </wp:positionV>
            <wp:extent cx="5308600" cy="3670935"/>
            <wp:effectExtent l="0" t="0" r="25400" b="24765"/>
            <wp:wrapSquare wrapText="bothSides"/>
            <wp:docPr id="102" name="图表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rFonts w:hint="eastAsia" w:ascii="仿宋_GB2312" w:eastAsia="仿宋_GB2312" w:hAnsiTheme="majorEastAsia"/>
          <w:color w:val="000000"/>
          <w:kern w:val="0"/>
          <w:sz w:val="32"/>
          <w:szCs w:val="32"/>
        </w:rPr>
        <w:t>82.41万元，增长15.44%，主要是人员增加项目支出增加。</w:t>
      </w:r>
    </w:p>
    <w:p>
      <w:pPr>
        <w:adjustRightInd w:val="0"/>
        <w:snapToGrid w:val="0"/>
        <w:spacing w:after="0" w:line="580" w:lineRule="exact"/>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6745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3" name="组合 7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74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fs8+i8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POx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nuJeEsNWRAlINuPEwrBS&#10;QCIjcowIz6EXUKt9BCFdDpBeU8CCmKIJ5922l8kFRHK312DmRiuZXgLiWjaaNYouS6j7lBh7TjSI&#10;FOJD47Fn8Mi4hKRkO8KokPrdXetuP1ACrBjVIHpI+O2aaIYRfy6ALOMojl2X8JM4GfZgovctq32L&#10;WFfHEuAE5kJ2fuj2W74bZlpWb6A/zV1UMBFBIXYDTTs5tk0zgg5H2Xzut0FnUMSeigtFnXOHnJDz&#10;tZVZ6a/5Gp0WNKC8E+q/4D6IuG0SLfdjd4MuNgjkPtwfDludj8Zt9+243++BslyLiKKel9Tf4P58&#10;EYa9RUs7T8GdRB7M7BunW8E01H4aDgfR0t+cKUjKmlUnr1/qyyn43hqx29W2hf+/XB4mF//igJeq&#10;73DtB4B7a+/PvbyuP1NmP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ASfsrO2wAAAAsBAAAPAAAA&#10;AAAAAAEAIAAAACIAAABkcnMvZG93bnJldi54bWxQSwECFAAUAAAACACHTuJAkfs8+i8DAADuCAAA&#10;DgAAAAAAAAABACAAAAAqAQAAZHJzL2Uyb0RvYy54bWxQSwUGAAAAAAYABgBZAQAAyw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6hXiL4AAADb&#10;AAAADwAAAGRycy9kb3ducmV2LnhtbEWPzWrDMBCE74G+g9hAb4nk0MTFiZJDaEjpqU0NvW6sje3Y&#10;WhlJ+enbV4VCj8PMfMOsNnfbiyv50DrWkE0VCOLKmZZrDeXnbvIMIkRkg71j0vBNATbrh9EKC+Nu&#10;/EHXQ6xFgnAoUEMT41BIGaqGLIapG4iTd3LeYkzS19J4vCW47eVMqYW02HJaaHCgbUNVd7hYDV2Z&#10;v7dquz9/vXWLuX/JjvncH7V+HGdqCSLSPf6H/9qvRkP+BL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6hX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U22JbwAAADb&#10;AAAADwAAAGRycy9kb3ducmV2LnhtbEWPQWvCQBSE7wX/w/KE3uquQmNIXQUFpcdUW70+sq9JMPs2&#10;7K6J/vtuodDjMDPfMKvN3XZiIB9axxrmMwWCuHKm5VrD52n/koMIEdlg55g0PCjAZj15WmFh3Mgf&#10;NBxjLRKEQ4Eamhj7QspQNWQxzFxPnLxv5y3GJH0tjccxwW0nF0pl0mLLaaHBnnYNVdfjzWrIyu3O&#10;Vaf8cPaXVpXutn/kyy+tn6dz9QYi0j3+h//a70bD8hV+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lNtiW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mc:AlternateContent>
          <mc:Choice Requires="wps">
            <w:drawing>
              <wp:anchor distT="0" distB="0" distL="114300" distR="114300" simplePos="0" relativeHeight="251680768" behindDoc="1" locked="0" layoutInCell="1" allowOverlap="1">
                <wp:simplePos x="0" y="0"/>
                <wp:positionH relativeFrom="column">
                  <wp:posOffset>656590</wp:posOffset>
                </wp:positionH>
                <wp:positionV relativeFrom="paragraph">
                  <wp:posOffset>92075</wp:posOffset>
                </wp:positionV>
                <wp:extent cx="4204970" cy="535305"/>
                <wp:effectExtent l="0" t="0" r="5080" b="0"/>
                <wp:wrapNone/>
                <wp:docPr id="66" name="文本框 66"/>
                <wp:cNvGraphicFramePr/>
                <a:graphic xmlns:a="http://schemas.openxmlformats.org/drawingml/2006/main">
                  <a:graphicData uri="http://schemas.microsoft.com/office/word/2010/wordprocessingShape">
                    <wps:wsp>
                      <wps:cNvSpPr txBox="1"/>
                      <wps:spPr>
                        <a:xfrm>
                          <a:off x="0" y="0"/>
                          <a:ext cx="4204970" cy="53510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1.7pt;margin-top:7.25pt;height:42.15pt;width:331.1pt;z-index:-251635712;mso-width-relative:page;mso-height-relative:page;" fillcolor="#FFFFFF [3201]" filled="t" stroked="f" coordsize="21600,21600" o:gfxdata="UEsDBAoAAAAAAIdO4kAAAAAAAAAAAAAAAAAEAAAAZHJzL1BLAwQUAAAACACHTuJAWNMYHNQAAAAJ&#10;AQAADwAAAGRycy9kb3ducmV2LnhtbE2Py07DMBBF90j8gzVI7KgdSENI43SBxBaJvtZu7MYR9jiy&#10;3efXM6xgN1dzdOdMu7x4x04mpjGghGImgBnsgx5xkLBZfzzVwFJWqJULaCRcTYJld3/XqkaHM36Z&#10;0yoPjEowNUqCzXlqOE+9NV6lWZgM0u4QoleZYhy4jupM5d7xZyEq7tWIdMGqybxb03+vjl7CbvC3&#10;3baYotXelfh5u643YZTy8aEQC2DZXPIfDL/6pA4dOe3DEXVijrJ4KQmloZwDI+C1mlfA9hLe6hp4&#10;1/L/H3Q/UEsDBBQAAAAIAIdO4kDXLkctNAIAAEMEAAAOAAAAZHJzL2Uyb0RvYy54bWytU82O2jAQ&#10;vlfqO1i+lwQW2IIIK8qKqhLqrkSrno3jEEuOx7UNCX2A9g166qX3PhfP0bETWPpzqsrBjGcm3/j7&#10;ZmZ211SKHIR1EnRG+72UEqE55FLvMvr+3erFS0qcZzpnCrTI6FE4ejd//mxWm6kYQAkqF5YgiHbT&#10;2mS09N5Mk8TxUlTM9cAIjcECbMU8Xu0uyS2rEb1SySBNx0kNNjcWuHAOvfdtkM4jflEI7h+KwglP&#10;VEbxbT6eNp7bcCbzGZvuLDOl5N0z2D+8omJSY9EL1D3zjOyt/AOqktyCg8L3OFQJFIXkInJANv30&#10;NzabkhkRuaA4zlxkcv8Plr89PFoi84yOx5RoVmGPTl+/nL79OH3/TNCHAtXGTTFvYzDTN6+gwUaf&#10;/Q6dgXdT2Cr8IyOCcZT6eJFXNJ5wdA4H6XByiyGOsdHNqJ9OAkzy9LWxzr8WUJFgZNRi+6Kq7LB2&#10;vk09p4RiDpTMV1KpeLG77VJZcmDY6lX8dei/pClNaiR7M0ojsobwfQutND4mkG1JBcs326ZTYAv5&#10;EQWw0M6QM3wl8ZVr5vwjszg0SAwXwT/gUSjAItBZlJRgP/3NH/KxlxilpMYhzKj7uGdWUKLeaOzy&#10;pD8chqmNl+HodoAXex3ZXkf0vloCku/jyhkezZDv1dksLFQfcF8WoSqGmOZYO6P+bC59uxq4b1ws&#10;FjEJ59Qwv9YbwwN0kFrDYu+hkLElQaZWm049nNTY1G6rwipc32PW0+7Pf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Y0xgc1AAAAAkBAAAPAAAAAAAAAAEAIAAAACIAAABkcnMvZG93bnJldi54bWxQ&#10;SwECFAAUAAAACACHTuJA1y5HLTQCAABDBAAADgAAAAAAAAABACAAAAAjAQAAZHJzL2Uyb0RvYy54&#10;bWxQSwUGAAAAAAYABgBZAQAAyQU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本部门2018年度财政拨款收入657.17万元，比年初预算增加159.14万元增长31.95%，主要是人员增加项目支出增大；本年支出616万元，比年初预算增加117.97万元增长23.68%，主</w:t>
      </w:r>
      <w:r>
        <w:rPr>
          <w:rFonts w:hint="eastAsia" w:ascii="仿宋_GB2312" w:eastAsia="仿宋_GB2312" w:hAnsiTheme="majorEastAsia"/>
          <w:color w:val="000000"/>
          <w:kern w:val="0"/>
          <w:sz w:val="32"/>
          <w:szCs w:val="32"/>
        </w:rPr>
        <w:drawing>
          <wp:anchor distT="0" distB="0" distL="114300" distR="114300" simplePos="0" relativeHeight="251685888" behindDoc="0" locked="0" layoutInCell="1" allowOverlap="1">
            <wp:simplePos x="0" y="0"/>
            <wp:positionH relativeFrom="column">
              <wp:posOffset>41910</wp:posOffset>
            </wp:positionH>
            <wp:positionV relativeFrom="paragraph">
              <wp:posOffset>481965</wp:posOffset>
            </wp:positionV>
            <wp:extent cx="5486400" cy="3200400"/>
            <wp:effectExtent l="0" t="0" r="19050" b="19050"/>
            <wp:wrapSquare wrapText="bothSides"/>
            <wp:docPr id="103" name="图表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hint="eastAsia" w:ascii="仿宋_GB2312" w:eastAsia="仿宋_GB2312" w:hAnsiTheme="majorEastAsia"/>
          <w:color w:val="000000"/>
          <w:kern w:val="0"/>
          <w:sz w:val="32"/>
          <w:szCs w:val="32"/>
        </w:rPr>
        <w:t>要是人员增加项目支出增大；</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mc:AlternateContent>
          <mc:Choice Requires="wps">
            <w:drawing>
              <wp:anchor distT="0" distB="0" distL="114300" distR="114300" simplePos="0" relativeHeight="251682816" behindDoc="1" locked="0" layoutInCell="1" allowOverlap="1">
                <wp:simplePos x="0" y="0"/>
                <wp:positionH relativeFrom="column">
                  <wp:posOffset>683260</wp:posOffset>
                </wp:positionH>
                <wp:positionV relativeFrom="paragraph">
                  <wp:posOffset>316230</wp:posOffset>
                </wp:positionV>
                <wp:extent cx="4358005" cy="494030"/>
                <wp:effectExtent l="0" t="0" r="4445" b="1270"/>
                <wp:wrapNone/>
                <wp:docPr id="37" name="文本框 28"/>
                <wp:cNvGraphicFramePr/>
                <a:graphic xmlns:a="http://schemas.openxmlformats.org/drawingml/2006/main">
                  <a:graphicData uri="http://schemas.microsoft.com/office/word/2010/wordprocessingShape">
                    <wps:wsp>
                      <wps:cNvSpPr txBox="1"/>
                      <wps:spPr>
                        <a:xfrm>
                          <a:off x="0" y="0"/>
                          <a:ext cx="4358005" cy="49403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53.8pt;margin-top:24.9pt;height:38.9pt;width:343.15pt;z-index:-251633664;mso-width-relative:page;mso-height-relative:page;" fillcolor="#FFFFFF [3201]" filled="t" stroked="f" coordsize="21600,21600" o:gfxdata="UEsDBAoAAAAAAIdO4kAAAAAAAAAAAAAAAAAEAAAAZHJzL1BLAwQUAAAACACHTuJAzBHctdQAAAAK&#10;AQAADwAAAGRycy9kb3ducmV2LnhtbE2PS0/DMBCE70j8B2uRuFE7pWpJiNMDElck+jq78RJH2Oso&#10;dp+/vtsTHEczmvmmXp6DF0ccUx9JQzFRIJDaaHvqNGzWny9vIFI2ZI2PhBoumGDZPD7UprLxRN94&#10;XOVOcAmlymhwOQ+VlKl1GEyaxAGJvZ84BpNZjp20ozlxefByqtRcBtMTLzgz4IfD9nd1CBp2Xbju&#10;tsUwOhv8jL6ul/Um9lo/PxXqHUTGc/4Lwx2f0aFhpn08kE3Cs1aLOUc1zEq+wIFF+VqC2LMzZUc2&#10;tfx/obkBUEsDBBQAAAAIAIdO4kADqA0aOAIAAEMEAAAOAAAAZHJzL2Uyb0RvYy54bWytU82O2jAQ&#10;vlfqO1i+lwQIuywirCgrqkqr7kq06tk4DrHkeFzbkNAHaN9gT7303ufiOTp2gKU/p6o5ODOez/Pz&#10;zcz0tq0V2QnrJOic9nspJUJzKKTe5PTD++WrMSXOM10wBVrkdC8cvZ29fDFtzEQMoAJVCEvQiXaT&#10;xuS08t5MksTxStTM9cAIjcYSbM08qnaTFJY16L1WySBNr5IGbGEscOEc3t51RjqL/stScP9Qlk54&#10;onKKufl42niuw5nMpmyyscxUkh/TYP+QRc2kxqBnV3fMM7K18g9XteQWHJS+x6FOoCwlF7EGrKaf&#10;/lbNqmJGxFqQHGfONLn/55a/2z1aIoucDq8p0azGHh2evh6+/Th8/0IG40BQY9wEcSuDSN++hhYb&#10;fbp3eBnqbktbhz9WRNCOVO/P9IrWE46X2XA0TtMRJRxt2U2WDiP/yfNrY51/I6AmQcipxfZFVtnu&#10;3nnMBKEnSAjmQMliKZWKit2sF8qSHcNWL+MXksQnv8CUJk1Or4ajNHrWEN53OKURHortigqSb9ft&#10;kYE1FHskwEI3Q87wpcQs75nzj8zi0GDNuAj+AY9SAQaBo0RJBfbz3+4DHnuJVkoaHMKcuk9bZgUl&#10;6q3GLt/0syxMbVSy0fUAFXtpWV9a9LZeABbfx5UzPIoB79VJLC3UH3Ff5iEqmpjmGDun/iQufLca&#10;uG9czOcRhHNqmL/XK8OD60C1hvnWQyljSwJNHTdH9nBSI+3HrQqrcKlH1PPuz34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zBHctdQAAAAKAQAADwAAAAAAAAABACAAAAAiAAAAZHJzL2Rvd25yZXYu&#10;eG1sUEsBAhQAFAAAAAgAh07iQAOoDRo4AgAAQwQAAA4AAAAAAAAAAQAgAAAAIwEAAGRycy9lMm9E&#10;b2MueG1sUEsFBgAAAAAGAAYAWQEAAM0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 xml:space="preserve">    图4:财政拨款收支预决算对比情况</w: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2018 年度财政拨款支出646.04万元，主要用于以下方面：一般公共服务（类）支出578.14万元，占89.49%；医疗卫生服务（类）支出22.55万元，占3.49%；社会保障和就业（类）支出 27.35万元，占4.23%；住房保障（类）支出18万元，占 2.79%;。</w:t>
      </w:r>
    </w:p>
    <w:p>
      <w:pPr>
        <w:adjustRightInd w:val="0"/>
        <w:snapToGrid w:val="0"/>
        <w:spacing w:after="0" w:line="580" w:lineRule="exact"/>
        <w:rPr>
          <w:rFonts w:ascii="楷体_GB2312" w:eastAsia="楷体_GB2312" w:cs="DengXian-Bold"/>
          <w:b/>
          <w:bCs/>
          <w:sz w:val="32"/>
          <w:szCs w:val="32"/>
        </w:rPr>
      </w:pPr>
      <w:r>
        <w:rPr>
          <w:rFonts w:ascii="楷体_GB2312" w:eastAsia="楷体_GB2312" w:cs="DengXian-Bold"/>
          <w:b/>
          <w:bCs/>
          <w:sz w:val="32"/>
          <w:szCs w:val="32"/>
        </w:rPr>
        <w:drawing>
          <wp:anchor distT="0" distB="0" distL="114300" distR="114300" simplePos="0" relativeHeight="251686912" behindDoc="0" locked="0" layoutInCell="1" allowOverlap="1">
            <wp:simplePos x="0" y="0"/>
            <wp:positionH relativeFrom="column">
              <wp:posOffset>192405</wp:posOffset>
            </wp:positionH>
            <wp:positionV relativeFrom="paragraph">
              <wp:posOffset>262890</wp:posOffset>
            </wp:positionV>
            <wp:extent cx="5022215" cy="2497455"/>
            <wp:effectExtent l="0" t="0" r="26035" b="17145"/>
            <wp:wrapSquare wrapText="bothSides"/>
            <wp:docPr id="104" name="图表 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ascii="楷体_GB2312" w:eastAsia="楷体_GB2312" w:cs="DengXian-Bold"/>
          <w:b/>
          <w:bCs/>
          <w:sz w:val="32"/>
          <w:szCs w:val="32"/>
        </w:rPr>
        <mc:AlternateContent>
          <mc:Choice Requires="wps">
            <w:drawing>
              <wp:anchor distT="0" distB="0" distL="114300" distR="114300" simplePos="0" relativeHeight="251678720" behindDoc="1" locked="0" layoutInCell="1" allowOverlap="1">
                <wp:simplePos x="0" y="0"/>
                <wp:positionH relativeFrom="column">
                  <wp:posOffset>719455</wp:posOffset>
                </wp:positionH>
                <wp:positionV relativeFrom="paragraph">
                  <wp:posOffset>128905</wp:posOffset>
                </wp:positionV>
                <wp:extent cx="3763645" cy="659765"/>
                <wp:effectExtent l="0" t="0" r="8255" b="6985"/>
                <wp:wrapNone/>
                <wp:docPr id="9" name="文本框 32"/>
                <wp:cNvGraphicFramePr/>
                <a:graphic xmlns:a="http://schemas.openxmlformats.org/drawingml/2006/main">
                  <a:graphicData uri="http://schemas.microsoft.com/office/word/2010/wordprocessingShape">
                    <wps:wsp>
                      <wps:cNvSpPr txBox="1"/>
                      <wps:spPr>
                        <a:xfrm>
                          <a:off x="0" y="0"/>
                          <a:ext cx="3763645" cy="65976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56.65pt;margin-top:10.15pt;height:51.95pt;width:296.35pt;z-index:-251637760;mso-width-relative:page;mso-height-relative:page;" fillcolor="#FFFFFF [3201]" filled="t" stroked="f" coordsize="21600,21600" o:gfxdata="UEsDBAoAAAAAAIdO4kAAAAAAAAAAAAAAAAAEAAAAZHJzL1BLAwQUAAAACACHTuJA50hiAtQAAAAK&#10;AQAADwAAAGRycy9kb3ducmV2LnhtbE2PzU7DMBCE70i8g7VI3KidtGpRiNMDElck2tKzGy9xhL2O&#10;bPf36VlOcFqN5tPsTLu+BC9OmPIYSUM1UyCQ+mhHGjTstm9PzyByMWSNj4Qarphh3d3ftaax8Uwf&#10;eNqUQXAI5cZocKVMjZS5dxhMnsUJib2vmIIpLNMgbTJnDg9e1kotZTAj8QdnJnx12H9vjkHDfgi3&#10;/Wc1JWeDX9D77brdxVHrx4dKvYAoeCl/MPzW5+rQcadDPJLNwrOu5nNGNdSKLwMrteRxB3bqRQ2y&#10;a+X/Cd0PUEsDBBQAAAAIAIdO4kC9icrtMgIAAEIEAAAOAAAAZHJzL2Uyb0RvYy54bWytU8uu2jAQ&#10;3VfqP1jel/CmIMIV5YqqEuq9Eq26No5NIjke1zYk9APaP+iqm+77XXxHx07g0seqKgszr5yZOTMz&#10;v6tLRY7CugJ0SnudLiVCc8gKvU/p+3frFy8pcZ7pjCnQIqUn4ejd4vmzeWVmog85qExYgiDazSqT&#10;0tx7M0sSx3NRMtcBIzQ6JdiSeVTtPsksqxC9VEm/2x0nFdjMWODCObTeN066iPhSCu4fpHTCE5VS&#10;rM3H18Z3F95kMWezvWUmL3hbBvuHKkpWaEx6hbpnnpGDLf6AKgtuwYH0HQ5lAlIWXMQesJte97du&#10;tjkzIvaC5Dhzpcn9P1j+9vhoSZGldEqJZiWO6Pz1y/nbj/P3z2TQD/xUxs0wbGsw0NevoMY5X+wO&#10;jaHtWtoy/GNDBP3I9OnKrqg94WgcTMaD8XBECUffeDSdjEcBJnn62ljnXwsoSRBSanF6kVR23Djf&#10;hF5CQjIHqsjWhVJRsfvdSllyZDjpdfy16L+EKU0qzD4YdSOyhvB9A600FhOabZoKkq93dcvADrIT&#10;EmChWSFn+LrAKjfM+UdmcWewZ7wD/4CPVIBJoJUoycF++ps9xOMo0UtJhTuYUvfxwKygRL3ROORp&#10;bzgMSxuV4WjSR8Xeena3Hn0oV4DN9/DiDI9iiPfqIkoL5Qc8l2XIii6mOeZOqb+IK99cBp4bF8tl&#10;DMI1Ncxv9NbwAB2o1rA8eJBFHEmgqeGmZQ8XNQ61PapwCbd6jHo6/cV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50hiAtQAAAAKAQAADwAAAAAAAAABACAAAAAiAAAAZHJzL2Rvd25yZXYueG1sUEsB&#10;AhQAFAAAAAgAh07iQL2Jyu0yAgAAQgQAAA4AAAAAAAAAAQAgAAAAIwEAAGRycy9lMm9Eb2MueG1s&#10;UEsFBgAAAAAGAAYAWQEAAMc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w:pict>
          </mc:Fallback>
        </mc:AlternateConten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6950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950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7769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23" name="组合 2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2018 年度一般公共预算财政拨款基本支出518.42万元，其中：人员经费 401.2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73.65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pStyle w:val="3"/>
        <w:spacing w:before="0" w:after="0" w:line="580" w:lineRule="exact"/>
        <w:ind w:firstLine="640" w:firstLineChars="200"/>
        <w:rPr>
          <w:rFonts w:ascii="仿宋_GB2312" w:hAnsi="Times New Roman" w:eastAsia="仿宋_GB2312" w:cs="DengXian-Regular"/>
          <w:b w:val="0"/>
          <w:bCs w:val="0"/>
          <w:highlight w:val="yellow"/>
        </w:rPr>
      </w:pP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本部门2018年度 “三公”经费支出共计16.13万元，较年初预算减少5.07万元，降低23.91x%，主要是：本部门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hint="eastAsia" w:ascii="仿宋_GB2312" w:eastAsia="仿宋_GB2312" w:hAnsiTheme="majorEastAsia"/>
          <w:color w:val="000000"/>
          <w:kern w:val="0"/>
          <w:sz w:val="32"/>
          <w:szCs w:val="32"/>
        </w:rPr>
      </w:pPr>
      <w:r>
        <w:rPr>
          <w:rFonts w:hint="eastAsia" w:ascii="楷体_GB2312" w:eastAsia="楷体_GB2312" w:cs="DengXian-Bold"/>
          <w:b/>
          <w:bCs/>
          <w:color w:val="000000" w:themeColor="text1"/>
          <w:sz w:val="32"/>
          <w:szCs w:val="32"/>
          <w14:textFill>
            <w14:solidFill>
              <w14:schemeClr w14:val="tx1"/>
            </w14:solidFill>
          </w14:textFill>
        </w:rPr>
        <w:t>（</w:t>
      </w:r>
      <w:r>
        <w:rPr>
          <w:color w:val="000000" w:themeColor="text1"/>
          <w:sz w:val="44"/>
          <w14:textFill>
            <w14:solidFill>
              <w14:schemeClr w14:val="tx1"/>
            </w14:solidFill>
          </w14:textFill>
        </w:rPr>
        <mc:AlternateContent>
          <mc:Choice Requires="wpg">
            <w:drawing>
              <wp:anchor distT="0" distB="0" distL="114300" distR="114300" simplePos="0" relativeHeight="25167052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052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color w:val="000000" w:themeColor="text1"/>
          <w:sz w:val="32"/>
          <w:szCs w:val="32"/>
          <w14:textFill>
            <w14:solidFill>
              <w14:schemeClr w14:val="tx1"/>
            </w14:solidFill>
          </w14:textFill>
        </w:rPr>
        <w:t>一）因公出国（境）费支出0万元。</w:t>
      </w:r>
      <w:r>
        <w:rPr>
          <w:rFonts w:hint="eastAsia" w:ascii="仿宋_GB2312" w:eastAsia="仿宋_GB2312" w:hAnsiTheme="majorEastAsia"/>
          <w:color w:val="000000"/>
          <w:kern w:val="0"/>
          <w:sz w:val="32"/>
          <w:szCs w:val="32"/>
        </w:rPr>
        <w:t>本部门2018年度因公出国（境）团组0个、共0人/参加其他单位组织的因公出国（境）团组0个、共0人/无本单位组织的出国（境）团组。因公出国（境）费支出较年初预算无增减变化与年初预算持平。</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（二）公务用车购置及运行维护费支出14.53万元。</w:t>
      </w:r>
      <w:r>
        <w:rPr>
          <w:rFonts w:hint="eastAsia" w:ascii="仿宋_GB2312" w:eastAsia="仿宋_GB2312" w:hAnsiTheme="majorEastAsia"/>
          <w:color w:val="000000"/>
          <w:kern w:val="0"/>
          <w:sz w:val="32"/>
          <w:szCs w:val="32"/>
        </w:rPr>
        <w:t>本部门2018年度公务用车购置及运行维护费较年初预算减少1.67万元，降低31.46%,主要是认真贯彻落实中央八项规定精神和厉行节约要求，从严控制“三公”经费开支，严格执行公务用车管理制度，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eastAsia" w:ascii="仿宋_GB2312" w:eastAsia="仿宋_GB2312" w:hAnsiTheme="majorEastAsia"/>
          <w:color w:val="000000"/>
          <w:kern w:val="0"/>
          <w:sz w:val="32"/>
          <w:szCs w:val="32"/>
        </w:rPr>
      </w:pPr>
      <w:r>
        <w:rPr>
          <w:rFonts w:hint="eastAsia" w:ascii="仿宋_GB2312" w:eastAsia="仿宋_GB2312" w:cs="DengXian-Regular"/>
          <w:b/>
          <w:sz w:val="32"/>
          <w:szCs w:val="32"/>
        </w:rPr>
        <w:t>公务用车购置费：</w:t>
      </w:r>
      <w:r>
        <w:rPr>
          <w:rFonts w:hint="eastAsia" w:ascii="仿宋_GB2312" w:eastAsia="仿宋_GB2312" w:hAnsiTheme="majorEastAsia"/>
          <w:color w:val="000000"/>
          <w:kern w:val="0"/>
          <w:sz w:val="32"/>
          <w:szCs w:val="32"/>
        </w:rPr>
        <w:t>本部门2018年度公务用车购置量0辆，发生“公务用车购置”经费支出0万元。公务用车购置费支出较年初预算无增减变化与年初预算持平。</w:t>
      </w:r>
    </w:p>
    <w:p>
      <w:pPr>
        <w:adjustRightInd w:val="0"/>
        <w:snapToGrid w:val="0"/>
        <w:spacing w:after="0" w:line="580" w:lineRule="exact"/>
        <w:ind w:firstLine="640" w:firstLineChars="200"/>
        <w:rPr>
          <w:rFonts w:ascii="仿宋_GB2312" w:eastAsia="仿宋_GB2312" w:cs="DengXian-Regular"/>
          <w:color w:val="000000" w:themeColor="text1"/>
          <w:sz w:val="32"/>
          <w:szCs w:val="32"/>
          <w14:textFill>
            <w14:solidFill>
              <w14:schemeClr w14:val="tx1"/>
            </w14:solidFill>
          </w14:textFill>
        </w:rPr>
      </w:pPr>
    </w:p>
    <w:p>
      <w:pPr>
        <w:adjustRightInd w:val="0"/>
        <w:snapToGrid w:val="0"/>
        <w:spacing w:after="0" w:line="580" w:lineRule="exact"/>
        <w:ind w:firstLine="643" w:firstLineChars="200"/>
        <w:rPr>
          <w:rFonts w:hint="eastAsia" w:ascii="仿宋_GB2312" w:eastAsia="仿宋_GB2312" w:hAnsiTheme="majorEastAsia"/>
          <w:color w:val="000000"/>
          <w:kern w:val="0"/>
          <w:sz w:val="32"/>
          <w:szCs w:val="32"/>
        </w:rPr>
      </w:pPr>
      <w:r>
        <w:rPr>
          <w:rFonts w:hint="eastAsia" w:ascii="仿宋_GB2312" w:eastAsia="仿宋_GB2312" w:cs="DengXian-Regular"/>
          <w:b/>
          <w:sz w:val="32"/>
          <w:szCs w:val="32"/>
        </w:rPr>
        <w:t>公务用车运行维护费：</w:t>
      </w:r>
      <w:r>
        <w:rPr>
          <w:rFonts w:hint="eastAsia" w:ascii="仿宋_GB2312" w:eastAsia="仿宋_GB2312" w:hAnsiTheme="majorEastAsia"/>
          <w:color w:val="000000"/>
          <w:kern w:val="0"/>
          <w:sz w:val="32"/>
          <w:szCs w:val="32"/>
        </w:rPr>
        <w:t>本部门2018年度单位公务用车保有量6辆。公车运行维护费支出较年初预算减少1.67万元，降低10.3%,主要是严格执行公务用车管理制度，加强车辆使用与管理，全年实际支出比预算有所节约</w:t>
      </w:r>
    </w:p>
    <w:p>
      <w:pPr>
        <w:adjustRightInd w:val="0"/>
        <w:snapToGrid w:val="0"/>
        <w:spacing w:after="0" w:line="580" w:lineRule="exact"/>
        <w:ind w:firstLine="643" w:firstLineChars="200"/>
        <w:rPr>
          <w:rFonts w:hint="eastAsia" w:ascii="仿宋_GB2312" w:eastAsia="仿宋_GB2312" w:hAnsiTheme="majorEastAsia"/>
          <w:color w:val="000000"/>
          <w:kern w:val="0"/>
          <w:sz w:val="32"/>
          <w:szCs w:val="32"/>
        </w:rPr>
      </w:pPr>
      <w:r>
        <w:rPr>
          <w:rFonts w:hint="eastAsia" w:ascii="楷体_GB2312" w:eastAsia="楷体_GB2312" w:cs="DengXian-Bold"/>
          <w:b/>
          <w:bCs/>
          <w:sz w:val="32"/>
          <w:szCs w:val="32"/>
        </w:rPr>
        <w:t>（三）公务接待费支出1.6万元。</w:t>
      </w:r>
      <w:r>
        <w:rPr>
          <w:rFonts w:hint="eastAsia" w:ascii="仿宋_GB2312" w:eastAsia="仿宋_GB2312" w:hAnsiTheme="majorEastAsia"/>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155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本部门2018年度公务接待共3批次、300人次。公务接待费支出较年初预算减少3.4万元，降低68%,主要是认真贯彻落实中央八项规定</w:t>
      </w:r>
      <w:bookmarkStart w:id="0" w:name="_GoBack"/>
      <w:bookmarkEnd w:id="0"/>
      <w:r>
        <w:rPr>
          <w:rFonts w:hint="eastAsia" w:ascii="仿宋_GB2312" w:eastAsia="仿宋_GB2312" w:hAnsiTheme="majorEastAsia"/>
          <w:color w:val="000000"/>
          <w:kern w:val="0"/>
          <w:sz w:val="32"/>
          <w:szCs w:val="32"/>
        </w:rPr>
        <w:t>精神和公务接待有关规定，严格管理厉行节约。</w:t>
      </w:r>
    </w:p>
    <w:p>
      <w:pPr>
        <w:adjustRightInd w:val="0"/>
        <w:snapToGrid w:val="0"/>
        <w:spacing w:after="0" w:line="580" w:lineRule="exact"/>
        <w:ind w:firstLine="640" w:firstLineChars="200"/>
        <w:rPr>
          <w:rFonts w:ascii="仿宋_GB2312" w:eastAsia="仿宋_GB2312" w:cs="DengXian-Regular"/>
          <w:sz w:val="32"/>
          <w:szCs w:val="32"/>
          <w:highlight w:val="yellow"/>
        </w:rPr>
      </w:pP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rPr>
        <w:t>绩效预算情况说明</w:t>
      </w:r>
    </w:p>
    <w:p>
      <w:pPr>
        <w:widowControl/>
        <w:spacing w:line="580" w:lineRule="atLeast"/>
        <w:ind w:firstLine="800" w:firstLineChars="250"/>
        <w:jc w:val="left"/>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根据预算绩效管理要求，本单位组织对2018年度一般公共预算项目支出全面开展绩效自评，涉及专项公用经费、文史资料编印、大型会议活动、政协常委会议室改造等9个项目，涉及资金92.6万元。从评价情况看，评价结果为优秀的项目有2个，良好的项目3个，一般项目4个。</w:t>
      </w:r>
    </w:p>
    <w:p>
      <w:pPr>
        <w:adjustRightInd w:val="0"/>
        <w:snapToGrid w:val="0"/>
        <w:spacing w:after="0" w:line="500" w:lineRule="exact"/>
        <w:rPr>
          <w:rFonts w:ascii="仿宋_GB2312" w:eastAsia="仿宋_GB2312" w:cs="DengXian-Regular"/>
          <w:sz w:val="32"/>
          <w:szCs w:val="32"/>
          <w:shd w:val="pct10" w:color="auto" w:fill="FFFFFF"/>
        </w:rPr>
      </w:pP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根据年初设定的绩效目标，政协会议、政协委员订报2个项目绩效自评结果为优秀。政协会议费项目全年预算数为26万元，执行数为26万元，完成预算100%。主要产出和效果是完成区政协二届一次全会顺利召开，完成政协换届工作提供后勤保障等工作。区政协委员订报费全年预算数8.6万元，执行数8.6万元，完成预算100%，主要产出和效果是保证换届后为广大政协委员订阅政协相关报刊杂志，提高委员参政议政水平和能力。</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本部门2018年度机关运行经费支出73.65万元，比年初预算数增加26.32万元，增长55.6%。主要原因是人员增加通讯补贴增加经费支出增加。</w:t>
      </w:r>
      <w:r>
        <w:rPr>
          <w:rFonts w:hint="eastAsia" w:ascii="仿宋_GB2312" w:eastAsia="仿宋_GB2312" w:hAnsiTheme="majorEastAsia"/>
          <w:color w:val="000000"/>
          <w:kern w:val="0"/>
          <w:sz w:val="32"/>
          <w:szCs w:val="32"/>
        </w:rPr>
        <mc:AlternateContent>
          <mc:Choice Requires="wpg">
            <w:drawing>
              <wp:anchor distT="0" distB="0" distL="114300" distR="114300" simplePos="0" relativeHeight="25167257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8" name="组合 8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257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zKeXysDAADuCAAADgAAAGRycy9lMm9Eb2MueG1s&#10;7VbLbhMxFN0j8Q+W93Rmkpm81KQKDamQCq1UEGvH43lIHtvYTidlzYIlf4DEjm9AfE7Fb3DtmUzS&#10;UglaBCsUaeLH9X0cn3NnDo82FUeXTJtSiimODkKMmKAyLUU+xa9fLZ+MMDKWiJRwKdgUXzGDj2aP&#10;Hx3WasJ6spA8ZRqBE2EmtZriwlo1CQJDC1YRcyAVE7CZSV0RC1OdB6kmNXiveNALw0FQS50qLSkz&#10;BlYXzSaeef9Zxqg9yzLDLOJTDLlZ/9T+uXLPYHZIJrkmqihpmwZ5QBYVKQUE7VwtiCVorcufXFUl&#10;1dLIzB5QWQUyy0rKfA1QTRTequZEy7XyteSTOlcdTADtLZwe7Ja+vDzXqEyneAQ3JUgFd/T96/vr&#10;jx8QLAA6tconYHSi1YU61+1C3sxcwZtMV+4fSkEbj+tVhyvbWERhsT/q9+NxghGFvSQZRYOkAZ4W&#10;cDvuWJwkEUZutzeIus1n7flREg+aw1F/7LMKtoEDl1+XTq2ARWYHlPkzoC4KopjH3zgMtkCNO6A+&#10;fbn+9hlF/QYob9ShZCYGALsDortq3SK1V2k09Dh0lZKJ0saeMFkhN5hiDeT2nCOXp8bCzYDp1sSF&#10;NZKX6bLk3E90vjrmGl0SEMJi7H7+LF9XL2TaLI+SMPSKAEemsfdObzjiAtVT3EtiMEWUgGQzTiwM&#10;KwUkMiLHiPAcegG12kcQ0uXgdeayWxBTNOG8W4cchOMC/tztNZi50UqmV4C4lo1mjaLLEs6fEmPP&#10;iQaRQnxoPPYMHhmXkJRsRxgVUr+7a93ZAyVgF6MaRA8Jv10TzTDizwWQZRzFsesSfhInwx5M9P7O&#10;an9HrKtjCXACcyE7P3T2lm+HmZbVG+hPcxcVtoigELuBpp0c26YZQYejbD73ZtAZFLGn4kJR59xd&#10;n5DztZVZ6a95h04LGlDeCfUfcH8MVbRNouV+fE/uD4etzkfgy7Oi436/F7cqj3peUn+D+/NFGPYW&#10;Le08BbcSuTezb5xuBdNQ+2k4HERLf3OmIClrVp28fqmve2nEblYbwHBHiP9y+V25+BcHvFR9+2k/&#10;ANxbe3/u5bX7TJn9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J+ys7bAAAACwEAAA8AAAAAAAAA&#10;AQAgAAAAIgAAAGRycy9kb3ducmV2LnhtbFBLAQIUABQAAAAIAIdO4kBfMp5fKwMAAO4IAAAOAAAA&#10;AAAAAAEAIAAAACoBAABkcnMvZTJvRG9jLnhtbFBLBQYAAAAABgAGAFkBAADH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本部门2018年度政府采购支出总额0万元，从采购类型来看，政府采购货物支出0万元、政府采购工程支出0万元、政府采购服务支出 0万元。授予中小企业合同金0万元，占政府采购支出总额的0%，其中授予小微企业合同金额0万元，占政府采购支出总额的0%。本部门2018年无政府采购预算支出无增减变化与年初预算持平。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截至2018年12月31日，本部门共有车辆6辆，比上年无增减变化。其中，副部（省）级及以上领导用车0辆，主要领导干部用车0辆，机要通信用车0辆，应急保障用车6辆，执法执勤用车0辆，特种专业技术用车0辆，离退休干部用车</w:t>
      </w:r>
      <w:r>
        <w:rPr>
          <w:rFonts w:hint="eastAsia" w:ascii="仿宋_GB2312" w:eastAsia="仿宋_GB2312" w:hAnsiTheme="majorEastAsia"/>
          <w:color w:val="000000"/>
          <w:kern w:val="0"/>
          <w:sz w:val="32"/>
          <w:szCs w:val="32"/>
          <w:lang w:val="en-US" w:eastAsia="zh-CN"/>
        </w:rPr>
        <w:t>0</w:t>
      </w:r>
      <w:r>
        <w:rPr>
          <w:rFonts w:hint="eastAsia" w:ascii="仿宋_GB2312" w:eastAsia="仿宋_GB2312" w:hAnsiTheme="majorEastAsia"/>
          <w:color w:val="000000"/>
          <w:kern w:val="0"/>
          <w:sz w:val="32"/>
          <w:szCs w:val="32"/>
        </w:rPr>
        <w:t>辆，其他用车0辆，单位价值50万元以上通用设备</w:t>
      </w:r>
      <w:r>
        <w:rPr>
          <w:rFonts w:hint="eastAsia" w:ascii="仿宋_GB2312" w:eastAsia="仿宋_GB2312" w:hAnsiTheme="majorEastAsia"/>
          <w:color w:val="000000"/>
          <w:kern w:val="0"/>
          <w:sz w:val="32"/>
          <w:szCs w:val="32"/>
          <w:lang w:val="en-US" w:eastAsia="zh-CN"/>
        </w:rPr>
        <w:t>0</w:t>
      </w:r>
      <w:r>
        <w:rPr>
          <w:rFonts w:hint="eastAsia" w:ascii="仿宋_GB2312" w:eastAsia="仿宋_GB2312" w:hAnsiTheme="majorEastAsia"/>
          <w:color w:val="000000"/>
          <w:kern w:val="0"/>
          <w:sz w:val="32"/>
          <w:szCs w:val="32"/>
        </w:rPr>
        <w:t>台（套），比上年无增减变化。单价50万以上设备0套比上年无增减变化，单位价值100万以上专用设备0套比上年无增减变化。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1、本部门2018年度无政府性基金收支情况，故公开08表以空表列示。</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2、本部门2018年度无国有资本经营预算收支情况，故公开09表以空表列示。</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3、本部门2018年度无政府采购预算收支情况，故公开10表以空表列示。</w:t>
      </w:r>
    </w:p>
    <w:p>
      <w:pPr>
        <w:widowControl/>
        <w:spacing w:after="0" w:line="560" w:lineRule="exact"/>
        <w:ind w:firstLine="640" w:firstLineChars="200"/>
        <w:rPr>
          <w:rFonts w:hint="eastAsia"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4、由于决算公开表格中金额数值应当保留两位小数，公开数据为四舍五入计算结</w:t>
      </w:r>
      <w:r>
        <w:rPr>
          <w:rFonts w:hint="eastAsia" w:ascii="仿宋_GB2312" w:eastAsia="仿宋_GB2312" w:hAnsiTheme="majorEastAsia"/>
          <w:color w:val="000000"/>
          <w:kern w:val="0"/>
          <w:sz w:val="32"/>
          <w:szCs w:val="32"/>
        </w:rPr>
        <mc:AlternateContent>
          <mc:Choice Requires="wpg">
            <w:drawing>
              <wp:anchor distT="0" distB="0" distL="114300" distR="114300" simplePos="0" relativeHeight="25167360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360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果，个别数据合计项与分项之和存在小数点后差额，特此说明。</w:t>
      </w:r>
    </w:p>
    <w:p>
      <w:pPr>
        <w:widowControl/>
        <w:spacing w:after="0" w:line="560" w:lineRule="exact"/>
        <w:ind w:firstLine="640" w:firstLineChars="200"/>
        <w:rPr>
          <w:rFonts w:hint="eastAsia" w:ascii="仿宋_GB2312" w:eastAsia="仿宋_GB2312" w:hAnsiTheme="majorEastAsia"/>
          <w:color w:val="000000"/>
          <w:kern w:val="0"/>
          <w:sz w:val="32"/>
          <w:szCs w:val="32"/>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59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ind w:firstLine="640" w:firstLineChars="200"/>
        <w:rPr>
          <w:rFonts w:ascii="仿宋_GB2312" w:eastAsia="仿宋_GB2312" w:cs="MS-UIGothic,Bold" w:hAnsiTheme="majorEastAsia"/>
          <w:bCs/>
          <w:sz w:val="32"/>
          <w:szCs w:val="32"/>
        </w:rPr>
      </w:pP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531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531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462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462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564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564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DB32137-C629-4D41-9010-A327439FF9E5}"/>
  </w:font>
  <w:font w:name="黑体">
    <w:panose1 w:val="02010600030101010101"/>
    <w:charset w:val="86"/>
    <w:family w:val="auto"/>
    <w:pitch w:val="default"/>
    <w:sig w:usb0="800002BF" w:usb1="38CF7CFA" w:usb2="00000016" w:usb3="00000000" w:csb0="00040001" w:csb1="00000000"/>
    <w:embedRegular r:id="rId2" w:fontKey="{1421AE63-84F4-47E0-A102-616BE853649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embedRegular r:id="rId3" w:fontKey="{02D6926A-C051-4468-9D8F-13F3F9AC1B49}"/>
  </w:font>
  <w:font w:name="Calibri">
    <w:panose1 w:val="020F0502020204030204"/>
    <w:charset w:val="00"/>
    <w:family w:val="swiss"/>
    <w:pitch w:val="default"/>
    <w:sig w:usb0="E0002AFF" w:usb1="C000247B" w:usb2="00000009" w:usb3="00000000" w:csb0="200001FF" w:csb1="00000000"/>
  </w:font>
  <w:font w:name="楷体">
    <w:panose1 w:val="02010609060101010101"/>
    <w:charset w:val="86"/>
    <w:family w:val="modern"/>
    <w:pitch w:val="default"/>
    <w:sig w:usb0="800002BF" w:usb1="38CF7CFA" w:usb2="00000016" w:usb3="00000000" w:csb0="00040001" w:csb1="00000000"/>
    <w:embedRegular r:id="rId4" w:fontKey="{A897D149-BE9A-4113-B55E-10611E6056BE}"/>
  </w:font>
  <w:font w:name="楷体_GB2312">
    <w:panose1 w:val="02010609030101010101"/>
    <w:charset w:val="86"/>
    <w:family w:val="modern"/>
    <w:pitch w:val="default"/>
    <w:sig w:usb0="00000001" w:usb1="080E0000" w:usb2="00000000" w:usb3="00000000" w:csb0="00040000" w:csb1="00000000"/>
    <w:embedRegular r:id="rId5" w:fontKey="{E99A1061-AED0-41DF-93FC-7ED1FFEC837A}"/>
  </w:font>
  <w:font w:name="仿宋_GB2312">
    <w:panose1 w:val="02010609030101010101"/>
    <w:charset w:val="86"/>
    <w:family w:val="modern"/>
    <w:pitch w:val="default"/>
    <w:sig w:usb0="00000001" w:usb1="080E0000" w:usb2="00000000" w:usb3="00000000" w:csb0="00040000" w:csb1="00000000"/>
    <w:embedRegular r:id="rId6" w:fontKey="{947A8AAA-AF80-4463-8933-52C7E114B55D}"/>
  </w:font>
  <w:font w:name="ArialUnicodeMS">
    <w:altName w:val="Malgun Gothic"/>
    <w:panose1 w:val="00000000000000000000"/>
    <w:charset w:val="81"/>
    <w:family w:val="auto"/>
    <w:pitch w:val="default"/>
    <w:sig w:usb0="00000000" w:usb1="00000000" w:usb2="00000010" w:usb3="00000000" w:csb0="00080001" w:csb1="00000000"/>
    <w:embedRegular r:id="rId7" w:fontKey="{6F70639D-AD02-4E64-A83D-EB88DB5A024F}"/>
  </w:font>
  <w:font w:name="MS-UIGothic,Bold">
    <w:altName w:val="Malgun Gothic"/>
    <w:panose1 w:val="00000000000000000000"/>
    <w:charset w:val="81"/>
    <w:family w:val="auto"/>
    <w:pitch w:val="default"/>
    <w:sig w:usb0="00000000" w:usb1="00000000" w:usb2="00000010" w:usb3="00000000" w:csb0="00080000" w:csb1="00000000"/>
    <w:embedRegular r:id="rId8" w:fontKey="{E6875187-FB41-407F-BBBF-D8E4E4A56F33}"/>
  </w:font>
  <w:font w:name="Arial">
    <w:panose1 w:val="020B0604020202020204"/>
    <w:charset w:val="00"/>
    <w:family w:val="swiss"/>
    <w:pitch w:val="default"/>
    <w:sig w:usb0="E0002EFF" w:usb1="C000785B" w:usb2="00000009" w:usb3="00000000" w:csb0="400001FF" w:csb1="FFFF0000"/>
  </w:font>
  <w:font w:name="DengXian-Regular">
    <w:altName w:val="宋体"/>
    <w:panose1 w:val="00000000000000000000"/>
    <w:charset w:val="86"/>
    <w:family w:val="auto"/>
    <w:pitch w:val="default"/>
    <w:sig w:usb0="00000000" w:usb1="00000000" w:usb2="00000010" w:usb3="00000000" w:csb0="00040001" w:csb1="00000000"/>
    <w:embedRegular r:id="rId9" w:fontKey="{B1FCA813-6E0B-4551-936D-85A66630705B}"/>
  </w:font>
  <w:font w:name="DengXian-Bold">
    <w:altName w:val="宋体"/>
    <w:panose1 w:val="00000000000000000000"/>
    <w:charset w:val="86"/>
    <w:family w:val="auto"/>
    <w:pitch w:val="default"/>
    <w:sig w:usb0="00000000" w:usb1="00000000" w:usb2="00000010" w:usb3="00000000" w:csb0="00040001" w:csb1="00000000"/>
    <w:embedRegular r:id="rId10" w:fontKey="{5132C28B-CE5E-4898-B9C7-31A4A817E6C8}"/>
  </w:font>
  <w:font w:name="TimesNewRomanPSMT">
    <w:altName w:val="Arial"/>
    <w:panose1 w:val="00000000000000000000"/>
    <w:charset w:val="00"/>
    <w:family w:val="swiss"/>
    <w:pitch w:val="default"/>
    <w:sig w:usb0="00000000" w:usb1="00000000" w:usb2="00000000" w:usb3="00000000" w:csb0="00000001" w:csb1="00000000"/>
  </w:font>
  <w:font w:name="Gulim">
    <w:altName w:val="Malgun Gothic"/>
    <w:panose1 w:val="020B0600000101010101"/>
    <w:charset w:val="81"/>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27BFD"/>
    <w:rsid w:val="000355DA"/>
    <w:rsid w:val="000400D2"/>
    <w:rsid w:val="0004434A"/>
    <w:rsid w:val="000475A0"/>
    <w:rsid w:val="000838C3"/>
    <w:rsid w:val="000B2446"/>
    <w:rsid w:val="000D01D4"/>
    <w:rsid w:val="000D7C65"/>
    <w:rsid w:val="000E2F81"/>
    <w:rsid w:val="00100B10"/>
    <w:rsid w:val="001060C0"/>
    <w:rsid w:val="00117946"/>
    <w:rsid w:val="00117E2C"/>
    <w:rsid w:val="00146C47"/>
    <w:rsid w:val="00152C6B"/>
    <w:rsid w:val="00152FB8"/>
    <w:rsid w:val="00176658"/>
    <w:rsid w:val="0018239E"/>
    <w:rsid w:val="001B3410"/>
    <w:rsid w:val="001C030D"/>
    <w:rsid w:val="001C4A84"/>
    <w:rsid w:val="001D1802"/>
    <w:rsid w:val="001E5902"/>
    <w:rsid w:val="001F3510"/>
    <w:rsid w:val="00207C90"/>
    <w:rsid w:val="00212461"/>
    <w:rsid w:val="00233705"/>
    <w:rsid w:val="00275CA2"/>
    <w:rsid w:val="002A5755"/>
    <w:rsid w:val="002A65A5"/>
    <w:rsid w:val="002C04C4"/>
    <w:rsid w:val="002D08B0"/>
    <w:rsid w:val="002D1AE3"/>
    <w:rsid w:val="002F2ECE"/>
    <w:rsid w:val="00341C8F"/>
    <w:rsid w:val="0035463A"/>
    <w:rsid w:val="0037568F"/>
    <w:rsid w:val="003903C3"/>
    <w:rsid w:val="00391D9D"/>
    <w:rsid w:val="00391E1D"/>
    <w:rsid w:val="003B6C51"/>
    <w:rsid w:val="003C1413"/>
    <w:rsid w:val="003C549F"/>
    <w:rsid w:val="003C73BD"/>
    <w:rsid w:val="003D5A16"/>
    <w:rsid w:val="003E7DB3"/>
    <w:rsid w:val="003F19C4"/>
    <w:rsid w:val="003F7EC9"/>
    <w:rsid w:val="00431175"/>
    <w:rsid w:val="00486744"/>
    <w:rsid w:val="004A5250"/>
    <w:rsid w:val="004B6E37"/>
    <w:rsid w:val="004C2521"/>
    <w:rsid w:val="004C32BA"/>
    <w:rsid w:val="004E23D8"/>
    <w:rsid w:val="004E7590"/>
    <w:rsid w:val="00501E88"/>
    <w:rsid w:val="005022CB"/>
    <w:rsid w:val="00533EA5"/>
    <w:rsid w:val="00575922"/>
    <w:rsid w:val="00587D78"/>
    <w:rsid w:val="005A3871"/>
    <w:rsid w:val="005A6C90"/>
    <w:rsid w:val="005B678C"/>
    <w:rsid w:val="005E3FB0"/>
    <w:rsid w:val="005F4B66"/>
    <w:rsid w:val="005F5208"/>
    <w:rsid w:val="006002F3"/>
    <w:rsid w:val="00602E92"/>
    <w:rsid w:val="00641318"/>
    <w:rsid w:val="0064405D"/>
    <w:rsid w:val="00685302"/>
    <w:rsid w:val="00695557"/>
    <w:rsid w:val="00696699"/>
    <w:rsid w:val="006C5A34"/>
    <w:rsid w:val="006D4EA7"/>
    <w:rsid w:val="006E0922"/>
    <w:rsid w:val="006E25C0"/>
    <w:rsid w:val="0070012A"/>
    <w:rsid w:val="0070664B"/>
    <w:rsid w:val="007071B8"/>
    <w:rsid w:val="007136A5"/>
    <w:rsid w:val="00717180"/>
    <w:rsid w:val="007414DE"/>
    <w:rsid w:val="00747FFA"/>
    <w:rsid w:val="00772584"/>
    <w:rsid w:val="0077625E"/>
    <w:rsid w:val="007905A9"/>
    <w:rsid w:val="007B2487"/>
    <w:rsid w:val="007D3804"/>
    <w:rsid w:val="007E5500"/>
    <w:rsid w:val="007F055B"/>
    <w:rsid w:val="0080644C"/>
    <w:rsid w:val="00811C2F"/>
    <w:rsid w:val="00833D46"/>
    <w:rsid w:val="00840A97"/>
    <w:rsid w:val="00843557"/>
    <w:rsid w:val="00871932"/>
    <w:rsid w:val="008932E3"/>
    <w:rsid w:val="00893B08"/>
    <w:rsid w:val="008C0149"/>
    <w:rsid w:val="008D5DED"/>
    <w:rsid w:val="008E25CA"/>
    <w:rsid w:val="008F34FC"/>
    <w:rsid w:val="00944CD7"/>
    <w:rsid w:val="009831B2"/>
    <w:rsid w:val="009A1ABE"/>
    <w:rsid w:val="009E21A4"/>
    <w:rsid w:val="009F22C6"/>
    <w:rsid w:val="009F5D36"/>
    <w:rsid w:val="00A07E50"/>
    <w:rsid w:val="00A1495F"/>
    <w:rsid w:val="00A15397"/>
    <w:rsid w:val="00A308D0"/>
    <w:rsid w:val="00A35CE0"/>
    <w:rsid w:val="00A41107"/>
    <w:rsid w:val="00A4462E"/>
    <w:rsid w:val="00A44AA4"/>
    <w:rsid w:val="00A61623"/>
    <w:rsid w:val="00A63D1A"/>
    <w:rsid w:val="00A73C5B"/>
    <w:rsid w:val="00A84687"/>
    <w:rsid w:val="00A865C0"/>
    <w:rsid w:val="00AB0A0E"/>
    <w:rsid w:val="00AC64AB"/>
    <w:rsid w:val="00AD3B6E"/>
    <w:rsid w:val="00AD4F0A"/>
    <w:rsid w:val="00AD650C"/>
    <w:rsid w:val="00AF68A1"/>
    <w:rsid w:val="00B1751F"/>
    <w:rsid w:val="00B24E22"/>
    <w:rsid w:val="00B35217"/>
    <w:rsid w:val="00B56722"/>
    <w:rsid w:val="00B74D39"/>
    <w:rsid w:val="00B91DA4"/>
    <w:rsid w:val="00BC5214"/>
    <w:rsid w:val="00BC6EDF"/>
    <w:rsid w:val="00C12630"/>
    <w:rsid w:val="00C3409C"/>
    <w:rsid w:val="00C34562"/>
    <w:rsid w:val="00C3774E"/>
    <w:rsid w:val="00C461B4"/>
    <w:rsid w:val="00C57456"/>
    <w:rsid w:val="00C65387"/>
    <w:rsid w:val="00C715AE"/>
    <w:rsid w:val="00C77758"/>
    <w:rsid w:val="00C87FAB"/>
    <w:rsid w:val="00C91FF7"/>
    <w:rsid w:val="00C94E53"/>
    <w:rsid w:val="00D0048E"/>
    <w:rsid w:val="00D14C4A"/>
    <w:rsid w:val="00D1657A"/>
    <w:rsid w:val="00D211B7"/>
    <w:rsid w:val="00D23E7A"/>
    <w:rsid w:val="00D26239"/>
    <w:rsid w:val="00D26DBB"/>
    <w:rsid w:val="00D27ACB"/>
    <w:rsid w:val="00D43610"/>
    <w:rsid w:val="00D470E6"/>
    <w:rsid w:val="00D61063"/>
    <w:rsid w:val="00D868F3"/>
    <w:rsid w:val="00DB35AF"/>
    <w:rsid w:val="00DD72D7"/>
    <w:rsid w:val="00DE75B9"/>
    <w:rsid w:val="00DF5B88"/>
    <w:rsid w:val="00E053C2"/>
    <w:rsid w:val="00E0589E"/>
    <w:rsid w:val="00E20148"/>
    <w:rsid w:val="00E241FA"/>
    <w:rsid w:val="00E2595E"/>
    <w:rsid w:val="00E35374"/>
    <w:rsid w:val="00E50C19"/>
    <w:rsid w:val="00E64655"/>
    <w:rsid w:val="00E71DB9"/>
    <w:rsid w:val="00E73081"/>
    <w:rsid w:val="00E856C9"/>
    <w:rsid w:val="00EA25E3"/>
    <w:rsid w:val="00EB6A8B"/>
    <w:rsid w:val="00EC3D03"/>
    <w:rsid w:val="00EE60C1"/>
    <w:rsid w:val="00EE6A82"/>
    <w:rsid w:val="00EF38C6"/>
    <w:rsid w:val="00F06485"/>
    <w:rsid w:val="00F46C4C"/>
    <w:rsid w:val="00F46DDE"/>
    <w:rsid w:val="00F679C7"/>
    <w:rsid w:val="00F76DB0"/>
    <w:rsid w:val="00F7711A"/>
    <w:rsid w:val="00FA0D58"/>
    <w:rsid w:val="00FA56F4"/>
    <w:rsid w:val="00FB4EDA"/>
    <w:rsid w:val="00FD3BD5"/>
    <w:rsid w:val="00FD6400"/>
    <w:rsid w:val="00FE3DC8"/>
    <w:rsid w:val="04073F84"/>
    <w:rsid w:val="0B60750A"/>
    <w:rsid w:val="10686488"/>
    <w:rsid w:val="10DF728A"/>
    <w:rsid w:val="1264200E"/>
    <w:rsid w:val="13866EDC"/>
    <w:rsid w:val="141C5B77"/>
    <w:rsid w:val="18D8339D"/>
    <w:rsid w:val="1A21388F"/>
    <w:rsid w:val="1A570D2F"/>
    <w:rsid w:val="2637390A"/>
    <w:rsid w:val="28FB0B8D"/>
    <w:rsid w:val="2A9870FC"/>
    <w:rsid w:val="2B8A298D"/>
    <w:rsid w:val="2D2B7942"/>
    <w:rsid w:val="2D46481D"/>
    <w:rsid w:val="2E733B28"/>
    <w:rsid w:val="2F2701A3"/>
    <w:rsid w:val="2FE02BB5"/>
    <w:rsid w:val="31852B5A"/>
    <w:rsid w:val="32D01238"/>
    <w:rsid w:val="3AAC5B79"/>
    <w:rsid w:val="3DFC59A8"/>
    <w:rsid w:val="3ECF245E"/>
    <w:rsid w:val="3FB96314"/>
    <w:rsid w:val="4D370BEE"/>
    <w:rsid w:val="4DB02CC1"/>
    <w:rsid w:val="53A44FAF"/>
    <w:rsid w:val="594329EC"/>
    <w:rsid w:val="5B4A738A"/>
    <w:rsid w:val="5BEE1540"/>
    <w:rsid w:val="5DE61A5D"/>
    <w:rsid w:val="5E7F77C5"/>
    <w:rsid w:val="63C04243"/>
    <w:rsid w:val="649617B4"/>
    <w:rsid w:val="649C01C7"/>
    <w:rsid w:val="678C5EB1"/>
    <w:rsid w:val="699A3F60"/>
    <w:rsid w:val="72902E62"/>
    <w:rsid w:val="73C61104"/>
    <w:rsid w:val="776452EA"/>
    <w:rsid w:val="7C8424BC"/>
    <w:rsid w:val="7C8B2092"/>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2"/>
    <w:link w:val="9"/>
    <w:qFormat/>
    <w:uiPriority w:val="99"/>
    <w:rPr>
      <w:sz w:val="18"/>
      <w:szCs w:val="18"/>
    </w:rPr>
  </w:style>
  <w:style w:type="character" w:customStyle="1" w:styleId="16">
    <w:name w:val="页脚 Char"/>
    <w:basedOn w:val="12"/>
    <w:link w:val="8"/>
    <w:qFormat/>
    <w:uiPriority w:val="99"/>
    <w:rPr>
      <w:sz w:val="18"/>
      <w:szCs w:val="18"/>
    </w:rPr>
  </w:style>
  <w:style w:type="paragraph" w:customStyle="1"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2"/>
    <w:link w:val="17"/>
    <w:qFormat/>
    <w:uiPriority w:val="1"/>
    <w:rPr>
      <w:kern w:val="0"/>
      <w:sz w:val="22"/>
    </w:rPr>
  </w:style>
  <w:style w:type="character" w:customStyle="1" w:styleId="19">
    <w:name w:val="批注框文本 Char"/>
    <w:basedOn w:val="12"/>
    <w:link w:val="7"/>
    <w:semiHidden/>
    <w:qFormat/>
    <w:uiPriority w:val="99"/>
    <w:rPr>
      <w:rFonts w:ascii="Times New Roman" w:hAnsi="Times New Roman" w:eastAsia="宋体" w:cs="Times New Roman"/>
      <w:sz w:val="18"/>
      <w:szCs w:val="18"/>
    </w:rPr>
  </w:style>
  <w:style w:type="character" w:customStyle="1" w:styleId="20">
    <w:name w:val="标题 Char"/>
    <w:basedOn w:val="12"/>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2"/>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2"/>
    <w:qFormat/>
    <w:uiPriority w:val="1"/>
    <w:rPr>
      <w:rFonts w:asciiTheme="minorHAnsi" w:hAnsiTheme="minorEastAsia" w:eastAsiaTheme="minorEastAsia" w:cstheme="minorBidi"/>
      <w:sz w:val="22"/>
      <w:szCs w:val="22"/>
      <w:lang w:eastAsia="zh-CN"/>
    </w:rPr>
  </w:style>
  <w:style w:type="character" w:customStyle="1" w:styleId="23">
    <w:name w:val="Style2"/>
    <w:basedOn w:val="12"/>
    <w:qFormat/>
    <w:uiPriority w:val="1"/>
    <w:rPr>
      <w:rFonts w:asciiTheme="minorHAnsi" w:hAnsiTheme="minorEastAsia" w:eastAsiaTheme="minorEastAsia" w:cstheme="minorBidi"/>
      <w:sz w:val="22"/>
      <w:szCs w:val="22"/>
      <w:lang w:eastAsia="zh-CN"/>
    </w:rPr>
  </w:style>
  <w:style w:type="character" w:customStyle="1" w:styleId="24">
    <w:name w:val="Style3"/>
    <w:basedOn w:val="12"/>
    <w:qFormat/>
    <w:uiPriority w:val="1"/>
    <w:rPr>
      <w:rFonts w:asciiTheme="minorHAnsi" w:hAnsiTheme="minorEastAsia" w:eastAsiaTheme="minorEastAsia" w:cstheme="minorBidi"/>
      <w:szCs w:val="22"/>
      <w:lang w:eastAsia="zh-CN"/>
    </w:rPr>
  </w:style>
  <w:style w:type="character" w:customStyle="1" w:styleId="25">
    <w:name w:val="Style4"/>
    <w:basedOn w:val="12"/>
    <w:qFormat/>
    <w:uiPriority w:val="1"/>
    <w:rPr>
      <w:rFonts w:asciiTheme="minorHAnsi" w:hAnsiTheme="minorEastAsia" w:eastAsiaTheme="minorEastAsia" w:cstheme="minorBidi"/>
      <w:szCs w:val="22"/>
      <w:lang w:eastAsia="zh-CN"/>
    </w:rPr>
  </w:style>
  <w:style w:type="character" w:customStyle="1" w:styleId="26">
    <w:name w:val="Style5"/>
    <w:basedOn w:val="12"/>
    <w:qFormat/>
    <w:uiPriority w:val="1"/>
    <w:rPr>
      <w:rFonts w:asciiTheme="minorHAnsi" w:hAnsiTheme="minorEastAsia" w:eastAsiaTheme="minorEastAsia" w:cstheme="minorBidi"/>
      <w:sz w:val="22"/>
      <w:szCs w:val="22"/>
      <w:lang w:eastAsia="zh-CN"/>
    </w:rPr>
  </w:style>
  <w:style w:type="character" w:customStyle="1" w:styleId="27">
    <w:name w:val="标题 1 Char"/>
    <w:basedOn w:val="12"/>
    <w:link w:val="2"/>
    <w:qFormat/>
    <w:uiPriority w:val="9"/>
    <w:rPr>
      <w:rFonts w:ascii="Times New Roman" w:hAnsi="Times New Roman" w:eastAsia="宋体" w:cs="Times New Roman"/>
      <w:b/>
      <w:bCs/>
      <w:kern w:val="44"/>
      <w:sz w:val="44"/>
      <w:szCs w:val="44"/>
    </w:rPr>
  </w:style>
  <w:style w:type="character" w:customStyle="1" w:styleId="28">
    <w:name w:val="标题 2 Char"/>
    <w:basedOn w:val="12"/>
    <w:link w:val="3"/>
    <w:qFormat/>
    <w:uiPriority w:val="9"/>
    <w:rPr>
      <w:rFonts w:asciiTheme="majorHAnsi" w:hAnsiTheme="majorHAnsi" w:eastAsiaTheme="majorEastAsia" w:cstheme="majorBidi"/>
      <w:b/>
      <w:bCs/>
      <w:sz w:val="32"/>
      <w:szCs w:val="32"/>
    </w:rPr>
  </w:style>
  <w:style w:type="character" w:customStyle="1" w:styleId="29">
    <w:name w:val="标题 3 Char"/>
    <w:basedOn w:val="12"/>
    <w:link w:val="4"/>
    <w:qFormat/>
    <w:uiPriority w:val="9"/>
    <w:rPr>
      <w:rFonts w:ascii="Times New Roman" w:hAnsi="Times New Roman" w:eastAsia="宋体" w:cs="Times New Roman"/>
      <w:b/>
      <w:bCs/>
      <w:sz w:val="32"/>
      <w:szCs w:val="32"/>
    </w:rPr>
  </w:style>
  <w:style w:type="character" w:customStyle="1" w:styleId="30">
    <w:name w:val="标题 4 Char"/>
    <w:basedOn w:val="12"/>
    <w:link w:val="5"/>
    <w:qFormat/>
    <w:uiPriority w:val="9"/>
    <w:rPr>
      <w:rFonts w:asciiTheme="majorHAnsi" w:hAnsiTheme="majorHAnsi" w:eastAsiaTheme="majorEastAsia" w:cstheme="majorBidi"/>
      <w:b/>
      <w:bCs/>
      <w:sz w:val="28"/>
      <w:szCs w:val="28"/>
    </w:rPr>
  </w:style>
  <w:style w:type="character" w:customStyle="1" w:styleId="31">
    <w:name w:val="日期 Char"/>
    <w:basedOn w:val="12"/>
    <w:link w:val="6"/>
    <w:semiHidden/>
    <w:qFormat/>
    <w:uiPriority w:val="99"/>
    <w:rPr>
      <w:rFonts w:ascii="Times New Roman" w:hAnsi="Times New Roman" w:eastAsia="宋体" w:cs="Times New Roman"/>
      <w:szCs w:val="24"/>
    </w:rPr>
  </w:style>
  <w:style w:type="paragraph" w:customStyle="1"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图1：收入构成图:</c:v>
                </c:pt>
              </c:strCache>
            </c:strRef>
          </c:tx>
          <c:explosion val="0"/>
          <c:dPt>
            <c:idx val="0"/>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c:f>
              <c:strCache>
                <c:ptCount val="1"/>
                <c:pt idx="0">
                  <c:v>财政拨款收入</c:v>
                </c:pt>
              </c:strCache>
            </c:strRef>
          </c:cat>
          <c:val>
            <c:numRef>
              <c:f>Sheet1!$B$2</c:f>
              <c:numCache>
                <c:formatCode>General</c:formatCode>
                <c:ptCount val="1"/>
                <c:pt idx="0">
                  <c:v>100</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5728073594761"/>
          <c:y val="0.165240594925634"/>
          <c:w val="0.303115404474399"/>
          <c:h val="0.48896325459317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explosion val="0"/>
          <c:dPt>
            <c:idx val="0"/>
            <c:bubble3D val="0"/>
          </c:dPt>
          <c:dPt>
            <c:idx val="1"/>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80.25</c:v>
                </c:pt>
                <c:pt idx="1">
                  <c:v>19.75</c:v>
                </c:pt>
              </c:numCache>
            </c:numRef>
          </c:val>
        </c:ser>
        <c:dLbls>
          <c:showLegendKey val="0"/>
          <c:showVal val="0"/>
          <c:showCatName val="0"/>
          <c:showSerName val="0"/>
          <c:showPercent val="0"/>
          <c:showBubbleSize val="0"/>
          <c:showLeaderLines val="1"/>
        </c:dLbls>
        <c:firstSliceAng val="0"/>
      </c:pieChart>
    </c:plotArea>
    <c:legend>
      <c:legendPos val="r"/>
      <c:layout/>
      <c:overlay val="1"/>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4980032400256"/>
          <c:y val="0.0202733091160699"/>
          <c:w val="0.803003240025619"/>
          <c:h val="0.872571429349743"/>
        </c:manualLayout>
      </c:layout>
      <c:barChart>
        <c:barDir val="col"/>
        <c:grouping val="stacked"/>
        <c:varyColors val="0"/>
        <c:ser>
          <c:idx val="0"/>
          <c:order val="0"/>
          <c:tx>
            <c:strRef>
              <c:f>Sheet1!$B$1</c:f>
              <c:strCache>
                <c:ptCount val="1"/>
                <c:pt idx="0">
                  <c:v>系列 1</c:v>
                </c:pt>
              </c:strCache>
            </c:strRef>
          </c:tx>
          <c:invertIfNegative val="0"/>
          <c:dLbls>
            <c:delete val="1"/>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657.17</c:v>
                </c:pt>
                <c:pt idx="1">
                  <c:v>580.17</c:v>
                </c:pt>
                <c:pt idx="2">
                  <c:v>616</c:v>
                </c:pt>
                <c:pt idx="3">
                  <c:v>533.59</c:v>
                </c:pt>
              </c:numCache>
            </c:numRef>
          </c:val>
        </c:ser>
        <c:dLbls>
          <c:showLegendKey val="0"/>
          <c:showVal val="0"/>
          <c:showCatName val="0"/>
          <c:showSerName val="0"/>
          <c:showPercent val="0"/>
          <c:showBubbleSize val="0"/>
        </c:dLbls>
        <c:gapWidth val="150"/>
        <c:overlap val="100"/>
        <c:axId val="247652736"/>
        <c:axId val="247654272"/>
      </c:barChart>
      <c:catAx>
        <c:axId val="24765273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7654272"/>
        <c:crosses val="autoZero"/>
        <c:auto val="1"/>
        <c:lblAlgn val="ctr"/>
        <c:lblOffset val="100"/>
        <c:noMultiLvlLbl val="0"/>
      </c:catAx>
      <c:valAx>
        <c:axId val="24765427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7652736"/>
        <c:crosses val="autoZero"/>
        <c:crossBetween val="between"/>
      </c:valAx>
    </c:plotArea>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系列 1</c:v>
                </c:pt>
              </c:strCache>
            </c:strRef>
          </c:tx>
          <c:invertIfNegative val="0"/>
          <c:dLbls>
            <c:delete val="1"/>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498.03</c:v>
                </c:pt>
                <c:pt idx="1">
                  <c:v>657.17</c:v>
                </c:pt>
                <c:pt idx="2">
                  <c:v>498.03</c:v>
                </c:pt>
                <c:pt idx="3">
                  <c:v>616</c:v>
                </c:pt>
              </c:numCache>
            </c:numRef>
          </c:val>
        </c:ser>
        <c:dLbls>
          <c:showLegendKey val="0"/>
          <c:showVal val="0"/>
          <c:showCatName val="0"/>
          <c:showSerName val="0"/>
          <c:showPercent val="0"/>
          <c:showBubbleSize val="0"/>
        </c:dLbls>
        <c:gapWidth val="150"/>
        <c:overlap val="100"/>
        <c:axId val="249760384"/>
        <c:axId val="249770368"/>
      </c:barChart>
      <c:catAx>
        <c:axId val="249760384"/>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9770368"/>
        <c:crosses val="autoZero"/>
        <c:auto val="1"/>
        <c:lblAlgn val="ctr"/>
        <c:lblOffset val="100"/>
        <c:noMultiLvlLbl val="0"/>
      </c:catAx>
      <c:valAx>
        <c:axId val="24977036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9760384"/>
        <c:crosses val="autoZero"/>
        <c:crossBetween val="between"/>
      </c:valAx>
    </c:plotArea>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Sheet1!$A$2:$A$5</c:f>
              <c:strCache>
                <c:ptCount val="4"/>
                <c:pt idx="0">
                  <c:v>一般公共服务支出</c:v>
                </c:pt>
                <c:pt idx="1">
                  <c:v>医疗卫生服务类支出</c:v>
                </c:pt>
                <c:pt idx="2">
                  <c:v>社会保障就业类支出</c:v>
                </c:pt>
                <c:pt idx="3">
                  <c:v>住房保障类支出</c:v>
                </c:pt>
              </c:strCache>
            </c:strRef>
          </c:cat>
          <c:val>
            <c:numRef>
              <c:f>Sheet1!$B$2:$B$5</c:f>
              <c:numCache>
                <c:formatCode>General</c:formatCode>
                <c:ptCount val="4"/>
                <c:pt idx="0">
                  <c:v>89.49</c:v>
                </c:pt>
                <c:pt idx="1">
                  <c:v>3.49</c:v>
                </c:pt>
                <c:pt idx="2">
                  <c:v>4.23</c:v>
                </c:pt>
                <c:pt idx="3">
                  <c:v>2.79</c:v>
                </c:pt>
              </c:numCache>
            </c:numRef>
          </c:val>
        </c:ser>
        <c:dLbls>
          <c:showLegendKey val="0"/>
          <c:showVal val="0"/>
          <c:showCatName val="0"/>
          <c:showSerName val="0"/>
          <c:showPercent val="0"/>
          <c:showBubbleSize val="0"/>
          <c:showLeaderLines val="0"/>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2B2FCC16-1CB2-4F37-80D2-56678014CD0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35</Pages>
  <Words>1891</Words>
  <Characters>10779</Characters>
  <Lines>89</Lines>
  <Paragraphs>25</Paragraphs>
  <ScaleCrop>false</ScaleCrop>
  <LinksUpToDate>false</LinksUpToDate>
  <CharactersWithSpaces>12645</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2019-09-20T03:14:00Z</cp:lastPrinted>
  <dcterms:modified xsi:type="dcterms:W3CDTF">2023-06-28T00:45:22Z</dcterms:modified>
  <dc:subject>石家庄市xxx部门</dc:subject>
  <dc:title>2017年度部门决算</dc:title>
  <cp:revision>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